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footer1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7.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18.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oter1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20.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21.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2.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23.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4.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25.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26.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27.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38C" w:rsidRPr="004900FE" w:rsidRDefault="00EB77C1" w:rsidP="00831489">
      <w:pPr>
        <w:pStyle w:val="ChartGraphic"/>
        <w:spacing w:before="600" w:after="240"/>
      </w:pPr>
      <w:r>
        <w:rPr>
          <w:noProof/>
        </w:rPr>
        <w:drawing>
          <wp:inline distT="0" distB="0" distL="0" distR="0">
            <wp:extent cx="2152650" cy="2409825"/>
            <wp:effectExtent l="0" t="0" r="0" b="0"/>
            <wp:docPr id="1" name="Picture 1" descr="2018–19 Budg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19 Budget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2650" cy="2409825"/>
                    </a:xfrm>
                    <a:prstGeom prst="rect">
                      <a:avLst/>
                    </a:prstGeom>
                    <a:noFill/>
                    <a:ln>
                      <a:noFill/>
                    </a:ln>
                  </pic:spPr>
                </pic:pic>
              </a:graphicData>
            </a:graphic>
          </wp:inline>
        </w:drawing>
      </w:r>
    </w:p>
    <w:p w:rsidR="0001438C" w:rsidRPr="008F56A2" w:rsidRDefault="0001438C" w:rsidP="007F7481">
      <w:pPr>
        <w:pStyle w:val="TPHeading2"/>
        <w:spacing w:before="840"/>
        <w:rPr>
          <w:rFonts w:ascii="Book Antiqua" w:hAnsi="Book Antiqua"/>
          <w:b/>
          <w:caps w:val="0"/>
          <w:sz w:val="32"/>
          <w:szCs w:val="36"/>
        </w:rPr>
      </w:pPr>
      <w:r w:rsidRPr="008F56A2">
        <w:rPr>
          <w:rFonts w:ascii="Book Antiqua" w:hAnsi="Book Antiqua"/>
          <w:b/>
          <w:caps w:val="0"/>
          <w:sz w:val="32"/>
          <w:szCs w:val="36"/>
        </w:rPr>
        <w:t xml:space="preserve">Portfolio Budget Statements </w:t>
      </w:r>
      <w:r w:rsidR="00475EAF" w:rsidRPr="008F56A2">
        <w:rPr>
          <w:rFonts w:ascii="Book Antiqua" w:hAnsi="Book Antiqua"/>
          <w:b/>
          <w:caps w:val="0"/>
          <w:sz w:val="32"/>
          <w:szCs w:val="36"/>
        </w:rPr>
        <w:t>201</w:t>
      </w:r>
      <w:r w:rsidR="00694795">
        <w:rPr>
          <w:rFonts w:ascii="Book Antiqua" w:hAnsi="Book Antiqua"/>
          <w:b/>
          <w:caps w:val="0"/>
          <w:sz w:val="32"/>
          <w:szCs w:val="36"/>
        </w:rPr>
        <w:t>8</w:t>
      </w:r>
      <w:r w:rsidR="00A56AEB">
        <w:rPr>
          <w:rFonts w:ascii="Book Antiqua" w:hAnsi="Book Antiqua"/>
          <w:b/>
          <w:caps w:val="0"/>
          <w:sz w:val="32"/>
          <w:szCs w:val="36"/>
        </w:rPr>
        <w:t>–</w:t>
      </w:r>
      <w:r w:rsidR="00475EAF" w:rsidRPr="008F56A2">
        <w:rPr>
          <w:rFonts w:ascii="Book Antiqua" w:hAnsi="Book Antiqua"/>
          <w:b/>
          <w:caps w:val="0"/>
          <w:sz w:val="32"/>
          <w:szCs w:val="36"/>
        </w:rPr>
        <w:t>1</w:t>
      </w:r>
      <w:r w:rsidR="00694795">
        <w:rPr>
          <w:rFonts w:ascii="Book Antiqua" w:hAnsi="Book Antiqua"/>
          <w:b/>
          <w:caps w:val="0"/>
          <w:sz w:val="32"/>
          <w:szCs w:val="36"/>
        </w:rPr>
        <w:t>9</w:t>
      </w:r>
    </w:p>
    <w:p w:rsidR="0001438C" w:rsidRPr="008F56A2" w:rsidRDefault="0001438C" w:rsidP="0032738E">
      <w:pPr>
        <w:pStyle w:val="TPHeading2"/>
        <w:rPr>
          <w:rFonts w:ascii="Book Antiqua" w:hAnsi="Book Antiqua"/>
          <w:b/>
          <w:caps w:val="0"/>
          <w:sz w:val="32"/>
          <w:szCs w:val="36"/>
        </w:rPr>
      </w:pPr>
      <w:r w:rsidRPr="008F56A2">
        <w:rPr>
          <w:rFonts w:ascii="Book Antiqua" w:hAnsi="Book Antiqua"/>
          <w:b/>
          <w:caps w:val="0"/>
          <w:sz w:val="32"/>
          <w:szCs w:val="36"/>
        </w:rPr>
        <w:t xml:space="preserve">Budget </w:t>
      </w:r>
      <w:r w:rsidR="00A70398" w:rsidRPr="008F56A2">
        <w:rPr>
          <w:rFonts w:ascii="Book Antiqua" w:hAnsi="Book Antiqua"/>
          <w:b/>
          <w:caps w:val="0"/>
          <w:sz w:val="32"/>
          <w:szCs w:val="36"/>
        </w:rPr>
        <w:t xml:space="preserve">Related Paper </w:t>
      </w:r>
      <w:r w:rsidRPr="008F56A2">
        <w:rPr>
          <w:rFonts w:ascii="Book Antiqua" w:hAnsi="Book Antiqua"/>
          <w:b/>
          <w:caps w:val="0"/>
          <w:sz w:val="32"/>
          <w:szCs w:val="36"/>
        </w:rPr>
        <w:t>No. 1.</w:t>
      </w:r>
      <w:r w:rsidR="008F797E">
        <w:rPr>
          <w:rFonts w:ascii="Book Antiqua" w:hAnsi="Book Antiqua"/>
          <w:b/>
          <w:caps w:val="0"/>
          <w:sz w:val="32"/>
          <w:szCs w:val="36"/>
        </w:rPr>
        <w:t>13</w:t>
      </w:r>
      <w:r w:rsidR="00B076AF">
        <w:rPr>
          <w:rFonts w:ascii="Book Antiqua" w:hAnsi="Book Antiqua"/>
          <w:b/>
          <w:caps w:val="0"/>
          <w:sz w:val="32"/>
          <w:szCs w:val="36"/>
        </w:rPr>
        <w:t>B</w:t>
      </w:r>
    </w:p>
    <w:p w:rsidR="004900FE" w:rsidRPr="008F56A2" w:rsidRDefault="00B076AF" w:rsidP="004900FE">
      <w:pPr>
        <w:pStyle w:val="TPHeading2"/>
        <w:spacing w:before="240"/>
        <w:rPr>
          <w:rFonts w:ascii="Book Antiqua" w:hAnsi="Book Antiqua"/>
          <w:caps w:val="0"/>
          <w:sz w:val="32"/>
          <w:szCs w:val="36"/>
        </w:rPr>
      </w:pPr>
      <w:r>
        <w:rPr>
          <w:rFonts w:ascii="Book Antiqua" w:hAnsi="Book Antiqua"/>
          <w:caps w:val="0"/>
          <w:sz w:val="32"/>
          <w:szCs w:val="36"/>
        </w:rPr>
        <w:t xml:space="preserve">Jobs and </w:t>
      </w:r>
      <w:r w:rsidR="006B72F3">
        <w:rPr>
          <w:rFonts w:ascii="Book Antiqua" w:hAnsi="Book Antiqua"/>
          <w:caps w:val="0"/>
          <w:sz w:val="32"/>
          <w:szCs w:val="36"/>
        </w:rPr>
        <w:t>Innovation Portfolio</w:t>
      </w:r>
      <w:r>
        <w:rPr>
          <w:rFonts w:ascii="Book Antiqua" w:hAnsi="Book Antiqua"/>
          <w:caps w:val="0"/>
          <w:sz w:val="32"/>
          <w:szCs w:val="36"/>
        </w:rPr>
        <w:t xml:space="preserve"> </w:t>
      </w:r>
      <w:r>
        <w:rPr>
          <w:rFonts w:ascii="Book Antiqua" w:hAnsi="Book Antiqua"/>
          <w:caps w:val="0"/>
          <w:sz w:val="32"/>
          <w:szCs w:val="36"/>
        </w:rPr>
        <w:br/>
        <w:t xml:space="preserve">(Jobs and </w:t>
      </w:r>
      <w:r w:rsidR="006B72F3">
        <w:rPr>
          <w:rFonts w:ascii="Book Antiqua" w:hAnsi="Book Antiqua"/>
          <w:caps w:val="0"/>
          <w:sz w:val="32"/>
          <w:szCs w:val="36"/>
        </w:rPr>
        <w:t>Small Business</w:t>
      </w:r>
      <w:r>
        <w:rPr>
          <w:rFonts w:ascii="Book Antiqua" w:hAnsi="Book Antiqua"/>
          <w:caps w:val="0"/>
          <w:sz w:val="32"/>
          <w:szCs w:val="36"/>
        </w:rPr>
        <w:t>)</w:t>
      </w:r>
    </w:p>
    <w:p w:rsidR="0001438C" w:rsidRPr="008F56A2" w:rsidRDefault="00B30944" w:rsidP="00B076AF">
      <w:pPr>
        <w:pStyle w:val="TPHeading3"/>
        <w:spacing w:before="2640"/>
        <w:jc w:val="center"/>
        <w:rPr>
          <w:rFonts w:ascii="Book Antiqua" w:hAnsi="Book Antiqua"/>
          <w:sz w:val="20"/>
          <w:szCs w:val="22"/>
        </w:rPr>
      </w:pPr>
      <w:r w:rsidRPr="008F56A2">
        <w:rPr>
          <w:rFonts w:ascii="Book Antiqua" w:hAnsi="Book Antiqua"/>
          <w:caps w:val="0"/>
          <w:sz w:val="22"/>
          <w:szCs w:val="24"/>
        </w:rPr>
        <w:t xml:space="preserve">Budget </w:t>
      </w:r>
      <w:r w:rsidR="00D70BF5" w:rsidRPr="008F56A2">
        <w:rPr>
          <w:rFonts w:ascii="Book Antiqua" w:hAnsi="Book Antiqua"/>
          <w:caps w:val="0"/>
          <w:sz w:val="22"/>
          <w:szCs w:val="24"/>
        </w:rPr>
        <w:t xml:space="preserve">Initiatives </w:t>
      </w:r>
      <w:r w:rsidR="00362AA7" w:rsidRPr="008F56A2">
        <w:rPr>
          <w:rFonts w:ascii="Book Antiqua" w:hAnsi="Book Antiqua"/>
          <w:caps w:val="0"/>
          <w:sz w:val="22"/>
          <w:szCs w:val="24"/>
        </w:rPr>
        <w:t xml:space="preserve">and </w:t>
      </w:r>
      <w:r w:rsidR="00D70BF5" w:rsidRPr="008F56A2">
        <w:rPr>
          <w:rFonts w:ascii="Book Antiqua" w:hAnsi="Book Antiqua"/>
          <w:caps w:val="0"/>
          <w:sz w:val="22"/>
          <w:szCs w:val="24"/>
        </w:rPr>
        <w:t xml:space="preserve">Explanations </w:t>
      </w:r>
      <w:r w:rsidR="00362AA7" w:rsidRPr="008F56A2">
        <w:rPr>
          <w:rFonts w:ascii="Book Antiqua" w:hAnsi="Book Antiqua"/>
          <w:caps w:val="0"/>
          <w:sz w:val="22"/>
          <w:szCs w:val="24"/>
        </w:rPr>
        <w:t>of</w:t>
      </w:r>
      <w:r w:rsidR="00B076AF">
        <w:rPr>
          <w:rFonts w:ascii="Book Antiqua" w:hAnsi="Book Antiqua"/>
          <w:caps w:val="0"/>
          <w:sz w:val="22"/>
          <w:szCs w:val="24"/>
        </w:rPr>
        <w:t xml:space="preserve"> </w:t>
      </w:r>
      <w:r w:rsidR="00B076AF">
        <w:rPr>
          <w:rFonts w:ascii="Book Antiqua" w:hAnsi="Book Antiqua"/>
          <w:caps w:val="0"/>
          <w:sz w:val="22"/>
          <w:szCs w:val="24"/>
        </w:rPr>
        <w:br/>
      </w:r>
      <w:r w:rsidR="00D70BF5" w:rsidRPr="008F56A2">
        <w:rPr>
          <w:rFonts w:ascii="Book Antiqua" w:hAnsi="Book Antiqua"/>
          <w:caps w:val="0"/>
          <w:sz w:val="22"/>
          <w:szCs w:val="24"/>
        </w:rPr>
        <w:t xml:space="preserve">Appropriations Specified </w:t>
      </w:r>
      <w:r w:rsidR="00362AA7" w:rsidRPr="008F56A2">
        <w:rPr>
          <w:rFonts w:ascii="Book Antiqua" w:hAnsi="Book Antiqua"/>
          <w:caps w:val="0"/>
          <w:sz w:val="22"/>
          <w:szCs w:val="24"/>
        </w:rPr>
        <w:t xml:space="preserve">by </w:t>
      </w:r>
      <w:r w:rsidR="00D70BF5" w:rsidRPr="008F56A2">
        <w:rPr>
          <w:rFonts w:ascii="Book Antiqua" w:hAnsi="Book Antiqua"/>
          <w:caps w:val="0"/>
          <w:sz w:val="22"/>
          <w:szCs w:val="24"/>
        </w:rPr>
        <w:t>Outcomes</w:t>
      </w:r>
      <w:r w:rsidR="00B076AF">
        <w:rPr>
          <w:rFonts w:ascii="Book Antiqua" w:hAnsi="Book Antiqua"/>
          <w:caps w:val="0"/>
          <w:sz w:val="22"/>
          <w:szCs w:val="24"/>
        </w:rPr>
        <w:t xml:space="preserve"> </w:t>
      </w:r>
      <w:r w:rsidR="00B076AF">
        <w:rPr>
          <w:rFonts w:ascii="Book Antiqua" w:hAnsi="Book Antiqua"/>
          <w:caps w:val="0"/>
          <w:sz w:val="22"/>
          <w:szCs w:val="24"/>
        </w:rPr>
        <w:br/>
      </w:r>
      <w:r w:rsidR="00362AA7" w:rsidRPr="008F56A2">
        <w:rPr>
          <w:rFonts w:ascii="Book Antiqua" w:hAnsi="Book Antiqua"/>
          <w:caps w:val="0"/>
          <w:sz w:val="22"/>
          <w:szCs w:val="24"/>
        </w:rPr>
        <w:t xml:space="preserve">and </w:t>
      </w:r>
      <w:r w:rsidR="00290933" w:rsidRPr="008F56A2">
        <w:rPr>
          <w:rFonts w:ascii="Book Antiqua" w:hAnsi="Book Antiqua"/>
          <w:caps w:val="0"/>
          <w:sz w:val="22"/>
          <w:szCs w:val="24"/>
        </w:rPr>
        <w:t>Programs</w:t>
      </w:r>
      <w:r w:rsidR="00D70BF5" w:rsidRPr="008F56A2">
        <w:rPr>
          <w:rFonts w:ascii="Book Antiqua" w:hAnsi="Book Antiqua"/>
          <w:caps w:val="0"/>
          <w:sz w:val="22"/>
          <w:szCs w:val="24"/>
        </w:rPr>
        <w:t xml:space="preserve"> </w:t>
      </w:r>
      <w:r w:rsidR="00362AA7" w:rsidRPr="008F56A2">
        <w:rPr>
          <w:rFonts w:ascii="Book Antiqua" w:hAnsi="Book Antiqua"/>
          <w:caps w:val="0"/>
          <w:sz w:val="22"/>
          <w:szCs w:val="24"/>
        </w:rPr>
        <w:t xml:space="preserve">by </w:t>
      </w:r>
      <w:r w:rsidR="00D70BF5" w:rsidRPr="008F56A2">
        <w:rPr>
          <w:rFonts w:ascii="Book Antiqua" w:hAnsi="Book Antiqua"/>
          <w:caps w:val="0"/>
          <w:sz w:val="22"/>
          <w:szCs w:val="24"/>
        </w:rPr>
        <w:t>Entity</w:t>
      </w:r>
    </w:p>
    <w:p w:rsidR="00D50C9B" w:rsidRDefault="00D50C9B" w:rsidP="00D50C9B">
      <w:pPr>
        <w:sectPr w:rsidR="00D50C9B" w:rsidSect="004900FE">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code="9"/>
          <w:pgMar w:top="2466" w:right="2098" w:bottom="2466" w:left="2098" w:header="1899" w:footer="1899" w:gutter="0"/>
          <w:cols w:space="708"/>
          <w:titlePg/>
          <w:docGrid w:linePitch="360"/>
        </w:sectPr>
      </w:pPr>
    </w:p>
    <w:p w:rsidR="00C42D37" w:rsidRPr="00982F10" w:rsidRDefault="0012022D" w:rsidP="00C42D37">
      <w:r w:rsidRPr="00982F10">
        <w:lastRenderedPageBreak/>
        <w:t>© Commonwealth of Australia</w:t>
      </w:r>
      <w:r w:rsidR="00340640">
        <w:t xml:space="preserve"> </w:t>
      </w:r>
      <w:r w:rsidR="006C0A59">
        <w:t>20</w:t>
      </w:r>
      <w:r w:rsidR="00694795">
        <w:t>18</w:t>
      </w:r>
    </w:p>
    <w:p w:rsidR="00C42D37" w:rsidRPr="00982F10" w:rsidRDefault="005731D3" w:rsidP="004C40AC">
      <w:pPr>
        <w:spacing w:after="120"/>
      </w:pPr>
      <w:r>
        <w:t>ISS</w:t>
      </w:r>
      <w:r w:rsidR="0012022D" w:rsidRPr="00982F10">
        <w:t>N</w:t>
      </w:r>
      <w:r w:rsidR="004160AC">
        <w:t xml:space="preserve"> 2209-1939 (print) </w:t>
      </w:r>
      <w:r w:rsidR="004160AC">
        <w:br/>
        <w:t>ISSN 2209-1947 (online)</w:t>
      </w:r>
      <w:r w:rsidR="0012022D" w:rsidRPr="00982F10">
        <w:t xml:space="preserve"> </w:t>
      </w:r>
    </w:p>
    <w:p w:rsidR="00C42D37" w:rsidRPr="00A56AEB" w:rsidRDefault="0012022D" w:rsidP="004C40AC">
      <w:pPr>
        <w:tabs>
          <w:tab w:val="left" w:pos="1650"/>
        </w:tabs>
        <w:spacing w:before="120" w:after="100" w:afterAutospacing="1"/>
      </w:pPr>
      <w:r w:rsidRPr="00774A83">
        <w:t>This publication is available for your use under a</w:t>
      </w:r>
      <w:r w:rsidRPr="00A56AEB">
        <w:t xml:space="preserve"> </w:t>
      </w:r>
      <w:hyperlink r:id="rId16" w:history="1">
        <w:r w:rsidRPr="00774A83">
          <w:rPr>
            <w:rStyle w:val="Hyperlink"/>
          </w:rPr>
          <w:t>Creative Commons BY Attribution 3.0 Australia</w:t>
        </w:r>
      </w:hyperlink>
      <w:r w:rsidRPr="00A56AEB">
        <w:t xml:space="preserve"> </w:t>
      </w:r>
      <w:r w:rsidRPr="00774A83">
        <w:t xml:space="preserve">licence, with the exception of the Commonwealth Coat of Arms, the </w:t>
      </w:r>
      <w:r w:rsidR="003C32DD">
        <w:t xml:space="preserve">Department of Jobs and Small Business </w:t>
      </w:r>
      <w:r w:rsidRPr="00774A83">
        <w:t>logo, photographs, images, signatures and where otherwise stated. The full licence terms are available from</w:t>
      </w:r>
      <w:r w:rsidRPr="00A56AEB">
        <w:t xml:space="preserve"> </w:t>
      </w:r>
      <w:hyperlink r:id="rId17" w:history="1">
        <w:r w:rsidRPr="00774A83">
          <w:rPr>
            <w:rStyle w:val="Hyperlink"/>
          </w:rPr>
          <w:t>http://creativecommons.org/licenses/by/3.0/au/legalcode</w:t>
        </w:r>
      </w:hyperlink>
      <w:r w:rsidRPr="00774A83">
        <w:rPr>
          <w:rStyle w:val="Hyperlink"/>
        </w:rPr>
        <w:t>.</w:t>
      </w:r>
    </w:p>
    <w:p w:rsidR="00C42D37" w:rsidRPr="00FA63B6" w:rsidRDefault="00EB77C1" w:rsidP="00C42D37">
      <w:pPr>
        <w:tabs>
          <w:tab w:val="left" w:pos="1650"/>
        </w:tabs>
        <w:spacing w:before="100" w:beforeAutospacing="1" w:after="100" w:afterAutospacing="1" w:line="240" w:lineRule="auto"/>
        <w:rPr>
          <w:rFonts w:cs="Calibri"/>
        </w:rPr>
      </w:pPr>
      <w:r>
        <w:rPr>
          <w:rFonts w:cs="Calibri"/>
          <w:noProof/>
        </w:rPr>
        <w:drawing>
          <wp:inline distT="0" distB="0" distL="0" distR="0">
            <wp:extent cx="1057275" cy="361950"/>
            <wp:effectExtent l="0" t="0" r="0" b="0"/>
            <wp:docPr id="2" name="Picture 2"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p w:rsidR="00C42D37" w:rsidRPr="00FA63B6" w:rsidRDefault="0012022D" w:rsidP="004160AC">
      <w:pPr>
        <w:tabs>
          <w:tab w:val="left" w:pos="1650"/>
        </w:tabs>
        <w:spacing w:before="100" w:beforeAutospacing="1" w:after="60"/>
        <w:rPr>
          <w:sz w:val="22"/>
          <w:szCs w:val="22"/>
        </w:rPr>
      </w:pPr>
      <w:r w:rsidRPr="00774A83">
        <w:t xml:space="preserve">Use of </w:t>
      </w:r>
      <w:r w:rsidR="003C32DD">
        <w:t xml:space="preserve">Department of Jobs and Small Business </w:t>
      </w:r>
      <w:r w:rsidRPr="00774A83">
        <w:t>material under a</w:t>
      </w:r>
      <w:r w:rsidRPr="00774A83">
        <w:rPr>
          <w:rFonts w:cs="Calibri"/>
          <w:color w:val="000000"/>
          <w:sz w:val="24"/>
          <w:szCs w:val="24"/>
        </w:rPr>
        <w:t xml:space="preserve"> </w:t>
      </w:r>
      <w:hyperlink r:id="rId19" w:history="1">
        <w:r w:rsidRPr="00774A83">
          <w:rPr>
            <w:rStyle w:val="Hyperlink"/>
          </w:rPr>
          <w:t>Creative Commons BY Attribution 3.0 Australia</w:t>
        </w:r>
      </w:hyperlink>
      <w:r w:rsidRPr="00774A83">
        <w:rPr>
          <w:rStyle w:val="Hyperlink"/>
        </w:rPr>
        <w:t xml:space="preserve"> </w:t>
      </w:r>
      <w:r w:rsidRPr="00774A83">
        <w:t xml:space="preserve">licence requires you to attribute the work (but not in any way that suggests that the </w:t>
      </w:r>
      <w:r w:rsidR="003C32DD">
        <w:t>Department of Jobs and Small Business</w:t>
      </w:r>
      <w:r w:rsidRPr="00774A83">
        <w:t xml:space="preserve"> endorses you or your use of the work).</w:t>
      </w:r>
    </w:p>
    <w:p w:rsidR="00C42D37" w:rsidRPr="00982F10" w:rsidRDefault="003C32DD" w:rsidP="004C40AC">
      <w:pPr>
        <w:spacing w:before="120" w:after="120"/>
        <w:ind w:left="567"/>
        <w:rPr>
          <w:i/>
        </w:rPr>
      </w:pPr>
      <w:r>
        <w:rPr>
          <w:i/>
        </w:rPr>
        <w:t xml:space="preserve">Department of Jobs and Small Business </w:t>
      </w:r>
      <w:r w:rsidR="0012022D" w:rsidRPr="00982F10">
        <w:rPr>
          <w:i/>
        </w:rPr>
        <w:t>material used 'as supplied'</w:t>
      </w:r>
    </w:p>
    <w:p w:rsidR="00C42D37" w:rsidRPr="00982F10" w:rsidRDefault="0012022D" w:rsidP="004160AC">
      <w:pPr>
        <w:spacing w:after="60"/>
      </w:pPr>
      <w:r w:rsidRPr="00982F10">
        <w:t xml:space="preserve">Provided you have not modified or transformed </w:t>
      </w:r>
      <w:r w:rsidR="003C32DD">
        <w:t>Department of Jobs and Small Business</w:t>
      </w:r>
      <w:r w:rsidRPr="00982F10">
        <w:t xml:space="preserve"> material in any way including, for example, by changing the text</w:t>
      </w:r>
      <w:r w:rsidR="00C152B0">
        <w:t>, calculating percentage changes,</w:t>
      </w:r>
      <w:r w:rsidRPr="00982F10">
        <w:t xml:space="preserve"> graphing or charting data</w:t>
      </w:r>
      <w:r w:rsidR="00C152B0">
        <w:t>,</w:t>
      </w:r>
      <w:r w:rsidRPr="00982F10">
        <w:t xml:space="preserve"> or deriving new statistics from published statistics</w:t>
      </w:r>
      <w:r w:rsidR="004C40AC">
        <w:t>—</w:t>
      </w:r>
      <w:r w:rsidRPr="00982F10">
        <w:t xml:space="preserve">then </w:t>
      </w:r>
      <w:r w:rsidR="004C40AC">
        <w:t xml:space="preserve">the Department of Jobs and Small Business </w:t>
      </w:r>
      <w:r w:rsidRPr="00982F10">
        <w:t>pre</w:t>
      </w:r>
      <w:r w:rsidR="00831489">
        <w:t>fers the following attribution:</w:t>
      </w:r>
    </w:p>
    <w:p w:rsidR="00C42D37" w:rsidRPr="00982F10" w:rsidRDefault="0012022D" w:rsidP="004C40AC">
      <w:pPr>
        <w:spacing w:before="120" w:after="120"/>
        <w:ind w:left="567"/>
        <w:rPr>
          <w:color w:val="FF0000"/>
        </w:rPr>
      </w:pPr>
      <w:r w:rsidRPr="00982F10">
        <w:rPr>
          <w:i/>
        </w:rPr>
        <w:t xml:space="preserve">Source: The </w:t>
      </w:r>
      <w:r w:rsidRPr="00982F10">
        <w:rPr>
          <w:i/>
          <w:iCs/>
        </w:rPr>
        <w:t>Australian Government</w:t>
      </w:r>
      <w:r w:rsidR="003C32DD">
        <w:rPr>
          <w:i/>
          <w:iCs/>
        </w:rPr>
        <w:t xml:space="preserve"> Department of Jobs and Small Business </w:t>
      </w:r>
    </w:p>
    <w:p w:rsidR="00C42D37" w:rsidRPr="00774A83" w:rsidRDefault="0012022D" w:rsidP="005731D3">
      <w:pPr>
        <w:spacing w:after="120"/>
        <w:rPr>
          <w:b/>
        </w:rPr>
      </w:pPr>
      <w:r w:rsidRPr="00774A83">
        <w:rPr>
          <w:b/>
        </w:rPr>
        <w:t>Derivative material</w:t>
      </w:r>
    </w:p>
    <w:p w:rsidR="00C42D37" w:rsidRPr="00982F10" w:rsidRDefault="0012022D" w:rsidP="004160AC">
      <w:pPr>
        <w:spacing w:after="60"/>
      </w:pPr>
      <w:r w:rsidRPr="00982F10">
        <w:t>If you have modified or transformed</w:t>
      </w:r>
      <w:r w:rsidR="003C32DD">
        <w:t xml:space="preserve"> Department of Jobs and Small Business</w:t>
      </w:r>
      <w:r w:rsidRPr="00982F10">
        <w:t xml:space="preserve"> material, or derived new material from those of the</w:t>
      </w:r>
      <w:r w:rsidR="003C32DD">
        <w:t xml:space="preserve"> Department of Jobs and Small Business</w:t>
      </w:r>
      <w:r w:rsidRPr="00982F10">
        <w:t xml:space="preserve"> in any way, then </w:t>
      </w:r>
      <w:r w:rsidR="003C32DD">
        <w:t>the Department of Jobs and Small Business</w:t>
      </w:r>
      <w:r w:rsidRPr="00982F10">
        <w:t xml:space="preserve"> pre</w:t>
      </w:r>
      <w:r w:rsidR="00831489">
        <w:t>fers the following attribution:</w:t>
      </w:r>
    </w:p>
    <w:p w:rsidR="00C42D37" w:rsidRPr="00982F10" w:rsidRDefault="0012022D" w:rsidP="004C40AC">
      <w:pPr>
        <w:spacing w:before="120" w:after="120"/>
        <w:ind w:left="567"/>
        <w:rPr>
          <w:color w:val="FF0000"/>
        </w:rPr>
      </w:pPr>
      <w:r w:rsidRPr="00982F10">
        <w:rPr>
          <w:i/>
        </w:rPr>
        <w:t>Based on The Australian Government</w:t>
      </w:r>
      <w:r w:rsidR="003C32DD">
        <w:rPr>
          <w:i/>
        </w:rPr>
        <w:t xml:space="preserve"> Department of Jobs and Small Business</w:t>
      </w:r>
      <w:r w:rsidRPr="00982F10">
        <w:rPr>
          <w:i/>
        </w:rPr>
        <w:t xml:space="preserve"> data</w:t>
      </w:r>
      <w:r w:rsidR="003C32DD">
        <w:t xml:space="preserve"> </w:t>
      </w:r>
    </w:p>
    <w:p w:rsidR="00C42D37" w:rsidRPr="00982F10" w:rsidRDefault="0012022D" w:rsidP="005731D3">
      <w:pPr>
        <w:spacing w:after="120"/>
        <w:rPr>
          <w:b/>
        </w:rPr>
      </w:pPr>
      <w:r w:rsidRPr="00982F10">
        <w:rPr>
          <w:b/>
        </w:rPr>
        <w:t>Use of the Coat of Arms</w:t>
      </w:r>
    </w:p>
    <w:p w:rsidR="00C42D37" w:rsidRPr="00982F10" w:rsidRDefault="0012022D" w:rsidP="00C42D37">
      <w:r w:rsidRPr="00982F10">
        <w:t xml:space="preserve">The terms under which the Coat of Arms can be used are set out on the It’s an Honour website (see </w:t>
      </w:r>
      <w:hyperlink r:id="rId20" w:history="1">
        <w:r w:rsidRPr="00982F10">
          <w:rPr>
            <w:rStyle w:val="Hyperlink"/>
          </w:rPr>
          <w:t>www.itsanhonour.gov.au</w:t>
        </w:r>
      </w:hyperlink>
      <w:r w:rsidRPr="00982F10">
        <w:t>)</w:t>
      </w:r>
      <w:r w:rsidR="00FE3DE9">
        <w:t>.</w:t>
      </w:r>
    </w:p>
    <w:p w:rsidR="00C42D37" w:rsidRPr="00982F10" w:rsidRDefault="008E07C6" w:rsidP="005731D3">
      <w:pPr>
        <w:spacing w:after="120"/>
        <w:rPr>
          <w:b/>
        </w:rPr>
      </w:pPr>
      <w:r>
        <w:rPr>
          <w:b/>
        </w:rPr>
        <w:t xml:space="preserve">Other </w:t>
      </w:r>
      <w:r w:rsidR="00D81071">
        <w:rPr>
          <w:b/>
        </w:rPr>
        <w:t>u</w:t>
      </w:r>
      <w:r w:rsidR="00D81071" w:rsidRPr="00982F10">
        <w:rPr>
          <w:b/>
        </w:rPr>
        <w:t>ses</w:t>
      </w:r>
    </w:p>
    <w:p w:rsidR="00C42D37" w:rsidRDefault="00EE22E3" w:rsidP="004160AC">
      <w:pPr>
        <w:spacing w:after="120"/>
      </w:pPr>
      <w:r>
        <w:t>E</w:t>
      </w:r>
      <w:r w:rsidR="0012022D" w:rsidRPr="00982F10">
        <w:t>nquiries regarding this licence and any other use of this document are welcome at:</w:t>
      </w:r>
    </w:p>
    <w:p w:rsidR="00247262" w:rsidRDefault="004160AC">
      <w:r>
        <w:t>Department of Jobs and Small Business</w:t>
      </w:r>
      <w:r>
        <w:br/>
        <w:t>GPO Box 9880</w:t>
      </w:r>
      <w:r>
        <w:br/>
        <w:t>Canberra  ACT  2600</w:t>
      </w:r>
      <w:r>
        <w:br/>
        <w:t>Tel: 1300 488 064</w:t>
      </w:r>
    </w:p>
    <w:p w:rsidR="00E20628" w:rsidRDefault="00E20628" w:rsidP="00D50C9B">
      <w:pPr>
        <w:sectPr w:rsidR="00E20628" w:rsidSect="0050346A">
          <w:headerReference w:type="even" r:id="rId21"/>
          <w:headerReference w:type="default" r:id="rId22"/>
          <w:headerReference w:type="first" r:id="rId23"/>
          <w:footnotePr>
            <w:numRestart w:val="eachPage"/>
          </w:footnotePr>
          <w:pgSz w:w="11906" w:h="16838" w:code="9"/>
          <w:pgMar w:top="2466" w:right="2098" w:bottom="2466" w:left="2098" w:header="1899" w:footer="1899" w:gutter="0"/>
          <w:cols w:space="708"/>
          <w:docGrid w:linePitch="360"/>
        </w:sectPr>
      </w:pPr>
    </w:p>
    <w:p w:rsidR="00E20628" w:rsidRDefault="00EB77C1" w:rsidP="005C437B">
      <w:pPr>
        <w:pStyle w:val="Header"/>
        <w:jc w:val="center"/>
      </w:pPr>
      <w:r>
        <w:rPr>
          <w:noProof/>
          <w:lang w:val="en-AU" w:eastAsia="en-AU"/>
        </w:rPr>
        <w:lastRenderedPageBreak/>
        <w:drawing>
          <wp:inline distT="0" distB="0" distL="0" distR="0">
            <wp:extent cx="4505325" cy="7315200"/>
            <wp:effectExtent l="0" t="0" r="0" b="0"/>
            <wp:docPr id="3" name="Picture 3" descr="Letter to the President of the Senate, and Speaker of the House of representatives stating:&#10;I hereby submit Portfolio Budget Statements in support of the 2018–19 Budget for the Jobs and Innovation portfolio (Jobs and Small Business).These statements have been developed, and are submitted to the Parliament, as a statement on the outcomes for the portfolio.I present these statements to provide accountability to the Parliament and, through it, the public.&#10;Yours sincerely, Senator the Hon Michaelia Cas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 to the President of the Senate, and Speaker of the House of representatives stating:&#10;I hereby submit Portfolio Budget Statements in support of the 2018–19 Budget for the Jobs and Innovation portfolio (Jobs and Small Business).These statements have been developed, and are submitted to the Parliament, as a statement on the outcomes for the portfolio.I present these statements to provide accountability to the Parliament and, through it, the public.&#10;Yours sincerely, Senator the Hon Michaelia Cash&#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05325" cy="7315200"/>
                    </a:xfrm>
                    <a:prstGeom prst="rect">
                      <a:avLst/>
                    </a:prstGeom>
                    <a:noFill/>
                    <a:ln>
                      <a:noFill/>
                    </a:ln>
                  </pic:spPr>
                </pic:pic>
              </a:graphicData>
            </a:graphic>
          </wp:inline>
        </w:drawing>
      </w:r>
    </w:p>
    <w:p w:rsidR="00FE3DE9" w:rsidRPr="00FE3DE9" w:rsidRDefault="00FE3DE9" w:rsidP="00FE3DE9"/>
    <w:p w:rsidR="00FE3DE9" w:rsidRPr="00FE3DE9" w:rsidRDefault="00FE3DE9" w:rsidP="00FE3DE9">
      <w:pPr>
        <w:sectPr w:rsidR="00FE3DE9" w:rsidRPr="00FE3DE9" w:rsidSect="0050346A">
          <w:headerReference w:type="even" r:id="rId25"/>
          <w:headerReference w:type="default" r:id="rId26"/>
          <w:headerReference w:type="first" r:id="rId27"/>
          <w:footerReference w:type="first" r:id="rId28"/>
          <w:footnotePr>
            <w:numRestart w:val="eachPage"/>
          </w:footnotePr>
          <w:pgSz w:w="11906" w:h="16838" w:code="9"/>
          <w:pgMar w:top="2466" w:right="2098" w:bottom="2466" w:left="2098" w:header="1899" w:footer="1899" w:gutter="0"/>
          <w:pgNumType w:fmt="lowerRoman"/>
          <w:cols w:space="708"/>
          <w:titlePg/>
          <w:docGrid w:linePitch="360"/>
        </w:sectPr>
      </w:pPr>
    </w:p>
    <w:p w:rsidR="009C0C48" w:rsidRDefault="009C0C48" w:rsidP="00834F9A">
      <w:pPr>
        <w:pStyle w:val="Heading4-NoTOC"/>
      </w:pPr>
      <w:r>
        <w:lastRenderedPageBreak/>
        <w:t>Abbreviations and conventions</w:t>
      </w:r>
    </w:p>
    <w:p w:rsidR="009C0C48" w:rsidRDefault="009C0C48" w:rsidP="009C0C48">
      <w:r>
        <w:t>The following notation may be used:</w:t>
      </w:r>
    </w:p>
    <w:p w:rsidR="009C0C48" w:rsidRDefault="009C0C48" w:rsidP="009C0C48">
      <w:pPr>
        <w:pStyle w:val="SingleParagraph"/>
        <w:tabs>
          <w:tab w:val="left" w:pos="2268"/>
        </w:tabs>
        <w:ind w:left="567"/>
      </w:pPr>
      <w:r>
        <w:t>NEC/nec</w:t>
      </w:r>
      <w:r>
        <w:tab/>
        <w:t>not elsewhere classified</w:t>
      </w:r>
    </w:p>
    <w:p w:rsidR="009C0C48" w:rsidRDefault="00F403D6" w:rsidP="009C0C48">
      <w:pPr>
        <w:pStyle w:val="SingleParagraph"/>
        <w:tabs>
          <w:tab w:val="left" w:pos="2268"/>
        </w:tabs>
        <w:ind w:left="567"/>
      </w:pPr>
      <w:r>
        <w:t>-</w:t>
      </w:r>
      <w:r w:rsidR="009C0C48">
        <w:tab/>
        <w:t>nil</w:t>
      </w:r>
    </w:p>
    <w:p w:rsidR="009C0C48" w:rsidRDefault="009C0C48" w:rsidP="009C0C48">
      <w:pPr>
        <w:pStyle w:val="SingleParagraph"/>
        <w:tabs>
          <w:tab w:val="left" w:pos="2268"/>
        </w:tabs>
        <w:ind w:left="567"/>
      </w:pPr>
      <w:r>
        <w:t>..</w:t>
      </w:r>
      <w:r>
        <w:tab/>
        <w:t>not zero, but rounded to zero</w:t>
      </w:r>
    </w:p>
    <w:p w:rsidR="009C0C48" w:rsidRDefault="009C0C48" w:rsidP="009C0C48">
      <w:pPr>
        <w:pStyle w:val="SingleParagraph"/>
        <w:tabs>
          <w:tab w:val="left" w:pos="2268"/>
        </w:tabs>
        <w:ind w:left="567"/>
      </w:pPr>
      <w:r>
        <w:t>na</w:t>
      </w:r>
      <w:r>
        <w:tab/>
        <w:t>not applicable (unless otherwise specified)</w:t>
      </w:r>
    </w:p>
    <w:p w:rsidR="009C0C48" w:rsidRDefault="009C0C48" w:rsidP="009C0C48">
      <w:pPr>
        <w:pStyle w:val="SingleParagraph"/>
        <w:tabs>
          <w:tab w:val="left" w:pos="2268"/>
        </w:tabs>
        <w:ind w:left="567"/>
      </w:pPr>
      <w:r>
        <w:t>nfp</w:t>
      </w:r>
      <w:r>
        <w:tab/>
        <w:t>not for publication</w:t>
      </w:r>
    </w:p>
    <w:p w:rsidR="009C0C48" w:rsidRDefault="009C0C48" w:rsidP="009C0C48">
      <w:pPr>
        <w:pStyle w:val="SingleParagraph"/>
        <w:tabs>
          <w:tab w:val="left" w:pos="2268"/>
        </w:tabs>
        <w:ind w:left="567"/>
      </w:pPr>
      <w:r>
        <w:t>$m</w:t>
      </w:r>
      <w:r>
        <w:tab/>
        <w:t>$ million</w:t>
      </w:r>
    </w:p>
    <w:p w:rsidR="009C0C48" w:rsidRDefault="009C0C48" w:rsidP="009C0C48">
      <w:pPr>
        <w:tabs>
          <w:tab w:val="left" w:pos="2268"/>
        </w:tabs>
        <w:ind w:left="567"/>
      </w:pPr>
      <w:r>
        <w:t>$b</w:t>
      </w:r>
      <w:r>
        <w:tab/>
        <w:t>$ billion</w:t>
      </w:r>
    </w:p>
    <w:p w:rsidR="009C0C48" w:rsidRDefault="009C0C48" w:rsidP="009C0C48">
      <w:r>
        <w:t>Figures in tables and in the text may be rounded. Figures in text are generally rounded to one decimal place, whereas figures in tables are generally rounded to the nearest thousand. Discrepancies in tables between totals and sums of components are due to rounding.</w:t>
      </w:r>
    </w:p>
    <w:p w:rsidR="009C0C48" w:rsidRDefault="009C0C48" w:rsidP="00834F9A">
      <w:pPr>
        <w:pStyle w:val="Heading4-NoTOC"/>
      </w:pPr>
      <w:r>
        <w:t>Enquiries</w:t>
      </w:r>
    </w:p>
    <w:p w:rsidR="009C0C48" w:rsidRDefault="009C0C48" w:rsidP="009C0C48">
      <w:r>
        <w:t>Should you have any enquiries regarding this publication please contact</w:t>
      </w:r>
      <w:r w:rsidR="004160AC">
        <w:t xml:space="preserve"> </w:t>
      </w:r>
      <w:r w:rsidR="0035788E">
        <w:t>the Chief </w:t>
      </w:r>
      <w:r w:rsidR="00EE0ACF">
        <w:t>Financ</w:t>
      </w:r>
      <w:r w:rsidR="0035788E">
        <w:t>ial</w:t>
      </w:r>
      <w:r w:rsidR="00EE0ACF">
        <w:t xml:space="preserve"> Officer</w:t>
      </w:r>
      <w:r w:rsidR="0035788E">
        <w:t xml:space="preserve"> at the</w:t>
      </w:r>
      <w:r>
        <w:t xml:space="preserve"> Department of</w:t>
      </w:r>
      <w:r w:rsidR="004160AC">
        <w:t xml:space="preserve"> Jobs and Small Business</w:t>
      </w:r>
      <w:r w:rsidR="004C40AC">
        <w:t xml:space="preserve"> </w:t>
      </w:r>
      <w:r>
        <w:t xml:space="preserve">on </w:t>
      </w:r>
      <w:r w:rsidR="004160AC">
        <w:t>1300 488 064.</w:t>
      </w:r>
    </w:p>
    <w:p w:rsidR="008D7DFC" w:rsidRDefault="009D40C6" w:rsidP="009C0C48">
      <w:r>
        <w:t xml:space="preserve">Links to Portfolio Budget Statements (including Portfolio Additional Estimates Statements and Portfolio Supplementary Additional Statements) </w:t>
      </w:r>
      <w:r w:rsidR="009C0C48">
        <w:t>can be located on the Australian Government Budget website at</w:t>
      </w:r>
      <w:r w:rsidR="00D30CBA">
        <w:t xml:space="preserve">: </w:t>
      </w:r>
      <w:hyperlink r:id="rId29" w:history="1">
        <w:r w:rsidR="005F3506" w:rsidRPr="00F24527">
          <w:rPr>
            <w:rStyle w:val="Hyperlink"/>
          </w:rPr>
          <w:t>www.budget.gov.au</w:t>
        </w:r>
      </w:hyperlink>
      <w:r w:rsidR="009C0C48">
        <w:t>.</w:t>
      </w:r>
    </w:p>
    <w:p w:rsidR="00174186" w:rsidRPr="00174186" w:rsidRDefault="00174186" w:rsidP="00174186"/>
    <w:p w:rsidR="00174186" w:rsidRPr="00174186" w:rsidRDefault="00174186" w:rsidP="00174186">
      <w:pPr>
        <w:sectPr w:rsidR="00174186" w:rsidRPr="00174186" w:rsidSect="0050346A">
          <w:headerReference w:type="even" r:id="rId30"/>
          <w:headerReference w:type="default" r:id="rId31"/>
          <w:headerReference w:type="first" r:id="rId32"/>
          <w:footerReference w:type="first" r:id="rId33"/>
          <w:footnotePr>
            <w:numRestart w:val="eachPage"/>
          </w:footnotePr>
          <w:pgSz w:w="11906" w:h="16838" w:code="9"/>
          <w:pgMar w:top="2466" w:right="2098" w:bottom="2466" w:left="2098" w:header="1899" w:footer="1899" w:gutter="0"/>
          <w:pgNumType w:fmt="lowerRoman"/>
          <w:cols w:space="708"/>
          <w:titlePg/>
          <w:docGrid w:linePitch="360"/>
        </w:sectPr>
      </w:pPr>
    </w:p>
    <w:p w:rsidR="008D7DFC" w:rsidRPr="00883894" w:rsidRDefault="00883894" w:rsidP="00883894">
      <w:pPr>
        <w:pStyle w:val="PartHeading"/>
      </w:pPr>
      <w:bookmarkStart w:id="0" w:name="_Toc444523502"/>
      <w:r w:rsidRPr="00883894">
        <w:lastRenderedPageBreak/>
        <w:t>User Guide</w:t>
      </w:r>
      <w:bookmarkEnd w:id="0"/>
      <w:r w:rsidRPr="00883894">
        <w:br/>
      </w:r>
      <w:bookmarkStart w:id="1" w:name="_Toc444523503"/>
      <w:r w:rsidRPr="00883894">
        <w:t>To The</w:t>
      </w:r>
      <w:bookmarkEnd w:id="1"/>
      <w:r w:rsidRPr="00883894">
        <w:br/>
      </w:r>
      <w:bookmarkStart w:id="2" w:name="_Toc444523504"/>
      <w:r w:rsidRPr="00883894">
        <w:t>Portfolio Budget Statements</w:t>
      </w:r>
      <w:bookmarkEnd w:id="2"/>
    </w:p>
    <w:p w:rsidR="008D7DFC" w:rsidRPr="00883894" w:rsidRDefault="008D7DFC" w:rsidP="00883894">
      <w:pPr>
        <w:pStyle w:val="PartHeading"/>
        <w:sectPr w:rsidR="008D7DFC" w:rsidRPr="00883894" w:rsidSect="00DD05B3">
          <w:headerReference w:type="even" r:id="rId34"/>
          <w:headerReference w:type="default" r:id="rId35"/>
          <w:headerReference w:type="first" r:id="rId36"/>
          <w:footerReference w:type="first" r:id="rId37"/>
          <w:footnotePr>
            <w:numRestart w:val="eachPage"/>
          </w:footnotePr>
          <w:pgSz w:w="11906" w:h="16838" w:code="9"/>
          <w:pgMar w:top="2466" w:right="2098" w:bottom="2466" w:left="2098" w:header="1899" w:footer="1899" w:gutter="0"/>
          <w:pgNumType w:fmt="lowerRoman"/>
          <w:cols w:space="708"/>
          <w:vAlign w:val="center"/>
          <w:titlePg/>
          <w:docGrid w:linePitch="360"/>
        </w:sectPr>
      </w:pPr>
    </w:p>
    <w:p w:rsidR="008D7DFC" w:rsidRDefault="008D7DFC" w:rsidP="00834F9A">
      <w:pPr>
        <w:pStyle w:val="Heading1"/>
        <w:rPr>
          <w:lang w:val="en-US"/>
        </w:rPr>
      </w:pPr>
      <w:bookmarkStart w:id="3" w:name="_Toc112211948"/>
      <w:bookmarkStart w:id="4" w:name="_Toc112212042"/>
      <w:bookmarkStart w:id="5" w:name="_Toc112137860"/>
      <w:bookmarkStart w:id="6" w:name="_Toc112224367"/>
      <w:bookmarkStart w:id="7" w:name="_Toc112225828"/>
      <w:bookmarkStart w:id="8" w:name="_Toc511635304"/>
      <w:bookmarkStart w:id="9" w:name="_Toc511651053"/>
      <w:r>
        <w:rPr>
          <w:lang w:val="en-US"/>
        </w:rPr>
        <w:lastRenderedPageBreak/>
        <w:t xml:space="preserve">User </w:t>
      </w:r>
      <w:r w:rsidR="00CA2F21">
        <w:rPr>
          <w:lang w:val="en-US"/>
        </w:rPr>
        <w:t>g</w:t>
      </w:r>
      <w:r>
        <w:rPr>
          <w:lang w:val="en-US"/>
        </w:rPr>
        <w:t>uide</w:t>
      </w:r>
      <w:bookmarkEnd w:id="3"/>
      <w:bookmarkEnd w:id="4"/>
      <w:bookmarkEnd w:id="5"/>
      <w:bookmarkEnd w:id="6"/>
      <w:bookmarkEnd w:id="7"/>
      <w:bookmarkEnd w:id="8"/>
      <w:bookmarkEnd w:id="9"/>
    </w:p>
    <w:p w:rsidR="008D7DFC" w:rsidRDefault="00A409BC" w:rsidP="008D7DFC">
      <w:r>
        <w:t xml:space="preserve">The purpose of the </w:t>
      </w:r>
      <w:r w:rsidR="00475EAF" w:rsidRPr="008E7DCC">
        <w:rPr>
          <w:i/>
        </w:rPr>
        <w:t>201</w:t>
      </w:r>
      <w:r w:rsidR="00694795">
        <w:rPr>
          <w:i/>
        </w:rPr>
        <w:t>8</w:t>
      </w:r>
      <w:r w:rsidR="00B916B3">
        <w:rPr>
          <w:i/>
        </w:rPr>
        <w:t>–</w:t>
      </w:r>
      <w:r w:rsidR="00475EAF" w:rsidRPr="008E7DCC">
        <w:rPr>
          <w:i/>
        </w:rPr>
        <w:t>1</w:t>
      </w:r>
      <w:r w:rsidR="00694795">
        <w:rPr>
          <w:i/>
        </w:rPr>
        <w:t>9</w:t>
      </w:r>
      <w:r w:rsidR="008D7DFC" w:rsidRPr="008E7DCC">
        <w:rPr>
          <w:i/>
        </w:rPr>
        <w:t xml:space="preserve"> Portfolio Budget Statements</w:t>
      </w:r>
      <w:r w:rsidR="008D7DFC">
        <w:t xml:space="preserve"> (PB Statements) is to inform Senators and Members of Parliament of the proposed allocation of resources to </w:t>
      </w:r>
      <w:r w:rsidR="008F53F5">
        <w:t xml:space="preserve">government </w:t>
      </w:r>
      <w:r w:rsidR="008D7DFC">
        <w:t xml:space="preserve">outcomes by </w:t>
      </w:r>
      <w:r w:rsidR="007E6BBD">
        <w:t xml:space="preserve">entities </w:t>
      </w:r>
      <w:r w:rsidR="008D7DFC">
        <w:t xml:space="preserve">within the portfolio. </w:t>
      </w:r>
      <w:r w:rsidR="007E6BBD">
        <w:t xml:space="preserve">Entities </w:t>
      </w:r>
      <w:r w:rsidR="008D7DFC">
        <w:t>receive resources from the annual appropriations acts, special appropriations (including standing appropriations and special accounts), and revenue from other sources.</w:t>
      </w:r>
    </w:p>
    <w:p w:rsidR="008D7DFC" w:rsidRDefault="008D7DFC" w:rsidP="008D7DFC">
      <w:r>
        <w:t xml:space="preserve">A key role of the PB Statements is to facilitate the understanding of proposed annual appropriations in </w:t>
      </w:r>
      <w:r w:rsidRPr="003F3C77">
        <w:t>Appropriati</w:t>
      </w:r>
      <w:r w:rsidR="00C11F05" w:rsidRPr="003F3C77">
        <w:t xml:space="preserve">on Bills </w:t>
      </w:r>
      <w:r w:rsidR="005F4739" w:rsidRPr="003F3C77">
        <w:t>(</w:t>
      </w:r>
      <w:r w:rsidR="00C11F05" w:rsidRPr="003F3C77">
        <w:t>No. 1 and No. 2</w:t>
      </w:r>
      <w:r w:rsidR="005F4739" w:rsidRPr="003F3C77">
        <w:t>)</w:t>
      </w:r>
      <w:r w:rsidR="00C11F05" w:rsidRPr="003F3C77">
        <w:t xml:space="preserve"> </w:t>
      </w:r>
      <w:r w:rsidR="00475EAF" w:rsidRPr="003F3C77">
        <w:t>201</w:t>
      </w:r>
      <w:r w:rsidR="00694795">
        <w:t>8</w:t>
      </w:r>
      <w:r w:rsidR="00B916B3">
        <w:t>–</w:t>
      </w:r>
      <w:r w:rsidR="00475EAF" w:rsidRPr="003F3C77">
        <w:t>1</w:t>
      </w:r>
      <w:r w:rsidR="00694795">
        <w:t>9</w:t>
      </w:r>
      <w:r>
        <w:t xml:space="preserve"> (or </w:t>
      </w:r>
      <w:r w:rsidRPr="003F3C77">
        <w:t xml:space="preserve">Appropriation </w:t>
      </w:r>
      <w:r w:rsidR="00F67A6B" w:rsidRPr="003F3C77">
        <w:t>(</w:t>
      </w:r>
      <w:r w:rsidRPr="003F3C77">
        <w:t>Parliamentary Departments</w:t>
      </w:r>
      <w:r w:rsidR="00F67A6B" w:rsidRPr="003F3C77">
        <w:t>)</w:t>
      </w:r>
      <w:r w:rsidRPr="003F3C77">
        <w:t xml:space="preserve"> </w:t>
      </w:r>
      <w:r w:rsidR="00F67A6B" w:rsidRPr="003F3C77">
        <w:t>Bill</w:t>
      </w:r>
      <w:r w:rsidR="00F67A6B" w:rsidRPr="00D81071">
        <w:rPr>
          <w:i/>
        </w:rPr>
        <w:t xml:space="preserve"> (</w:t>
      </w:r>
      <w:r w:rsidRPr="003F3C77">
        <w:t>No. 1</w:t>
      </w:r>
      <w:r w:rsidR="00F67A6B" w:rsidRPr="003F3C77">
        <w:t>)</w:t>
      </w:r>
      <w:r w:rsidRPr="003F3C77">
        <w:t xml:space="preserve"> </w:t>
      </w:r>
      <w:r w:rsidR="00475EAF" w:rsidRPr="003F3C77">
        <w:t>201</w:t>
      </w:r>
      <w:r w:rsidR="00795679">
        <w:t>8</w:t>
      </w:r>
      <w:r w:rsidR="00B916B3">
        <w:t>–</w:t>
      </w:r>
      <w:r w:rsidR="00475EAF" w:rsidRPr="003F3C77">
        <w:t>1</w:t>
      </w:r>
      <w:r w:rsidR="00795679">
        <w:t>9</w:t>
      </w:r>
      <w:r>
        <w:t xml:space="preserve"> for the parliame</w:t>
      </w:r>
      <w:r w:rsidR="00705BC0">
        <w:t>ntary departments). In this sens</w:t>
      </w:r>
      <w:r>
        <w:t>e</w:t>
      </w:r>
      <w:r w:rsidR="00705BC0">
        <w:t>,</w:t>
      </w:r>
      <w:r>
        <w:t xml:space="preserve"> the PB Statements are Budget related papers and are declared by the Appropriation Acts to be ‘relevant documents’ to the interpretation of the Acts according to section 15AB of the </w:t>
      </w:r>
      <w:r>
        <w:rPr>
          <w:i/>
        </w:rPr>
        <w:t>Acts Interpretation Act 1901</w:t>
      </w:r>
      <w:r>
        <w:t>.</w:t>
      </w:r>
    </w:p>
    <w:p w:rsidR="008D7DFC" w:rsidRDefault="008D7DFC" w:rsidP="008D7DFC">
      <w:r>
        <w:t>The PB Statements provide information, explanation and justification to enable Parliament to understand the purpose of each outcome proposed in the Bills.</w:t>
      </w:r>
    </w:p>
    <w:p w:rsidR="008D7DFC" w:rsidRDefault="008D7DFC" w:rsidP="00834F9A">
      <w:r w:rsidRPr="00302A25">
        <w:t xml:space="preserve">As required under section 12 of the </w:t>
      </w:r>
      <w:r w:rsidRPr="00302A25">
        <w:rPr>
          <w:i/>
        </w:rPr>
        <w:t>Charter of Budget Honesty Act 1998</w:t>
      </w:r>
      <w:r w:rsidRPr="00302A25">
        <w:t xml:space="preserve">, </w:t>
      </w:r>
      <w:r w:rsidR="003F6209" w:rsidRPr="00302A25">
        <w:t>only</w:t>
      </w:r>
      <w:r w:rsidRPr="00302A25">
        <w:t xml:space="preserve"> </w:t>
      </w:r>
      <w:r w:rsidR="003F6209" w:rsidRPr="00302A25">
        <w:t xml:space="preserve">entities within the general government sector are included as part of the </w:t>
      </w:r>
      <w:r w:rsidRPr="00302A25">
        <w:t xml:space="preserve">Commonwealth general government sector fiscal estimates </w:t>
      </w:r>
      <w:r w:rsidR="003F6209" w:rsidRPr="00302A25">
        <w:t>and produce</w:t>
      </w:r>
      <w:r w:rsidRPr="00302A25">
        <w:t xml:space="preserve"> PB Statements</w:t>
      </w:r>
      <w:r w:rsidR="003F6209" w:rsidRPr="00302A25">
        <w:t xml:space="preserve"> where they receive funding </w:t>
      </w:r>
      <w:r w:rsidR="007A5E11" w:rsidRPr="00302A25">
        <w:t xml:space="preserve">(either directly or via portfolio departments) </w:t>
      </w:r>
      <w:r w:rsidR="003F6209" w:rsidRPr="00302A25">
        <w:t>through the annual appropriation acts</w:t>
      </w:r>
      <w:r w:rsidRPr="00302A25">
        <w:t>.</w:t>
      </w:r>
    </w:p>
    <w:p w:rsidR="00AF3117" w:rsidRPr="00834F9A" w:rsidRDefault="00AF3117" w:rsidP="00834F9A">
      <w:pPr>
        <w:rPr>
          <w:b/>
        </w:rPr>
      </w:pPr>
      <w:r w:rsidRPr="00834F9A">
        <w:rPr>
          <w:b/>
        </w:rPr>
        <w:t>The Enhanced Com</w:t>
      </w:r>
      <w:r w:rsidR="00834F9A" w:rsidRPr="00834F9A">
        <w:rPr>
          <w:b/>
        </w:rPr>
        <w:t>monwealth Performance Framework</w:t>
      </w:r>
    </w:p>
    <w:p w:rsidR="00AF3117" w:rsidRDefault="00AF3117" w:rsidP="00AF3117">
      <w:pPr>
        <w:spacing w:after="0"/>
      </w:pPr>
      <w:r>
        <w:t>The following diagram outlines the key components of the enhanced Commonwealth performance framework. The diagram identifies the content of each of the publications and the relationship between them. Links to the publications for each entity within the portfolio can be found in the introduction to Section 2: Outcomes and planned performance.</w:t>
      </w:r>
    </w:p>
    <w:p w:rsidR="00A225E3" w:rsidRDefault="00E61C5E" w:rsidP="00831489">
      <w:pPr>
        <w:pStyle w:val="ChartGraphic"/>
      </w:pPr>
      <w:r w:rsidRPr="00831489">
        <w:br w:type="page"/>
      </w:r>
      <w:r w:rsidR="00EB77C1">
        <w:rPr>
          <w:noProof/>
        </w:rPr>
        <w:lastRenderedPageBreak/>
        <w:drawing>
          <wp:inline distT="0" distB="0" distL="0" distR="0">
            <wp:extent cx="4857750" cy="5629275"/>
            <wp:effectExtent l="0" t="0" r="0" b="0"/>
            <wp:docPr id="4" name="Picture 4" descr="Diagram describing key components of publications under the Enhanced Commonwealth Performance Framework.&#10;The diagram outlines the key components of the enhanced Commonwealth performance framework. The diagram identifies the content of each of the publications and defines the relationship between them. Portfolio Budget Statements are one of these publications. The key components are:&#10;• Portfolio Budget Statements: released in May, they support Annual Appropriations, and inform Senators and Members of Parliament of the proposed allocation of other resources to government outcomes and programs.  They also provide links to relevant programs, provide high level performance information for current and ongoing programs, and provide detailed prospective performance information for proposed new budget measures that require a new program or significantly change an existing program.&#10;• Corporate Plans: released in August, are the primary planning document of a Commonwealth entity. They set out the purposes of an entity, the activities it will undertake to achieve its purposes, and the results it expects to achieve over a minimum four year period. They also describe the environment in which the entity operates, the capability it requires to undertake its activities and a discussion of risk. An explanation of how an entity’s performance will be measured and assessed is also provided.&#10;• Annual Performance Statements: released October the following year, report on the actual performance results for the year against the forecasts made in the corporate plan and Portfolio Budget Statements. They also provide an analysis of the factors that contributed to the entity’s performance results. &#10;Portfolio Budget Statements and corporate plans are released at the beginning of a reporting period (usually the financial year), while annual performance statements are released in annual reports at the end of the reporting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 describing key components of publications under the Enhanced Commonwealth Performance Framework.&#10;The diagram outlines the key components of the enhanced Commonwealth performance framework. The diagram identifies the content of each of the publications and defines the relationship between them. Portfolio Budget Statements are one of these publications. The key components are:&#10;• Portfolio Budget Statements: released in May, they support Annual Appropriations, and inform Senators and Members of Parliament of the proposed allocation of other resources to government outcomes and programs.  They also provide links to relevant programs, provide high level performance information for current and ongoing programs, and provide detailed prospective performance information for proposed new budget measures that require a new program or significantly change an existing program.&#10;• Corporate Plans: released in August, are the primary planning document of a Commonwealth entity. They set out the purposes of an entity, the activities it will undertake to achieve its purposes, and the results it expects to achieve over a minimum four year period. They also describe the environment in which the entity operates, the capability it requires to undertake its activities and a discussion of risk. An explanation of how an entity’s performance will be measured and assessed is also provided.&#10;• Annual Performance Statements: released October the following year, report on the actual performance results for the year against the forecasts made in the corporate plan and Portfolio Budget Statements. They also provide an analysis of the factors that contributed to the entity’s performance results. &#10;Portfolio Budget Statements and corporate plans are released at the beginning of a reporting period (usually the financial year), while annual performance statements are released in annual reports at the end of the reporting period.&#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57750" cy="5629275"/>
                    </a:xfrm>
                    <a:prstGeom prst="rect">
                      <a:avLst/>
                    </a:prstGeom>
                    <a:noFill/>
                    <a:ln>
                      <a:noFill/>
                    </a:ln>
                  </pic:spPr>
                </pic:pic>
              </a:graphicData>
            </a:graphic>
          </wp:inline>
        </w:drawing>
      </w:r>
    </w:p>
    <w:p w:rsidR="00A225E3" w:rsidRPr="005C46D8" w:rsidRDefault="00A225E3" w:rsidP="005C46D8"/>
    <w:p w:rsidR="005C46D8" w:rsidRPr="005C46D8" w:rsidRDefault="005C46D8" w:rsidP="005C46D8"/>
    <w:p w:rsidR="005C46D8" w:rsidRPr="005C46D8" w:rsidRDefault="005C46D8" w:rsidP="005C46D8">
      <w:pPr>
        <w:sectPr w:rsidR="005C46D8" w:rsidRPr="005C46D8" w:rsidSect="005C46D8">
          <w:headerReference w:type="even" r:id="rId39"/>
          <w:headerReference w:type="default" r:id="rId40"/>
          <w:footerReference w:type="default" r:id="rId41"/>
          <w:headerReference w:type="first" r:id="rId42"/>
          <w:footerReference w:type="first" r:id="rId43"/>
          <w:footnotePr>
            <w:numRestart w:val="eachPage"/>
          </w:footnotePr>
          <w:pgSz w:w="11906" w:h="16838" w:code="9"/>
          <w:pgMar w:top="2466" w:right="2098" w:bottom="2466" w:left="2098" w:header="1899" w:footer="1899" w:gutter="0"/>
          <w:pgNumType w:fmt="lowerRoman"/>
          <w:cols w:space="708"/>
          <w:titlePg/>
          <w:docGrid w:linePitch="360"/>
        </w:sectPr>
      </w:pPr>
    </w:p>
    <w:p w:rsidR="00AA27AA" w:rsidRDefault="00AA27AA" w:rsidP="00A225E3">
      <w:pPr>
        <w:pStyle w:val="ContentsHeading"/>
      </w:pPr>
      <w:r>
        <w:lastRenderedPageBreak/>
        <w:t>Contents</w:t>
      </w:r>
    </w:p>
    <w:p w:rsidR="00EE77F8" w:rsidRPr="00284B28" w:rsidRDefault="002A32FD">
      <w:pPr>
        <w:pStyle w:val="TOC1"/>
        <w:rPr>
          <w:rFonts w:ascii="Calibri" w:hAnsi="Calibri"/>
          <w:b w:val="0"/>
          <w:caps w:val="0"/>
          <w:noProof/>
          <w:sz w:val="22"/>
          <w:szCs w:val="22"/>
        </w:rPr>
      </w:pPr>
      <w:r w:rsidRPr="00BF51E9">
        <w:rPr>
          <w:rFonts w:ascii="Arial" w:hAnsi="Arial"/>
          <w:b w:val="0"/>
        </w:rPr>
        <w:fldChar w:fldCharType="begin"/>
      </w:r>
      <w:r w:rsidRPr="00BF51E9">
        <w:rPr>
          <w:rFonts w:ascii="Arial" w:hAnsi="Arial"/>
          <w:b w:val="0"/>
        </w:rPr>
        <w:instrText xml:space="preserve"> TOC \h \z \t "Heading 1,1,Title,1,Title 2nd Level,1,Part,1,Heading 1 - TOC,2,Part Heading - TOC,1" </w:instrText>
      </w:r>
      <w:r w:rsidRPr="00BF51E9">
        <w:rPr>
          <w:rFonts w:ascii="Arial" w:hAnsi="Arial"/>
          <w:b w:val="0"/>
        </w:rPr>
        <w:fldChar w:fldCharType="separate"/>
      </w:r>
      <w:hyperlink w:anchor="_Toc511651054" w:history="1">
        <w:r w:rsidR="00EE77F8" w:rsidRPr="00E44870">
          <w:rPr>
            <w:rStyle w:val="Hyperlink"/>
            <w:noProof/>
          </w:rPr>
          <w:t>Jobs and Innovation Portfolio overview</w:t>
        </w:r>
        <w:r w:rsidR="00EE77F8">
          <w:rPr>
            <w:noProof/>
            <w:webHidden/>
          </w:rPr>
          <w:tab/>
        </w:r>
        <w:r w:rsidR="00EE77F8">
          <w:rPr>
            <w:noProof/>
            <w:webHidden/>
          </w:rPr>
          <w:fldChar w:fldCharType="begin"/>
        </w:r>
        <w:r w:rsidR="00EE77F8">
          <w:rPr>
            <w:noProof/>
            <w:webHidden/>
          </w:rPr>
          <w:instrText xml:space="preserve"> PAGEREF _Toc511651054 \h </w:instrText>
        </w:r>
        <w:r w:rsidR="00EE77F8">
          <w:rPr>
            <w:noProof/>
            <w:webHidden/>
          </w:rPr>
        </w:r>
        <w:r w:rsidR="00EE77F8">
          <w:rPr>
            <w:noProof/>
            <w:webHidden/>
          </w:rPr>
          <w:fldChar w:fldCharType="separate"/>
        </w:r>
        <w:r w:rsidR="007212DF">
          <w:rPr>
            <w:noProof/>
            <w:webHidden/>
          </w:rPr>
          <w:t>3</w:t>
        </w:r>
        <w:r w:rsidR="00EE77F8">
          <w:rPr>
            <w:noProof/>
            <w:webHidden/>
          </w:rPr>
          <w:fldChar w:fldCharType="end"/>
        </w:r>
      </w:hyperlink>
    </w:p>
    <w:p w:rsidR="00EE77F8" w:rsidRPr="00284B28" w:rsidRDefault="00EE77F8">
      <w:pPr>
        <w:pStyle w:val="TOC1"/>
        <w:rPr>
          <w:rFonts w:ascii="Calibri" w:hAnsi="Calibri"/>
          <w:b w:val="0"/>
          <w:caps w:val="0"/>
          <w:noProof/>
          <w:sz w:val="22"/>
          <w:szCs w:val="22"/>
        </w:rPr>
      </w:pPr>
      <w:hyperlink w:anchor="_Toc511651055" w:history="1">
        <w:r w:rsidRPr="00E44870">
          <w:rPr>
            <w:rStyle w:val="Hyperlink"/>
            <w:noProof/>
          </w:rPr>
          <w:t>Entity resources and planned performance</w:t>
        </w:r>
        <w:r>
          <w:rPr>
            <w:noProof/>
            <w:webHidden/>
          </w:rPr>
          <w:tab/>
        </w:r>
        <w:r w:rsidR="003D4DFB">
          <w:rPr>
            <w:noProof/>
            <w:webHidden/>
          </w:rPr>
          <w:t>7</w:t>
        </w:r>
      </w:hyperlink>
    </w:p>
    <w:p w:rsidR="00EE77F8" w:rsidRPr="008F797E" w:rsidRDefault="00EE77F8" w:rsidP="00EE77F8">
      <w:pPr>
        <w:pStyle w:val="TOC1"/>
        <w:ind w:left="284"/>
        <w:rPr>
          <w:rFonts w:ascii="Calibri" w:hAnsi="Calibri"/>
          <w:caps w:val="0"/>
          <w:noProof/>
          <w:sz w:val="22"/>
          <w:szCs w:val="22"/>
        </w:rPr>
      </w:pPr>
      <w:hyperlink w:anchor="_Toc511651056" w:history="1">
        <w:r w:rsidRPr="008F797E">
          <w:rPr>
            <w:rStyle w:val="Hyperlink"/>
            <w:caps w:val="0"/>
            <w:noProof/>
          </w:rPr>
          <w:t>Department of Jobs and Small Business</w:t>
        </w:r>
        <w:r w:rsidRPr="008F797E">
          <w:rPr>
            <w:noProof/>
            <w:webHidden/>
          </w:rPr>
          <w:tab/>
        </w:r>
        <w:r w:rsidR="00C345F8">
          <w:rPr>
            <w:noProof/>
            <w:webHidden/>
          </w:rPr>
          <w:t>9</w:t>
        </w:r>
      </w:hyperlink>
    </w:p>
    <w:p w:rsidR="00EE77F8" w:rsidRPr="008F797E" w:rsidRDefault="00EE77F8" w:rsidP="00EE77F8">
      <w:pPr>
        <w:pStyle w:val="TOC1"/>
        <w:ind w:left="284"/>
        <w:rPr>
          <w:rFonts w:ascii="Calibri" w:hAnsi="Calibri"/>
          <w:caps w:val="0"/>
          <w:noProof/>
          <w:sz w:val="22"/>
          <w:szCs w:val="22"/>
        </w:rPr>
      </w:pPr>
      <w:hyperlink w:anchor="_Toc511651058" w:history="1">
        <w:r w:rsidRPr="008F797E">
          <w:rPr>
            <w:rStyle w:val="Hyperlink"/>
            <w:caps w:val="0"/>
            <w:noProof/>
          </w:rPr>
          <w:t>Asbestos Safety and Eradication Agency</w:t>
        </w:r>
        <w:r w:rsidRPr="008F797E">
          <w:rPr>
            <w:noProof/>
            <w:webHidden/>
          </w:rPr>
          <w:tab/>
        </w:r>
        <w:r w:rsidR="00C345F8">
          <w:rPr>
            <w:noProof/>
            <w:webHidden/>
          </w:rPr>
          <w:t>45</w:t>
        </w:r>
      </w:hyperlink>
    </w:p>
    <w:p w:rsidR="00EE77F8" w:rsidRPr="008F797E" w:rsidRDefault="00EE77F8" w:rsidP="00EE77F8">
      <w:pPr>
        <w:pStyle w:val="TOC1"/>
        <w:ind w:left="284"/>
        <w:rPr>
          <w:rFonts w:ascii="Calibri" w:hAnsi="Calibri"/>
          <w:caps w:val="0"/>
          <w:noProof/>
          <w:sz w:val="22"/>
          <w:szCs w:val="22"/>
        </w:rPr>
      </w:pPr>
      <w:hyperlink w:anchor="_Toc511651060" w:history="1">
        <w:r w:rsidRPr="008F797E">
          <w:rPr>
            <w:rStyle w:val="Hyperlink"/>
            <w:caps w:val="0"/>
            <w:noProof/>
          </w:rPr>
          <w:t>Australian Building and Construction Commission</w:t>
        </w:r>
        <w:r w:rsidRPr="008F797E">
          <w:rPr>
            <w:noProof/>
            <w:webHidden/>
          </w:rPr>
          <w:tab/>
        </w:r>
        <w:r w:rsidR="00C345F8">
          <w:rPr>
            <w:noProof/>
            <w:webHidden/>
          </w:rPr>
          <w:t>63</w:t>
        </w:r>
      </w:hyperlink>
    </w:p>
    <w:p w:rsidR="00EE77F8" w:rsidRPr="008F797E" w:rsidRDefault="00EE77F8" w:rsidP="00EE77F8">
      <w:pPr>
        <w:pStyle w:val="TOC1"/>
        <w:ind w:left="284"/>
        <w:rPr>
          <w:rFonts w:ascii="Calibri" w:hAnsi="Calibri"/>
          <w:caps w:val="0"/>
          <w:noProof/>
          <w:sz w:val="22"/>
          <w:szCs w:val="22"/>
        </w:rPr>
      </w:pPr>
      <w:hyperlink w:anchor="_Toc511651062" w:history="1">
        <w:r w:rsidRPr="008F797E">
          <w:rPr>
            <w:rStyle w:val="Hyperlink"/>
            <w:caps w:val="0"/>
            <w:noProof/>
          </w:rPr>
          <w:t>Comcare, the Safety, Rehabilitation and Compensation Commission, and the Seafarers Safety, Rehabilitation and Compensation Authority</w:t>
        </w:r>
        <w:r w:rsidRPr="008F797E">
          <w:rPr>
            <w:noProof/>
            <w:webHidden/>
          </w:rPr>
          <w:tab/>
        </w:r>
        <w:r w:rsidR="00C345F8">
          <w:rPr>
            <w:noProof/>
            <w:webHidden/>
          </w:rPr>
          <w:t>81</w:t>
        </w:r>
      </w:hyperlink>
    </w:p>
    <w:p w:rsidR="00EE77F8" w:rsidRPr="008F797E" w:rsidRDefault="00EE77F8" w:rsidP="00EE77F8">
      <w:pPr>
        <w:pStyle w:val="TOC1"/>
        <w:ind w:left="284"/>
        <w:rPr>
          <w:rFonts w:ascii="Calibri" w:hAnsi="Calibri"/>
          <w:caps w:val="0"/>
          <w:noProof/>
          <w:sz w:val="22"/>
          <w:szCs w:val="22"/>
        </w:rPr>
      </w:pPr>
      <w:hyperlink w:anchor="_Toc511651064" w:history="1">
        <w:r w:rsidRPr="008F797E">
          <w:rPr>
            <w:rStyle w:val="Hyperlink"/>
            <w:caps w:val="0"/>
            <w:noProof/>
          </w:rPr>
          <w:t>Fair Work Commission</w:t>
        </w:r>
        <w:r w:rsidRPr="008F797E">
          <w:rPr>
            <w:noProof/>
            <w:webHidden/>
          </w:rPr>
          <w:tab/>
        </w:r>
        <w:r w:rsidR="00C345F8">
          <w:rPr>
            <w:noProof/>
            <w:webHidden/>
          </w:rPr>
          <w:t>109</w:t>
        </w:r>
      </w:hyperlink>
    </w:p>
    <w:p w:rsidR="00EE77F8" w:rsidRPr="008F797E" w:rsidRDefault="00EE77F8" w:rsidP="00EE77F8">
      <w:pPr>
        <w:pStyle w:val="TOC1"/>
        <w:ind w:left="284"/>
        <w:rPr>
          <w:rFonts w:ascii="Calibri" w:hAnsi="Calibri"/>
          <w:caps w:val="0"/>
          <w:noProof/>
          <w:sz w:val="22"/>
          <w:szCs w:val="22"/>
        </w:rPr>
      </w:pPr>
      <w:hyperlink w:anchor="_Toc511651066" w:history="1">
        <w:r w:rsidRPr="008F797E">
          <w:rPr>
            <w:rStyle w:val="Hyperlink"/>
            <w:caps w:val="0"/>
            <w:noProof/>
          </w:rPr>
          <w:t>Fair Work Ombudsman and the Registered Organisations Commission</w:t>
        </w:r>
        <w:r w:rsidRPr="008F797E">
          <w:rPr>
            <w:noProof/>
            <w:webHidden/>
          </w:rPr>
          <w:tab/>
        </w:r>
        <w:r w:rsidR="00C345F8">
          <w:rPr>
            <w:noProof/>
            <w:webHidden/>
          </w:rPr>
          <w:t>129</w:t>
        </w:r>
      </w:hyperlink>
    </w:p>
    <w:p w:rsidR="00EE77F8" w:rsidRPr="008F797E" w:rsidRDefault="00EE77F8" w:rsidP="00EE77F8">
      <w:pPr>
        <w:pStyle w:val="TOC1"/>
        <w:ind w:left="284"/>
        <w:rPr>
          <w:rFonts w:ascii="Calibri" w:hAnsi="Calibri"/>
          <w:caps w:val="0"/>
          <w:noProof/>
          <w:sz w:val="22"/>
          <w:szCs w:val="22"/>
        </w:rPr>
      </w:pPr>
      <w:hyperlink w:anchor="_Toc511651068" w:history="1">
        <w:r w:rsidRPr="008F797E">
          <w:rPr>
            <w:rStyle w:val="Hyperlink"/>
            <w:rFonts w:ascii="Arial" w:hAnsi="Arial" w:cs="Arial"/>
            <w:caps w:val="0"/>
            <w:noProof/>
          </w:rPr>
          <w:t>Safe Work Australia</w:t>
        </w:r>
        <w:r w:rsidRPr="008F797E">
          <w:rPr>
            <w:noProof/>
            <w:webHidden/>
          </w:rPr>
          <w:tab/>
        </w:r>
        <w:r w:rsidR="00C345F8">
          <w:rPr>
            <w:noProof/>
            <w:webHidden/>
          </w:rPr>
          <w:t>151</w:t>
        </w:r>
      </w:hyperlink>
    </w:p>
    <w:p w:rsidR="00EE77F8" w:rsidRPr="00284B28" w:rsidRDefault="00EE77F8">
      <w:pPr>
        <w:pStyle w:val="TOC1"/>
        <w:rPr>
          <w:rFonts w:ascii="Calibri" w:hAnsi="Calibri"/>
          <w:b w:val="0"/>
          <w:caps w:val="0"/>
          <w:noProof/>
          <w:sz w:val="22"/>
          <w:szCs w:val="22"/>
        </w:rPr>
      </w:pPr>
      <w:hyperlink w:anchor="_Toc511651071" w:history="1">
        <w:r w:rsidRPr="00E44870">
          <w:rPr>
            <w:rStyle w:val="Hyperlink"/>
            <w:noProof/>
          </w:rPr>
          <w:t>Portfolio glossary</w:t>
        </w:r>
        <w:r>
          <w:rPr>
            <w:noProof/>
            <w:webHidden/>
          </w:rPr>
          <w:tab/>
        </w:r>
        <w:r>
          <w:rPr>
            <w:noProof/>
            <w:webHidden/>
          </w:rPr>
          <w:fldChar w:fldCharType="begin"/>
        </w:r>
        <w:r>
          <w:rPr>
            <w:noProof/>
            <w:webHidden/>
          </w:rPr>
          <w:instrText xml:space="preserve"> PAGEREF _Toc511651071 \h </w:instrText>
        </w:r>
        <w:r>
          <w:rPr>
            <w:noProof/>
            <w:webHidden/>
          </w:rPr>
        </w:r>
        <w:r>
          <w:rPr>
            <w:noProof/>
            <w:webHidden/>
          </w:rPr>
          <w:fldChar w:fldCharType="separate"/>
        </w:r>
        <w:r w:rsidR="007212DF">
          <w:rPr>
            <w:noProof/>
            <w:webHidden/>
          </w:rPr>
          <w:t>169</w:t>
        </w:r>
        <w:r>
          <w:rPr>
            <w:noProof/>
            <w:webHidden/>
          </w:rPr>
          <w:fldChar w:fldCharType="end"/>
        </w:r>
      </w:hyperlink>
    </w:p>
    <w:p w:rsidR="00A225E3" w:rsidRDefault="002A32FD" w:rsidP="00AA27AA">
      <w:pPr>
        <w:sectPr w:rsidR="00A225E3" w:rsidSect="005C46D8">
          <w:headerReference w:type="even" r:id="rId44"/>
          <w:headerReference w:type="default" r:id="rId45"/>
          <w:headerReference w:type="first" r:id="rId46"/>
          <w:footerReference w:type="first" r:id="rId47"/>
          <w:footnotePr>
            <w:numRestart w:val="eachPage"/>
          </w:footnotePr>
          <w:type w:val="oddPage"/>
          <w:pgSz w:w="11906" w:h="16838" w:code="9"/>
          <w:pgMar w:top="2466" w:right="2098" w:bottom="2466" w:left="2098" w:header="1899" w:footer="1899" w:gutter="0"/>
          <w:pgNumType w:fmt="lowerRoman"/>
          <w:cols w:space="708"/>
          <w:titlePg/>
          <w:docGrid w:linePitch="360"/>
        </w:sectPr>
      </w:pPr>
      <w:r w:rsidRPr="00BF51E9">
        <w:rPr>
          <w:rFonts w:ascii="Arial" w:hAnsi="Arial"/>
          <w:b/>
        </w:rPr>
        <w:fldChar w:fldCharType="end"/>
      </w:r>
    </w:p>
    <w:p w:rsidR="00AA27AA" w:rsidRDefault="00883894" w:rsidP="00883894">
      <w:pPr>
        <w:pStyle w:val="PartHeading"/>
      </w:pPr>
      <w:bookmarkStart w:id="10" w:name="_Toc190766147"/>
      <w:bookmarkStart w:id="11" w:name="_Toc444523505"/>
      <w:r>
        <w:lastRenderedPageBreak/>
        <w:t xml:space="preserve">Portfolio </w:t>
      </w:r>
      <w:bookmarkEnd w:id="10"/>
      <w:r>
        <w:t>Overview</w:t>
      </w:r>
      <w:bookmarkEnd w:id="11"/>
    </w:p>
    <w:p w:rsidR="005015F4" w:rsidRPr="005015F4" w:rsidRDefault="005015F4" w:rsidP="005015F4"/>
    <w:p w:rsidR="007370A2" w:rsidRPr="007370A2" w:rsidRDefault="007370A2" w:rsidP="007370A2">
      <w:pPr>
        <w:sectPr w:rsidR="007370A2" w:rsidRPr="007370A2" w:rsidSect="0050346A">
          <w:headerReference w:type="even" r:id="rId48"/>
          <w:headerReference w:type="default" r:id="rId49"/>
          <w:headerReference w:type="first" r:id="rId50"/>
          <w:footerReference w:type="first" r:id="rId51"/>
          <w:footnotePr>
            <w:numRestart w:val="eachPage"/>
          </w:footnotePr>
          <w:type w:val="oddPage"/>
          <w:pgSz w:w="11906" w:h="16838" w:code="9"/>
          <w:pgMar w:top="2466" w:right="2098" w:bottom="2466" w:left="2098" w:header="1899" w:footer="1899" w:gutter="0"/>
          <w:pgNumType w:start="1"/>
          <w:cols w:space="708"/>
          <w:vAlign w:val="center"/>
          <w:titlePg/>
          <w:docGrid w:linePitch="360"/>
        </w:sectPr>
      </w:pPr>
    </w:p>
    <w:p w:rsidR="00D46A7B" w:rsidRPr="00834F9A" w:rsidRDefault="007370A2" w:rsidP="00834F9A">
      <w:pPr>
        <w:pStyle w:val="Heading1"/>
      </w:pPr>
      <w:bookmarkStart w:id="12" w:name="_Toc190766148"/>
      <w:bookmarkStart w:id="13" w:name="_Toc511635305"/>
      <w:bookmarkStart w:id="14" w:name="_Toc511651054"/>
      <w:r>
        <w:lastRenderedPageBreak/>
        <w:t xml:space="preserve">Jobs and Innovation </w:t>
      </w:r>
      <w:r w:rsidR="00E5444F" w:rsidRPr="00834F9A">
        <w:t>P</w:t>
      </w:r>
      <w:r w:rsidR="00605163" w:rsidRPr="00834F9A">
        <w:t>ortfolio o</w:t>
      </w:r>
      <w:r w:rsidR="00D46A7B" w:rsidRPr="00834F9A">
        <w:t>verview</w:t>
      </w:r>
      <w:bookmarkEnd w:id="12"/>
      <w:bookmarkEnd w:id="13"/>
      <w:bookmarkEnd w:id="14"/>
    </w:p>
    <w:p w:rsidR="00D46A7B" w:rsidRDefault="00A61DB5" w:rsidP="00A02D24">
      <w:pPr>
        <w:pStyle w:val="Heading2NoTOC"/>
      </w:pPr>
      <w:bookmarkStart w:id="15" w:name="_Toc190682306"/>
      <w:bookmarkStart w:id="16" w:name="_Toc444523506"/>
      <w:r>
        <w:t>Minister</w:t>
      </w:r>
      <w:r w:rsidR="00DF1ADC">
        <w:t>s</w:t>
      </w:r>
      <w:r w:rsidR="00D46A7B">
        <w:t xml:space="preserve"> and </w:t>
      </w:r>
      <w:r w:rsidR="00605163">
        <w:t>p</w:t>
      </w:r>
      <w:r w:rsidR="00D46A7B">
        <w:t xml:space="preserve">ortfolio </w:t>
      </w:r>
      <w:r w:rsidR="00605163">
        <w:t>r</w:t>
      </w:r>
      <w:r w:rsidR="00D46A7B">
        <w:t>esponsibilities</w:t>
      </w:r>
      <w:bookmarkEnd w:id="15"/>
      <w:bookmarkEnd w:id="16"/>
    </w:p>
    <w:p w:rsidR="00A61DB5" w:rsidRDefault="00A61DB5" w:rsidP="00A61DB5">
      <w:r>
        <w:t>The ministers responsible for the Jobs and Innovation portfolio and its entities are:</w:t>
      </w:r>
    </w:p>
    <w:p w:rsidR="00A61DB5" w:rsidRPr="00A61DB5" w:rsidRDefault="00A61DB5" w:rsidP="00A61DB5">
      <w:pPr>
        <w:pStyle w:val="Bullet"/>
      </w:pPr>
      <w:r>
        <w:rPr>
          <w:lang w:val="en-AU"/>
        </w:rPr>
        <w:t>Senator the Hon Michaelia Cash, Minister for Jobs and Innovation</w:t>
      </w:r>
    </w:p>
    <w:p w:rsidR="00A61DB5" w:rsidRPr="00A61DB5" w:rsidRDefault="00A61DB5" w:rsidP="00A61DB5">
      <w:pPr>
        <w:pStyle w:val="Bullet"/>
      </w:pPr>
      <w:r>
        <w:rPr>
          <w:lang w:val="en-AU"/>
        </w:rPr>
        <w:t>The Hon Craig Laundy</w:t>
      </w:r>
      <w:r w:rsidR="008F797E">
        <w:rPr>
          <w:lang w:val="en-AU"/>
        </w:rPr>
        <w:t xml:space="preserve"> MP</w:t>
      </w:r>
      <w:r>
        <w:rPr>
          <w:lang w:val="en-AU"/>
        </w:rPr>
        <w:t>, Minister for Small and Family Business, the Workplace and Deregulation</w:t>
      </w:r>
    </w:p>
    <w:p w:rsidR="00A61DB5" w:rsidRDefault="00A61DB5" w:rsidP="00A61DB5">
      <w:pPr>
        <w:pStyle w:val="Bullet"/>
      </w:pPr>
      <w:r>
        <w:rPr>
          <w:lang w:val="en-AU"/>
        </w:rPr>
        <w:t>Senator the Hon Zed Seselja</w:t>
      </w:r>
      <w:r w:rsidR="00F65DB0">
        <w:rPr>
          <w:lang w:val="en-AU"/>
        </w:rPr>
        <w:t xml:space="preserve">, Assistant Minister for Science, Jobs and Innovation. </w:t>
      </w:r>
    </w:p>
    <w:p w:rsidR="00A61DB5" w:rsidRDefault="00F65DB0" w:rsidP="00A61DB5">
      <w:r>
        <w:t xml:space="preserve">The Jobs and Innovation portfolio has been charged with </w:t>
      </w:r>
      <w:r w:rsidR="00A61DB5">
        <w:t>harness</w:t>
      </w:r>
      <w:r>
        <w:t>ing</w:t>
      </w:r>
      <w:r w:rsidR="00A61DB5">
        <w:t xml:space="preserve"> the jobs of the future through new industries and small business so that Australians can adapt and thrive in an era of innovation and technological change. </w:t>
      </w:r>
    </w:p>
    <w:p w:rsidR="005630B5" w:rsidRDefault="00A61DB5" w:rsidP="00A61DB5">
      <w:pPr>
        <w:pStyle w:val="Heading2NoTOC"/>
      </w:pPr>
      <w:r>
        <w:t>Structure of the portfolio</w:t>
      </w:r>
    </w:p>
    <w:p w:rsidR="00A61DB5" w:rsidRDefault="00A61DB5" w:rsidP="00A61DB5">
      <w:r>
        <w:t xml:space="preserve">The portfolio is split into two sub-portfolios: Jobs and Small Business, and Industry, Innovation and Science. Each sub-portfolio is headed by a department and includes related non-corporate and corporate entities. </w:t>
      </w:r>
    </w:p>
    <w:p w:rsidR="00A61DB5" w:rsidRPr="008E2B21" w:rsidRDefault="00A61DB5" w:rsidP="00A61DB5">
      <w:r>
        <w:t xml:space="preserve">This document provides information on the Jobs and Small Business portion of the portfolio. For information on Industry, Innovation and Science refer to </w:t>
      </w:r>
      <w:r w:rsidR="008E2B21">
        <w:t xml:space="preserve">the </w:t>
      </w:r>
      <w:r w:rsidR="008E2B21">
        <w:rPr>
          <w:i/>
        </w:rPr>
        <w:t>Portfolio Budget Statements 201</w:t>
      </w:r>
      <w:r w:rsidR="008F797E">
        <w:rPr>
          <w:i/>
        </w:rPr>
        <w:t>8–19, Budget Related Paper 1.13</w:t>
      </w:r>
      <w:r w:rsidR="008E2B21">
        <w:rPr>
          <w:i/>
        </w:rPr>
        <w:t xml:space="preserve">A, </w:t>
      </w:r>
      <w:r w:rsidR="008F797E">
        <w:rPr>
          <w:i/>
        </w:rPr>
        <w:t>Jobs and Innovation Portfolio (</w:t>
      </w:r>
      <w:r w:rsidR="008E2B21">
        <w:rPr>
          <w:i/>
        </w:rPr>
        <w:t>Industry, Innovation and Science</w:t>
      </w:r>
      <w:r w:rsidR="008F797E">
        <w:rPr>
          <w:i/>
        </w:rPr>
        <w:t>)</w:t>
      </w:r>
      <w:r w:rsidR="008E2B21">
        <w:t xml:space="preserve">. </w:t>
      </w:r>
    </w:p>
    <w:p w:rsidR="00A61DB5" w:rsidRDefault="008E2B21" w:rsidP="00A61DB5">
      <w:pPr>
        <w:pStyle w:val="Heading2NoTOC"/>
      </w:pPr>
      <w:r>
        <w:t>Jobs and Small Business</w:t>
      </w:r>
    </w:p>
    <w:p w:rsidR="008350DA" w:rsidRDefault="008350DA" w:rsidP="008350DA">
      <w:r>
        <w:t xml:space="preserve">The Jobs and Small Business sub-portfolio provides advice, support, programs and services to the Australian Government and wider community. It works with other Australian Government agencies, state and territory governments, and a range of service providers to connect people with jobs, support workplace safety, </w:t>
      </w:r>
      <w:r w:rsidR="005015F4">
        <w:t>facilitate growth of</w:t>
      </w:r>
      <w:r>
        <w:t xml:space="preserve"> small and family businesses, and build business productivity. </w:t>
      </w:r>
    </w:p>
    <w:p w:rsidR="008350DA" w:rsidRDefault="008350DA" w:rsidP="008350DA">
      <w:r>
        <w:t>As part of chang</w:t>
      </w:r>
      <w:r w:rsidR="000A6D23">
        <w:t>es announced in December 2017, t</w:t>
      </w:r>
      <w:r>
        <w:t xml:space="preserve">he Department of Employment became the Department of Jobs and Small Business. In addition to the Department’s existing functions, small business and regulatory policy functions transferred to the Department as a result of these changes. </w:t>
      </w:r>
    </w:p>
    <w:p w:rsidR="008861F3" w:rsidRDefault="008861F3" w:rsidP="008350DA">
      <w:r w:rsidRPr="00E15917">
        <w:t xml:space="preserve">The Workplace Gender Equality Agency transferred to the Prime Minister and Cabinet portfolio as a result of </w:t>
      </w:r>
      <w:r w:rsidR="00E15917" w:rsidRPr="00E15917">
        <w:t>an Administrative Arrangement</w:t>
      </w:r>
      <w:r w:rsidR="0035788E">
        <w:t>s</w:t>
      </w:r>
      <w:r w:rsidR="00E15917" w:rsidRPr="00E15917">
        <w:t xml:space="preserve"> Order</w:t>
      </w:r>
      <w:r w:rsidRPr="00E15917">
        <w:t xml:space="preserve"> </w:t>
      </w:r>
      <w:r w:rsidR="00927A97">
        <w:t>on 19</w:t>
      </w:r>
      <w:r w:rsidRPr="00E15917">
        <w:t xml:space="preserve"> </w:t>
      </w:r>
      <w:r w:rsidR="00E15917" w:rsidRPr="00E15917">
        <w:t>April</w:t>
      </w:r>
      <w:r w:rsidRPr="00E15917">
        <w:t xml:space="preserve"> 201</w:t>
      </w:r>
      <w:r w:rsidR="00E15917" w:rsidRPr="00E15917">
        <w:t>8</w:t>
      </w:r>
      <w:r w:rsidRPr="00E15917">
        <w:t>.</w:t>
      </w:r>
      <w:r>
        <w:t xml:space="preserve"> </w:t>
      </w:r>
    </w:p>
    <w:p w:rsidR="008350DA" w:rsidRDefault="008350DA" w:rsidP="008350DA">
      <w:pPr>
        <w:spacing w:after="200"/>
      </w:pPr>
      <w:r>
        <w:lastRenderedPageBreak/>
        <w:t xml:space="preserve">The </w:t>
      </w:r>
      <w:r>
        <w:rPr>
          <w:b/>
        </w:rPr>
        <w:t xml:space="preserve">Department of Jobs and Small Business </w:t>
      </w:r>
      <w:r>
        <w:t>is responsible for national policies and programs that help Australians find and keep employment</w:t>
      </w:r>
      <w:r w:rsidR="005015F4">
        <w:t xml:space="preserve">, facilitate </w:t>
      </w:r>
      <w:r w:rsidR="0035788E">
        <w:t xml:space="preserve">the </w:t>
      </w:r>
      <w:r w:rsidR="005015F4">
        <w:t>growth of small business,</w:t>
      </w:r>
      <w:r>
        <w:t xml:space="preserve"> and work in safe, fair and productive workplaces. </w:t>
      </w:r>
    </w:p>
    <w:p w:rsidR="008350DA" w:rsidRDefault="008350DA" w:rsidP="008350DA">
      <w:pPr>
        <w:spacing w:after="200"/>
      </w:pPr>
      <w:r>
        <w:t xml:space="preserve">The </w:t>
      </w:r>
      <w:r>
        <w:rPr>
          <w:b/>
          <w:bCs/>
        </w:rPr>
        <w:t>Asbestos Safety and Eradication Agency</w:t>
      </w:r>
      <w:r>
        <w:t xml:space="preserve"> is dedicated to working with jurisdictions and affected parties to facilitate a national approach to the eradication, handling and awareness of asbestos. </w:t>
      </w:r>
    </w:p>
    <w:p w:rsidR="008350DA" w:rsidRDefault="008350DA" w:rsidP="008350DA">
      <w:pPr>
        <w:spacing w:after="200"/>
      </w:pPr>
      <w:r>
        <w:t xml:space="preserve">The </w:t>
      </w:r>
      <w:r>
        <w:rPr>
          <w:b/>
          <w:bCs/>
        </w:rPr>
        <w:t xml:space="preserve">Australian Building and Construction Commission </w:t>
      </w:r>
      <w:r>
        <w:t xml:space="preserve">is responsible for ensuring compliance with workplace laws in building and construction workplaces and delivering impartial advice to the building and construction industry. </w:t>
      </w:r>
    </w:p>
    <w:p w:rsidR="008350DA" w:rsidRDefault="008350DA" w:rsidP="008350DA">
      <w:pPr>
        <w:spacing w:after="200"/>
      </w:pPr>
      <w:r>
        <w:rPr>
          <w:b/>
          <w:bCs/>
        </w:rPr>
        <w:t xml:space="preserve">Comcare, the Safety, Rehabilitation and Compensation Commission, and the Seafarers Safety, Rehabilitation and Compensation Authority </w:t>
      </w:r>
      <w:r>
        <w:t xml:space="preserve">contribute to a safer, fairer and more productive Australia. Comcare partners with workers, their employers and unions to keep workers healthy and safe, and reduce the incidence and cost of workplace injury and disease. </w:t>
      </w:r>
    </w:p>
    <w:p w:rsidR="008350DA" w:rsidRDefault="008350DA" w:rsidP="008350DA">
      <w:pPr>
        <w:spacing w:after="200"/>
      </w:pPr>
      <w:r>
        <w:t xml:space="preserve">The </w:t>
      </w:r>
      <w:r>
        <w:rPr>
          <w:b/>
          <w:bCs/>
        </w:rPr>
        <w:t>Fair Work Commission</w:t>
      </w:r>
      <w:r>
        <w:t xml:space="preserve"> is Australia’s national workplace relations tribunal. It is responsible for administering provisions of the </w:t>
      </w:r>
      <w:r>
        <w:rPr>
          <w:i/>
          <w:iCs/>
        </w:rPr>
        <w:t>Fair Work Act 2009</w:t>
      </w:r>
      <w:r>
        <w:t xml:space="preserve"> as well as a range of other functions. </w:t>
      </w:r>
    </w:p>
    <w:p w:rsidR="008350DA" w:rsidRDefault="008350DA" w:rsidP="008350DA">
      <w:pPr>
        <w:spacing w:after="200"/>
      </w:pPr>
      <w:r>
        <w:t xml:space="preserve">The </w:t>
      </w:r>
      <w:r>
        <w:rPr>
          <w:b/>
          <w:bCs/>
        </w:rPr>
        <w:t xml:space="preserve">Fair Work Ombudsman </w:t>
      </w:r>
      <w:r>
        <w:t xml:space="preserve">promotes harmonious, productive and cooperative workplace relations and ensures compliance with Commonwealth workplace laws. The </w:t>
      </w:r>
      <w:r>
        <w:rPr>
          <w:b/>
          <w:bCs/>
        </w:rPr>
        <w:t xml:space="preserve">Registered Organisations Commission </w:t>
      </w:r>
      <w:r>
        <w:t>promotes the efficient management and accountability of registered organisations.</w:t>
      </w:r>
    </w:p>
    <w:p w:rsidR="008350DA" w:rsidRDefault="008350DA" w:rsidP="008350DA">
      <w:pPr>
        <w:spacing w:after="200"/>
      </w:pPr>
      <w:r>
        <w:rPr>
          <w:b/>
          <w:bCs/>
        </w:rPr>
        <w:t>Safe Work Australia</w:t>
      </w:r>
      <w:r>
        <w:t xml:space="preserve"> is leading the development of policy to improve work health and safety and workers’ compensation arrangements across Australia. </w:t>
      </w:r>
    </w:p>
    <w:p w:rsidR="008350DA" w:rsidRDefault="008350DA" w:rsidP="008350DA">
      <w:r>
        <w:t xml:space="preserve">For information on resourcing across the portfolio, please refer to Part 1: Agency Financial Resourcing in </w:t>
      </w:r>
      <w:r>
        <w:rPr>
          <w:i/>
          <w:iCs/>
        </w:rPr>
        <w:t>Budget Paper No. 4: Agency Resourcing</w:t>
      </w:r>
      <w:r>
        <w:t xml:space="preserve">. </w:t>
      </w:r>
    </w:p>
    <w:p w:rsidR="00FE3DE9" w:rsidRPr="00FE3DE9" w:rsidRDefault="008350DA" w:rsidP="00FE3DE9">
      <w:r>
        <w:t>The Jobs and Small Business sub-portfolio structure and outcomes can be found at Figure 1.</w:t>
      </w:r>
    </w:p>
    <w:p w:rsidR="00D46A7B" w:rsidRPr="005A7C0B" w:rsidRDefault="00A1133E" w:rsidP="00FE3DE9">
      <w:pPr>
        <w:pStyle w:val="FigureHeading"/>
      </w:pPr>
      <w:r w:rsidRPr="00FE3DE9">
        <w:br w:type="page"/>
      </w:r>
      <w:r>
        <w:lastRenderedPageBreak/>
        <w:t>Figure 1:</w:t>
      </w:r>
      <w:r w:rsidR="008350DA">
        <w:t xml:space="preserve"> Jobs and Small Business—p</w:t>
      </w:r>
      <w:r>
        <w:t xml:space="preserve">ortfolio </w:t>
      </w:r>
      <w:r w:rsidR="00605163">
        <w:t>structure and outcomes</w:t>
      </w:r>
    </w:p>
    <w:tbl>
      <w:tblPr>
        <w:tblW w:w="7883" w:type="dxa"/>
        <w:tblInd w:w="136" w:type="dxa"/>
        <w:tblLook w:val="04A0" w:firstRow="1" w:lastRow="0" w:firstColumn="1" w:lastColumn="0" w:noHBand="0" w:noVBand="1"/>
      </w:tblPr>
      <w:tblGrid>
        <w:gridCol w:w="7883"/>
      </w:tblGrid>
      <w:tr w:rsidR="008350DA" w:rsidTr="008350DA">
        <w:trPr>
          <w:trHeight w:val="472"/>
        </w:trPr>
        <w:tc>
          <w:tcPr>
            <w:tcW w:w="7883" w:type="dxa"/>
            <w:tcBorders>
              <w:top w:val="single" w:sz="4" w:space="0" w:color="auto"/>
              <w:left w:val="single" w:sz="4" w:space="0" w:color="auto"/>
              <w:bottom w:val="single" w:sz="4" w:space="0" w:color="auto"/>
              <w:right w:val="single" w:sz="4" w:space="0" w:color="auto"/>
            </w:tcBorders>
            <w:shd w:val="clear" w:color="auto" w:fill="F2F2F2"/>
            <w:hideMark/>
          </w:tcPr>
          <w:p w:rsidR="008350DA" w:rsidRDefault="008350DA" w:rsidP="008350DA">
            <w:pPr>
              <w:pStyle w:val="Tabletextjustified0"/>
              <w:spacing w:before="160" w:after="160"/>
              <w:jc w:val="center"/>
              <w:rPr>
                <w:rFonts w:ascii="Book Antiqua" w:hAnsi="Book Antiqua"/>
                <w:sz w:val="22"/>
                <w:szCs w:val="22"/>
              </w:rPr>
            </w:pPr>
            <w:r>
              <w:rPr>
                <w:rFonts w:ascii="Book Antiqua" w:hAnsi="Book Antiqua"/>
                <w:sz w:val="22"/>
                <w:szCs w:val="22"/>
              </w:rPr>
              <w:t>Senator the Hon Michaelia Cash, Minister for Jobs and Innovation</w:t>
            </w:r>
          </w:p>
          <w:p w:rsidR="008350DA" w:rsidRDefault="008350DA" w:rsidP="00BC46BA">
            <w:pPr>
              <w:pStyle w:val="Tabletextjustified0"/>
              <w:spacing w:before="160" w:after="160" w:line="240" w:lineRule="auto"/>
              <w:jc w:val="center"/>
              <w:rPr>
                <w:rFonts w:ascii="Book Antiqua" w:hAnsi="Book Antiqua"/>
                <w:sz w:val="22"/>
                <w:szCs w:val="22"/>
              </w:rPr>
            </w:pPr>
            <w:r>
              <w:rPr>
                <w:rFonts w:ascii="Book Antiqua" w:hAnsi="Book Antiqua"/>
                <w:sz w:val="22"/>
                <w:szCs w:val="22"/>
              </w:rPr>
              <w:t>The Hon Crai</w:t>
            </w:r>
            <w:r w:rsidR="008F797E">
              <w:rPr>
                <w:rFonts w:ascii="Book Antiqua" w:hAnsi="Book Antiqua"/>
                <w:sz w:val="22"/>
                <w:szCs w:val="22"/>
              </w:rPr>
              <w:t>g</w:t>
            </w:r>
            <w:r>
              <w:rPr>
                <w:rFonts w:ascii="Book Antiqua" w:hAnsi="Book Antiqua"/>
                <w:sz w:val="22"/>
                <w:szCs w:val="22"/>
              </w:rPr>
              <w:t xml:space="preserve"> Laundy MP, Minister for Small and Family Business, the Workplace and Deregulation</w:t>
            </w:r>
          </w:p>
        </w:tc>
      </w:tr>
      <w:tr w:rsidR="008350DA" w:rsidTr="008350DA">
        <w:tc>
          <w:tcPr>
            <w:tcW w:w="7883" w:type="dxa"/>
            <w:tcBorders>
              <w:top w:val="single" w:sz="4" w:space="0" w:color="auto"/>
              <w:left w:val="single" w:sz="4" w:space="0" w:color="auto"/>
              <w:bottom w:val="single" w:sz="4" w:space="0" w:color="auto"/>
              <w:right w:val="single" w:sz="4" w:space="0" w:color="auto"/>
            </w:tcBorders>
            <w:hideMark/>
          </w:tcPr>
          <w:p w:rsidR="008350DA" w:rsidRDefault="008350DA" w:rsidP="008350DA">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Department of Jobs and Small Business</w:t>
            </w:r>
          </w:p>
          <w:p w:rsidR="008350DA" w:rsidRDefault="008350DA" w:rsidP="008350DA">
            <w:pPr>
              <w:pStyle w:val="Tabletextjustified0"/>
              <w:spacing w:before="120" w:after="120" w:line="240" w:lineRule="exact"/>
              <w:jc w:val="center"/>
              <w:rPr>
                <w:rFonts w:ascii="Book Antiqua" w:hAnsi="Book Antiqua"/>
                <w:sz w:val="22"/>
                <w:szCs w:val="22"/>
              </w:rPr>
            </w:pPr>
            <w:r>
              <w:rPr>
                <w:rFonts w:ascii="Book Antiqua" w:hAnsi="Book Antiqua"/>
                <w:sz w:val="22"/>
                <w:szCs w:val="22"/>
              </w:rPr>
              <w:t>Kerri Hartland, Secretary</w:t>
            </w:r>
          </w:p>
          <w:p w:rsidR="008350DA" w:rsidRPr="00AB6FF3" w:rsidRDefault="008350DA" w:rsidP="008350DA">
            <w:pPr>
              <w:pStyle w:val="Tabletextjustified0"/>
              <w:spacing w:before="120" w:after="20" w:line="240" w:lineRule="exact"/>
              <w:rPr>
                <w:rFonts w:ascii="Book Antiqua" w:hAnsi="Book Antiqua"/>
                <w:b/>
                <w:sz w:val="20"/>
                <w:szCs w:val="22"/>
              </w:rPr>
            </w:pPr>
            <w:r w:rsidRPr="00AB6FF3">
              <w:rPr>
                <w:rFonts w:ascii="Book Antiqua" w:hAnsi="Book Antiqua"/>
                <w:b/>
                <w:sz w:val="20"/>
                <w:szCs w:val="22"/>
              </w:rPr>
              <w:t>Outcome 1</w:t>
            </w:r>
          </w:p>
          <w:p w:rsidR="008350DA" w:rsidRDefault="008350DA" w:rsidP="008350DA">
            <w:pPr>
              <w:pStyle w:val="TableTextLeft"/>
              <w:spacing w:before="0" w:after="100" w:line="240" w:lineRule="exact"/>
              <w:rPr>
                <w:rFonts w:ascii="Book Antiqua" w:hAnsi="Book Antiqua"/>
              </w:rPr>
            </w:pPr>
            <w:r>
              <w:rPr>
                <w:rFonts w:ascii="Book Antiqua" w:hAnsi="Book Antiqua"/>
              </w:rPr>
              <w:t>Foster a productive and competitive labour market through employment policies and programs that assist job seekers into work, meet employer needs and increase Australia’s workforce participation.</w:t>
            </w:r>
          </w:p>
          <w:p w:rsidR="008350DA" w:rsidRPr="00AB6FF3" w:rsidRDefault="008350DA" w:rsidP="008350DA">
            <w:pPr>
              <w:pStyle w:val="Tabletextjustified0"/>
              <w:spacing w:before="120" w:after="20"/>
              <w:rPr>
                <w:rFonts w:ascii="Book Antiqua" w:hAnsi="Book Antiqua"/>
                <w:b/>
                <w:sz w:val="20"/>
                <w:szCs w:val="22"/>
              </w:rPr>
            </w:pPr>
            <w:r w:rsidRPr="00AB6FF3">
              <w:rPr>
                <w:rFonts w:ascii="Book Antiqua" w:hAnsi="Book Antiqua"/>
                <w:b/>
                <w:sz w:val="20"/>
                <w:szCs w:val="22"/>
              </w:rPr>
              <w:t>Outcome 2</w:t>
            </w:r>
          </w:p>
          <w:p w:rsidR="008350DA" w:rsidRDefault="008350DA" w:rsidP="008350DA">
            <w:pPr>
              <w:pStyle w:val="TableTextLeft"/>
              <w:spacing w:before="0" w:after="100" w:line="240" w:lineRule="exact"/>
              <w:rPr>
                <w:rFonts w:ascii="Book Antiqua" w:hAnsi="Book Antiqua"/>
              </w:rPr>
            </w:pPr>
            <w:r>
              <w:rPr>
                <w:rFonts w:ascii="Book Antiqua" w:hAnsi="Book Antiqua"/>
              </w:rPr>
              <w:t xml:space="preserve">Facilitate jobs growth through policies </w:t>
            </w:r>
            <w:r w:rsidR="00B40754">
              <w:rPr>
                <w:rFonts w:ascii="Book Antiqua" w:hAnsi="Book Antiqua"/>
              </w:rPr>
              <w:t xml:space="preserve">and programs </w:t>
            </w:r>
            <w:r>
              <w:rPr>
                <w:rFonts w:ascii="Book Antiqua" w:hAnsi="Book Antiqua"/>
              </w:rPr>
              <w:t>that promote fair,</w:t>
            </w:r>
            <w:r w:rsidR="005015F4">
              <w:rPr>
                <w:rFonts w:ascii="Book Antiqua" w:hAnsi="Book Antiqua"/>
              </w:rPr>
              <w:t xml:space="preserve"> productive and safe workplaces, and facilitate </w:t>
            </w:r>
            <w:r w:rsidR="0035788E">
              <w:rPr>
                <w:rFonts w:ascii="Book Antiqua" w:hAnsi="Book Antiqua"/>
              </w:rPr>
              <w:t xml:space="preserve">the </w:t>
            </w:r>
            <w:r w:rsidR="005015F4">
              <w:rPr>
                <w:rFonts w:ascii="Book Antiqua" w:hAnsi="Book Antiqua"/>
              </w:rPr>
              <w:t xml:space="preserve">growth of small business. </w:t>
            </w:r>
          </w:p>
        </w:tc>
      </w:tr>
      <w:tr w:rsidR="008350DA" w:rsidTr="008350DA">
        <w:tc>
          <w:tcPr>
            <w:tcW w:w="7883" w:type="dxa"/>
            <w:tcBorders>
              <w:top w:val="single" w:sz="4" w:space="0" w:color="auto"/>
              <w:left w:val="single" w:sz="4" w:space="0" w:color="auto"/>
              <w:bottom w:val="single" w:sz="4" w:space="0" w:color="auto"/>
              <w:right w:val="single" w:sz="4" w:space="0" w:color="auto"/>
            </w:tcBorders>
            <w:hideMark/>
          </w:tcPr>
          <w:p w:rsidR="008350DA" w:rsidRDefault="008350DA" w:rsidP="008350DA">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Asbestos Safety and Eradication Agency</w:t>
            </w:r>
          </w:p>
          <w:p w:rsidR="008350DA" w:rsidRDefault="008350DA" w:rsidP="008350DA">
            <w:pPr>
              <w:pStyle w:val="Tabletextjustified0"/>
              <w:spacing w:before="120" w:after="120" w:line="240" w:lineRule="exact"/>
              <w:jc w:val="center"/>
              <w:rPr>
                <w:rFonts w:ascii="Book Antiqua" w:hAnsi="Book Antiqua"/>
                <w:sz w:val="22"/>
                <w:szCs w:val="22"/>
              </w:rPr>
            </w:pPr>
            <w:r>
              <w:rPr>
                <w:rFonts w:ascii="Book Antiqua" w:hAnsi="Book Antiqua"/>
                <w:sz w:val="22"/>
                <w:szCs w:val="22"/>
              </w:rPr>
              <w:t>Peter Tighe, Chief Executive Officer</w:t>
            </w:r>
          </w:p>
          <w:p w:rsidR="008350DA" w:rsidRDefault="008350DA" w:rsidP="008350DA">
            <w:pPr>
              <w:pStyle w:val="Tabletextjustified0"/>
              <w:spacing w:before="120" w:after="20" w:line="240" w:lineRule="exact"/>
              <w:rPr>
                <w:rFonts w:ascii="Book Antiqua" w:hAnsi="Book Antiqua"/>
                <w:b/>
                <w:sz w:val="22"/>
                <w:szCs w:val="22"/>
              </w:rPr>
            </w:pPr>
            <w:r w:rsidRPr="00AB6FF3">
              <w:rPr>
                <w:rFonts w:ascii="Book Antiqua" w:hAnsi="Book Antiqua"/>
                <w:b/>
                <w:sz w:val="20"/>
                <w:szCs w:val="22"/>
              </w:rPr>
              <w:t>Outcome</w:t>
            </w:r>
            <w:r>
              <w:rPr>
                <w:rFonts w:ascii="Book Antiqua" w:hAnsi="Book Antiqua"/>
                <w:b/>
                <w:sz w:val="22"/>
                <w:szCs w:val="22"/>
              </w:rPr>
              <w:t xml:space="preserve"> </w:t>
            </w:r>
          </w:p>
          <w:p w:rsidR="008350DA" w:rsidRDefault="008350DA" w:rsidP="008350DA">
            <w:pPr>
              <w:pStyle w:val="TableTextLeft"/>
              <w:spacing w:before="0" w:after="100" w:line="240" w:lineRule="exact"/>
              <w:rPr>
                <w:rFonts w:ascii="Book Antiqua" w:hAnsi="Book Antiqua"/>
              </w:rPr>
            </w:pPr>
            <w:r>
              <w:rPr>
                <w:rFonts w:ascii="Book Antiqua" w:hAnsi="Book Antiqua"/>
              </w:rPr>
              <w:t>Assist in the prevention of exposure to asbestos fibres and the elimination of asbestos-related disease in Australia through implementing the National Strategic Plan for Asbestos Awareness and Management in Australia.</w:t>
            </w:r>
          </w:p>
        </w:tc>
      </w:tr>
      <w:tr w:rsidR="008350DA" w:rsidTr="008350DA">
        <w:tc>
          <w:tcPr>
            <w:tcW w:w="7883" w:type="dxa"/>
            <w:tcBorders>
              <w:top w:val="single" w:sz="4" w:space="0" w:color="auto"/>
              <w:left w:val="single" w:sz="4" w:space="0" w:color="auto"/>
              <w:bottom w:val="single" w:sz="4" w:space="0" w:color="auto"/>
              <w:right w:val="single" w:sz="4" w:space="0" w:color="auto"/>
            </w:tcBorders>
            <w:hideMark/>
          </w:tcPr>
          <w:p w:rsidR="008350DA" w:rsidRDefault="008350DA" w:rsidP="008350DA">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Australian Building and Construction Commission</w:t>
            </w:r>
          </w:p>
          <w:p w:rsidR="008350DA" w:rsidRDefault="008350DA" w:rsidP="008350DA">
            <w:pPr>
              <w:pStyle w:val="Tabletextjustified0"/>
              <w:keepLines/>
              <w:spacing w:before="120" w:after="120" w:line="240" w:lineRule="exact"/>
              <w:jc w:val="center"/>
              <w:rPr>
                <w:rFonts w:ascii="Book Antiqua" w:hAnsi="Book Antiqua"/>
                <w:sz w:val="22"/>
                <w:szCs w:val="22"/>
              </w:rPr>
            </w:pPr>
            <w:r>
              <w:rPr>
                <w:rFonts w:ascii="Book Antiqua" w:hAnsi="Book Antiqua"/>
                <w:sz w:val="22"/>
                <w:szCs w:val="22"/>
              </w:rPr>
              <w:t>Stephen McBurney, Commissioner</w:t>
            </w:r>
          </w:p>
          <w:p w:rsidR="008350DA" w:rsidRDefault="008350DA" w:rsidP="008350DA">
            <w:pPr>
              <w:pStyle w:val="Tabletextjustified0"/>
              <w:spacing w:before="120" w:after="20" w:line="240" w:lineRule="exact"/>
              <w:rPr>
                <w:rFonts w:ascii="Book Antiqua" w:hAnsi="Book Antiqua"/>
                <w:sz w:val="22"/>
                <w:szCs w:val="22"/>
              </w:rPr>
            </w:pPr>
            <w:r w:rsidRPr="00AB6FF3">
              <w:rPr>
                <w:rFonts w:ascii="Book Antiqua" w:hAnsi="Book Antiqua"/>
                <w:b/>
                <w:sz w:val="20"/>
                <w:szCs w:val="22"/>
              </w:rPr>
              <w:t>Outcome</w:t>
            </w:r>
            <w:r>
              <w:rPr>
                <w:rFonts w:ascii="Book Antiqua" w:hAnsi="Book Antiqua"/>
                <w:sz w:val="22"/>
                <w:szCs w:val="22"/>
              </w:rPr>
              <w:t xml:space="preserve"> </w:t>
            </w:r>
          </w:p>
          <w:p w:rsidR="008350DA" w:rsidRPr="0035788E" w:rsidRDefault="008350DA" w:rsidP="0035788E">
            <w:pPr>
              <w:pStyle w:val="TableTextLeft"/>
              <w:spacing w:before="0" w:after="100" w:line="240" w:lineRule="exact"/>
              <w:rPr>
                <w:rFonts w:ascii="Book Antiqua" w:hAnsi="Book Antiqua"/>
                <w:b/>
                <w:sz w:val="22"/>
                <w:szCs w:val="22"/>
              </w:rPr>
            </w:pPr>
            <w:r w:rsidRPr="0035788E">
              <w:rPr>
                <w:rFonts w:ascii="Book Antiqua" w:hAnsi="Book Antiqua"/>
              </w:rPr>
              <w:t>Enforce workplace relations laws in the building and construction industry and ensure compliance with those laws by all participants in the building and construction industry through the provision of education, assistance and advice.</w:t>
            </w:r>
          </w:p>
        </w:tc>
      </w:tr>
      <w:tr w:rsidR="008350DA" w:rsidTr="008350DA">
        <w:tc>
          <w:tcPr>
            <w:tcW w:w="7883" w:type="dxa"/>
            <w:tcBorders>
              <w:top w:val="single" w:sz="4" w:space="0" w:color="auto"/>
              <w:left w:val="single" w:sz="4" w:space="0" w:color="auto"/>
              <w:bottom w:val="single" w:sz="4" w:space="0" w:color="auto"/>
              <w:right w:val="single" w:sz="4" w:space="0" w:color="auto"/>
            </w:tcBorders>
            <w:hideMark/>
          </w:tcPr>
          <w:p w:rsidR="008350DA" w:rsidRDefault="008350DA" w:rsidP="008350DA">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 xml:space="preserve">Comcare, the Safety, Rehabilitation and Compensation Commission, and the Seafarers Safety, Rehabilitation and Compensation Authority </w:t>
            </w:r>
          </w:p>
          <w:p w:rsidR="008350DA" w:rsidRDefault="008350DA" w:rsidP="008350DA">
            <w:pPr>
              <w:pStyle w:val="Tabletextjustified0"/>
              <w:spacing w:before="120" w:after="120" w:line="240" w:lineRule="exact"/>
              <w:jc w:val="center"/>
              <w:rPr>
                <w:rFonts w:ascii="Book Antiqua" w:hAnsi="Book Antiqua"/>
                <w:sz w:val="22"/>
                <w:szCs w:val="22"/>
              </w:rPr>
            </w:pPr>
            <w:r>
              <w:rPr>
                <w:rFonts w:ascii="Book Antiqua" w:hAnsi="Book Antiqua"/>
                <w:sz w:val="22"/>
                <w:szCs w:val="22"/>
              </w:rPr>
              <w:t>Jennifer Taylor, Chief Executive Officer</w:t>
            </w:r>
          </w:p>
          <w:p w:rsidR="008350DA" w:rsidRDefault="008350DA" w:rsidP="008350DA">
            <w:pPr>
              <w:pStyle w:val="Tabletextjustified0"/>
              <w:spacing w:before="120" w:after="20" w:line="240" w:lineRule="exact"/>
              <w:rPr>
                <w:rFonts w:ascii="Book Antiqua" w:hAnsi="Book Antiqua"/>
                <w:sz w:val="22"/>
                <w:szCs w:val="22"/>
              </w:rPr>
            </w:pPr>
            <w:r w:rsidRPr="00AB6FF3">
              <w:rPr>
                <w:rFonts w:ascii="Book Antiqua" w:hAnsi="Book Antiqua"/>
                <w:b/>
                <w:sz w:val="20"/>
                <w:szCs w:val="22"/>
              </w:rPr>
              <w:t xml:space="preserve">Outcome </w:t>
            </w:r>
          </w:p>
          <w:p w:rsidR="008350DA" w:rsidRDefault="00035246" w:rsidP="008350DA">
            <w:pPr>
              <w:pStyle w:val="TableTextLeft"/>
              <w:spacing w:before="0" w:after="100" w:line="240" w:lineRule="exact"/>
              <w:rPr>
                <w:rFonts w:ascii="Book Antiqua" w:hAnsi="Book Antiqua"/>
              </w:rPr>
            </w:pPr>
            <w:r>
              <w:rPr>
                <w:rFonts w:ascii="Book Antiqua" w:hAnsi="Book Antiqua"/>
              </w:rPr>
              <w:t>Support</w:t>
            </w:r>
            <w:r w:rsidR="008350DA">
              <w:rPr>
                <w:rFonts w:ascii="Book Antiqua" w:hAnsi="Book Antiqua"/>
              </w:rPr>
              <w:t xml:space="preserve"> participation and productivity through healthy and safe workplaces that minimise the impact of harm in workplaces covered by Comcare.</w:t>
            </w:r>
          </w:p>
        </w:tc>
      </w:tr>
      <w:tr w:rsidR="008350DA" w:rsidTr="00896419">
        <w:trPr>
          <w:trHeight w:val="282"/>
        </w:trPr>
        <w:tc>
          <w:tcPr>
            <w:tcW w:w="7883" w:type="dxa"/>
            <w:tcBorders>
              <w:top w:val="single" w:sz="4" w:space="0" w:color="auto"/>
              <w:left w:val="single" w:sz="4" w:space="0" w:color="auto"/>
              <w:bottom w:val="single" w:sz="4" w:space="0" w:color="auto"/>
              <w:right w:val="single" w:sz="4" w:space="0" w:color="auto"/>
            </w:tcBorders>
            <w:hideMark/>
          </w:tcPr>
          <w:p w:rsidR="008350DA" w:rsidRDefault="008350DA" w:rsidP="008350DA">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Fair Work Commission</w:t>
            </w:r>
          </w:p>
          <w:p w:rsidR="008350DA" w:rsidRDefault="008350DA" w:rsidP="008350DA">
            <w:pPr>
              <w:pStyle w:val="Tabletextjustified0"/>
              <w:keepNext/>
              <w:spacing w:before="120" w:after="120" w:line="240" w:lineRule="exact"/>
              <w:jc w:val="center"/>
              <w:rPr>
                <w:rFonts w:ascii="Book Antiqua" w:hAnsi="Book Antiqua"/>
                <w:sz w:val="22"/>
                <w:szCs w:val="22"/>
              </w:rPr>
            </w:pPr>
            <w:r>
              <w:rPr>
                <w:rFonts w:ascii="Book Antiqua" w:hAnsi="Book Antiqua"/>
                <w:sz w:val="22"/>
                <w:szCs w:val="22"/>
              </w:rPr>
              <w:t>Bernadette O’Neill, General Manager</w:t>
            </w:r>
          </w:p>
          <w:p w:rsidR="008350DA" w:rsidRDefault="008350DA" w:rsidP="008350DA">
            <w:pPr>
              <w:pStyle w:val="Tabletextjustified0"/>
              <w:spacing w:before="120" w:after="20" w:line="240" w:lineRule="exact"/>
              <w:rPr>
                <w:rFonts w:ascii="Book Antiqua" w:hAnsi="Book Antiqua"/>
                <w:b/>
                <w:sz w:val="22"/>
                <w:szCs w:val="22"/>
              </w:rPr>
            </w:pPr>
            <w:r w:rsidRPr="00AB6FF3">
              <w:rPr>
                <w:rFonts w:ascii="Book Antiqua" w:hAnsi="Book Antiqua"/>
                <w:b/>
                <w:sz w:val="20"/>
                <w:szCs w:val="22"/>
              </w:rPr>
              <w:t>Outcome</w:t>
            </w:r>
          </w:p>
          <w:p w:rsidR="008350DA" w:rsidRDefault="008350DA" w:rsidP="00BC46BA">
            <w:pPr>
              <w:pStyle w:val="TableTextLeft"/>
              <w:spacing w:before="0" w:after="80" w:line="240" w:lineRule="exact"/>
              <w:rPr>
                <w:rFonts w:ascii="Book Antiqua" w:hAnsi="Book Antiqua"/>
              </w:rPr>
            </w:pPr>
            <w:r>
              <w:rPr>
                <w:rFonts w:ascii="Book Antiqua" w:hAnsi="Book Antiqua"/>
              </w:rPr>
              <w:t>Simple, fair and flexible workplace relations for employees and employers through the exercise of powers to set and vary minimum wages and modern staff awards, facilitate collective bargaining, approve agreements and deal with disputes.</w:t>
            </w:r>
          </w:p>
        </w:tc>
      </w:tr>
    </w:tbl>
    <w:p w:rsidR="008350DA" w:rsidRDefault="008350DA" w:rsidP="008350DA">
      <w:pPr>
        <w:pStyle w:val="FigureHeading"/>
      </w:pPr>
      <w:r>
        <w:lastRenderedPageBreak/>
        <w:t>Figure 1: Jobs and Small Business—portfolio structure and outcomes (continued)</w:t>
      </w:r>
    </w:p>
    <w:tbl>
      <w:tblPr>
        <w:tblW w:w="7883" w:type="dxa"/>
        <w:tblInd w:w="136" w:type="dxa"/>
        <w:tblLook w:val="04A0" w:firstRow="1" w:lastRow="0" w:firstColumn="1" w:lastColumn="0" w:noHBand="0" w:noVBand="1"/>
      </w:tblPr>
      <w:tblGrid>
        <w:gridCol w:w="7883"/>
      </w:tblGrid>
      <w:tr w:rsidR="008350DA" w:rsidTr="008350DA">
        <w:tc>
          <w:tcPr>
            <w:tcW w:w="7883" w:type="dxa"/>
            <w:tcBorders>
              <w:top w:val="single" w:sz="4" w:space="0" w:color="auto"/>
              <w:left w:val="single" w:sz="4" w:space="0" w:color="auto"/>
              <w:bottom w:val="single" w:sz="4" w:space="0" w:color="auto"/>
              <w:right w:val="single" w:sz="4" w:space="0" w:color="auto"/>
            </w:tcBorders>
            <w:hideMark/>
          </w:tcPr>
          <w:p w:rsidR="008350DA" w:rsidRDefault="008350DA" w:rsidP="008350DA">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 xml:space="preserve">Fair Work Ombudsman </w:t>
            </w:r>
            <w:r>
              <w:rPr>
                <w:rFonts w:ascii="Book Antiqua" w:hAnsi="Book Antiqua"/>
                <w:b/>
                <w:sz w:val="22"/>
                <w:szCs w:val="22"/>
              </w:rPr>
              <w:br/>
              <w:t>and the Registered Organisations Commission</w:t>
            </w:r>
          </w:p>
          <w:p w:rsidR="008350DA" w:rsidRDefault="008350DA" w:rsidP="008350DA">
            <w:pPr>
              <w:pStyle w:val="Tabletextjustified0"/>
              <w:spacing w:before="120" w:after="120" w:line="240" w:lineRule="exact"/>
              <w:jc w:val="center"/>
              <w:rPr>
                <w:rFonts w:ascii="Book Antiqua" w:hAnsi="Book Antiqua"/>
                <w:sz w:val="22"/>
                <w:szCs w:val="22"/>
              </w:rPr>
            </w:pPr>
            <w:r>
              <w:rPr>
                <w:rFonts w:ascii="Book Antiqua" w:hAnsi="Book Antiqua"/>
                <w:sz w:val="22"/>
                <w:szCs w:val="22"/>
              </w:rPr>
              <w:t xml:space="preserve">Natalie James, </w:t>
            </w:r>
            <w:r w:rsidR="00896419">
              <w:rPr>
                <w:rFonts w:ascii="Book Antiqua" w:hAnsi="Book Antiqua"/>
                <w:sz w:val="22"/>
                <w:szCs w:val="22"/>
              </w:rPr>
              <w:t xml:space="preserve">Fair Work </w:t>
            </w:r>
            <w:r>
              <w:rPr>
                <w:rFonts w:ascii="Book Antiqua" w:hAnsi="Book Antiqua"/>
                <w:sz w:val="22"/>
                <w:szCs w:val="22"/>
              </w:rPr>
              <w:t>Ombudsman</w:t>
            </w:r>
          </w:p>
          <w:p w:rsidR="008350DA" w:rsidRDefault="008350DA" w:rsidP="008350DA">
            <w:pPr>
              <w:pStyle w:val="Tabletextjustified0"/>
              <w:spacing w:before="120" w:after="120" w:line="240" w:lineRule="exact"/>
              <w:jc w:val="center"/>
              <w:rPr>
                <w:rFonts w:ascii="Book Antiqua" w:hAnsi="Book Antiqua"/>
                <w:sz w:val="22"/>
                <w:szCs w:val="22"/>
              </w:rPr>
            </w:pPr>
            <w:r>
              <w:rPr>
                <w:rFonts w:ascii="Book Antiqua" w:hAnsi="Book Antiqua"/>
                <w:sz w:val="22"/>
                <w:szCs w:val="22"/>
              </w:rPr>
              <w:t>Mark Bielecki, Registered Organisations Commissioner</w:t>
            </w:r>
          </w:p>
          <w:p w:rsidR="008350DA" w:rsidRPr="00AB6FF3" w:rsidRDefault="008350DA" w:rsidP="008350DA">
            <w:pPr>
              <w:pStyle w:val="Tabletextjustified0"/>
              <w:spacing w:before="120" w:after="20" w:line="240" w:lineRule="exact"/>
              <w:rPr>
                <w:rFonts w:ascii="Book Antiqua" w:hAnsi="Book Antiqua"/>
                <w:sz w:val="20"/>
                <w:szCs w:val="22"/>
              </w:rPr>
            </w:pPr>
            <w:r w:rsidRPr="00AB6FF3">
              <w:rPr>
                <w:rFonts w:ascii="Book Antiqua" w:hAnsi="Book Antiqua"/>
                <w:b/>
                <w:sz w:val="20"/>
                <w:szCs w:val="22"/>
              </w:rPr>
              <w:t>Outcome 1</w:t>
            </w:r>
            <w:r w:rsidRPr="00AB6FF3">
              <w:rPr>
                <w:rFonts w:ascii="Book Antiqua" w:hAnsi="Book Antiqua"/>
                <w:sz w:val="20"/>
                <w:szCs w:val="22"/>
              </w:rPr>
              <w:t xml:space="preserve"> </w:t>
            </w:r>
          </w:p>
          <w:p w:rsidR="008350DA" w:rsidRDefault="008350DA" w:rsidP="008350DA">
            <w:pPr>
              <w:pStyle w:val="TableTextLeft"/>
              <w:spacing w:before="0" w:after="100" w:line="240" w:lineRule="exact"/>
              <w:rPr>
                <w:rFonts w:ascii="Book Antiqua" w:hAnsi="Book Antiqua"/>
              </w:rPr>
            </w:pPr>
            <w:r>
              <w:rPr>
                <w:rFonts w:ascii="Book Antiqua" w:hAnsi="Book Antiqua"/>
              </w:rPr>
              <w:t>Compliance with workplace relations legislation by employees and employer</w:t>
            </w:r>
            <w:r w:rsidR="003F5E4A">
              <w:rPr>
                <w:rFonts w:ascii="Book Antiqua" w:hAnsi="Book Antiqua"/>
              </w:rPr>
              <w:t>s through advice, education and where necessary</w:t>
            </w:r>
            <w:r>
              <w:rPr>
                <w:rFonts w:ascii="Book Antiqua" w:hAnsi="Book Antiqua"/>
              </w:rPr>
              <w:t xml:space="preserve"> enforcement.</w:t>
            </w:r>
          </w:p>
          <w:p w:rsidR="008350DA" w:rsidRPr="00AB6FF3" w:rsidRDefault="008350DA" w:rsidP="008350DA">
            <w:pPr>
              <w:pStyle w:val="Tabletextjustified0"/>
              <w:spacing w:before="120" w:after="20"/>
              <w:rPr>
                <w:rFonts w:ascii="Book Antiqua" w:hAnsi="Book Antiqua"/>
                <w:b/>
                <w:sz w:val="20"/>
                <w:szCs w:val="22"/>
              </w:rPr>
            </w:pPr>
            <w:r w:rsidRPr="00AB6FF3">
              <w:rPr>
                <w:rFonts w:ascii="Book Antiqua" w:hAnsi="Book Antiqua"/>
                <w:b/>
                <w:sz w:val="20"/>
                <w:szCs w:val="22"/>
              </w:rPr>
              <w:t xml:space="preserve">Outcome 2 </w:t>
            </w:r>
          </w:p>
          <w:p w:rsidR="008350DA" w:rsidRDefault="008350DA" w:rsidP="008350DA">
            <w:pPr>
              <w:pStyle w:val="TableTextLeft"/>
              <w:spacing w:before="0" w:after="100" w:line="240" w:lineRule="exact"/>
              <w:rPr>
                <w:rFonts w:ascii="Book Antiqua" w:hAnsi="Book Antiqua"/>
              </w:rPr>
            </w:pPr>
            <w:r>
              <w:rPr>
                <w:rFonts w:ascii="Book Antiqua" w:hAnsi="Book Antiqua"/>
              </w:rPr>
              <w:t>Effective governance and financial transparency of registered empl</w:t>
            </w:r>
            <w:r w:rsidR="00365F1F">
              <w:rPr>
                <w:rFonts w:ascii="Book Antiqua" w:hAnsi="Book Antiqua"/>
              </w:rPr>
              <w:t>oyee and employer organisations</w:t>
            </w:r>
            <w:r>
              <w:rPr>
                <w:rFonts w:ascii="Book Antiqua" w:hAnsi="Book Antiqua"/>
              </w:rPr>
              <w:t xml:space="preserve"> through regulation, investigation and appropriate enforcement action. </w:t>
            </w:r>
          </w:p>
        </w:tc>
      </w:tr>
      <w:tr w:rsidR="008350DA" w:rsidTr="008350DA">
        <w:trPr>
          <w:trHeight w:val="274"/>
        </w:trPr>
        <w:tc>
          <w:tcPr>
            <w:tcW w:w="7883" w:type="dxa"/>
            <w:tcBorders>
              <w:top w:val="single" w:sz="4" w:space="0" w:color="auto"/>
              <w:left w:val="single" w:sz="4" w:space="0" w:color="auto"/>
              <w:bottom w:val="single" w:sz="4" w:space="0" w:color="auto"/>
              <w:right w:val="single" w:sz="4" w:space="0" w:color="auto"/>
            </w:tcBorders>
            <w:hideMark/>
          </w:tcPr>
          <w:p w:rsidR="008350DA" w:rsidRDefault="008350DA" w:rsidP="008350DA">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Safe Work Australia</w:t>
            </w:r>
          </w:p>
          <w:p w:rsidR="008350DA" w:rsidRDefault="008350DA" w:rsidP="008350DA">
            <w:pPr>
              <w:pStyle w:val="Tabletextjustified0"/>
              <w:spacing w:before="120" w:after="120" w:line="240" w:lineRule="exact"/>
              <w:jc w:val="center"/>
              <w:rPr>
                <w:rFonts w:ascii="Book Antiqua" w:hAnsi="Book Antiqua"/>
                <w:sz w:val="22"/>
                <w:szCs w:val="22"/>
              </w:rPr>
            </w:pPr>
            <w:r>
              <w:rPr>
                <w:rFonts w:ascii="Book Antiqua" w:hAnsi="Book Antiqua"/>
                <w:sz w:val="22"/>
                <w:szCs w:val="22"/>
              </w:rPr>
              <w:t>Michelle Baxter, Chief Executive Officer</w:t>
            </w:r>
          </w:p>
          <w:p w:rsidR="008350DA" w:rsidRDefault="008350DA" w:rsidP="008350DA">
            <w:pPr>
              <w:pStyle w:val="Tabletextjustified0"/>
              <w:spacing w:before="120" w:after="20" w:line="240" w:lineRule="exact"/>
              <w:rPr>
                <w:rFonts w:ascii="Book Antiqua" w:hAnsi="Book Antiqua"/>
                <w:b/>
                <w:sz w:val="22"/>
                <w:szCs w:val="22"/>
              </w:rPr>
            </w:pPr>
            <w:r w:rsidRPr="00AB6FF3">
              <w:rPr>
                <w:rFonts w:ascii="Book Antiqua" w:hAnsi="Book Antiqua"/>
                <w:b/>
                <w:sz w:val="20"/>
                <w:szCs w:val="22"/>
              </w:rPr>
              <w:t xml:space="preserve">Outcome </w:t>
            </w:r>
          </w:p>
          <w:p w:rsidR="008350DA" w:rsidRDefault="008350DA" w:rsidP="008350DA">
            <w:pPr>
              <w:pStyle w:val="TableTextLeft"/>
              <w:spacing w:before="0" w:after="100" w:line="240" w:lineRule="exact"/>
              <w:rPr>
                <w:rFonts w:ascii="Book Antiqua" w:hAnsi="Book Antiqua"/>
              </w:rPr>
            </w:pPr>
            <w:r>
              <w:rPr>
                <w:rFonts w:ascii="Book Antiqua" w:hAnsi="Book Antiqua"/>
              </w:rPr>
              <w:t>Healthier, safer and more productive workplaces through improvements to Australian work health and safety and workers’ compensation arrangements.</w:t>
            </w:r>
          </w:p>
        </w:tc>
      </w:tr>
    </w:tbl>
    <w:p w:rsidR="00FE3DE9" w:rsidRPr="00FE3DE9" w:rsidRDefault="00FE3DE9" w:rsidP="00FE3DE9"/>
    <w:p w:rsidR="00FE3DE9" w:rsidRPr="00FE3DE9" w:rsidRDefault="00FE3DE9" w:rsidP="00FE3DE9">
      <w:pPr>
        <w:sectPr w:rsidR="00FE3DE9" w:rsidRPr="00FE3DE9" w:rsidSect="00896419">
          <w:headerReference w:type="even" r:id="rId52"/>
          <w:headerReference w:type="default" r:id="rId53"/>
          <w:footerReference w:type="even" r:id="rId54"/>
          <w:headerReference w:type="first" r:id="rId55"/>
          <w:footerReference w:type="first" r:id="rId56"/>
          <w:footnotePr>
            <w:numRestart w:val="eachPage"/>
          </w:footnotePr>
          <w:type w:val="oddPage"/>
          <w:pgSz w:w="11906" w:h="16838" w:code="9"/>
          <w:pgMar w:top="2466" w:right="2098" w:bottom="2410" w:left="2098" w:header="1899" w:footer="1899" w:gutter="0"/>
          <w:pgNumType w:start="2"/>
          <w:cols w:space="708"/>
          <w:titlePg/>
          <w:docGrid w:linePitch="360"/>
        </w:sectPr>
      </w:pPr>
    </w:p>
    <w:p w:rsidR="00F20B6E" w:rsidRPr="002A32FD" w:rsidRDefault="007E6BBD" w:rsidP="002A32FD">
      <w:pPr>
        <w:pStyle w:val="ContentsHeading"/>
      </w:pPr>
      <w:bookmarkStart w:id="17" w:name="_Toc190766149"/>
      <w:bookmarkStart w:id="18" w:name="_Toc444523507"/>
      <w:r w:rsidRPr="002A32FD">
        <w:lastRenderedPageBreak/>
        <w:t xml:space="preserve">Entity </w:t>
      </w:r>
      <w:r w:rsidR="00605163" w:rsidRPr="002A32FD">
        <w:t>resources and</w:t>
      </w:r>
      <w:r w:rsidR="00605163" w:rsidRPr="002A32FD">
        <w:br/>
        <w:t>planned performance</w:t>
      </w:r>
      <w:bookmarkEnd w:id="17"/>
      <w:bookmarkEnd w:id="18"/>
    </w:p>
    <w:p w:rsidR="004851CC" w:rsidRPr="00BF51E9" w:rsidRDefault="004851CC" w:rsidP="00BF51E9">
      <w:pPr>
        <w:pStyle w:val="TOC1"/>
        <w:rPr>
          <w:noProof/>
        </w:rPr>
      </w:pPr>
      <w:r w:rsidRPr="00BF51E9">
        <w:rPr>
          <w:rFonts w:ascii="Arial" w:hAnsi="Arial"/>
        </w:rPr>
        <w:fldChar w:fldCharType="begin"/>
      </w:r>
      <w:r w:rsidRPr="00BF51E9">
        <w:rPr>
          <w:rFonts w:ascii="Arial" w:hAnsi="Arial"/>
        </w:rPr>
        <w:instrText xml:space="preserve"> TOC \h \z \t "Heading 1,1,Title,1,Title 2nd Level,1,Part,1,Heading 1 - TOC,2,Part Heading - TOC,1" </w:instrText>
      </w:r>
      <w:r w:rsidRPr="00BF51E9">
        <w:rPr>
          <w:rFonts w:ascii="Arial" w:hAnsi="Arial"/>
        </w:rPr>
        <w:fldChar w:fldCharType="separate"/>
      </w:r>
      <w:hyperlink w:anchor="_Toc511635307" w:history="1">
        <w:r w:rsidRPr="00BF51E9">
          <w:rPr>
            <w:rStyle w:val="Hyperlink"/>
            <w:noProof/>
            <w:color w:val="auto"/>
            <w:u w:val="none"/>
          </w:rPr>
          <w:t>Department of Jobs and Small Business</w:t>
        </w:r>
        <w:r w:rsidRPr="00BF51E9">
          <w:rPr>
            <w:noProof/>
            <w:webHidden/>
          </w:rPr>
          <w:tab/>
        </w:r>
        <w:r w:rsidRPr="00BF51E9">
          <w:rPr>
            <w:noProof/>
            <w:webHidden/>
          </w:rPr>
          <w:fldChar w:fldCharType="begin"/>
        </w:r>
        <w:r w:rsidRPr="00BF51E9">
          <w:rPr>
            <w:noProof/>
            <w:webHidden/>
          </w:rPr>
          <w:instrText xml:space="preserve"> PAGEREF _Toc511635307 \h </w:instrText>
        </w:r>
        <w:r w:rsidRPr="00BF51E9">
          <w:rPr>
            <w:noProof/>
            <w:webHidden/>
          </w:rPr>
        </w:r>
        <w:r w:rsidRPr="00BF51E9">
          <w:rPr>
            <w:noProof/>
            <w:webHidden/>
          </w:rPr>
          <w:fldChar w:fldCharType="separate"/>
        </w:r>
        <w:r w:rsidR="007212DF">
          <w:rPr>
            <w:noProof/>
            <w:webHidden/>
          </w:rPr>
          <w:t>13</w:t>
        </w:r>
        <w:r w:rsidRPr="00BF51E9">
          <w:rPr>
            <w:noProof/>
            <w:webHidden/>
          </w:rPr>
          <w:fldChar w:fldCharType="end"/>
        </w:r>
      </w:hyperlink>
    </w:p>
    <w:p w:rsidR="004851CC" w:rsidRPr="00BF51E9" w:rsidRDefault="004851CC" w:rsidP="00BF51E9">
      <w:pPr>
        <w:pStyle w:val="TOC1"/>
        <w:rPr>
          <w:noProof/>
        </w:rPr>
      </w:pPr>
      <w:hyperlink w:anchor="_Toc511635309" w:history="1">
        <w:r w:rsidRPr="00BF51E9">
          <w:rPr>
            <w:rStyle w:val="Hyperlink"/>
            <w:noProof/>
            <w:color w:val="auto"/>
            <w:u w:val="none"/>
          </w:rPr>
          <w:t>Asbestos Safety and Eradication Agency</w:t>
        </w:r>
        <w:r w:rsidRPr="00BF51E9">
          <w:rPr>
            <w:noProof/>
            <w:webHidden/>
          </w:rPr>
          <w:tab/>
        </w:r>
        <w:r w:rsidRPr="00BF51E9">
          <w:rPr>
            <w:noProof/>
            <w:webHidden/>
          </w:rPr>
          <w:fldChar w:fldCharType="begin"/>
        </w:r>
        <w:r w:rsidRPr="00BF51E9">
          <w:rPr>
            <w:noProof/>
            <w:webHidden/>
          </w:rPr>
          <w:instrText xml:space="preserve"> PAGEREF _Toc511635309 \h </w:instrText>
        </w:r>
        <w:r w:rsidRPr="00BF51E9">
          <w:rPr>
            <w:noProof/>
            <w:webHidden/>
          </w:rPr>
        </w:r>
        <w:r w:rsidRPr="00BF51E9">
          <w:rPr>
            <w:noProof/>
            <w:webHidden/>
          </w:rPr>
          <w:fldChar w:fldCharType="separate"/>
        </w:r>
        <w:r w:rsidR="007212DF">
          <w:rPr>
            <w:noProof/>
            <w:webHidden/>
          </w:rPr>
          <w:t>49</w:t>
        </w:r>
        <w:r w:rsidRPr="00BF51E9">
          <w:rPr>
            <w:noProof/>
            <w:webHidden/>
          </w:rPr>
          <w:fldChar w:fldCharType="end"/>
        </w:r>
      </w:hyperlink>
    </w:p>
    <w:p w:rsidR="004851CC" w:rsidRPr="00BF51E9" w:rsidRDefault="004851CC" w:rsidP="00BF51E9">
      <w:pPr>
        <w:pStyle w:val="TOC1"/>
        <w:rPr>
          <w:noProof/>
        </w:rPr>
      </w:pPr>
      <w:hyperlink w:anchor="_Toc511635311" w:history="1">
        <w:r w:rsidRPr="00BF51E9">
          <w:rPr>
            <w:rStyle w:val="Hyperlink"/>
            <w:noProof/>
            <w:color w:val="auto"/>
            <w:u w:val="none"/>
          </w:rPr>
          <w:t>Australian Building and Construction Commission</w:t>
        </w:r>
        <w:r w:rsidRPr="00BF51E9">
          <w:rPr>
            <w:noProof/>
            <w:webHidden/>
          </w:rPr>
          <w:tab/>
        </w:r>
        <w:r w:rsidRPr="00BF51E9">
          <w:rPr>
            <w:noProof/>
            <w:webHidden/>
          </w:rPr>
          <w:fldChar w:fldCharType="begin"/>
        </w:r>
        <w:r w:rsidRPr="00BF51E9">
          <w:rPr>
            <w:noProof/>
            <w:webHidden/>
          </w:rPr>
          <w:instrText xml:space="preserve"> PAGEREF _Toc511635311 \h </w:instrText>
        </w:r>
        <w:r w:rsidRPr="00BF51E9">
          <w:rPr>
            <w:noProof/>
            <w:webHidden/>
          </w:rPr>
        </w:r>
        <w:r w:rsidRPr="00BF51E9">
          <w:rPr>
            <w:noProof/>
            <w:webHidden/>
          </w:rPr>
          <w:fldChar w:fldCharType="separate"/>
        </w:r>
        <w:r w:rsidR="007212DF">
          <w:rPr>
            <w:noProof/>
            <w:webHidden/>
          </w:rPr>
          <w:t>67</w:t>
        </w:r>
        <w:r w:rsidRPr="00BF51E9">
          <w:rPr>
            <w:noProof/>
            <w:webHidden/>
          </w:rPr>
          <w:fldChar w:fldCharType="end"/>
        </w:r>
      </w:hyperlink>
    </w:p>
    <w:p w:rsidR="004851CC" w:rsidRPr="00BF51E9" w:rsidRDefault="004851CC" w:rsidP="00BF51E9">
      <w:pPr>
        <w:pStyle w:val="TOC1"/>
        <w:rPr>
          <w:noProof/>
        </w:rPr>
      </w:pPr>
      <w:hyperlink w:anchor="_Toc511635313" w:history="1">
        <w:r w:rsidRPr="00BF51E9">
          <w:rPr>
            <w:rStyle w:val="Hyperlink"/>
            <w:noProof/>
            <w:color w:val="auto"/>
            <w:u w:val="none"/>
          </w:rPr>
          <w:t>Comcare, the Safety, Rehabilitation and Compensation Commission,  and the Seafarers Safety, Rehabilitation and Compensation Authority</w:t>
        </w:r>
        <w:r w:rsidRPr="00BF51E9">
          <w:rPr>
            <w:noProof/>
            <w:webHidden/>
          </w:rPr>
          <w:tab/>
        </w:r>
        <w:r w:rsidRPr="00BF51E9">
          <w:rPr>
            <w:noProof/>
            <w:webHidden/>
          </w:rPr>
          <w:fldChar w:fldCharType="begin"/>
        </w:r>
        <w:r w:rsidRPr="00BF51E9">
          <w:rPr>
            <w:noProof/>
            <w:webHidden/>
          </w:rPr>
          <w:instrText xml:space="preserve"> PAGEREF _Toc511635313 \h </w:instrText>
        </w:r>
        <w:r w:rsidRPr="00BF51E9">
          <w:rPr>
            <w:noProof/>
            <w:webHidden/>
          </w:rPr>
        </w:r>
        <w:r w:rsidRPr="00BF51E9">
          <w:rPr>
            <w:noProof/>
            <w:webHidden/>
          </w:rPr>
          <w:fldChar w:fldCharType="separate"/>
        </w:r>
        <w:r w:rsidR="007212DF">
          <w:rPr>
            <w:noProof/>
            <w:webHidden/>
          </w:rPr>
          <w:t>85</w:t>
        </w:r>
        <w:r w:rsidRPr="00BF51E9">
          <w:rPr>
            <w:noProof/>
            <w:webHidden/>
          </w:rPr>
          <w:fldChar w:fldCharType="end"/>
        </w:r>
      </w:hyperlink>
    </w:p>
    <w:p w:rsidR="004851CC" w:rsidRPr="00BF51E9" w:rsidRDefault="004851CC" w:rsidP="00BF51E9">
      <w:pPr>
        <w:pStyle w:val="TOC1"/>
        <w:rPr>
          <w:noProof/>
        </w:rPr>
      </w:pPr>
      <w:hyperlink w:anchor="_Toc511635315" w:history="1">
        <w:r w:rsidRPr="00BF51E9">
          <w:rPr>
            <w:rStyle w:val="Hyperlink"/>
            <w:noProof/>
            <w:color w:val="auto"/>
            <w:u w:val="none"/>
          </w:rPr>
          <w:t>Fair Work Commission</w:t>
        </w:r>
        <w:r w:rsidRPr="00BF51E9">
          <w:rPr>
            <w:noProof/>
            <w:webHidden/>
          </w:rPr>
          <w:tab/>
        </w:r>
        <w:r w:rsidRPr="00BF51E9">
          <w:rPr>
            <w:noProof/>
            <w:webHidden/>
          </w:rPr>
          <w:fldChar w:fldCharType="begin"/>
        </w:r>
        <w:r w:rsidRPr="00BF51E9">
          <w:rPr>
            <w:noProof/>
            <w:webHidden/>
          </w:rPr>
          <w:instrText xml:space="preserve"> PAGEREF _Toc511635315 \h </w:instrText>
        </w:r>
        <w:r w:rsidRPr="00BF51E9">
          <w:rPr>
            <w:noProof/>
            <w:webHidden/>
          </w:rPr>
        </w:r>
        <w:r w:rsidRPr="00BF51E9">
          <w:rPr>
            <w:noProof/>
            <w:webHidden/>
          </w:rPr>
          <w:fldChar w:fldCharType="separate"/>
        </w:r>
        <w:r w:rsidR="007212DF">
          <w:rPr>
            <w:noProof/>
            <w:webHidden/>
          </w:rPr>
          <w:t>113</w:t>
        </w:r>
        <w:r w:rsidRPr="00BF51E9">
          <w:rPr>
            <w:noProof/>
            <w:webHidden/>
          </w:rPr>
          <w:fldChar w:fldCharType="end"/>
        </w:r>
      </w:hyperlink>
    </w:p>
    <w:p w:rsidR="004851CC" w:rsidRPr="00BF51E9" w:rsidRDefault="004851CC" w:rsidP="00BF51E9">
      <w:pPr>
        <w:pStyle w:val="TOC1"/>
        <w:rPr>
          <w:noProof/>
        </w:rPr>
      </w:pPr>
      <w:hyperlink w:anchor="_Toc511635317" w:history="1">
        <w:r w:rsidRPr="00BF51E9">
          <w:rPr>
            <w:rStyle w:val="Hyperlink"/>
            <w:noProof/>
            <w:color w:val="auto"/>
            <w:u w:val="none"/>
          </w:rPr>
          <w:t>Fair Work Ombudsman and the Registered Organisations Commission</w:t>
        </w:r>
        <w:r w:rsidRPr="00BF51E9">
          <w:rPr>
            <w:noProof/>
            <w:webHidden/>
          </w:rPr>
          <w:tab/>
        </w:r>
        <w:r w:rsidRPr="00BF51E9">
          <w:rPr>
            <w:noProof/>
            <w:webHidden/>
          </w:rPr>
          <w:fldChar w:fldCharType="begin"/>
        </w:r>
        <w:r w:rsidRPr="00BF51E9">
          <w:rPr>
            <w:noProof/>
            <w:webHidden/>
          </w:rPr>
          <w:instrText xml:space="preserve"> PAGEREF _Toc511635317 \h </w:instrText>
        </w:r>
        <w:r w:rsidRPr="00BF51E9">
          <w:rPr>
            <w:noProof/>
            <w:webHidden/>
          </w:rPr>
        </w:r>
        <w:r w:rsidRPr="00BF51E9">
          <w:rPr>
            <w:noProof/>
            <w:webHidden/>
          </w:rPr>
          <w:fldChar w:fldCharType="separate"/>
        </w:r>
        <w:r w:rsidR="007212DF">
          <w:rPr>
            <w:noProof/>
            <w:webHidden/>
          </w:rPr>
          <w:t>133</w:t>
        </w:r>
        <w:r w:rsidRPr="00BF51E9">
          <w:rPr>
            <w:noProof/>
            <w:webHidden/>
          </w:rPr>
          <w:fldChar w:fldCharType="end"/>
        </w:r>
      </w:hyperlink>
    </w:p>
    <w:p w:rsidR="004851CC" w:rsidRPr="00BF51E9" w:rsidRDefault="004851CC" w:rsidP="00BF51E9">
      <w:pPr>
        <w:pStyle w:val="TOC1"/>
        <w:rPr>
          <w:noProof/>
        </w:rPr>
      </w:pPr>
      <w:hyperlink w:anchor="_Toc511635319" w:history="1">
        <w:r w:rsidRPr="00BF51E9">
          <w:rPr>
            <w:rStyle w:val="Hyperlink"/>
            <w:noProof/>
            <w:color w:val="auto"/>
            <w:u w:val="none"/>
          </w:rPr>
          <w:t>Safe Work Australia</w:t>
        </w:r>
        <w:r w:rsidRPr="00BF51E9">
          <w:rPr>
            <w:noProof/>
            <w:webHidden/>
          </w:rPr>
          <w:tab/>
        </w:r>
        <w:r w:rsidRPr="00BF51E9">
          <w:rPr>
            <w:noProof/>
            <w:webHidden/>
          </w:rPr>
          <w:fldChar w:fldCharType="begin"/>
        </w:r>
        <w:r w:rsidRPr="00BF51E9">
          <w:rPr>
            <w:noProof/>
            <w:webHidden/>
          </w:rPr>
          <w:instrText xml:space="preserve"> PAGEREF _Toc511635319 \h </w:instrText>
        </w:r>
        <w:r w:rsidRPr="00BF51E9">
          <w:rPr>
            <w:noProof/>
            <w:webHidden/>
          </w:rPr>
        </w:r>
        <w:r w:rsidRPr="00BF51E9">
          <w:rPr>
            <w:noProof/>
            <w:webHidden/>
          </w:rPr>
          <w:fldChar w:fldCharType="separate"/>
        </w:r>
        <w:r w:rsidR="007212DF">
          <w:rPr>
            <w:noProof/>
            <w:webHidden/>
          </w:rPr>
          <w:t>155</w:t>
        </w:r>
        <w:r w:rsidRPr="00BF51E9">
          <w:rPr>
            <w:noProof/>
            <w:webHidden/>
          </w:rPr>
          <w:fldChar w:fldCharType="end"/>
        </w:r>
      </w:hyperlink>
    </w:p>
    <w:p w:rsidR="00257FF4" w:rsidRDefault="004851CC" w:rsidP="00AB76EC">
      <w:r w:rsidRPr="00BF51E9">
        <w:rPr>
          <w:rFonts w:ascii="Arial" w:hAnsi="Arial"/>
          <w:b/>
        </w:rPr>
        <w:fldChar w:fldCharType="end"/>
      </w:r>
    </w:p>
    <w:p w:rsidR="005A7C0B" w:rsidRDefault="005A7C0B" w:rsidP="00AB76EC">
      <w:pPr>
        <w:sectPr w:rsidR="005A7C0B" w:rsidSect="0050346A">
          <w:headerReference w:type="even" r:id="rId57"/>
          <w:headerReference w:type="default" r:id="rId58"/>
          <w:headerReference w:type="first" r:id="rId59"/>
          <w:footerReference w:type="first" r:id="rId60"/>
          <w:footnotePr>
            <w:numRestart w:val="eachPage"/>
          </w:footnotePr>
          <w:type w:val="oddPage"/>
          <w:pgSz w:w="11906" w:h="16838" w:code="9"/>
          <w:pgMar w:top="2466" w:right="2098" w:bottom="2466" w:left="2098" w:header="1899" w:footer="1899" w:gutter="0"/>
          <w:cols w:space="708"/>
          <w:titlePg/>
          <w:docGrid w:linePitch="360"/>
        </w:sectPr>
      </w:pPr>
    </w:p>
    <w:p w:rsidR="005A7C0B" w:rsidRDefault="003F3839" w:rsidP="00EB77C1">
      <w:pPr>
        <w:pStyle w:val="PartHeading"/>
        <w:spacing w:after="2040"/>
      </w:pPr>
      <w:r>
        <w:lastRenderedPageBreak/>
        <w:t xml:space="preserve">Department of Jobs and </w:t>
      </w:r>
      <w:r>
        <w:br/>
        <w:t>Small Business</w:t>
      </w:r>
    </w:p>
    <w:p w:rsidR="00257FF4" w:rsidRDefault="007E6BBD" w:rsidP="00EB77C1">
      <w:pPr>
        <w:pStyle w:val="PartHeading-TOC"/>
        <w:spacing w:after="1200"/>
      </w:pPr>
      <w:bookmarkStart w:id="19" w:name="_Toc511635306"/>
      <w:bookmarkStart w:id="20" w:name="_Toc511651055"/>
      <w:r>
        <w:t xml:space="preserve">Entity </w:t>
      </w:r>
      <w:r w:rsidR="00605163">
        <w:t>resources and planned performance</w:t>
      </w:r>
      <w:bookmarkEnd w:id="19"/>
      <w:bookmarkEnd w:id="20"/>
    </w:p>
    <w:p w:rsidR="005015F4" w:rsidRPr="005015F4" w:rsidRDefault="005015F4" w:rsidP="005015F4">
      <w:pPr>
        <w:sectPr w:rsidR="005015F4" w:rsidRPr="005015F4" w:rsidSect="005A7C0B">
          <w:headerReference w:type="even" r:id="rId61"/>
          <w:headerReference w:type="default" r:id="rId62"/>
          <w:headerReference w:type="first" r:id="rId63"/>
          <w:footerReference w:type="first" r:id="rId64"/>
          <w:footnotePr>
            <w:numRestart w:val="eachPage"/>
          </w:footnotePr>
          <w:type w:val="oddPage"/>
          <w:pgSz w:w="11906" w:h="16838" w:code="9"/>
          <w:pgMar w:top="2466" w:right="2098" w:bottom="2466" w:left="2098" w:header="1899" w:footer="1899" w:gutter="0"/>
          <w:cols w:space="708"/>
          <w:vAlign w:val="center"/>
          <w:titlePg/>
          <w:docGrid w:linePitch="360"/>
        </w:sectPr>
      </w:pPr>
    </w:p>
    <w:p w:rsidR="00257FF4" w:rsidRPr="002A32FD" w:rsidRDefault="00257FF4" w:rsidP="002A32FD">
      <w:pPr>
        <w:pStyle w:val="ContentsHeading"/>
      </w:pPr>
      <w:bookmarkStart w:id="21" w:name="_Toc190766150"/>
      <w:r w:rsidRPr="002A32FD">
        <w:lastRenderedPageBreak/>
        <w:t xml:space="preserve">Department of </w:t>
      </w:r>
      <w:bookmarkEnd w:id="21"/>
      <w:r w:rsidR="003F3839">
        <w:t>Jobs and Small Business</w:t>
      </w:r>
    </w:p>
    <w:p w:rsidR="00A615E6" w:rsidRPr="008847A3" w:rsidRDefault="00915F49">
      <w:pPr>
        <w:pStyle w:val="TOC1"/>
        <w:rPr>
          <w:rFonts w:ascii="Calibri" w:hAnsi="Calibri"/>
          <w:b w:val="0"/>
          <w:caps w:val="0"/>
          <w:noProof/>
          <w:sz w:val="22"/>
          <w:szCs w:val="22"/>
        </w:rPr>
      </w:pPr>
      <w:r w:rsidRPr="00BF51E9">
        <w:fldChar w:fldCharType="begin"/>
      </w:r>
      <w:r w:rsidRPr="00BF51E9">
        <w:instrText xml:space="preserve"> TOC \h \z \t "Heading 2,1,Heading 3,2" </w:instrText>
      </w:r>
      <w:r w:rsidRPr="00BF51E9">
        <w:fldChar w:fldCharType="separate"/>
      </w:r>
      <w:hyperlink w:anchor="_Toc511722617" w:history="1">
        <w:r w:rsidR="00A615E6" w:rsidRPr="00591C8B">
          <w:rPr>
            <w:rStyle w:val="Hyperlink"/>
            <w:noProof/>
          </w:rPr>
          <w:t>Section 1: Entity overview and resources</w:t>
        </w:r>
        <w:r w:rsidR="00A615E6">
          <w:rPr>
            <w:noProof/>
            <w:webHidden/>
          </w:rPr>
          <w:tab/>
        </w:r>
        <w:r w:rsidR="00A615E6">
          <w:rPr>
            <w:noProof/>
            <w:webHidden/>
          </w:rPr>
          <w:fldChar w:fldCharType="begin"/>
        </w:r>
        <w:r w:rsidR="00A615E6">
          <w:rPr>
            <w:noProof/>
            <w:webHidden/>
          </w:rPr>
          <w:instrText xml:space="preserve"> PAGEREF _Toc511722617 \h </w:instrText>
        </w:r>
        <w:r w:rsidR="00A615E6">
          <w:rPr>
            <w:noProof/>
            <w:webHidden/>
          </w:rPr>
        </w:r>
        <w:r w:rsidR="00A615E6">
          <w:rPr>
            <w:noProof/>
            <w:webHidden/>
          </w:rPr>
          <w:fldChar w:fldCharType="separate"/>
        </w:r>
        <w:r w:rsidR="007212DF">
          <w:rPr>
            <w:noProof/>
            <w:webHidden/>
          </w:rPr>
          <w:t>13</w:t>
        </w:r>
        <w:r w:rsidR="00A615E6">
          <w:rPr>
            <w:noProof/>
            <w:webHidden/>
          </w:rPr>
          <w:fldChar w:fldCharType="end"/>
        </w:r>
      </w:hyperlink>
    </w:p>
    <w:p w:rsidR="00A615E6" w:rsidRPr="008847A3" w:rsidRDefault="00A615E6">
      <w:pPr>
        <w:pStyle w:val="TOC2"/>
        <w:tabs>
          <w:tab w:val="left" w:pos="800"/>
        </w:tabs>
        <w:rPr>
          <w:rFonts w:ascii="Calibri" w:hAnsi="Calibri"/>
          <w:noProof/>
          <w:sz w:val="22"/>
          <w:szCs w:val="22"/>
        </w:rPr>
      </w:pPr>
      <w:hyperlink w:anchor="_Toc511722618" w:history="1">
        <w:r w:rsidRPr="00591C8B">
          <w:rPr>
            <w:rStyle w:val="Hyperlink"/>
            <w:noProof/>
          </w:rPr>
          <w:t>1.1</w:t>
        </w:r>
        <w:r w:rsidRPr="008847A3">
          <w:rPr>
            <w:rFonts w:ascii="Calibri" w:hAnsi="Calibri"/>
            <w:noProof/>
            <w:sz w:val="22"/>
            <w:szCs w:val="22"/>
          </w:rPr>
          <w:tab/>
        </w:r>
        <w:r w:rsidRPr="00591C8B">
          <w:rPr>
            <w:rStyle w:val="Hyperlink"/>
            <w:noProof/>
          </w:rPr>
          <w:t>Strategic direction statement</w:t>
        </w:r>
        <w:r>
          <w:rPr>
            <w:noProof/>
            <w:webHidden/>
          </w:rPr>
          <w:tab/>
        </w:r>
        <w:r>
          <w:rPr>
            <w:noProof/>
            <w:webHidden/>
          </w:rPr>
          <w:fldChar w:fldCharType="begin"/>
        </w:r>
        <w:r>
          <w:rPr>
            <w:noProof/>
            <w:webHidden/>
          </w:rPr>
          <w:instrText xml:space="preserve"> PAGEREF _Toc511722618 \h </w:instrText>
        </w:r>
        <w:r>
          <w:rPr>
            <w:noProof/>
            <w:webHidden/>
          </w:rPr>
        </w:r>
        <w:r>
          <w:rPr>
            <w:noProof/>
            <w:webHidden/>
          </w:rPr>
          <w:fldChar w:fldCharType="separate"/>
        </w:r>
        <w:r w:rsidR="007212DF">
          <w:rPr>
            <w:noProof/>
            <w:webHidden/>
          </w:rPr>
          <w:t>13</w:t>
        </w:r>
        <w:r>
          <w:rPr>
            <w:noProof/>
            <w:webHidden/>
          </w:rPr>
          <w:fldChar w:fldCharType="end"/>
        </w:r>
      </w:hyperlink>
    </w:p>
    <w:p w:rsidR="00A615E6" w:rsidRPr="008847A3" w:rsidRDefault="00A615E6">
      <w:pPr>
        <w:pStyle w:val="TOC2"/>
        <w:tabs>
          <w:tab w:val="left" w:pos="800"/>
        </w:tabs>
        <w:rPr>
          <w:rFonts w:ascii="Calibri" w:hAnsi="Calibri"/>
          <w:noProof/>
          <w:sz w:val="22"/>
          <w:szCs w:val="22"/>
        </w:rPr>
      </w:pPr>
      <w:hyperlink w:anchor="_Toc511722619" w:history="1">
        <w:r w:rsidRPr="00591C8B">
          <w:rPr>
            <w:rStyle w:val="Hyperlink"/>
            <w:noProof/>
          </w:rPr>
          <w:t>1.2</w:t>
        </w:r>
        <w:r w:rsidRPr="008847A3">
          <w:rPr>
            <w:rFonts w:ascii="Calibri" w:hAnsi="Calibri"/>
            <w:noProof/>
            <w:sz w:val="22"/>
            <w:szCs w:val="22"/>
          </w:rPr>
          <w:tab/>
        </w:r>
        <w:r w:rsidRPr="00591C8B">
          <w:rPr>
            <w:rStyle w:val="Hyperlink"/>
            <w:noProof/>
          </w:rPr>
          <w:t>Entity resource statement</w:t>
        </w:r>
        <w:r>
          <w:rPr>
            <w:noProof/>
            <w:webHidden/>
          </w:rPr>
          <w:tab/>
        </w:r>
        <w:r>
          <w:rPr>
            <w:noProof/>
            <w:webHidden/>
          </w:rPr>
          <w:fldChar w:fldCharType="begin"/>
        </w:r>
        <w:r>
          <w:rPr>
            <w:noProof/>
            <w:webHidden/>
          </w:rPr>
          <w:instrText xml:space="preserve"> PAGEREF _Toc511722619 \h </w:instrText>
        </w:r>
        <w:r>
          <w:rPr>
            <w:noProof/>
            <w:webHidden/>
          </w:rPr>
        </w:r>
        <w:r>
          <w:rPr>
            <w:noProof/>
            <w:webHidden/>
          </w:rPr>
          <w:fldChar w:fldCharType="separate"/>
        </w:r>
        <w:r w:rsidR="007212DF">
          <w:rPr>
            <w:noProof/>
            <w:webHidden/>
          </w:rPr>
          <w:t>15</w:t>
        </w:r>
        <w:r>
          <w:rPr>
            <w:noProof/>
            <w:webHidden/>
          </w:rPr>
          <w:fldChar w:fldCharType="end"/>
        </w:r>
      </w:hyperlink>
    </w:p>
    <w:p w:rsidR="00A615E6" w:rsidRPr="008847A3" w:rsidRDefault="00A615E6">
      <w:pPr>
        <w:pStyle w:val="TOC2"/>
        <w:tabs>
          <w:tab w:val="left" w:pos="800"/>
        </w:tabs>
        <w:rPr>
          <w:rFonts w:ascii="Calibri" w:hAnsi="Calibri"/>
          <w:noProof/>
          <w:sz w:val="22"/>
          <w:szCs w:val="22"/>
        </w:rPr>
      </w:pPr>
      <w:hyperlink w:anchor="_Toc511722620" w:history="1">
        <w:r w:rsidRPr="00591C8B">
          <w:rPr>
            <w:rStyle w:val="Hyperlink"/>
            <w:noProof/>
          </w:rPr>
          <w:t>1.3</w:t>
        </w:r>
        <w:r w:rsidRPr="008847A3">
          <w:rPr>
            <w:rFonts w:ascii="Calibri" w:hAnsi="Calibri"/>
            <w:noProof/>
            <w:sz w:val="22"/>
            <w:szCs w:val="22"/>
          </w:rPr>
          <w:tab/>
        </w:r>
        <w:r w:rsidRPr="00591C8B">
          <w:rPr>
            <w:rStyle w:val="Hyperlink"/>
            <w:noProof/>
          </w:rPr>
          <w:t>Budget measures</w:t>
        </w:r>
        <w:r>
          <w:rPr>
            <w:noProof/>
            <w:webHidden/>
          </w:rPr>
          <w:tab/>
        </w:r>
        <w:r>
          <w:rPr>
            <w:noProof/>
            <w:webHidden/>
          </w:rPr>
          <w:fldChar w:fldCharType="begin"/>
        </w:r>
        <w:r>
          <w:rPr>
            <w:noProof/>
            <w:webHidden/>
          </w:rPr>
          <w:instrText xml:space="preserve"> PAGEREF _Toc511722620 \h </w:instrText>
        </w:r>
        <w:r>
          <w:rPr>
            <w:noProof/>
            <w:webHidden/>
          </w:rPr>
        </w:r>
        <w:r>
          <w:rPr>
            <w:noProof/>
            <w:webHidden/>
          </w:rPr>
          <w:fldChar w:fldCharType="separate"/>
        </w:r>
        <w:r w:rsidR="007212DF">
          <w:rPr>
            <w:noProof/>
            <w:webHidden/>
          </w:rPr>
          <w:t>18</w:t>
        </w:r>
        <w:r>
          <w:rPr>
            <w:noProof/>
            <w:webHidden/>
          </w:rPr>
          <w:fldChar w:fldCharType="end"/>
        </w:r>
      </w:hyperlink>
    </w:p>
    <w:p w:rsidR="00A615E6" w:rsidRPr="008847A3" w:rsidRDefault="00A615E6">
      <w:pPr>
        <w:pStyle w:val="TOC1"/>
        <w:rPr>
          <w:rFonts w:ascii="Calibri" w:hAnsi="Calibri"/>
          <w:b w:val="0"/>
          <w:caps w:val="0"/>
          <w:noProof/>
          <w:sz w:val="22"/>
          <w:szCs w:val="22"/>
        </w:rPr>
      </w:pPr>
      <w:hyperlink w:anchor="_Toc511722621" w:history="1">
        <w:r w:rsidRPr="00591C8B">
          <w:rPr>
            <w:rStyle w:val="Hyperlink"/>
            <w:noProof/>
          </w:rPr>
          <w:t>Section 2: Outcomes and planned performance</w:t>
        </w:r>
        <w:r>
          <w:rPr>
            <w:noProof/>
            <w:webHidden/>
          </w:rPr>
          <w:tab/>
        </w:r>
        <w:r>
          <w:rPr>
            <w:noProof/>
            <w:webHidden/>
          </w:rPr>
          <w:fldChar w:fldCharType="begin"/>
        </w:r>
        <w:r>
          <w:rPr>
            <w:noProof/>
            <w:webHidden/>
          </w:rPr>
          <w:instrText xml:space="preserve"> PAGEREF _Toc511722621 \h </w:instrText>
        </w:r>
        <w:r>
          <w:rPr>
            <w:noProof/>
            <w:webHidden/>
          </w:rPr>
        </w:r>
        <w:r>
          <w:rPr>
            <w:noProof/>
            <w:webHidden/>
          </w:rPr>
          <w:fldChar w:fldCharType="separate"/>
        </w:r>
        <w:r w:rsidR="007212DF">
          <w:rPr>
            <w:noProof/>
            <w:webHidden/>
          </w:rPr>
          <w:t>21</w:t>
        </w:r>
        <w:r>
          <w:rPr>
            <w:noProof/>
            <w:webHidden/>
          </w:rPr>
          <w:fldChar w:fldCharType="end"/>
        </w:r>
      </w:hyperlink>
    </w:p>
    <w:p w:rsidR="00A615E6" w:rsidRPr="008847A3" w:rsidRDefault="00A615E6">
      <w:pPr>
        <w:pStyle w:val="TOC2"/>
        <w:tabs>
          <w:tab w:val="left" w:pos="800"/>
        </w:tabs>
        <w:rPr>
          <w:rFonts w:ascii="Calibri" w:hAnsi="Calibri"/>
          <w:noProof/>
          <w:sz w:val="22"/>
          <w:szCs w:val="22"/>
        </w:rPr>
      </w:pPr>
      <w:hyperlink w:anchor="_Toc511722622" w:history="1">
        <w:r w:rsidRPr="00591C8B">
          <w:rPr>
            <w:rStyle w:val="Hyperlink"/>
            <w:noProof/>
          </w:rPr>
          <w:t xml:space="preserve">2.1 </w:t>
        </w:r>
        <w:r w:rsidRPr="008847A3">
          <w:rPr>
            <w:rFonts w:ascii="Calibri" w:hAnsi="Calibri"/>
            <w:noProof/>
            <w:sz w:val="22"/>
            <w:szCs w:val="22"/>
          </w:rPr>
          <w:tab/>
        </w:r>
        <w:r w:rsidRPr="00591C8B">
          <w:rPr>
            <w:rStyle w:val="Hyperlink"/>
            <w:noProof/>
          </w:rPr>
          <w:t>Budgeted expenses and performance for Outcome 1</w:t>
        </w:r>
        <w:r>
          <w:rPr>
            <w:noProof/>
            <w:webHidden/>
          </w:rPr>
          <w:tab/>
        </w:r>
        <w:r>
          <w:rPr>
            <w:noProof/>
            <w:webHidden/>
          </w:rPr>
          <w:fldChar w:fldCharType="begin"/>
        </w:r>
        <w:r>
          <w:rPr>
            <w:noProof/>
            <w:webHidden/>
          </w:rPr>
          <w:instrText xml:space="preserve"> PAGEREF _Toc511722622 \h </w:instrText>
        </w:r>
        <w:r>
          <w:rPr>
            <w:noProof/>
            <w:webHidden/>
          </w:rPr>
        </w:r>
        <w:r>
          <w:rPr>
            <w:noProof/>
            <w:webHidden/>
          </w:rPr>
          <w:fldChar w:fldCharType="separate"/>
        </w:r>
        <w:r w:rsidR="007212DF">
          <w:rPr>
            <w:noProof/>
            <w:webHidden/>
          </w:rPr>
          <w:t>22</w:t>
        </w:r>
        <w:r>
          <w:rPr>
            <w:noProof/>
            <w:webHidden/>
          </w:rPr>
          <w:fldChar w:fldCharType="end"/>
        </w:r>
      </w:hyperlink>
    </w:p>
    <w:p w:rsidR="00A615E6" w:rsidRPr="008847A3" w:rsidRDefault="00A615E6">
      <w:pPr>
        <w:pStyle w:val="TOC2"/>
        <w:tabs>
          <w:tab w:val="left" w:pos="800"/>
        </w:tabs>
        <w:rPr>
          <w:rFonts w:ascii="Calibri" w:hAnsi="Calibri"/>
          <w:noProof/>
          <w:sz w:val="22"/>
          <w:szCs w:val="22"/>
        </w:rPr>
      </w:pPr>
      <w:hyperlink w:anchor="_Toc511722623" w:history="1">
        <w:r w:rsidRPr="00591C8B">
          <w:rPr>
            <w:rStyle w:val="Hyperlink"/>
            <w:noProof/>
          </w:rPr>
          <w:t xml:space="preserve">2.2 </w:t>
        </w:r>
        <w:r w:rsidRPr="008847A3">
          <w:rPr>
            <w:rFonts w:ascii="Calibri" w:hAnsi="Calibri"/>
            <w:noProof/>
            <w:sz w:val="22"/>
            <w:szCs w:val="22"/>
          </w:rPr>
          <w:tab/>
        </w:r>
        <w:r w:rsidRPr="00591C8B">
          <w:rPr>
            <w:rStyle w:val="Hyperlink"/>
            <w:noProof/>
          </w:rPr>
          <w:t>Budgeted expenses and performance for Outcome 2</w:t>
        </w:r>
        <w:r>
          <w:rPr>
            <w:noProof/>
            <w:webHidden/>
          </w:rPr>
          <w:tab/>
        </w:r>
        <w:r>
          <w:rPr>
            <w:noProof/>
            <w:webHidden/>
          </w:rPr>
          <w:fldChar w:fldCharType="begin"/>
        </w:r>
        <w:r>
          <w:rPr>
            <w:noProof/>
            <w:webHidden/>
          </w:rPr>
          <w:instrText xml:space="preserve"> PAGEREF _Toc511722623 \h </w:instrText>
        </w:r>
        <w:r>
          <w:rPr>
            <w:noProof/>
            <w:webHidden/>
          </w:rPr>
        </w:r>
        <w:r>
          <w:rPr>
            <w:noProof/>
            <w:webHidden/>
          </w:rPr>
          <w:fldChar w:fldCharType="separate"/>
        </w:r>
        <w:r w:rsidR="007212DF">
          <w:rPr>
            <w:noProof/>
            <w:webHidden/>
          </w:rPr>
          <w:t>30</w:t>
        </w:r>
        <w:r>
          <w:rPr>
            <w:noProof/>
            <w:webHidden/>
          </w:rPr>
          <w:fldChar w:fldCharType="end"/>
        </w:r>
      </w:hyperlink>
    </w:p>
    <w:p w:rsidR="00A615E6" w:rsidRPr="008847A3" w:rsidRDefault="00A615E6">
      <w:pPr>
        <w:pStyle w:val="TOC1"/>
        <w:rPr>
          <w:rFonts w:ascii="Calibri" w:hAnsi="Calibri"/>
          <w:b w:val="0"/>
          <w:caps w:val="0"/>
          <w:noProof/>
          <w:sz w:val="22"/>
          <w:szCs w:val="22"/>
        </w:rPr>
      </w:pPr>
      <w:hyperlink w:anchor="_Toc511722624" w:history="1">
        <w:r w:rsidRPr="00591C8B">
          <w:rPr>
            <w:rStyle w:val="Hyperlink"/>
            <w:noProof/>
          </w:rPr>
          <w:t>Section 3: Budgeted financial statements</w:t>
        </w:r>
        <w:r>
          <w:rPr>
            <w:noProof/>
            <w:webHidden/>
          </w:rPr>
          <w:tab/>
        </w:r>
        <w:r>
          <w:rPr>
            <w:noProof/>
            <w:webHidden/>
          </w:rPr>
          <w:fldChar w:fldCharType="begin"/>
        </w:r>
        <w:r>
          <w:rPr>
            <w:noProof/>
            <w:webHidden/>
          </w:rPr>
          <w:instrText xml:space="preserve"> PAGEREF _Toc511722624 \h </w:instrText>
        </w:r>
        <w:r>
          <w:rPr>
            <w:noProof/>
            <w:webHidden/>
          </w:rPr>
        </w:r>
        <w:r>
          <w:rPr>
            <w:noProof/>
            <w:webHidden/>
          </w:rPr>
          <w:fldChar w:fldCharType="separate"/>
        </w:r>
        <w:r w:rsidR="007212DF">
          <w:rPr>
            <w:noProof/>
            <w:webHidden/>
          </w:rPr>
          <w:t>36</w:t>
        </w:r>
        <w:r>
          <w:rPr>
            <w:noProof/>
            <w:webHidden/>
          </w:rPr>
          <w:fldChar w:fldCharType="end"/>
        </w:r>
      </w:hyperlink>
    </w:p>
    <w:p w:rsidR="00A615E6" w:rsidRPr="008847A3" w:rsidRDefault="00A615E6">
      <w:pPr>
        <w:pStyle w:val="TOC2"/>
        <w:tabs>
          <w:tab w:val="left" w:pos="800"/>
        </w:tabs>
        <w:rPr>
          <w:rFonts w:ascii="Calibri" w:hAnsi="Calibri"/>
          <w:noProof/>
          <w:sz w:val="22"/>
          <w:szCs w:val="22"/>
        </w:rPr>
      </w:pPr>
      <w:hyperlink w:anchor="_Toc511722625" w:history="1">
        <w:r w:rsidRPr="00591C8B">
          <w:rPr>
            <w:rStyle w:val="Hyperlink"/>
            <w:noProof/>
          </w:rPr>
          <w:t>3.1</w:t>
        </w:r>
        <w:r w:rsidRPr="008847A3">
          <w:rPr>
            <w:rFonts w:ascii="Calibri" w:hAnsi="Calibri"/>
            <w:noProof/>
            <w:sz w:val="22"/>
            <w:szCs w:val="22"/>
          </w:rPr>
          <w:tab/>
        </w:r>
        <w:r w:rsidRPr="00591C8B">
          <w:rPr>
            <w:rStyle w:val="Hyperlink"/>
            <w:noProof/>
          </w:rPr>
          <w:t>Budgeted financial statements</w:t>
        </w:r>
        <w:r>
          <w:rPr>
            <w:noProof/>
            <w:webHidden/>
          </w:rPr>
          <w:tab/>
        </w:r>
        <w:r>
          <w:rPr>
            <w:noProof/>
            <w:webHidden/>
          </w:rPr>
          <w:fldChar w:fldCharType="begin"/>
        </w:r>
        <w:r>
          <w:rPr>
            <w:noProof/>
            <w:webHidden/>
          </w:rPr>
          <w:instrText xml:space="preserve"> PAGEREF _Toc511722625 \h </w:instrText>
        </w:r>
        <w:r>
          <w:rPr>
            <w:noProof/>
            <w:webHidden/>
          </w:rPr>
        </w:r>
        <w:r>
          <w:rPr>
            <w:noProof/>
            <w:webHidden/>
          </w:rPr>
          <w:fldChar w:fldCharType="separate"/>
        </w:r>
        <w:r w:rsidR="007212DF">
          <w:rPr>
            <w:noProof/>
            <w:webHidden/>
          </w:rPr>
          <w:t>36</w:t>
        </w:r>
        <w:r>
          <w:rPr>
            <w:noProof/>
            <w:webHidden/>
          </w:rPr>
          <w:fldChar w:fldCharType="end"/>
        </w:r>
      </w:hyperlink>
    </w:p>
    <w:p w:rsidR="00A615E6" w:rsidRPr="008847A3" w:rsidRDefault="00A615E6">
      <w:pPr>
        <w:pStyle w:val="TOC2"/>
        <w:tabs>
          <w:tab w:val="left" w:pos="800"/>
        </w:tabs>
        <w:rPr>
          <w:rFonts w:ascii="Calibri" w:hAnsi="Calibri"/>
          <w:noProof/>
          <w:sz w:val="22"/>
          <w:szCs w:val="22"/>
        </w:rPr>
      </w:pPr>
      <w:hyperlink w:anchor="_Toc511722626" w:history="1">
        <w:r w:rsidRPr="00591C8B">
          <w:rPr>
            <w:rStyle w:val="Hyperlink"/>
            <w:noProof/>
          </w:rPr>
          <w:t>3.2.</w:t>
        </w:r>
        <w:r w:rsidRPr="008847A3">
          <w:rPr>
            <w:rFonts w:ascii="Calibri" w:hAnsi="Calibri"/>
            <w:noProof/>
            <w:sz w:val="22"/>
            <w:szCs w:val="22"/>
          </w:rPr>
          <w:tab/>
        </w:r>
        <w:r w:rsidRPr="00591C8B">
          <w:rPr>
            <w:rStyle w:val="Hyperlink"/>
            <w:noProof/>
          </w:rPr>
          <w:t>Budgeted financial statements tables</w:t>
        </w:r>
        <w:r>
          <w:rPr>
            <w:noProof/>
            <w:webHidden/>
          </w:rPr>
          <w:tab/>
        </w:r>
        <w:r>
          <w:rPr>
            <w:noProof/>
            <w:webHidden/>
          </w:rPr>
          <w:fldChar w:fldCharType="begin"/>
        </w:r>
        <w:r>
          <w:rPr>
            <w:noProof/>
            <w:webHidden/>
          </w:rPr>
          <w:instrText xml:space="preserve"> PAGEREF _Toc511722626 \h </w:instrText>
        </w:r>
        <w:r>
          <w:rPr>
            <w:noProof/>
            <w:webHidden/>
          </w:rPr>
        </w:r>
        <w:r>
          <w:rPr>
            <w:noProof/>
            <w:webHidden/>
          </w:rPr>
          <w:fldChar w:fldCharType="separate"/>
        </w:r>
        <w:r w:rsidR="007212DF">
          <w:rPr>
            <w:noProof/>
            <w:webHidden/>
          </w:rPr>
          <w:t>37</w:t>
        </w:r>
        <w:r>
          <w:rPr>
            <w:noProof/>
            <w:webHidden/>
          </w:rPr>
          <w:fldChar w:fldCharType="end"/>
        </w:r>
      </w:hyperlink>
    </w:p>
    <w:p w:rsidR="008B5AFD" w:rsidRPr="00BF51E9" w:rsidRDefault="00915F49" w:rsidP="003E2B5E">
      <w:pPr>
        <w:pStyle w:val="TOC1"/>
      </w:pPr>
      <w:r w:rsidRPr="00BF51E9">
        <w:fldChar w:fldCharType="end"/>
      </w:r>
    </w:p>
    <w:p w:rsidR="00E048ED" w:rsidRDefault="00E048ED" w:rsidP="008B5AFD">
      <w:pPr>
        <w:sectPr w:rsidR="00E048ED" w:rsidSect="0050346A">
          <w:headerReference w:type="even" r:id="rId65"/>
          <w:headerReference w:type="default" r:id="rId66"/>
          <w:headerReference w:type="first" r:id="rId67"/>
          <w:footerReference w:type="first" r:id="rId68"/>
          <w:footnotePr>
            <w:numRestart w:val="eachPage"/>
          </w:footnotePr>
          <w:type w:val="oddPage"/>
          <w:pgSz w:w="11906" w:h="16838" w:code="9"/>
          <w:pgMar w:top="2466" w:right="2098" w:bottom="2466" w:left="2098" w:header="1899" w:footer="1899" w:gutter="0"/>
          <w:cols w:space="708"/>
          <w:titlePg/>
          <w:docGrid w:linePitch="360"/>
        </w:sectPr>
      </w:pPr>
    </w:p>
    <w:p w:rsidR="00E048ED" w:rsidRPr="00E048ED" w:rsidRDefault="00E048ED" w:rsidP="00C01AF6">
      <w:pPr>
        <w:pStyle w:val="Heading1"/>
      </w:pPr>
      <w:bookmarkStart w:id="22" w:name="_Toc511635307"/>
      <w:bookmarkStart w:id="23" w:name="_Toc511651056"/>
      <w:r w:rsidRPr="00E048ED">
        <w:lastRenderedPageBreak/>
        <w:t>Department of Jobs and Small Business</w:t>
      </w:r>
      <w:bookmarkEnd w:id="22"/>
      <w:bookmarkEnd w:id="23"/>
    </w:p>
    <w:p w:rsidR="00E048ED" w:rsidRPr="00E048ED" w:rsidRDefault="00E048ED" w:rsidP="00134628">
      <w:pPr>
        <w:pStyle w:val="Heading2"/>
      </w:pPr>
      <w:bookmarkStart w:id="24" w:name="_Toc190682308"/>
      <w:bookmarkStart w:id="25" w:name="_Toc190682526"/>
      <w:bookmarkStart w:id="26" w:name="_Toc444523508"/>
      <w:bookmarkStart w:id="27" w:name="_Toc511722617"/>
      <w:bookmarkStart w:id="28" w:name="_Toc511736948"/>
      <w:bookmarkStart w:id="29" w:name="_Toc511747210"/>
      <w:bookmarkStart w:id="30" w:name="_Toc511765613"/>
      <w:bookmarkStart w:id="31" w:name="_Toc511828669"/>
      <w:bookmarkStart w:id="32" w:name="_Toc511836808"/>
      <w:bookmarkStart w:id="33" w:name="_Toc511902514"/>
      <w:r w:rsidRPr="00E048ED">
        <w:t>Section 1: Entity overview and resources</w:t>
      </w:r>
      <w:bookmarkEnd w:id="24"/>
      <w:bookmarkEnd w:id="25"/>
      <w:bookmarkEnd w:id="26"/>
      <w:bookmarkEnd w:id="27"/>
      <w:bookmarkEnd w:id="28"/>
      <w:bookmarkEnd w:id="29"/>
      <w:bookmarkEnd w:id="30"/>
      <w:bookmarkEnd w:id="31"/>
      <w:bookmarkEnd w:id="32"/>
      <w:bookmarkEnd w:id="33"/>
    </w:p>
    <w:p w:rsidR="00E048ED" w:rsidRDefault="00E048ED" w:rsidP="00E01B4E">
      <w:pPr>
        <w:pStyle w:val="Heading3"/>
        <w:numPr>
          <w:ilvl w:val="1"/>
          <w:numId w:val="23"/>
        </w:numPr>
      </w:pPr>
      <w:bookmarkStart w:id="34" w:name="_Toc190682309"/>
      <w:bookmarkStart w:id="35" w:name="_Toc190682527"/>
      <w:bookmarkStart w:id="36" w:name="_Toc444523509"/>
      <w:bookmarkStart w:id="37" w:name="_Toc511722618"/>
      <w:bookmarkStart w:id="38" w:name="_Toc511736949"/>
      <w:bookmarkStart w:id="39" w:name="_Toc511747211"/>
      <w:bookmarkStart w:id="40" w:name="_Toc511765614"/>
      <w:bookmarkStart w:id="41" w:name="_Toc511828670"/>
      <w:bookmarkStart w:id="42" w:name="_Toc511836809"/>
      <w:bookmarkStart w:id="43" w:name="_Toc511902515"/>
      <w:r w:rsidRPr="00E048ED">
        <w:t>Strategic direction</w:t>
      </w:r>
      <w:bookmarkEnd w:id="34"/>
      <w:bookmarkEnd w:id="35"/>
      <w:r w:rsidRPr="00E048ED">
        <w:t xml:space="preserve"> statement</w:t>
      </w:r>
      <w:bookmarkEnd w:id="36"/>
      <w:bookmarkEnd w:id="37"/>
      <w:bookmarkEnd w:id="38"/>
      <w:bookmarkEnd w:id="39"/>
      <w:bookmarkEnd w:id="40"/>
      <w:bookmarkEnd w:id="41"/>
      <w:bookmarkEnd w:id="42"/>
      <w:bookmarkEnd w:id="43"/>
    </w:p>
    <w:p w:rsidR="00E048ED" w:rsidRPr="00E048ED" w:rsidRDefault="00E048ED" w:rsidP="00E048ED">
      <w:r w:rsidRPr="00E048ED">
        <w:t>Employment is central to national economic strength and wellbeing. By providing advice and delivering programs to improve the performance of labour markets, the Department of Jobs and Small Business stimulates</w:t>
      </w:r>
      <w:r w:rsidR="0035788E">
        <w:t xml:space="preserve"> stronger job growth, helps job </w:t>
      </w:r>
      <w:r w:rsidRPr="00E048ED">
        <w:t>seekers into work, promotes safe</w:t>
      </w:r>
      <w:r w:rsidR="00A34F7B">
        <w:t>,</w:t>
      </w:r>
      <w:r w:rsidRPr="00E048ED">
        <w:t xml:space="preserve"> fair</w:t>
      </w:r>
      <w:r w:rsidR="00A34F7B">
        <w:t xml:space="preserve"> and productive</w:t>
      </w:r>
      <w:r w:rsidRPr="00E048ED">
        <w:t xml:space="preserve"> workplaces, and support</w:t>
      </w:r>
      <w:r w:rsidR="00A34F7B">
        <w:t>s</w:t>
      </w:r>
      <w:r w:rsidRPr="00E048ED">
        <w:t xml:space="preserve"> small and family businesses. </w:t>
      </w:r>
    </w:p>
    <w:p w:rsidR="00E048ED" w:rsidRPr="00E048ED" w:rsidRDefault="00E048ED" w:rsidP="00E048ED">
      <w:r w:rsidRPr="00E048ED">
        <w:t>The Department’s name was changed from the Department of Employment to the Department of Jobs and Small Business as a result of Administrative Arrangements introduced on 20 December 2017. As part of the changes, the Department has gained small business and regulatory policy functions.</w:t>
      </w:r>
    </w:p>
    <w:p w:rsidR="00E048ED" w:rsidRPr="00E048ED" w:rsidRDefault="00E048ED" w:rsidP="00E048ED">
      <w:r w:rsidRPr="00E048ED">
        <w:t>The Department has two Outcomes:</w:t>
      </w:r>
    </w:p>
    <w:p w:rsidR="00E048ED" w:rsidRPr="00E048ED" w:rsidRDefault="00E048ED" w:rsidP="002D1634">
      <w:pPr>
        <w:pStyle w:val="Bullet"/>
        <w:spacing w:after="160"/>
        <w:ind w:left="284" w:hanging="284"/>
      </w:pPr>
      <w:r w:rsidRPr="00E048ED">
        <w:t xml:space="preserve">Foster a productive and competitive labour market through employment policies and programs that assist job seekers into work, meet employer needs and increase Australia’s workforce participation. </w:t>
      </w:r>
    </w:p>
    <w:p w:rsidR="00E048ED" w:rsidRPr="00E048ED" w:rsidRDefault="00E048ED" w:rsidP="002D1634">
      <w:pPr>
        <w:pStyle w:val="Bullet"/>
        <w:ind w:left="284" w:hanging="284"/>
      </w:pPr>
      <w:r w:rsidRPr="00E048ED">
        <w:t xml:space="preserve">Facilitate jobs growth through policies </w:t>
      </w:r>
      <w:r w:rsidR="00B40754">
        <w:rPr>
          <w:lang w:val="en-AU"/>
        </w:rPr>
        <w:t xml:space="preserve">and programs </w:t>
      </w:r>
      <w:r w:rsidRPr="00E048ED">
        <w:t xml:space="preserve">that promote fair, productive and safe workplaces, and facilitate the growth of small business. </w:t>
      </w:r>
    </w:p>
    <w:p w:rsidR="00E048ED" w:rsidRDefault="00E048ED" w:rsidP="00E048ED">
      <w:r w:rsidRPr="00E048ED">
        <w:t>To achieve these outcome</w:t>
      </w:r>
      <w:r w:rsidR="000A6D23">
        <w:t>s, the major priorities for 2018</w:t>
      </w:r>
      <w:r w:rsidRPr="00E048ED">
        <w:t>–1</w:t>
      </w:r>
      <w:r w:rsidR="000A6D23">
        <w:t>9</w:t>
      </w:r>
      <w:r w:rsidRPr="00E048ED">
        <w:t xml:space="preserve"> include:</w:t>
      </w:r>
    </w:p>
    <w:p w:rsidR="002D1634" w:rsidRDefault="002D1634" w:rsidP="002D1634">
      <w:pPr>
        <w:pStyle w:val="Bullet"/>
        <w:spacing w:after="160"/>
        <w:ind w:left="284" w:hanging="284"/>
      </w:pPr>
      <w:r w:rsidRPr="003146C8">
        <w:t>delivering efficient and effective employment services, helping more job seekers find and keep a job, through the continued implementation of jobactive</w:t>
      </w:r>
    </w:p>
    <w:p w:rsidR="002D1634" w:rsidRPr="002D1634" w:rsidRDefault="002D1634" w:rsidP="002D1634">
      <w:pPr>
        <w:pStyle w:val="Bullet"/>
        <w:spacing w:after="160"/>
        <w:ind w:left="284" w:hanging="284"/>
      </w:pPr>
      <w:r>
        <w:t>implementing initiatives to support Australians, particularly in regional areas or experiencing unique challenges due to large-scale industry changes, and provide them with a better chance of securing future job opportunities as technology transforms the economy</w:t>
      </w:r>
    </w:p>
    <w:p w:rsidR="00465757" w:rsidRPr="00465757" w:rsidRDefault="002D1634" w:rsidP="00465757">
      <w:pPr>
        <w:pStyle w:val="Bullet"/>
        <w:spacing w:after="160"/>
        <w:ind w:left="284" w:hanging="284"/>
      </w:pPr>
      <w:r>
        <w:t>providing mature age Australians with opportunities to contribute to the workforce, share their skills and insights with younger workers and continue to benefit from the economic and social wellbeing of having a job</w:t>
      </w:r>
    </w:p>
    <w:p w:rsidR="000D4F26" w:rsidRPr="00853C80" w:rsidRDefault="002D1634" w:rsidP="00465757">
      <w:pPr>
        <w:pStyle w:val="Bullet"/>
        <w:spacing w:after="160"/>
        <w:ind w:left="284" w:hanging="284"/>
      </w:pPr>
      <w:r>
        <w:t>supporting</w:t>
      </w:r>
      <w:r w:rsidRPr="008B476D">
        <w:t xml:space="preserve"> local </w:t>
      </w:r>
      <w:r>
        <w:t>solutions for jobs creation in</w:t>
      </w:r>
      <w:r w:rsidRPr="008B476D">
        <w:t xml:space="preserve"> regional </w:t>
      </w:r>
      <w:r>
        <w:t>areas through a targeted grant program to help stimulate communities to deliver tailored local employment solutions</w:t>
      </w:r>
    </w:p>
    <w:p w:rsidR="002D1634" w:rsidRDefault="002D1634" w:rsidP="002D1634">
      <w:pPr>
        <w:pStyle w:val="Bullet"/>
        <w:spacing w:after="160"/>
        <w:ind w:left="284" w:hanging="284"/>
      </w:pPr>
      <w:r>
        <w:t xml:space="preserve">encouraging entrepreneurship and self-employment, </w:t>
      </w:r>
      <w:r w:rsidR="00B40754">
        <w:rPr>
          <w:lang w:val="en-AU"/>
        </w:rPr>
        <w:t>particularly</w:t>
      </w:r>
      <w:r w:rsidR="000D4F26">
        <w:rPr>
          <w:lang w:val="en-AU"/>
        </w:rPr>
        <w:t xml:space="preserve"> to</w:t>
      </w:r>
      <w:r>
        <w:t xml:space="preserve"> </w:t>
      </w:r>
      <w:r w:rsidR="000D4F26">
        <w:rPr>
          <w:lang w:val="en-AU"/>
        </w:rPr>
        <w:t xml:space="preserve">support opportunities for mature age Australians, and </w:t>
      </w:r>
      <w:r>
        <w:t>providing nationally-accredited training</w:t>
      </w:r>
      <w:r w:rsidR="000D4F26">
        <w:t>, mentoring and business advice</w:t>
      </w:r>
    </w:p>
    <w:p w:rsidR="002D1634" w:rsidRPr="003146C8" w:rsidRDefault="002D1634" w:rsidP="002D1634">
      <w:pPr>
        <w:pStyle w:val="Bullet"/>
        <w:spacing w:after="160"/>
        <w:ind w:left="284" w:hanging="284"/>
      </w:pPr>
      <w:r w:rsidRPr="003146C8">
        <w:lastRenderedPageBreak/>
        <w:t>administering payments and recovery activit</w:t>
      </w:r>
      <w:r w:rsidR="00B40754">
        <w:rPr>
          <w:lang w:val="en-AU"/>
        </w:rPr>
        <w:t>ies</w:t>
      </w:r>
      <w:r w:rsidRPr="003146C8">
        <w:t xml:space="preserve"> under the Fair Entitlements Guarantee which assists workers who have unpaid employment entitlements when they are made redundant by the liquidation or bankruptcy of their employer</w:t>
      </w:r>
    </w:p>
    <w:p w:rsidR="002D1634" w:rsidRPr="00C92BDA" w:rsidRDefault="002D1634" w:rsidP="002D1634">
      <w:pPr>
        <w:pStyle w:val="Bullet"/>
        <w:spacing w:after="160"/>
        <w:ind w:left="284" w:hanging="284"/>
      </w:pPr>
      <w:r w:rsidRPr="003146C8">
        <w:t xml:space="preserve">working cooperatively </w:t>
      </w:r>
      <w:r w:rsidR="00B40754">
        <w:rPr>
          <w:lang w:val="en-AU"/>
        </w:rPr>
        <w:t xml:space="preserve">with our portfolio agencies </w:t>
      </w:r>
      <w:r w:rsidRPr="003146C8">
        <w:t xml:space="preserve">to ensure </w:t>
      </w:r>
      <w:r>
        <w:t>a fair</w:t>
      </w:r>
      <w:r w:rsidRPr="003146C8">
        <w:t>, productive</w:t>
      </w:r>
      <w:r>
        <w:t>, flexible and safe</w:t>
      </w:r>
      <w:r w:rsidRPr="003146C8">
        <w:t xml:space="preserve"> national workplace relations system</w:t>
      </w:r>
    </w:p>
    <w:p w:rsidR="002D1634" w:rsidRPr="00C676F0" w:rsidRDefault="008377C1" w:rsidP="002D1634">
      <w:pPr>
        <w:pStyle w:val="Bullet"/>
        <w:spacing w:after="160"/>
        <w:ind w:left="284" w:hanging="284"/>
      </w:pPr>
      <w:r w:rsidRPr="00C676F0">
        <w:rPr>
          <w:lang w:val="en-AU"/>
        </w:rPr>
        <w:t>supporting</w:t>
      </w:r>
      <w:r w:rsidR="002D1634" w:rsidRPr="00C676F0">
        <w:t xml:space="preserve"> small</w:t>
      </w:r>
      <w:r w:rsidR="00744C77">
        <w:rPr>
          <w:lang w:val="en-AU"/>
        </w:rPr>
        <w:t xml:space="preserve"> and family</w:t>
      </w:r>
      <w:r w:rsidR="002D1634" w:rsidRPr="00C676F0">
        <w:t xml:space="preserve"> business</w:t>
      </w:r>
      <w:r w:rsidRPr="00C676F0">
        <w:rPr>
          <w:lang w:val="en-AU"/>
        </w:rPr>
        <w:t xml:space="preserve"> and</w:t>
      </w:r>
      <w:r w:rsidR="002D1634" w:rsidRPr="00C676F0">
        <w:t xml:space="preserve"> enterprise development, and ensur</w:t>
      </w:r>
      <w:r w:rsidR="00C676F0" w:rsidRPr="00C676F0">
        <w:rPr>
          <w:lang w:val="en-AU"/>
        </w:rPr>
        <w:t>ing</w:t>
      </w:r>
      <w:r w:rsidR="002D1634" w:rsidRPr="00C676F0">
        <w:t xml:space="preserve"> that small business interests are </w:t>
      </w:r>
      <w:r w:rsidR="00C676F0" w:rsidRPr="00C676F0">
        <w:rPr>
          <w:lang w:val="en-AU"/>
        </w:rPr>
        <w:t>considered</w:t>
      </w:r>
      <w:r w:rsidR="002D1634" w:rsidRPr="00C676F0">
        <w:t xml:space="preserve"> in </w:t>
      </w:r>
      <w:r w:rsidR="00C676F0" w:rsidRPr="00C676F0">
        <w:rPr>
          <w:lang w:val="en-AU"/>
        </w:rPr>
        <w:t>national</w:t>
      </w:r>
      <w:r w:rsidR="002D1634" w:rsidRPr="00C676F0">
        <w:t xml:space="preserve"> economic reform</w:t>
      </w:r>
    </w:p>
    <w:p w:rsidR="002D1634" w:rsidRPr="003146C8" w:rsidRDefault="002D1634" w:rsidP="002D1634">
      <w:pPr>
        <w:pStyle w:val="Bullet"/>
        <w:spacing w:after="160"/>
        <w:ind w:left="284" w:hanging="284"/>
      </w:pPr>
      <w:r w:rsidRPr="003146C8">
        <w:t>promoting safer workplaces in the building and construction industry through the Australian Government Building and Construction WHS Accreditation Scheme</w:t>
      </w:r>
      <w:r w:rsidRPr="00853C80">
        <w:t xml:space="preserve"> </w:t>
      </w:r>
      <w:r w:rsidRPr="003146C8">
        <w:t>which provides mandated accreditation requirements for companies to undertake most Commonwealth</w:t>
      </w:r>
      <w:r w:rsidRPr="003146C8">
        <w:noBreakHyphen/>
        <w:t>funded bui</w:t>
      </w:r>
      <w:r>
        <w:t>lding and construction projects</w:t>
      </w:r>
      <w:r w:rsidRPr="003146C8">
        <w:t xml:space="preserve"> </w:t>
      </w:r>
    </w:p>
    <w:p w:rsidR="002D1634" w:rsidRPr="003146C8" w:rsidRDefault="002D1634" w:rsidP="002D1634">
      <w:pPr>
        <w:pStyle w:val="Bullet"/>
        <w:spacing w:after="160"/>
        <w:ind w:left="284" w:hanging="284"/>
      </w:pPr>
      <w:r w:rsidRPr="003146C8">
        <w:t>contributing to higher productivity through implementation of national approaches to workplace health and safety and workers’ compensation laws, as well as advising government on reforms to improve the Comcare and Seacare workers’ compensation schemes</w:t>
      </w:r>
    </w:p>
    <w:p w:rsidR="002D1634" w:rsidRPr="003146C8" w:rsidRDefault="002D1634" w:rsidP="002D1634">
      <w:pPr>
        <w:pStyle w:val="Bullet"/>
        <w:spacing w:after="160"/>
        <w:ind w:left="284" w:hanging="284"/>
      </w:pPr>
      <w:r w:rsidRPr="003146C8">
        <w:t>engaging with relevant international forums</w:t>
      </w:r>
      <w:r>
        <w:t xml:space="preserve"> and advising on policies and programs</w:t>
      </w:r>
      <w:r w:rsidRPr="003146C8">
        <w:t xml:space="preserve"> to promote Australia’s national interests and inform domestic policies</w:t>
      </w:r>
      <w:r w:rsidR="001C5557">
        <w:rPr>
          <w:lang w:val="en-AU"/>
        </w:rPr>
        <w:t>, and</w:t>
      </w:r>
    </w:p>
    <w:p w:rsidR="002D1634" w:rsidRPr="003146C8" w:rsidRDefault="002D1634" w:rsidP="002D1634">
      <w:pPr>
        <w:pStyle w:val="Bullet"/>
        <w:ind w:left="284" w:hanging="284"/>
      </w:pPr>
      <w:r w:rsidRPr="003146C8">
        <w:t>contributing to the government’s deregulation agenda by reducing unnecessary compliance burdens.</w:t>
      </w:r>
    </w:p>
    <w:p w:rsidR="002D1634" w:rsidRPr="00120D95" w:rsidRDefault="002D1634" w:rsidP="002D1634">
      <w:r w:rsidRPr="00120D95">
        <w:t>Further information about the activities of the Department of Jobs and Small Business can be found at www.jobs.gov.au and in the Department of Jobs and Small Business corporate plan.</w:t>
      </w:r>
    </w:p>
    <w:p w:rsidR="002D1634" w:rsidRPr="00E048ED" w:rsidRDefault="002D1634" w:rsidP="002D1634">
      <w:r w:rsidRPr="00120D95">
        <w:t>Budget measures for 2018</w:t>
      </w:r>
      <w:r>
        <w:t>–</w:t>
      </w:r>
      <w:r w:rsidRPr="00120D95">
        <w:t>19 for the Department are presented in Table 1.2.</w:t>
      </w:r>
    </w:p>
    <w:p w:rsidR="00E048ED" w:rsidRDefault="00E048ED" w:rsidP="00E048ED">
      <w:pPr>
        <w:pStyle w:val="Heading3"/>
      </w:pPr>
      <w:bookmarkStart w:id="44" w:name="_Toc190682310"/>
      <w:bookmarkStart w:id="45" w:name="_Toc190682528"/>
      <w:r w:rsidRPr="0079797F">
        <w:br w:type="page"/>
      </w:r>
      <w:bookmarkStart w:id="46" w:name="_Toc444523510"/>
      <w:bookmarkStart w:id="47" w:name="_Toc511656246"/>
      <w:bookmarkStart w:id="48" w:name="_Toc511722619"/>
      <w:bookmarkStart w:id="49" w:name="_Toc511736950"/>
      <w:bookmarkStart w:id="50" w:name="_Toc511747212"/>
      <w:bookmarkStart w:id="51" w:name="_Toc511765615"/>
      <w:bookmarkStart w:id="52" w:name="_Toc511828671"/>
      <w:bookmarkStart w:id="53" w:name="_Toc511836810"/>
      <w:bookmarkStart w:id="54" w:name="_Toc511902516"/>
      <w:r>
        <w:lastRenderedPageBreak/>
        <w:t>1.2</w:t>
      </w:r>
      <w:r>
        <w:tab/>
        <w:t>Entity resource statement</w:t>
      </w:r>
      <w:bookmarkEnd w:id="44"/>
      <w:bookmarkEnd w:id="45"/>
      <w:bookmarkEnd w:id="46"/>
      <w:bookmarkEnd w:id="47"/>
      <w:bookmarkEnd w:id="48"/>
      <w:bookmarkEnd w:id="49"/>
      <w:bookmarkEnd w:id="50"/>
      <w:bookmarkEnd w:id="51"/>
      <w:bookmarkEnd w:id="52"/>
      <w:bookmarkEnd w:id="53"/>
      <w:bookmarkEnd w:id="54"/>
    </w:p>
    <w:p w:rsidR="00E048ED" w:rsidRDefault="00E048ED" w:rsidP="00E048ED">
      <w:bookmarkStart w:id="55" w:name="OLE_LINK11"/>
      <w:bookmarkStart w:id="56" w:name="OLE_LINK12"/>
      <w:r>
        <w:t>Table 1.1 shows the total funding from all sources available to the entity for its operations and to deliver programs and services on behalf of the Government.</w:t>
      </w:r>
    </w:p>
    <w:p w:rsidR="00E048ED" w:rsidRDefault="00E048ED" w:rsidP="00E048ED">
      <w:r>
        <w:t>The table summarises how resources will be applied by outcome (government strategic policy objectives) and by administered (on behalf of the Government or the public) and departmental (for the entity’s operations) classification.</w:t>
      </w:r>
    </w:p>
    <w:p w:rsidR="00E048ED" w:rsidRDefault="00E048ED" w:rsidP="00E048ED">
      <w:r>
        <w:t xml:space="preserve">For more detailed information on special accounts and special appropriations, please refer to </w:t>
      </w:r>
      <w:r>
        <w:rPr>
          <w:i/>
        </w:rPr>
        <w:t>Budget Paper No. 4—</w:t>
      </w:r>
      <w:r w:rsidRPr="00412C0B">
        <w:rPr>
          <w:i/>
        </w:rPr>
        <w:t>Agency Resourcing</w:t>
      </w:r>
      <w:r>
        <w:t>.</w:t>
      </w:r>
    </w:p>
    <w:p w:rsidR="00E048ED" w:rsidRDefault="00E048ED" w:rsidP="00E048ED">
      <w:r>
        <w:t>Information in this table is presented on a resourcing (that is, appropriations/cash available) basis, whilst the</w:t>
      </w:r>
      <w:r w:rsidR="00927A97">
        <w:t xml:space="preserve"> ‘Budgeted expenses by Outcome</w:t>
      </w:r>
      <w:r>
        <w:t>’ tables in Section 2 and the financial statements in Section 3 are presented on an accrual basis.</w:t>
      </w:r>
    </w:p>
    <w:bookmarkEnd w:id="55"/>
    <w:bookmarkEnd w:id="56"/>
    <w:p w:rsidR="00E048ED" w:rsidRPr="005731D3" w:rsidRDefault="00896419" w:rsidP="00E048ED">
      <w:pPr>
        <w:pStyle w:val="TableHeading"/>
      </w:pPr>
      <w:r>
        <w:br w:type="page"/>
      </w:r>
      <w:r w:rsidR="00E048ED" w:rsidRPr="005731D3">
        <w:lastRenderedPageBreak/>
        <w:t xml:space="preserve">Table 1.1: </w:t>
      </w:r>
      <w:r w:rsidR="00E048ED">
        <w:rPr>
          <w:lang w:val="en-AU"/>
        </w:rPr>
        <w:t xml:space="preserve">Department of Jobs and Small Business </w:t>
      </w:r>
      <w:r w:rsidR="00E048ED">
        <w:t>resource statement</w:t>
      </w:r>
      <w:r w:rsidR="00E048ED">
        <w:rPr>
          <w:lang w:val="en-AU"/>
        </w:rPr>
        <w:t>—</w:t>
      </w:r>
      <w:r w:rsidR="00E048ED" w:rsidRPr="005731D3">
        <w:t xml:space="preserve">Budget estimates for </w:t>
      </w:r>
      <w:r w:rsidR="00E048ED" w:rsidRPr="003F3C77">
        <w:t>201</w:t>
      </w:r>
      <w:r w:rsidR="00E048ED">
        <w:t>8</w:t>
      </w:r>
      <w:r w:rsidR="00E048ED">
        <w:rPr>
          <w:lang w:val="en-AU"/>
        </w:rPr>
        <w:t>–</w:t>
      </w:r>
      <w:r w:rsidR="00E048ED" w:rsidRPr="003F3C77">
        <w:t>1</w:t>
      </w:r>
      <w:r w:rsidR="00E048ED">
        <w:t>9</w:t>
      </w:r>
      <w:r w:rsidR="00E048ED">
        <w:rPr>
          <w:lang w:val="en-AU"/>
        </w:rPr>
        <w:t xml:space="preserve"> </w:t>
      </w:r>
      <w:r w:rsidR="00E048ED" w:rsidRPr="005731D3">
        <w:t>as at Budget</w:t>
      </w:r>
      <w:r w:rsidR="00C5333D">
        <w:rPr>
          <w:lang w:val="en-AU"/>
        </w:rPr>
        <w:t>,</w:t>
      </w:r>
      <w:r w:rsidR="00E048ED" w:rsidRPr="005731D3">
        <w:t xml:space="preserve"> May 201</w:t>
      </w:r>
      <w:r w:rsidR="00E048ED">
        <w:t>8</w:t>
      </w:r>
    </w:p>
    <w:tbl>
      <w:tblPr>
        <w:tblW w:w="7709" w:type="dxa"/>
        <w:tblInd w:w="93" w:type="dxa"/>
        <w:tblLook w:val="04A0" w:firstRow="1" w:lastRow="0" w:firstColumn="1" w:lastColumn="0" w:noHBand="0" w:noVBand="1"/>
      </w:tblPr>
      <w:tblGrid>
        <w:gridCol w:w="5669"/>
        <w:gridCol w:w="962"/>
        <w:gridCol w:w="58"/>
        <w:gridCol w:w="913"/>
        <w:gridCol w:w="107"/>
      </w:tblGrid>
      <w:tr w:rsidR="00E048ED" w:rsidRPr="0030668E" w:rsidTr="0035788E">
        <w:trPr>
          <w:trHeight w:val="794"/>
        </w:trPr>
        <w:tc>
          <w:tcPr>
            <w:tcW w:w="5669" w:type="dxa"/>
            <w:tcBorders>
              <w:top w:val="single" w:sz="4" w:space="0" w:color="auto"/>
              <w:left w:val="nil"/>
              <w:bottom w:val="nil"/>
              <w:right w:val="nil"/>
            </w:tcBorders>
            <w:shd w:val="clear" w:color="000000" w:fill="FFFFFF"/>
            <w:vAlign w:val="center"/>
            <w:hideMark/>
          </w:tcPr>
          <w:p w:rsidR="00E048ED" w:rsidRPr="0030668E" w:rsidRDefault="00E048ED" w:rsidP="0035788E">
            <w:pPr>
              <w:spacing w:after="0" w:line="240" w:lineRule="auto"/>
              <w:rPr>
                <w:rFonts w:ascii="Arial" w:hAnsi="Arial" w:cs="Arial"/>
                <w:color w:val="000000"/>
                <w:sz w:val="16"/>
                <w:szCs w:val="16"/>
              </w:rPr>
            </w:pPr>
            <w:r w:rsidRPr="0030668E">
              <w:rPr>
                <w:rFonts w:ascii="Arial" w:hAnsi="Arial" w:cs="Arial"/>
                <w:color w:val="000000"/>
                <w:sz w:val="16"/>
                <w:szCs w:val="16"/>
              </w:rPr>
              <w:t> </w:t>
            </w:r>
          </w:p>
        </w:tc>
        <w:tc>
          <w:tcPr>
            <w:tcW w:w="1020" w:type="dxa"/>
            <w:gridSpan w:val="2"/>
            <w:tcBorders>
              <w:top w:val="single" w:sz="4" w:space="0" w:color="auto"/>
              <w:left w:val="nil"/>
              <w:bottom w:val="single" w:sz="4" w:space="0" w:color="auto"/>
              <w:right w:val="nil"/>
            </w:tcBorders>
            <w:shd w:val="clear" w:color="000000" w:fill="FFFFFF"/>
            <w:vAlign w:val="center"/>
            <w:hideMark/>
          </w:tcPr>
          <w:p w:rsidR="00E048ED" w:rsidRPr="0030668E" w:rsidRDefault="00E048ED" w:rsidP="00E048ED">
            <w:pPr>
              <w:spacing w:after="0" w:line="240" w:lineRule="auto"/>
              <w:jc w:val="right"/>
              <w:rPr>
                <w:rFonts w:ascii="Arial" w:hAnsi="Arial" w:cs="Arial"/>
                <w:i/>
                <w:iCs/>
                <w:color w:val="000000"/>
                <w:sz w:val="16"/>
                <w:szCs w:val="16"/>
              </w:rPr>
            </w:pPr>
            <w:r w:rsidRPr="0030668E">
              <w:rPr>
                <w:rFonts w:ascii="Arial" w:hAnsi="Arial" w:cs="Arial"/>
                <w:i/>
                <w:iCs/>
                <w:color w:val="000000"/>
                <w:sz w:val="16"/>
                <w:szCs w:val="16"/>
              </w:rPr>
              <w:t xml:space="preserve">2017–18 Estimated actual </w:t>
            </w:r>
            <w:r w:rsidRPr="0030668E">
              <w:rPr>
                <w:rFonts w:ascii="Arial" w:hAnsi="Arial" w:cs="Arial"/>
                <w:i/>
                <w:iCs/>
                <w:color w:val="000000"/>
                <w:sz w:val="16"/>
                <w:szCs w:val="16"/>
              </w:rPr>
              <w:br/>
              <w:t>$'000</w:t>
            </w:r>
          </w:p>
        </w:tc>
        <w:tc>
          <w:tcPr>
            <w:tcW w:w="1020" w:type="dxa"/>
            <w:gridSpan w:val="2"/>
            <w:tcBorders>
              <w:top w:val="single" w:sz="4" w:space="0" w:color="auto"/>
              <w:left w:val="nil"/>
              <w:bottom w:val="single" w:sz="4" w:space="0" w:color="auto"/>
              <w:right w:val="nil"/>
            </w:tcBorders>
            <w:shd w:val="clear" w:color="000000" w:fill="E6E6E6"/>
            <w:vAlign w:val="center"/>
            <w:hideMark/>
          </w:tcPr>
          <w:p w:rsidR="00E048ED" w:rsidRPr="0030668E" w:rsidRDefault="00E048ED" w:rsidP="00E048ED">
            <w:pPr>
              <w:spacing w:after="0" w:line="240" w:lineRule="auto"/>
              <w:jc w:val="right"/>
              <w:rPr>
                <w:rFonts w:ascii="Arial" w:hAnsi="Arial" w:cs="Arial"/>
                <w:color w:val="000000"/>
                <w:sz w:val="16"/>
                <w:szCs w:val="16"/>
              </w:rPr>
            </w:pPr>
            <w:r w:rsidRPr="0030668E">
              <w:rPr>
                <w:rFonts w:ascii="Arial" w:hAnsi="Arial" w:cs="Arial"/>
                <w:color w:val="000000"/>
                <w:sz w:val="16"/>
                <w:szCs w:val="16"/>
              </w:rPr>
              <w:t>2018–19 Estimate</w:t>
            </w:r>
            <w:r w:rsidRPr="0030668E">
              <w:rPr>
                <w:rFonts w:ascii="Arial" w:hAnsi="Arial" w:cs="Arial"/>
                <w:color w:val="000000"/>
                <w:sz w:val="16"/>
                <w:szCs w:val="16"/>
              </w:rPr>
              <w:br/>
            </w:r>
            <w:r w:rsidRPr="0030668E">
              <w:rPr>
                <w:rFonts w:ascii="Arial" w:hAnsi="Arial" w:cs="Arial"/>
                <w:color w:val="000000"/>
                <w:sz w:val="16"/>
                <w:szCs w:val="16"/>
              </w:rPr>
              <w:br/>
              <w:t>$'000</w:t>
            </w:r>
          </w:p>
        </w:tc>
      </w:tr>
      <w:tr w:rsidR="00E048ED" w:rsidRPr="0030668E" w:rsidTr="0035788E">
        <w:trPr>
          <w:trHeight w:val="231"/>
        </w:trPr>
        <w:tc>
          <w:tcPr>
            <w:tcW w:w="5669" w:type="dxa"/>
            <w:tcBorders>
              <w:top w:val="nil"/>
              <w:left w:val="nil"/>
              <w:bottom w:val="nil"/>
              <w:right w:val="nil"/>
            </w:tcBorders>
            <w:shd w:val="clear" w:color="000000" w:fill="FFFFFF"/>
            <w:vAlign w:val="center"/>
            <w:hideMark/>
          </w:tcPr>
          <w:p w:rsidR="00E048ED" w:rsidRPr="0030668E" w:rsidRDefault="00E048ED"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Departmental</w:t>
            </w:r>
          </w:p>
        </w:tc>
        <w:tc>
          <w:tcPr>
            <w:tcW w:w="1020" w:type="dxa"/>
            <w:gridSpan w:val="2"/>
            <w:tcBorders>
              <w:top w:val="nil"/>
              <w:left w:val="nil"/>
              <w:bottom w:val="nil"/>
              <w:right w:val="nil"/>
            </w:tcBorders>
            <w:shd w:val="clear" w:color="000000" w:fill="FFFFFF"/>
            <w:vAlign w:val="bottom"/>
            <w:hideMark/>
          </w:tcPr>
          <w:p w:rsidR="00E048ED" w:rsidRPr="0030668E" w:rsidRDefault="00E048ED" w:rsidP="00E048ED">
            <w:pPr>
              <w:spacing w:after="0" w:line="240" w:lineRule="auto"/>
              <w:rPr>
                <w:rFonts w:ascii="Arial" w:hAnsi="Arial" w:cs="Arial"/>
                <w:i/>
                <w:iCs/>
                <w:color w:val="000000"/>
                <w:sz w:val="16"/>
                <w:szCs w:val="16"/>
              </w:rPr>
            </w:pPr>
            <w:r w:rsidRPr="0030668E">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bottom"/>
            <w:hideMark/>
          </w:tcPr>
          <w:p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r>
      <w:tr w:rsidR="00E048ED" w:rsidRPr="0030668E" w:rsidTr="0035788E">
        <w:trPr>
          <w:trHeight w:val="231"/>
        </w:trPr>
        <w:tc>
          <w:tcPr>
            <w:tcW w:w="5669" w:type="dxa"/>
            <w:tcBorders>
              <w:top w:val="nil"/>
              <w:left w:val="nil"/>
              <w:bottom w:val="nil"/>
              <w:right w:val="nil"/>
            </w:tcBorders>
            <w:shd w:val="clear" w:color="000000" w:fill="FFFFFF"/>
            <w:vAlign w:val="center"/>
            <w:hideMark/>
          </w:tcPr>
          <w:p w:rsidR="00E048ED" w:rsidRPr="0030668E" w:rsidRDefault="00E048ED" w:rsidP="0035788E">
            <w:pPr>
              <w:spacing w:after="0" w:line="240" w:lineRule="auto"/>
              <w:rPr>
                <w:rFonts w:ascii="Arial" w:hAnsi="Arial" w:cs="Arial"/>
                <w:color w:val="000000"/>
                <w:sz w:val="16"/>
                <w:szCs w:val="16"/>
              </w:rPr>
            </w:pPr>
            <w:r w:rsidRPr="0030668E">
              <w:rPr>
                <w:rFonts w:ascii="Arial" w:hAnsi="Arial" w:cs="Arial"/>
                <w:color w:val="000000"/>
                <w:sz w:val="16"/>
                <w:szCs w:val="16"/>
              </w:rPr>
              <w:t>Annual appropriations—ordinary annual services (a)</w:t>
            </w:r>
          </w:p>
        </w:tc>
        <w:tc>
          <w:tcPr>
            <w:tcW w:w="1020" w:type="dxa"/>
            <w:gridSpan w:val="2"/>
            <w:tcBorders>
              <w:top w:val="nil"/>
              <w:left w:val="nil"/>
              <w:bottom w:val="nil"/>
              <w:right w:val="nil"/>
            </w:tcBorders>
            <w:shd w:val="clear" w:color="000000" w:fill="FFFFFF"/>
            <w:vAlign w:val="bottom"/>
            <w:hideMark/>
          </w:tcPr>
          <w:p w:rsidR="00E048ED" w:rsidRPr="0030668E" w:rsidRDefault="00E048ED" w:rsidP="00E048ED">
            <w:pPr>
              <w:spacing w:after="0" w:line="240" w:lineRule="auto"/>
              <w:rPr>
                <w:rFonts w:ascii="Arial" w:hAnsi="Arial" w:cs="Arial"/>
                <w:i/>
                <w:iCs/>
                <w:color w:val="000000"/>
                <w:sz w:val="16"/>
                <w:szCs w:val="16"/>
              </w:rPr>
            </w:pPr>
            <w:r w:rsidRPr="0030668E">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bottom"/>
            <w:hideMark/>
          </w:tcPr>
          <w:p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bookmarkStart w:id="57" w:name="_GoBack"/>
            <w:r w:rsidRPr="0030668E">
              <w:rPr>
                <w:rFonts w:ascii="Arial" w:hAnsi="Arial" w:cs="Arial"/>
                <w:color w:val="000000"/>
                <w:sz w:val="16"/>
                <w:szCs w:val="16"/>
              </w:rPr>
              <w:t xml:space="preserve">    </w:t>
            </w:r>
            <w:bookmarkEnd w:id="57"/>
            <w:r w:rsidRPr="0030668E">
              <w:rPr>
                <w:rFonts w:ascii="Arial" w:hAnsi="Arial" w:cs="Arial"/>
                <w:color w:val="000000"/>
                <w:sz w:val="16"/>
                <w:szCs w:val="16"/>
              </w:rPr>
              <w:t>Prior year appropriations available</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129,326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1</w:t>
            </w:r>
            <w:r w:rsidR="000A623A">
              <w:rPr>
                <w:rFonts w:ascii="Arial" w:hAnsi="Arial" w:cs="Arial"/>
                <w:color w:val="000000"/>
                <w:sz w:val="16"/>
                <w:szCs w:val="16"/>
              </w:rPr>
              <w:t>27</w:t>
            </w:r>
            <w:r>
              <w:rPr>
                <w:rFonts w:ascii="Arial" w:hAnsi="Arial" w:cs="Arial"/>
                <w:color w:val="000000"/>
                <w:sz w:val="16"/>
                <w:szCs w:val="16"/>
              </w:rPr>
              <w:t>,</w:t>
            </w:r>
            <w:r w:rsidR="000A623A">
              <w:rPr>
                <w:rFonts w:ascii="Arial" w:hAnsi="Arial" w:cs="Arial"/>
                <w:color w:val="000000"/>
                <w:sz w:val="16"/>
                <w:szCs w:val="16"/>
              </w:rPr>
              <w:t>897</w:t>
            </w:r>
            <w:r>
              <w:rPr>
                <w:rFonts w:ascii="Arial" w:hAnsi="Arial" w:cs="Arial"/>
                <w:color w:val="000000"/>
                <w:sz w:val="16"/>
                <w:szCs w:val="16"/>
              </w:rPr>
              <w:t xml:space="preserve">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Departmental appropriation (b)</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310,830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318,215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s74 Retained revenue receipts (c)</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52,677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53,329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Departmental </w:t>
            </w:r>
            <w:r w:rsidR="00345F13">
              <w:rPr>
                <w:rFonts w:ascii="Arial" w:hAnsi="Arial" w:cs="Arial"/>
                <w:color w:val="000000"/>
                <w:sz w:val="16"/>
                <w:szCs w:val="16"/>
              </w:rPr>
              <w:t>Capital B</w:t>
            </w:r>
            <w:r w:rsidRPr="0030668E">
              <w:rPr>
                <w:rFonts w:ascii="Arial" w:hAnsi="Arial" w:cs="Arial"/>
                <w:color w:val="000000"/>
                <w:sz w:val="16"/>
                <w:szCs w:val="16"/>
              </w:rPr>
              <w:t>udget (d)</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31,306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24,450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Annual appropriations—other services—non-operating (e)</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Equity injection</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40,349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16,390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Total departmental annual appropriations</w:t>
            </w:r>
          </w:p>
        </w:tc>
        <w:tc>
          <w:tcPr>
            <w:tcW w:w="1020" w:type="dxa"/>
            <w:gridSpan w:val="2"/>
            <w:tcBorders>
              <w:top w:val="single" w:sz="4" w:space="0" w:color="auto"/>
              <w:left w:val="nil"/>
              <w:bottom w:val="single" w:sz="4" w:space="0" w:color="auto"/>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564,488 </w:t>
            </w:r>
          </w:p>
        </w:tc>
        <w:tc>
          <w:tcPr>
            <w:tcW w:w="1020" w:type="dxa"/>
            <w:gridSpan w:val="2"/>
            <w:tcBorders>
              <w:top w:val="single" w:sz="4" w:space="0" w:color="auto"/>
              <w:left w:val="nil"/>
              <w:bottom w:val="single" w:sz="4" w:space="0" w:color="auto"/>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54</w:t>
            </w:r>
            <w:r w:rsidR="000A623A">
              <w:rPr>
                <w:rFonts w:ascii="Arial" w:hAnsi="Arial" w:cs="Arial"/>
                <w:color w:val="000000"/>
                <w:sz w:val="16"/>
                <w:szCs w:val="16"/>
              </w:rPr>
              <w:t>0</w:t>
            </w:r>
            <w:r>
              <w:rPr>
                <w:rFonts w:ascii="Arial" w:hAnsi="Arial" w:cs="Arial"/>
                <w:color w:val="000000"/>
                <w:sz w:val="16"/>
                <w:szCs w:val="16"/>
              </w:rPr>
              <w:t>,</w:t>
            </w:r>
            <w:r w:rsidR="000A623A">
              <w:rPr>
                <w:rFonts w:ascii="Arial" w:hAnsi="Arial" w:cs="Arial"/>
                <w:color w:val="000000"/>
                <w:sz w:val="16"/>
                <w:szCs w:val="16"/>
              </w:rPr>
              <w:t>281</w:t>
            </w:r>
            <w:r>
              <w:rPr>
                <w:rFonts w:ascii="Arial" w:hAnsi="Arial" w:cs="Arial"/>
                <w:color w:val="000000"/>
                <w:sz w:val="16"/>
                <w:szCs w:val="16"/>
              </w:rPr>
              <w:t xml:space="preserve">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b/>
                <w:bCs/>
                <w:i/>
                <w:iCs/>
                <w:color w:val="000000"/>
                <w:sz w:val="16"/>
                <w:szCs w:val="16"/>
              </w:rPr>
            </w:pPr>
            <w:r w:rsidRPr="0030668E">
              <w:rPr>
                <w:rFonts w:ascii="Arial" w:hAnsi="Arial" w:cs="Arial"/>
                <w:b/>
                <w:bCs/>
                <w:i/>
                <w:iCs/>
                <w:color w:val="000000"/>
                <w:sz w:val="16"/>
                <w:szCs w:val="16"/>
              </w:rPr>
              <w:t>Total departmental resourcing</w:t>
            </w:r>
          </w:p>
        </w:tc>
        <w:tc>
          <w:tcPr>
            <w:tcW w:w="1020" w:type="dxa"/>
            <w:gridSpan w:val="2"/>
            <w:tcBorders>
              <w:top w:val="nil"/>
              <w:left w:val="nil"/>
              <w:bottom w:val="single" w:sz="4" w:space="0" w:color="auto"/>
              <w:right w:val="nil"/>
            </w:tcBorders>
            <w:shd w:val="clear" w:color="000000" w:fill="FFFFFF"/>
            <w:vAlign w:val="center"/>
            <w:hideMark/>
          </w:tcPr>
          <w:p w:rsidR="00FE0499" w:rsidRDefault="00FE0499" w:rsidP="0035788E">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564,488 </w:t>
            </w:r>
          </w:p>
        </w:tc>
        <w:tc>
          <w:tcPr>
            <w:tcW w:w="1020" w:type="dxa"/>
            <w:gridSpan w:val="2"/>
            <w:tcBorders>
              <w:top w:val="nil"/>
              <w:left w:val="nil"/>
              <w:bottom w:val="single" w:sz="4" w:space="0" w:color="auto"/>
              <w:right w:val="nil"/>
            </w:tcBorders>
            <w:shd w:val="clear" w:color="000000" w:fill="E6E6E6"/>
            <w:vAlign w:val="center"/>
            <w:hideMark/>
          </w:tcPr>
          <w:p w:rsidR="00FE0499" w:rsidRDefault="00FE0499" w:rsidP="0035788E">
            <w:pPr>
              <w:spacing w:after="0" w:line="240" w:lineRule="auto"/>
              <w:jc w:val="right"/>
              <w:rPr>
                <w:rFonts w:ascii="Arial" w:hAnsi="Arial" w:cs="Arial"/>
                <w:b/>
                <w:bCs/>
                <w:color w:val="000000"/>
                <w:sz w:val="16"/>
                <w:szCs w:val="16"/>
              </w:rPr>
            </w:pPr>
            <w:r>
              <w:rPr>
                <w:rFonts w:ascii="Arial" w:hAnsi="Arial" w:cs="Arial"/>
                <w:b/>
                <w:bCs/>
                <w:color w:val="000000"/>
                <w:sz w:val="16"/>
                <w:szCs w:val="16"/>
              </w:rPr>
              <w:t>54</w:t>
            </w:r>
            <w:r w:rsidR="000A623A">
              <w:rPr>
                <w:rFonts w:ascii="Arial" w:hAnsi="Arial" w:cs="Arial"/>
                <w:b/>
                <w:bCs/>
                <w:color w:val="000000"/>
                <w:sz w:val="16"/>
                <w:szCs w:val="16"/>
              </w:rPr>
              <w:t>0</w:t>
            </w:r>
            <w:r>
              <w:rPr>
                <w:rFonts w:ascii="Arial" w:hAnsi="Arial" w:cs="Arial"/>
                <w:b/>
                <w:bCs/>
                <w:color w:val="000000"/>
                <w:sz w:val="16"/>
                <w:szCs w:val="16"/>
              </w:rPr>
              <w:t>,</w:t>
            </w:r>
            <w:r w:rsidR="000A623A">
              <w:rPr>
                <w:rFonts w:ascii="Arial" w:hAnsi="Arial" w:cs="Arial"/>
                <w:b/>
                <w:bCs/>
                <w:color w:val="000000"/>
                <w:sz w:val="16"/>
                <w:szCs w:val="16"/>
              </w:rPr>
              <w:t>281</w:t>
            </w:r>
            <w:r>
              <w:rPr>
                <w:rFonts w:ascii="Arial" w:hAnsi="Arial" w:cs="Arial"/>
                <w:b/>
                <w:bCs/>
                <w:color w:val="000000"/>
                <w:sz w:val="16"/>
                <w:szCs w:val="16"/>
              </w:rPr>
              <w:t xml:space="preserve">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Administered</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Annual appropriations—ordinary annual services (a)</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Prior year appropriations available</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Outcome 1</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1,685,365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1,623,942 </w:t>
            </w:r>
          </w:p>
        </w:tc>
      </w:tr>
      <w:tr w:rsidR="00FE0499" w:rsidRPr="0030668E" w:rsidTr="0035788E">
        <w:trPr>
          <w:trHeight w:val="231"/>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Outcome 2</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38,217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38,884 </w:t>
            </w:r>
          </w:p>
        </w:tc>
      </w:tr>
      <w:tr w:rsidR="00FE0499" w:rsidRPr="0030668E" w:rsidTr="0035788E">
        <w:trPr>
          <w:trHeight w:val="231"/>
        </w:trPr>
        <w:tc>
          <w:tcPr>
            <w:tcW w:w="5669" w:type="dxa"/>
            <w:tcBorders>
              <w:top w:val="nil"/>
              <w:left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Payments to corporate entities (f)</w:t>
            </w:r>
          </w:p>
        </w:tc>
        <w:tc>
          <w:tcPr>
            <w:tcW w:w="1020" w:type="dxa"/>
            <w:gridSpan w:val="2"/>
            <w:tcBorders>
              <w:top w:val="nil"/>
              <w:left w:val="nil"/>
              <w:bottom w:val="nil"/>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6,020 </w:t>
            </w:r>
          </w:p>
        </w:tc>
        <w:tc>
          <w:tcPr>
            <w:tcW w:w="1020" w:type="dxa"/>
            <w:gridSpan w:val="2"/>
            <w:tcBorders>
              <w:top w:val="nil"/>
              <w:left w:val="nil"/>
              <w:bottom w:val="nil"/>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r w:rsidR="00FE0499" w:rsidRPr="0030668E" w:rsidTr="0035788E">
        <w:trPr>
          <w:trHeight w:val="231"/>
        </w:trPr>
        <w:tc>
          <w:tcPr>
            <w:tcW w:w="5669" w:type="dxa"/>
            <w:tcBorders>
              <w:top w:val="nil"/>
              <w:left w:val="nil"/>
              <w:right w:val="nil"/>
            </w:tcBorders>
            <w:shd w:val="clear" w:color="000000" w:fill="FFFFFF"/>
            <w:vAlign w:val="center"/>
            <w:hideMark/>
          </w:tcPr>
          <w:p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Total administered annual appropriations</w:t>
            </w:r>
          </w:p>
        </w:tc>
        <w:tc>
          <w:tcPr>
            <w:tcW w:w="1020" w:type="dxa"/>
            <w:gridSpan w:val="2"/>
            <w:tcBorders>
              <w:top w:val="single" w:sz="4" w:space="0" w:color="auto"/>
              <w:left w:val="nil"/>
              <w:bottom w:val="single" w:sz="4" w:space="0" w:color="auto"/>
              <w:right w:val="nil"/>
            </w:tcBorders>
            <w:shd w:val="clear" w:color="000000" w:fill="FFFFFF"/>
            <w:vAlign w:val="center"/>
            <w:hideMark/>
          </w:tcPr>
          <w:p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1,729,602 </w:t>
            </w:r>
          </w:p>
        </w:tc>
        <w:tc>
          <w:tcPr>
            <w:tcW w:w="1020" w:type="dxa"/>
            <w:gridSpan w:val="2"/>
            <w:tcBorders>
              <w:top w:val="single" w:sz="4" w:space="0" w:color="auto"/>
              <w:left w:val="nil"/>
              <w:bottom w:val="single" w:sz="4" w:space="0" w:color="auto"/>
              <w:right w:val="nil"/>
            </w:tcBorders>
            <w:shd w:val="clear" w:color="000000" w:fill="E6E6E6"/>
            <w:vAlign w:val="center"/>
            <w:hideMark/>
          </w:tcPr>
          <w:p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1,668,815 </w:t>
            </w:r>
          </w:p>
        </w:tc>
      </w:tr>
      <w:tr w:rsidR="0039616A" w:rsidRPr="0030668E" w:rsidTr="0035788E">
        <w:trPr>
          <w:trHeight w:val="231"/>
        </w:trPr>
        <w:tc>
          <w:tcPr>
            <w:tcW w:w="5669" w:type="dxa"/>
            <w:tcBorders>
              <w:left w:val="nil"/>
              <w:bottom w:val="nil"/>
              <w:right w:val="nil"/>
            </w:tcBorders>
            <w:shd w:val="clear" w:color="000000" w:fill="FFFFFF"/>
            <w:vAlign w:val="center"/>
            <w:hideMark/>
          </w:tcPr>
          <w:p w:rsidR="0039616A" w:rsidRPr="0030668E" w:rsidRDefault="0039616A"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Special Appropriations</w:t>
            </w:r>
          </w:p>
        </w:tc>
        <w:tc>
          <w:tcPr>
            <w:tcW w:w="1020" w:type="dxa"/>
            <w:gridSpan w:val="2"/>
            <w:tcBorders>
              <w:top w:val="nil"/>
              <w:left w:val="nil"/>
              <w:bottom w:val="nil"/>
              <w:right w:val="nil"/>
            </w:tcBorders>
            <w:shd w:val="clear" w:color="000000" w:fill="FFFFFF"/>
            <w:vAlign w:val="center"/>
            <w:hideMark/>
          </w:tcPr>
          <w:p w:rsidR="0039616A" w:rsidRDefault="0039616A"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rsidR="0039616A" w:rsidRDefault="0039616A"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39616A" w:rsidRPr="0030668E" w:rsidTr="0035788E">
        <w:trPr>
          <w:trHeight w:val="231"/>
        </w:trPr>
        <w:tc>
          <w:tcPr>
            <w:tcW w:w="5669" w:type="dxa"/>
            <w:tcBorders>
              <w:top w:val="nil"/>
              <w:left w:val="nil"/>
              <w:bottom w:val="nil"/>
              <w:right w:val="nil"/>
            </w:tcBorders>
            <w:shd w:val="clear" w:color="000000" w:fill="FFFFFF"/>
            <w:vAlign w:val="center"/>
            <w:hideMark/>
          </w:tcPr>
          <w:p w:rsidR="0039616A" w:rsidRPr="0030668E" w:rsidRDefault="0039616A"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Special Appropriations limited by criteria/entitlement</w:t>
            </w:r>
          </w:p>
        </w:tc>
        <w:tc>
          <w:tcPr>
            <w:tcW w:w="1020" w:type="dxa"/>
            <w:gridSpan w:val="2"/>
            <w:tcBorders>
              <w:top w:val="nil"/>
              <w:left w:val="nil"/>
              <w:bottom w:val="nil"/>
              <w:right w:val="nil"/>
            </w:tcBorders>
            <w:shd w:val="clear" w:color="000000" w:fill="FFFFFF"/>
            <w:vAlign w:val="center"/>
            <w:hideMark/>
          </w:tcPr>
          <w:p w:rsidR="0039616A" w:rsidRDefault="0039616A"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rsidR="0039616A" w:rsidRDefault="0039616A"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3637D3" w:rsidRPr="0030668E" w:rsidTr="0035788E">
        <w:trPr>
          <w:trHeight w:val="227"/>
        </w:trPr>
        <w:tc>
          <w:tcPr>
            <w:tcW w:w="5669" w:type="dxa"/>
            <w:tcBorders>
              <w:top w:val="nil"/>
              <w:left w:val="nil"/>
              <w:bottom w:val="nil"/>
              <w:right w:val="nil"/>
            </w:tcBorders>
            <w:shd w:val="clear" w:color="000000" w:fill="FFFFFF"/>
            <w:vAlign w:val="center"/>
            <w:hideMark/>
          </w:tcPr>
          <w:p w:rsidR="003637D3" w:rsidRPr="0030668E" w:rsidRDefault="003637D3" w:rsidP="0035788E">
            <w:pPr>
              <w:spacing w:after="0" w:line="240" w:lineRule="auto"/>
              <w:ind w:firstLineChars="100" w:firstLine="160"/>
              <w:rPr>
                <w:rFonts w:ascii="Arial" w:hAnsi="Arial" w:cs="Arial"/>
                <w:i/>
                <w:iCs/>
                <w:color w:val="000000"/>
                <w:sz w:val="16"/>
                <w:szCs w:val="16"/>
              </w:rPr>
            </w:pPr>
            <w:r w:rsidRPr="0030668E">
              <w:rPr>
                <w:rFonts w:ascii="Arial" w:hAnsi="Arial" w:cs="Arial"/>
                <w:i/>
                <w:iCs/>
                <w:color w:val="000000"/>
                <w:sz w:val="16"/>
                <w:szCs w:val="16"/>
              </w:rPr>
              <w:t>Public Governance, Performance and Accountability Act 2013—s77</w:t>
            </w:r>
          </w:p>
        </w:tc>
        <w:tc>
          <w:tcPr>
            <w:tcW w:w="1020" w:type="dxa"/>
            <w:gridSpan w:val="2"/>
            <w:tcBorders>
              <w:top w:val="nil"/>
              <w:left w:val="nil"/>
              <w:bottom w:val="nil"/>
              <w:right w:val="nil"/>
            </w:tcBorders>
            <w:shd w:val="clear" w:color="000000" w:fill="FFFFFF"/>
            <w:vAlign w:val="center"/>
            <w:hideMark/>
          </w:tcPr>
          <w:p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 </w:t>
            </w:r>
          </w:p>
        </w:tc>
        <w:tc>
          <w:tcPr>
            <w:tcW w:w="1020" w:type="dxa"/>
            <w:gridSpan w:val="2"/>
            <w:tcBorders>
              <w:top w:val="nil"/>
              <w:left w:val="nil"/>
              <w:bottom w:val="nil"/>
              <w:right w:val="nil"/>
            </w:tcBorders>
            <w:shd w:val="clear" w:color="000000" w:fill="E6E6E6"/>
            <w:vAlign w:val="center"/>
            <w:hideMark/>
          </w:tcPr>
          <w:p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30 </w:t>
            </w:r>
          </w:p>
        </w:tc>
      </w:tr>
      <w:tr w:rsidR="003637D3" w:rsidRPr="0030668E" w:rsidTr="0035788E">
        <w:trPr>
          <w:trHeight w:val="231"/>
        </w:trPr>
        <w:tc>
          <w:tcPr>
            <w:tcW w:w="5669" w:type="dxa"/>
            <w:tcBorders>
              <w:top w:val="nil"/>
              <w:left w:val="nil"/>
              <w:bottom w:val="nil"/>
              <w:right w:val="nil"/>
            </w:tcBorders>
            <w:shd w:val="clear" w:color="000000" w:fill="FFFFFF"/>
            <w:vAlign w:val="center"/>
            <w:hideMark/>
          </w:tcPr>
          <w:p w:rsidR="003637D3" w:rsidRPr="0030668E" w:rsidRDefault="003637D3" w:rsidP="001338A6">
            <w:pPr>
              <w:spacing w:after="0" w:line="240" w:lineRule="auto"/>
              <w:ind w:firstLineChars="100" w:firstLine="160"/>
              <w:rPr>
                <w:rFonts w:ascii="Arial" w:hAnsi="Arial" w:cs="Arial"/>
                <w:i/>
                <w:iCs/>
                <w:color w:val="000000"/>
                <w:sz w:val="16"/>
                <w:szCs w:val="16"/>
              </w:rPr>
            </w:pPr>
            <w:r w:rsidRPr="0030668E">
              <w:rPr>
                <w:rFonts w:ascii="Arial" w:hAnsi="Arial" w:cs="Arial"/>
                <w:i/>
                <w:iCs/>
                <w:color w:val="000000"/>
                <w:sz w:val="16"/>
                <w:szCs w:val="16"/>
              </w:rPr>
              <w:t xml:space="preserve">Coal Mining Industry (Long Service Leave) </w:t>
            </w:r>
            <w:r w:rsidR="001338A6">
              <w:rPr>
                <w:rFonts w:ascii="Arial" w:hAnsi="Arial" w:cs="Arial"/>
                <w:i/>
                <w:iCs/>
                <w:color w:val="000000"/>
                <w:sz w:val="16"/>
                <w:szCs w:val="16"/>
              </w:rPr>
              <w:t xml:space="preserve">Administration </w:t>
            </w:r>
            <w:r w:rsidRPr="0030668E">
              <w:rPr>
                <w:rFonts w:ascii="Arial" w:hAnsi="Arial" w:cs="Arial"/>
                <w:i/>
                <w:iCs/>
                <w:color w:val="000000"/>
                <w:sz w:val="16"/>
                <w:szCs w:val="16"/>
              </w:rPr>
              <w:t>Act 1992</w:t>
            </w:r>
          </w:p>
        </w:tc>
        <w:tc>
          <w:tcPr>
            <w:tcW w:w="1020" w:type="dxa"/>
            <w:gridSpan w:val="2"/>
            <w:tcBorders>
              <w:top w:val="nil"/>
              <w:left w:val="nil"/>
              <w:bottom w:val="nil"/>
              <w:right w:val="nil"/>
            </w:tcBorders>
            <w:shd w:val="clear" w:color="000000" w:fill="FFFFFF"/>
            <w:vAlign w:val="center"/>
            <w:hideMark/>
          </w:tcPr>
          <w:p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143,670 </w:t>
            </w:r>
          </w:p>
        </w:tc>
        <w:tc>
          <w:tcPr>
            <w:tcW w:w="1020" w:type="dxa"/>
            <w:gridSpan w:val="2"/>
            <w:tcBorders>
              <w:top w:val="nil"/>
              <w:left w:val="nil"/>
              <w:bottom w:val="nil"/>
              <w:right w:val="nil"/>
            </w:tcBorders>
            <w:shd w:val="clear" w:color="000000" w:fill="E6E6E6"/>
            <w:vAlign w:val="center"/>
            <w:hideMark/>
          </w:tcPr>
          <w:p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113,150 </w:t>
            </w:r>
          </w:p>
        </w:tc>
      </w:tr>
      <w:tr w:rsidR="003637D3" w:rsidRPr="0030668E" w:rsidTr="0035788E">
        <w:trPr>
          <w:trHeight w:val="231"/>
        </w:trPr>
        <w:tc>
          <w:tcPr>
            <w:tcW w:w="5669" w:type="dxa"/>
            <w:tcBorders>
              <w:top w:val="nil"/>
              <w:left w:val="nil"/>
              <w:bottom w:val="nil"/>
              <w:right w:val="nil"/>
            </w:tcBorders>
            <w:shd w:val="clear" w:color="000000" w:fill="FFFFFF"/>
            <w:vAlign w:val="center"/>
            <w:hideMark/>
          </w:tcPr>
          <w:p w:rsidR="003637D3" w:rsidRPr="0030668E" w:rsidRDefault="003637D3" w:rsidP="0035788E">
            <w:pPr>
              <w:spacing w:after="0" w:line="240" w:lineRule="auto"/>
              <w:ind w:firstLineChars="100" w:firstLine="160"/>
              <w:rPr>
                <w:rFonts w:ascii="Arial" w:hAnsi="Arial" w:cs="Arial"/>
                <w:i/>
                <w:iCs/>
                <w:color w:val="000000"/>
                <w:sz w:val="16"/>
                <w:szCs w:val="16"/>
              </w:rPr>
            </w:pPr>
            <w:r w:rsidRPr="0030668E">
              <w:rPr>
                <w:rFonts w:ascii="Arial" w:hAnsi="Arial" w:cs="Arial"/>
                <w:i/>
                <w:iCs/>
                <w:color w:val="000000"/>
                <w:sz w:val="16"/>
                <w:szCs w:val="16"/>
              </w:rPr>
              <w:t>Safety, Rehabilitation and Compensation Act 1988</w:t>
            </w:r>
          </w:p>
        </w:tc>
        <w:tc>
          <w:tcPr>
            <w:tcW w:w="1020" w:type="dxa"/>
            <w:gridSpan w:val="2"/>
            <w:tcBorders>
              <w:top w:val="nil"/>
              <w:left w:val="nil"/>
              <w:bottom w:val="nil"/>
              <w:right w:val="nil"/>
            </w:tcBorders>
            <w:shd w:val="clear" w:color="000000" w:fill="FFFFFF"/>
            <w:vAlign w:val="center"/>
            <w:hideMark/>
          </w:tcPr>
          <w:p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30,697 </w:t>
            </w:r>
          </w:p>
        </w:tc>
        <w:tc>
          <w:tcPr>
            <w:tcW w:w="1020" w:type="dxa"/>
            <w:gridSpan w:val="2"/>
            <w:tcBorders>
              <w:top w:val="nil"/>
              <w:left w:val="nil"/>
              <w:bottom w:val="nil"/>
              <w:right w:val="nil"/>
            </w:tcBorders>
            <w:shd w:val="clear" w:color="000000" w:fill="E6E6E6"/>
            <w:vAlign w:val="center"/>
            <w:hideMark/>
          </w:tcPr>
          <w:p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31,227 </w:t>
            </w:r>
          </w:p>
        </w:tc>
      </w:tr>
      <w:tr w:rsidR="003637D3" w:rsidRPr="0030668E" w:rsidTr="0035788E">
        <w:trPr>
          <w:trHeight w:val="397"/>
        </w:trPr>
        <w:tc>
          <w:tcPr>
            <w:tcW w:w="5669" w:type="dxa"/>
            <w:tcBorders>
              <w:top w:val="nil"/>
              <w:left w:val="nil"/>
              <w:bottom w:val="nil"/>
              <w:right w:val="nil"/>
            </w:tcBorders>
            <w:shd w:val="clear" w:color="000000" w:fill="FFFFFF"/>
            <w:vAlign w:val="center"/>
            <w:hideMark/>
          </w:tcPr>
          <w:p w:rsidR="003637D3" w:rsidRPr="0030668E" w:rsidRDefault="003637D3" w:rsidP="0035788E">
            <w:pPr>
              <w:spacing w:after="0" w:line="240" w:lineRule="auto"/>
              <w:ind w:leftChars="100" w:left="360" w:hangingChars="100" w:hanging="160"/>
              <w:rPr>
                <w:rFonts w:ascii="Arial" w:hAnsi="Arial" w:cs="Arial"/>
                <w:i/>
                <w:iCs/>
                <w:color w:val="000000"/>
                <w:sz w:val="16"/>
                <w:szCs w:val="16"/>
              </w:rPr>
            </w:pPr>
            <w:r w:rsidRPr="0030668E">
              <w:rPr>
                <w:rFonts w:ascii="Arial" w:hAnsi="Arial" w:cs="Arial"/>
                <w:i/>
                <w:iCs/>
                <w:color w:val="000000"/>
                <w:sz w:val="16"/>
                <w:szCs w:val="16"/>
              </w:rPr>
              <w:t>Asbestos-related Claims (Management o</w:t>
            </w:r>
            <w:r>
              <w:rPr>
                <w:rFonts w:ascii="Arial" w:hAnsi="Arial" w:cs="Arial"/>
                <w:i/>
                <w:iCs/>
                <w:color w:val="000000"/>
                <w:sz w:val="16"/>
                <w:szCs w:val="16"/>
              </w:rPr>
              <w:t>f Commonwealth Liabilities) Act </w:t>
            </w:r>
            <w:r w:rsidRPr="0030668E">
              <w:rPr>
                <w:rFonts w:ascii="Arial" w:hAnsi="Arial" w:cs="Arial"/>
                <w:i/>
                <w:iCs/>
                <w:color w:val="000000"/>
                <w:sz w:val="16"/>
                <w:szCs w:val="16"/>
              </w:rPr>
              <w:t>2005</w:t>
            </w:r>
          </w:p>
        </w:tc>
        <w:tc>
          <w:tcPr>
            <w:tcW w:w="1020" w:type="dxa"/>
            <w:gridSpan w:val="2"/>
            <w:tcBorders>
              <w:top w:val="nil"/>
              <w:left w:val="nil"/>
              <w:bottom w:val="nil"/>
              <w:right w:val="nil"/>
            </w:tcBorders>
            <w:shd w:val="clear" w:color="000000" w:fill="FFFFFF"/>
            <w:vAlign w:val="center"/>
            <w:hideMark/>
          </w:tcPr>
          <w:p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24,675 </w:t>
            </w:r>
          </w:p>
        </w:tc>
        <w:tc>
          <w:tcPr>
            <w:tcW w:w="1020" w:type="dxa"/>
            <w:gridSpan w:val="2"/>
            <w:tcBorders>
              <w:top w:val="nil"/>
              <w:left w:val="nil"/>
              <w:bottom w:val="nil"/>
              <w:right w:val="nil"/>
            </w:tcBorders>
            <w:shd w:val="clear" w:color="000000" w:fill="E6E6E6"/>
            <w:vAlign w:val="center"/>
            <w:hideMark/>
          </w:tcPr>
          <w:p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29,309 </w:t>
            </w:r>
          </w:p>
        </w:tc>
      </w:tr>
      <w:tr w:rsidR="003637D3" w:rsidRPr="0030668E" w:rsidTr="0035788E">
        <w:trPr>
          <w:trHeight w:val="231"/>
        </w:trPr>
        <w:tc>
          <w:tcPr>
            <w:tcW w:w="5669" w:type="dxa"/>
            <w:tcBorders>
              <w:top w:val="nil"/>
              <w:left w:val="nil"/>
              <w:bottom w:val="nil"/>
              <w:right w:val="nil"/>
            </w:tcBorders>
            <w:shd w:val="clear" w:color="000000" w:fill="FFFFFF"/>
            <w:vAlign w:val="center"/>
            <w:hideMark/>
          </w:tcPr>
          <w:p w:rsidR="003637D3" w:rsidRPr="0030668E" w:rsidRDefault="003637D3" w:rsidP="0035788E">
            <w:pPr>
              <w:spacing w:after="0" w:line="240" w:lineRule="auto"/>
              <w:ind w:firstLineChars="100" w:firstLine="160"/>
              <w:rPr>
                <w:rFonts w:ascii="Arial" w:hAnsi="Arial" w:cs="Arial"/>
                <w:i/>
                <w:iCs/>
                <w:color w:val="000000"/>
                <w:sz w:val="16"/>
                <w:szCs w:val="16"/>
              </w:rPr>
            </w:pPr>
            <w:r w:rsidRPr="0030668E">
              <w:rPr>
                <w:rFonts w:ascii="Arial" w:hAnsi="Arial" w:cs="Arial"/>
                <w:i/>
                <w:iCs/>
                <w:color w:val="000000"/>
                <w:sz w:val="16"/>
                <w:szCs w:val="16"/>
              </w:rPr>
              <w:t>Fair Entitlements Guarantee Act 2012</w:t>
            </w:r>
          </w:p>
        </w:tc>
        <w:tc>
          <w:tcPr>
            <w:tcW w:w="1020" w:type="dxa"/>
            <w:gridSpan w:val="2"/>
            <w:tcBorders>
              <w:top w:val="nil"/>
              <w:left w:val="nil"/>
              <w:bottom w:val="nil"/>
              <w:right w:val="nil"/>
            </w:tcBorders>
            <w:shd w:val="clear" w:color="000000" w:fill="FFFFFF"/>
            <w:vAlign w:val="center"/>
            <w:hideMark/>
          </w:tcPr>
          <w:p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204,587 </w:t>
            </w:r>
          </w:p>
        </w:tc>
        <w:tc>
          <w:tcPr>
            <w:tcW w:w="1020" w:type="dxa"/>
            <w:gridSpan w:val="2"/>
            <w:tcBorders>
              <w:top w:val="nil"/>
              <w:left w:val="nil"/>
              <w:bottom w:val="nil"/>
              <w:right w:val="nil"/>
            </w:tcBorders>
            <w:shd w:val="clear" w:color="000000" w:fill="E6E6E6"/>
            <w:vAlign w:val="center"/>
            <w:hideMark/>
          </w:tcPr>
          <w:p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220,716 </w:t>
            </w:r>
          </w:p>
        </w:tc>
      </w:tr>
      <w:tr w:rsidR="003637D3" w:rsidRPr="0030668E" w:rsidTr="0035788E">
        <w:trPr>
          <w:trHeight w:val="231"/>
        </w:trPr>
        <w:tc>
          <w:tcPr>
            <w:tcW w:w="5669" w:type="dxa"/>
            <w:tcBorders>
              <w:top w:val="nil"/>
              <w:left w:val="nil"/>
              <w:bottom w:val="nil"/>
              <w:right w:val="nil"/>
            </w:tcBorders>
            <w:shd w:val="clear" w:color="000000" w:fill="FFFFFF"/>
            <w:vAlign w:val="center"/>
            <w:hideMark/>
          </w:tcPr>
          <w:p w:rsidR="003637D3" w:rsidRPr="0030668E" w:rsidRDefault="003637D3" w:rsidP="0035788E">
            <w:pPr>
              <w:spacing w:after="0" w:line="240" w:lineRule="auto"/>
              <w:rPr>
                <w:rFonts w:ascii="Arial" w:hAnsi="Arial" w:cs="Arial"/>
                <w:color w:val="000000"/>
                <w:sz w:val="16"/>
                <w:szCs w:val="16"/>
              </w:rPr>
            </w:pPr>
            <w:r w:rsidRPr="0030668E">
              <w:rPr>
                <w:rFonts w:ascii="Arial" w:hAnsi="Arial" w:cs="Arial"/>
                <w:color w:val="000000"/>
                <w:sz w:val="16"/>
                <w:szCs w:val="16"/>
              </w:rPr>
              <w:t>Total administered annual appropriations</w:t>
            </w:r>
          </w:p>
        </w:tc>
        <w:tc>
          <w:tcPr>
            <w:tcW w:w="1020" w:type="dxa"/>
            <w:gridSpan w:val="2"/>
            <w:tcBorders>
              <w:top w:val="single" w:sz="4" w:space="0" w:color="auto"/>
              <w:left w:val="nil"/>
              <w:bottom w:val="single" w:sz="4" w:space="0" w:color="auto"/>
              <w:right w:val="nil"/>
            </w:tcBorders>
            <w:shd w:val="clear" w:color="000000" w:fill="FFFFFF"/>
            <w:vAlign w:val="center"/>
            <w:hideMark/>
          </w:tcPr>
          <w:p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403,659 </w:t>
            </w:r>
          </w:p>
        </w:tc>
        <w:tc>
          <w:tcPr>
            <w:tcW w:w="1020" w:type="dxa"/>
            <w:gridSpan w:val="2"/>
            <w:tcBorders>
              <w:top w:val="single" w:sz="4" w:space="0" w:color="auto"/>
              <w:left w:val="nil"/>
              <w:bottom w:val="single" w:sz="4" w:space="0" w:color="auto"/>
              <w:right w:val="nil"/>
            </w:tcBorders>
            <w:shd w:val="clear" w:color="000000" w:fill="E6E6E6"/>
            <w:vAlign w:val="center"/>
            <w:hideMark/>
          </w:tcPr>
          <w:p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394,432 </w:t>
            </w:r>
          </w:p>
        </w:tc>
      </w:tr>
      <w:tr w:rsidR="003637D3" w:rsidRPr="0030668E" w:rsidTr="0035788E">
        <w:trPr>
          <w:trHeight w:val="232"/>
        </w:trPr>
        <w:tc>
          <w:tcPr>
            <w:tcW w:w="5669" w:type="dxa"/>
            <w:tcBorders>
              <w:top w:val="nil"/>
              <w:left w:val="nil"/>
              <w:bottom w:val="nil"/>
              <w:right w:val="nil"/>
            </w:tcBorders>
            <w:shd w:val="clear" w:color="000000" w:fill="FFFFFF"/>
            <w:vAlign w:val="center"/>
            <w:hideMark/>
          </w:tcPr>
          <w:p w:rsidR="003637D3" w:rsidRPr="0030668E" w:rsidRDefault="003637D3" w:rsidP="0035788E">
            <w:pPr>
              <w:spacing w:after="0" w:line="240" w:lineRule="auto"/>
              <w:rPr>
                <w:rFonts w:ascii="Arial" w:hAnsi="Arial" w:cs="Arial"/>
                <w:i/>
                <w:iCs/>
                <w:color w:val="000000"/>
                <w:sz w:val="16"/>
                <w:szCs w:val="16"/>
              </w:rPr>
            </w:pPr>
            <w:r w:rsidRPr="0030668E">
              <w:rPr>
                <w:rFonts w:ascii="Arial" w:hAnsi="Arial" w:cs="Arial"/>
                <w:i/>
                <w:iCs/>
                <w:color w:val="000000"/>
                <w:sz w:val="16"/>
                <w:szCs w:val="16"/>
              </w:rPr>
              <w:t>less payments to corporate entities from annual/special appropriations</w:t>
            </w:r>
          </w:p>
        </w:tc>
        <w:tc>
          <w:tcPr>
            <w:tcW w:w="1020" w:type="dxa"/>
            <w:gridSpan w:val="2"/>
            <w:tcBorders>
              <w:top w:val="nil"/>
              <w:left w:val="nil"/>
              <w:bottom w:val="nil"/>
              <w:right w:val="nil"/>
            </w:tcBorders>
            <w:shd w:val="clear" w:color="000000" w:fill="FFFFFF"/>
            <w:vAlign w:val="center"/>
            <w:hideMark/>
          </w:tcPr>
          <w:p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6,020 </w:t>
            </w:r>
          </w:p>
        </w:tc>
        <w:tc>
          <w:tcPr>
            <w:tcW w:w="1020" w:type="dxa"/>
            <w:gridSpan w:val="2"/>
            <w:tcBorders>
              <w:top w:val="nil"/>
              <w:left w:val="nil"/>
              <w:bottom w:val="nil"/>
              <w:right w:val="nil"/>
            </w:tcBorders>
            <w:shd w:val="clear" w:color="000000" w:fill="E6E6E6"/>
            <w:vAlign w:val="center"/>
            <w:hideMark/>
          </w:tcPr>
          <w:p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r w:rsidR="00FE0499" w:rsidRPr="0030668E" w:rsidTr="0035788E">
        <w:trPr>
          <w:trHeight w:val="247"/>
        </w:trPr>
        <w:tc>
          <w:tcPr>
            <w:tcW w:w="5669" w:type="dxa"/>
            <w:tcBorders>
              <w:top w:val="nil"/>
              <w:left w:val="nil"/>
              <w:bottom w:val="nil"/>
              <w:right w:val="nil"/>
            </w:tcBorders>
            <w:shd w:val="clear" w:color="000000" w:fill="FFFFFF"/>
            <w:vAlign w:val="center"/>
            <w:hideMark/>
          </w:tcPr>
          <w:p w:rsidR="00FE0499" w:rsidRPr="0030668E" w:rsidRDefault="00FE0499"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Total administered resourcing</w:t>
            </w:r>
          </w:p>
        </w:tc>
        <w:tc>
          <w:tcPr>
            <w:tcW w:w="1020" w:type="dxa"/>
            <w:gridSpan w:val="2"/>
            <w:tcBorders>
              <w:top w:val="single" w:sz="4" w:space="0" w:color="auto"/>
              <w:left w:val="nil"/>
              <w:bottom w:val="single" w:sz="4" w:space="0" w:color="auto"/>
              <w:right w:val="nil"/>
            </w:tcBorders>
            <w:shd w:val="clear" w:color="000000" w:fill="FFFFFF"/>
            <w:vAlign w:val="center"/>
            <w:hideMark/>
          </w:tcPr>
          <w:p w:rsidR="00FE0499" w:rsidRDefault="00FE0499" w:rsidP="0035788E">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2,127,241 </w:t>
            </w:r>
          </w:p>
        </w:tc>
        <w:tc>
          <w:tcPr>
            <w:tcW w:w="1020" w:type="dxa"/>
            <w:gridSpan w:val="2"/>
            <w:tcBorders>
              <w:top w:val="single" w:sz="4" w:space="0" w:color="auto"/>
              <w:left w:val="nil"/>
              <w:bottom w:val="single" w:sz="4" w:space="0" w:color="auto"/>
              <w:right w:val="nil"/>
            </w:tcBorders>
            <w:shd w:val="clear" w:color="000000" w:fill="E6E6E6"/>
            <w:vAlign w:val="center"/>
            <w:hideMark/>
          </w:tcPr>
          <w:p w:rsidR="00FE0499" w:rsidRDefault="00FE0499" w:rsidP="003578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2,057,258 </w:t>
            </w:r>
          </w:p>
        </w:tc>
      </w:tr>
      <w:tr w:rsidR="00FE0499" w:rsidRPr="0030668E" w:rsidTr="0022045F">
        <w:trPr>
          <w:trHeight w:val="232"/>
        </w:trPr>
        <w:tc>
          <w:tcPr>
            <w:tcW w:w="5669" w:type="dxa"/>
            <w:tcBorders>
              <w:top w:val="nil"/>
              <w:left w:val="nil"/>
              <w:bottom w:val="single" w:sz="4" w:space="0" w:color="auto"/>
              <w:right w:val="nil"/>
            </w:tcBorders>
            <w:shd w:val="clear" w:color="000000" w:fill="FFFFFF"/>
            <w:vAlign w:val="bottom"/>
            <w:hideMark/>
          </w:tcPr>
          <w:p w:rsidR="00FE0499" w:rsidRPr="0030668E" w:rsidRDefault="00FE0499" w:rsidP="00E048ED">
            <w:pPr>
              <w:spacing w:after="0" w:line="240" w:lineRule="auto"/>
              <w:rPr>
                <w:rFonts w:ascii="Arial" w:hAnsi="Arial" w:cs="Arial"/>
                <w:b/>
                <w:bCs/>
                <w:color w:val="000000"/>
                <w:sz w:val="16"/>
                <w:szCs w:val="16"/>
              </w:rPr>
            </w:pPr>
            <w:r w:rsidRPr="0030668E">
              <w:rPr>
                <w:rFonts w:ascii="Arial" w:hAnsi="Arial" w:cs="Arial"/>
                <w:b/>
                <w:bCs/>
                <w:color w:val="000000"/>
                <w:sz w:val="16"/>
                <w:szCs w:val="16"/>
              </w:rPr>
              <w:t xml:space="preserve">Total resourcing for Department of Jobs and Small Business </w:t>
            </w:r>
          </w:p>
        </w:tc>
        <w:tc>
          <w:tcPr>
            <w:tcW w:w="1020" w:type="dxa"/>
            <w:gridSpan w:val="2"/>
            <w:tcBorders>
              <w:top w:val="nil"/>
              <w:left w:val="nil"/>
              <w:bottom w:val="single" w:sz="4" w:space="0" w:color="auto"/>
              <w:right w:val="nil"/>
            </w:tcBorders>
            <w:shd w:val="clear" w:color="000000" w:fill="FFFFFF"/>
            <w:vAlign w:val="bottom"/>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2,691,729 </w:t>
            </w:r>
          </w:p>
        </w:tc>
        <w:tc>
          <w:tcPr>
            <w:tcW w:w="1020" w:type="dxa"/>
            <w:gridSpan w:val="2"/>
            <w:tcBorders>
              <w:top w:val="nil"/>
              <w:left w:val="nil"/>
              <w:bottom w:val="single" w:sz="4" w:space="0" w:color="auto"/>
              <w:right w:val="nil"/>
            </w:tcBorders>
            <w:shd w:val="clear" w:color="000000" w:fill="E6E6E6"/>
            <w:vAlign w:val="bottom"/>
            <w:hideMark/>
          </w:tcPr>
          <w:p w:rsidR="00FE0499" w:rsidRDefault="00FE0499" w:rsidP="000A623A">
            <w:pPr>
              <w:spacing w:after="0" w:line="240" w:lineRule="auto"/>
              <w:jc w:val="right"/>
              <w:rPr>
                <w:rFonts w:ascii="Arial" w:hAnsi="Arial" w:cs="Arial"/>
                <w:b/>
                <w:bCs/>
                <w:color w:val="000000"/>
                <w:sz w:val="16"/>
                <w:szCs w:val="16"/>
              </w:rPr>
            </w:pPr>
            <w:r>
              <w:rPr>
                <w:rFonts w:ascii="Arial" w:hAnsi="Arial" w:cs="Arial"/>
                <w:b/>
                <w:bCs/>
                <w:color w:val="000000"/>
                <w:sz w:val="16"/>
                <w:szCs w:val="16"/>
              </w:rPr>
              <w:t>2,</w:t>
            </w:r>
            <w:r w:rsidR="000A623A">
              <w:rPr>
                <w:rFonts w:ascii="Arial" w:hAnsi="Arial" w:cs="Arial"/>
                <w:b/>
                <w:bCs/>
                <w:color w:val="000000"/>
                <w:sz w:val="16"/>
                <w:szCs w:val="16"/>
              </w:rPr>
              <w:t>597</w:t>
            </w:r>
            <w:r>
              <w:rPr>
                <w:rFonts w:ascii="Arial" w:hAnsi="Arial" w:cs="Arial"/>
                <w:b/>
                <w:bCs/>
                <w:color w:val="000000"/>
                <w:sz w:val="16"/>
                <w:szCs w:val="16"/>
              </w:rPr>
              <w:t>,</w:t>
            </w:r>
            <w:r w:rsidR="000A623A">
              <w:rPr>
                <w:rFonts w:ascii="Arial" w:hAnsi="Arial" w:cs="Arial"/>
                <w:b/>
                <w:bCs/>
                <w:color w:val="000000"/>
                <w:sz w:val="16"/>
                <w:szCs w:val="16"/>
              </w:rPr>
              <w:t>539</w:t>
            </w:r>
            <w:r>
              <w:rPr>
                <w:rFonts w:ascii="Arial" w:hAnsi="Arial" w:cs="Arial"/>
                <w:b/>
                <w:bCs/>
                <w:color w:val="000000"/>
                <w:sz w:val="16"/>
                <w:szCs w:val="16"/>
              </w:rPr>
              <w:t xml:space="preserve"> </w:t>
            </w:r>
          </w:p>
        </w:tc>
      </w:tr>
      <w:tr w:rsidR="00E048ED" w:rsidRPr="0030668E" w:rsidTr="00E048ED">
        <w:trPr>
          <w:gridAfter w:val="1"/>
          <w:wAfter w:w="107" w:type="dxa"/>
          <w:trHeight w:val="66"/>
        </w:trPr>
        <w:tc>
          <w:tcPr>
            <w:tcW w:w="5669" w:type="dxa"/>
            <w:tcBorders>
              <w:top w:val="nil"/>
              <w:left w:val="nil"/>
              <w:bottom w:val="nil"/>
              <w:right w:val="nil"/>
            </w:tcBorders>
            <w:shd w:val="clear" w:color="000000" w:fill="FFFFFF"/>
            <w:vAlign w:val="bottom"/>
            <w:hideMark/>
          </w:tcPr>
          <w:p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c>
          <w:tcPr>
            <w:tcW w:w="962" w:type="dxa"/>
            <w:tcBorders>
              <w:top w:val="nil"/>
              <w:left w:val="nil"/>
              <w:bottom w:val="nil"/>
              <w:right w:val="nil"/>
            </w:tcBorders>
            <w:shd w:val="clear" w:color="000000" w:fill="FFFFFF"/>
            <w:vAlign w:val="bottom"/>
            <w:hideMark/>
          </w:tcPr>
          <w:p w:rsidR="00E048ED" w:rsidRPr="0030668E" w:rsidRDefault="00E048ED" w:rsidP="00E048ED">
            <w:pPr>
              <w:spacing w:after="0" w:line="240" w:lineRule="auto"/>
              <w:rPr>
                <w:rFonts w:ascii="Arial" w:hAnsi="Arial" w:cs="Arial"/>
                <w:i/>
                <w:iCs/>
                <w:color w:val="000000"/>
                <w:sz w:val="16"/>
                <w:szCs w:val="16"/>
              </w:rPr>
            </w:pPr>
            <w:r w:rsidRPr="0030668E">
              <w:rPr>
                <w:rFonts w:ascii="Arial" w:hAnsi="Arial" w:cs="Arial"/>
                <w:i/>
                <w:iCs/>
                <w:color w:val="000000"/>
                <w:sz w:val="16"/>
                <w:szCs w:val="16"/>
              </w:rPr>
              <w:t> </w:t>
            </w:r>
          </w:p>
        </w:tc>
        <w:tc>
          <w:tcPr>
            <w:tcW w:w="971" w:type="dxa"/>
            <w:gridSpan w:val="2"/>
            <w:tcBorders>
              <w:top w:val="nil"/>
              <w:left w:val="nil"/>
              <w:bottom w:val="nil"/>
              <w:right w:val="nil"/>
            </w:tcBorders>
            <w:shd w:val="clear" w:color="000000" w:fill="FFFFFF"/>
            <w:vAlign w:val="bottom"/>
            <w:hideMark/>
          </w:tcPr>
          <w:p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r>
      <w:tr w:rsidR="00E048ED" w:rsidRPr="0030668E" w:rsidTr="00E048ED">
        <w:trPr>
          <w:trHeight w:val="231"/>
        </w:trPr>
        <w:tc>
          <w:tcPr>
            <w:tcW w:w="5669" w:type="dxa"/>
            <w:tcBorders>
              <w:top w:val="single" w:sz="4" w:space="0" w:color="auto"/>
              <w:left w:val="nil"/>
              <w:bottom w:val="nil"/>
              <w:right w:val="nil"/>
            </w:tcBorders>
            <w:shd w:val="clear" w:color="000000" w:fill="FFFFFF"/>
            <w:vAlign w:val="bottom"/>
            <w:hideMark/>
          </w:tcPr>
          <w:p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c>
          <w:tcPr>
            <w:tcW w:w="1020" w:type="dxa"/>
            <w:gridSpan w:val="2"/>
            <w:tcBorders>
              <w:top w:val="single" w:sz="4" w:space="0" w:color="auto"/>
              <w:left w:val="nil"/>
              <w:bottom w:val="single" w:sz="4" w:space="0" w:color="auto"/>
              <w:right w:val="nil"/>
            </w:tcBorders>
            <w:shd w:val="clear" w:color="000000" w:fill="FFFFFF"/>
            <w:vAlign w:val="center"/>
            <w:hideMark/>
          </w:tcPr>
          <w:p w:rsidR="00E048ED" w:rsidRPr="0030668E" w:rsidRDefault="00E048ED" w:rsidP="00E048ED">
            <w:pPr>
              <w:spacing w:after="0" w:line="240" w:lineRule="auto"/>
              <w:jc w:val="right"/>
              <w:rPr>
                <w:rFonts w:ascii="Arial" w:hAnsi="Arial" w:cs="Arial"/>
                <w:i/>
                <w:iCs/>
                <w:color w:val="000000"/>
                <w:sz w:val="16"/>
                <w:szCs w:val="16"/>
              </w:rPr>
            </w:pPr>
            <w:r w:rsidRPr="0030668E">
              <w:rPr>
                <w:rFonts w:ascii="Arial" w:hAnsi="Arial" w:cs="Arial"/>
                <w:i/>
                <w:iCs/>
                <w:color w:val="000000"/>
                <w:sz w:val="16"/>
                <w:szCs w:val="16"/>
              </w:rPr>
              <w:t>2017–18</w:t>
            </w:r>
          </w:p>
        </w:tc>
        <w:tc>
          <w:tcPr>
            <w:tcW w:w="1020" w:type="dxa"/>
            <w:gridSpan w:val="2"/>
            <w:tcBorders>
              <w:top w:val="single" w:sz="4" w:space="0" w:color="auto"/>
              <w:left w:val="nil"/>
              <w:bottom w:val="single" w:sz="4" w:space="0" w:color="auto"/>
              <w:right w:val="nil"/>
            </w:tcBorders>
            <w:shd w:val="clear" w:color="000000" w:fill="E6E6E6"/>
            <w:vAlign w:val="center"/>
            <w:hideMark/>
          </w:tcPr>
          <w:p w:rsidR="00E048ED" w:rsidRPr="0030668E" w:rsidRDefault="00E048ED" w:rsidP="00E048ED">
            <w:pPr>
              <w:spacing w:after="0" w:line="240" w:lineRule="auto"/>
              <w:jc w:val="right"/>
              <w:rPr>
                <w:rFonts w:ascii="Arial" w:hAnsi="Arial" w:cs="Arial"/>
                <w:color w:val="000000"/>
                <w:sz w:val="16"/>
                <w:szCs w:val="16"/>
              </w:rPr>
            </w:pPr>
            <w:r w:rsidRPr="0030668E">
              <w:rPr>
                <w:rFonts w:ascii="Arial" w:hAnsi="Arial" w:cs="Arial"/>
                <w:color w:val="000000"/>
                <w:sz w:val="16"/>
                <w:szCs w:val="16"/>
              </w:rPr>
              <w:t>2018–19</w:t>
            </w:r>
          </w:p>
        </w:tc>
      </w:tr>
      <w:tr w:rsidR="00E048ED" w:rsidRPr="0030668E" w:rsidTr="00E048ED">
        <w:trPr>
          <w:trHeight w:val="231"/>
        </w:trPr>
        <w:tc>
          <w:tcPr>
            <w:tcW w:w="5669" w:type="dxa"/>
            <w:tcBorders>
              <w:top w:val="nil"/>
              <w:left w:val="nil"/>
              <w:bottom w:val="single" w:sz="4" w:space="0" w:color="auto"/>
              <w:right w:val="nil"/>
            </w:tcBorders>
            <w:shd w:val="clear" w:color="000000" w:fill="FFFFFF"/>
            <w:vAlign w:val="bottom"/>
            <w:hideMark/>
          </w:tcPr>
          <w:p w:rsidR="00E048ED" w:rsidRPr="0030668E" w:rsidRDefault="00E048ED" w:rsidP="00E048ED">
            <w:pPr>
              <w:spacing w:after="0" w:line="240" w:lineRule="auto"/>
              <w:rPr>
                <w:rFonts w:ascii="Arial" w:hAnsi="Arial" w:cs="Arial"/>
                <w:b/>
                <w:bCs/>
                <w:color w:val="000000"/>
                <w:sz w:val="16"/>
                <w:szCs w:val="16"/>
              </w:rPr>
            </w:pPr>
            <w:r w:rsidRPr="0030668E">
              <w:rPr>
                <w:rFonts w:ascii="Arial" w:hAnsi="Arial" w:cs="Arial"/>
                <w:b/>
                <w:bCs/>
                <w:color w:val="000000"/>
                <w:sz w:val="16"/>
                <w:szCs w:val="16"/>
              </w:rPr>
              <w:t>Average staffing level (number)</w:t>
            </w:r>
          </w:p>
        </w:tc>
        <w:tc>
          <w:tcPr>
            <w:tcW w:w="1020" w:type="dxa"/>
            <w:gridSpan w:val="2"/>
            <w:tcBorders>
              <w:top w:val="nil"/>
              <w:left w:val="nil"/>
              <w:bottom w:val="single" w:sz="4" w:space="0" w:color="auto"/>
              <w:right w:val="nil"/>
            </w:tcBorders>
            <w:shd w:val="clear" w:color="000000" w:fill="FFFFFF"/>
            <w:vAlign w:val="bottom"/>
            <w:hideMark/>
          </w:tcPr>
          <w:p w:rsidR="00E048ED" w:rsidRPr="0030668E" w:rsidRDefault="00E048ED" w:rsidP="00E048ED">
            <w:pPr>
              <w:spacing w:after="0" w:line="240" w:lineRule="auto"/>
              <w:jc w:val="right"/>
              <w:rPr>
                <w:rFonts w:ascii="Arial" w:hAnsi="Arial" w:cs="Arial"/>
                <w:i/>
                <w:iCs/>
                <w:color w:val="000000"/>
                <w:sz w:val="16"/>
                <w:szCs w:val="16"/>
              </w:rPr>
            </w:pPr>
            <w:r w:rsidRPr="0030668E">
              <w:rPr>
                <w:rFonts w:ascii="Arial" w:hAnsi="Arial" w:cs="Arial"/>
                <w:i/>
                <w:iCs/>
                <w:color w:val="000000"/>
                <w:sz w:val="16"/>
                <w:szCs w:val="16"/>
              </w:rPr>
              <w:t xml:space="preserve">1,965 </w:t>
            </w:r>
          </w:p>
        </w:tc>
        <w:tc>
          <w:tcPr>
            <w:tcW w:w="1020" w:type="dxa"/>
            <w:gridSpan w:val="2"/>
            <w:tcBorders>
              <w:top w:val="nil"/>
              <w:left w:val="nil"/>
              <w:bottom w:val="single" w:sz="4" w:space="0" w:color="auto"/>
              <w:right w:val="nil"/>
            </w:tcBorders>
            <w:shd w:val="clear" w:color="000000" w:fill="E6E6E6"/>
            <w:vAlign w:val="bottom"/>
            <w:hideMark/>
          </w:tcPr>
          <w:p w:rsidR="00E048ED" w:rsidRPr="0030668E" w:rsidRDefault="00E048ED" w:rsidP="00FE0499">
            <w:pPr>
              <w:spacing w:after="0" w:line="240" w:lineRule="auto"/>
              <w:jc w:val="right"/>
              <w:rPr>
                <w:rFonts w:ascii="Arial" w:hAnsi="Arial" w:cs="Arial"/>
                <w:color w:val="000000"/>
                <w:sz w:val="16"/>
                <w:szCs w:val="16"/>
              </w:rPr>
            </w:pPr>
            <w:r w:rsidRPr="0030668E">
              <w:rPr>
                <w:rFonts w:ascii="Arial" w:hAnsi="Arial" w:cs="Arial"/>
                <w:color w:val="000000"/>
                <w:sz w:val="16"/>
                <w:szCs w:val="16"/>
              </w:rPr>
              <w:t>1,95</w:t>
            </w:r>
            <w:r w:rsidR="00FE0499">
              <w:rPr>
                <w:rFonts w:ascii="Arial" w:hAnsi="Arial" w:cs="Arial"/>
                <w:color w:val="000000"/>
                <w:sz w:val="16"/>
                <w:szCs w:val="16"/>
              </w:rPr>
              <w:t>2</w:t>
            </w:r>
            <w:r w:rsidRPr="0030668E">
              <w:rPr>
                <w:rFonts w:ascii="Arial" w:hAnsi="Arial" w:cs="Arial"/>
                <w:color w:val="000000"/>
                <w:sz w:val="16"/>
                <w:szCs w:val="16"/>
              </w:rPr>
              <w:t xml:space="preserve"> </w:t>
            </w:r>
          </w:p>
        </w:tc>
      </w:tr>
    </w:tbl>
    <w:p w:rsidR="00E048ED" w:rsidRDefault="00E048ED" w:rsidP="00E048ED">
      <w:pPr>
        <w:pStyle w:val="ChartandTableFootnote"/>
      </w:pPr>
      <w:r>
        <w:t>Prepared on a resourcing (</w:t>
      </w:r>
      <w:r>
        <w:rPr>
          <w:lang w:val="en-AU"/>
        </w:rPr>
        <w:t>that is,</w:t>
      </w:r>
      <w:r>
        <w:t xml:space="preserve"> appropriations available) basis.</w:t>
      </w:r>
    </w:p>
    <w:p w:rsidR="00E048ED" w:rsidRPr="00831489" w:rsidRDefault="00E048ED" w:rsidP="00E048ED">
      <w:pPr>
        <w:pStyle w:val="ChartandTableFootnote"/>
        <w:rPr>
          <w:lang w:val="en-AU"/>
        </w:rPr>
      </w:pPr>
      <w:r w:rsidRPr="008D3E19">
        <w:rPr>
          <w:u w:val="single"/>
        </w:rPr>
        <w:t>Please note</w:t>
      </w:r>
      <w:r>
        <w:t>: All figures shown above are GST exclusive</w:t>
      </w:r>
      <w:r>
        <w:rPr>
          <w:lang w:val="en-AU"/>
        </w:rPr>
        <w:t>—</w:t>
      </w:r>
      <w:r>
        <w:t>these may not match figures in the cash flow statement.</w:t>
      </w:r>
    </w:p>
    <w:p w:rsidR="00E048ED" w:rsidRPr="005250EE" w:rsidRDefault="00E048ED" w:rsidP="00E048ED">
      <w:pPr>
        <w:pStyle w:val="ChartandTableFootnoteAlpha"/>
      </w:pPr>
      <w:r>
        <w:t>Appropriation Bill (No.1) 2018–19</w:t>
      </w:r>
      <w:r w:rsidRPr="005250EE">
        <w:t>.</w:t>
      </w:r>
    </w:p>
    <w:p w:rsidR="00E048ED" w:rsidRDefault="00E048ED" w:rsidP="00E048ED">
      <w:pPr>
        <w:pStyle w:val="ChartandTableFootnoteAlpha"/>
      </w:pPr>
      <w:r>
        <w:t xml:space="preserve">Excludes </w:t>
      </w:r>
      <w:r w:rsidR="00672459">
        <w:rPr>
          <w:lang w:val="en-AU"/>
        </w:rPr>
        <w:t>Departmental Capital Budget</w:t>
      </w:r>
      <w:r>
        <w:t xml:space="preserve"> (DCB).</w:t>
      </w:r>
    </w:p>
    <w:p w:rsidR="00E048ED" w:rsidRPr="005250EE" w:rsidRDefault="00E048ED" w:rsidP="00E048ED">
      <w:pPr>
        <w:pStyle w:val="ChartandTableFootnoteAlpha"/>
      </w:pPr>
      <w:r w:rsidRPr="005250EE">
        <w:t xml:space="preserve">Estimated </w:t>
      </w:r>
      <w:r>
        <w:t>r</w:t>
      </w:r>
      <w:r w:rsidRPr="005250EE">
        <w:t xml:space="preserve">etained revenue receipts under section 74 of the </w:t>
      </w:r>
      <w:r>
        <w:t>PGPA Act</w:t>
      </w:r>
      <w:r w:rsidRPr="005250EE">
        <w:t>.</w:t>
      </w:r>
    </w:p>
    <w:p w:rsidR="00E048ED" w:rsidRDefault="00672459" w:rsidP="00E048ED">
      <w:pPr>
        <w:pStyle w:val="ChartandTableFootnoteAlpha"/>
      </w:pPr>
      <w:r>
        <w:rPr>
          <w:lang w:val="en-AU"/>
        </w:rPr>
        <w:t>DCBs</w:t>
      </w:r>
      <w:r w:rsidR="00E048ED" w:rsidRPr="008D3E19">
        <w:t xml:space="preserve"> are not separately identified in Appropriation Bill (No.1) and form part of ordinary annual services items. Please refer to Table</w:t>
      </w:r>
      <w:r w:rsidR="00E048ED">
        <w:t xml:space="preserve"> 3.</w:t>
      </w:r>
      <w:r w:rsidR="00E048ED" w:rsidRPr="008D3E19">
        <w:t>5 for further details. For accounting purposes, this amount has been designated as a 'contribution by owner’.</w:t>
      </w:r>
    </w:p>
    <w:p w:rsidR="00E048ED" w:rsidRPr="005250EE" w:rsidRDefault="00E048ED" w:rsidP="00E048ED">
      <w:pPr>
        <w:pStyle w:val="ChartandTableFootnoteAlpha"/>
      </w:pPr>
      <w:r>
        <w:t xml:space="preserve">Appropriation Bill (No.2) </w:t>
      </w:r>
      <w:r w:rsidRPr="003F3C77">
        <w:t>201</w:t>
      </w:r>
      <w:r>
        <w:t>8–</w:t>
      </w:r>
      <w:r w:rsidRPr="003F3C77">
        <w:t>1</w:t>
      </w:r>
      <w:r>
        <w:t>9</w:t>
      </w:r>
      <w:r w:rsidRPr="005250EE">
        <w:t>.</w:t>
      </w:r>
    </w:p>
    <w:p w:rsidR="00E048ED" w:rsidRDefault="00E048ED" w:rsidP="00E048ED">
      <w:pPr>
        <w:pStyle w:val="ChartandTableFootnoteAlpha"/>
      </w:pPr>
      <w:r w:rsidRPr="005250EE">
        <w:t>'Corporate entities' are corporate Commonwealth entities and Commonwealth companies as defined</w:t>
      </w:r>
      <w:r>
        <w:t xml:space="preserve"> </w:t>
      </w:r>
      <w:r w:rsidRPr="005250EE">
        <w:t xml:space="preserve">under the </w:t>
      </w:r>
      <w:r>
        <w:t>PGPA Act.</w:t>
      </w:r>
    </w:p>
    <w:p w:rsidR="00961A93" w:rsidRDefault="00961A93" w:rsidP="00961A93"/>
    <w:p w:rsidR="00896419" w:rsidRDefault="00896419" w:rsidP="00E048ED">
      <w:pPr>
        <w:pStyle w:val="TableHeading"/>
        <w:rPr>
          <w:lang w:val="en-AU"/>
        </w:rPr>
      </w:pPr>
      <w:r w:rsidRPr="005731D3">
        <w:lastRenderedPageBreak/>
        <w:t xml:space="preserve">Table 1.1: </w:t>
      </w:r>
      <w:r>
        <w:t>Department of Jobs and Small Business resource statement—</w:t>
      </w:r>
      <w:r w:rsidRPr="005731D3">
        <w:t xml:space="preserve">Budget estimates for </w:t>
      </w:r>
      <w:r w:rsidRPr="003F3C77">
        <w:t>201</w:t>
      </w:r>
      <w:r>
        <w:t>8–</w:t>
      </w:r>
      <w:r w:rsidRPr="003F3C77">
        <w:t>1</w:t>
      </w:r>
      <w:r>
        <w:t xml:space="preserve">9 </w:t>
      </w:r>
      <w:r w:rsidRPr="005731D3">
        <w:t>as at Budget May 201</w:t>
      </w:r>
      <w:r>
        <w:t>8 (continued)</w:t>
      </w:r>
    </w:p>
    <w:p w:rsidR="00E048ED" w:rsidRPr="00896419" w:rsidRDefault="00E048ED" w:rsidP="0035788E">
      <w:pPr>
        <w:pStyle w:val="TableHeading"/>
        <w:spacing w:before="120"/>
        <w:rPr>
          <w:sz w:val="18"/>
        </w:rPr>
      </w:pPr>
      <w:r w:rsidRPr="00896419">
        <w:rPr>
          <w:sz w:val="18"/>
        </w:rPr>
        <w:t>Third party payments from and on behalf of other entities</w:t>
      </w:r>
    </w:p>
    <w:tbl>
      <w:tblPr>
        <w:tblW w:w="7360" w:type="dxa"/>
        <w:tblInd w:w="93" w:type="dxa"/>
        <w:tblLook w:val="04A0" w:firstRow="1" w:lastRow="0" w:firstColumn="1" w:lastColumn="0" w:noHBand="0" w:noVBand="1"/>
      </w:tblPr>
      <w:tblGrid>
        <w:gridCol w:w="5320"/>
        <w:gridCol w:w="1020"/>
        <w:gridCol w:w="1020"/>
      </w:tblGrid>
      <w:tr w:rsidR="00E048ED" w:rsidRPr="00982A7F" w:rsidTr="00E048ED">
        <w:trPr>
          <w:trHeight w:val="794"/>
        </w:trPr>
        <w:tc>
          <w:tcPr>
            <w:tcW w:w="5320" w:type="dxa"/>
            <w:tcBorders>
              <w:top w:val="single" w:sz="4" w:space="0" w:color="auto"/>
              <w:left w:val="nil"/>
              <w:bottom w:val="nil"/>
              <w:right w:val="nil"/>
            </w:tcBorders>
            <w:shd w:val="clear" w:color="000000" w:fill="FFFFFF"/>
            <w:vAlign w:val="bottom"/>
            <w:hideMark/>
          </w:tcPr>
          <w:p w:rsidR="00E048ED" w:rsidRPr="00982A7F" w:rsidRDefault="00E048ED" w:rsidP="00E048ED">
            <w:pPr>
              <w:spacing w:after="0" w:line="240" w:lineRule="auto"/>
              <w:rPr>
                <w:rFonts w:ascii="Arial" w:hAnsi="Arial" w:cs="Arial"/>
                <w:color w:val="000000"/>
                <w:sz w:val="16"/>
                <w:szCs w:val="16"/>
              </w:rPr>
            </w:pPr>
            <w:bookmarkStart w:id="58" w:name="_Toc190682311"/>
            <w:bookmarkStart w:id="59" w:name="_Toc190682529"/>
            <w:r w:rsidRPr="00982A7F">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000000" w:fill="FFFFFF"/>
            <w:vAlign w:val="center"/>
            <w:hideMark/>
          </w:tcPr>
          <w:p w:rsidR="00E048ED" w:rsidRPr="00982A7F" w:rsidRDefault="00E048ED" w:rsidP="00E048ED">
            <w:pPr>
              <w:spacing w:after="0" w:line="240" w:lineRule="auto"/>
              <w:jc w:val="right"/>
              <w:rPr>
                <w:rFonts w:ascii="Arial" w:hAnsi="Arial" w:cs="Arial"/>
                <w:i/>
                <w:iCs/>
                <w:color w:val="000000"/>
                <w:sz w:val="16"/>
                <w:szCs w:val="16"/>
              </w:rPr>
            </w:pPr>
            <w:r w:rsidRPr="00982A7F">
              <w:rPr>
                <w:rFonts w:ascii="Arial" w:hAnsi="Arial" w:cs="Arial"/>
                <w:i/>
                <w:iCs/>
                <w:color w:val="000000"/>
                <w:sz w:val="16"/>
                <w:szCs w:val="16"/>
              </w:rPr>
              <w:t xml:space="preserve">2017–18 Estimated actual </w:t>
            </w:r>
            <w:r w:rsidRPr="00982A7F">
              <w:rPr>
                <w:rFonts w:ascii="Arial" w:hAnsi="Arial" w:cs="Arial"/>
                <w:i/>
                <w:iCs/>
                <w:color w:val="000000"/>
                <w:sz w:val="16"/>
                <w:szCs w:val="16"/>
              </w:rPr>
              <w:br/>
              <w:t>$'000</w:t>
            </w:r>
          </w:p>
        </w:tc>
        <w:tc>
          <w:tcPr>
            <w:tcW w:w="1020" w:type="dxa"/>
            <w:tcBorders>
              <w:top w:val="single" w:sz="4" w:space="0" w:color="auto"/>
              <w:left w:val="nil"/>
              <w:bottom w:val="single" w:sz="4" w:space="0" w:color="auto"/>
              <w:right w:val="nil"/>
            </w:tcBorders>
            <w:shd w:val="clear" w:color="000000" w:fill="E6E6E6"/>
            <w:vAlign w:val="center"/>
            <w:hideMark/>
          </w:tcPr>
          <w:p w:rsidR="00E048ED" w:rsidRPr="00982A7F" w:rsidRDefault="00E048ED" w:rsidP="00E048ED">
            <w:pPr>
              <w:spacing w:after="0" w:line="240" w:lineRule="auto"/>
              <w:jc w:val="right"/>
              <w:rPr>
                <w:rFonts w:ascii="Arial" w:hAnsi="Arial" w:cs="Arial"/>
                <w:color w:val="000000"/>
                <w:sz w:val="16"/>
                <w:szCs w:val="16"/>
              </w:rPr>
            </w:pPr>
            <w:r w:rsidRPr="00982A7F">
              <w:rPr>
                <w:rFonts w:ascii="Arial" w:hAnsi="Arial" w:cs="Arial"/>
                <w:color w:val="000000"/>
                <w:sz w:val="16"/>
                <w:szCs w:val="16"/>
              </w:rPr>
              <w:t>2018–19 Estimate</w:t>
            </w:r>
            <w:r w:rsidRPr="00982A7F">
              <w:rPr>
                <w:rFonts w:ascii="Arial" w:hAnsi="Arial" w:cs="Arial"/>
                <w:color w:val="000000"/>
                <w:sz w:val="16"/>
                <w:szCs w:val="16"/>
              </w:rPr>
              <w:br/>
            </w:r>
            <w:r w:rsidRPr="00982A7F">
              <w:rPr>
                <w:rFonts w:ascii="Arial" w:hAnsi="Arial" w:cs="Arial"/>
                <w:color w:val="000000"/>
                <w:sz w:val="16"/>
                <w:szCs w:val="16"/>
              </w:rPr>
              <w:br/>
              <w:t>$'000</w:t>
            </w:r>
          </w:p>
        </w:tc>
      </w:tr>
      <w:tr w:rsidR="00E048ED" w:rsidRPr="00982A7F" w:rsidTr="00E048ED">
        <w:trPr>
          <w:trHeight w:val="397"/>
        </w:trPr>
        <w:tc>
          <w:tcPr>
            <w:tcW w:w="5320" w:type="dxa"/>
            <w:tcBorders>
              <w:top w:val="nil"/>
              <w:left w:val="nil"/>
              <w:bottom w:val="nil"/>
              <w:right w:val="nil"/>
            </w:tcBorders>
            <w:shd w:val="clear" w:color="000000" w:fill="FFFFFF"/>
            <w:vAlign w:val="bottom"/>
            <w:hideMark/>
          </w:tcPr>
          <w:p w:rsidR="00E048ED" w:rsidRPr="00982A7F" w:rsidRDefault="00E048ED" w:rsidP="00E048ED">
            <w:pPr>
              <w:spacing w:after="0" w:line="240" w:lineRule="auto"/>
              <w:ind w:left="191" w:hanging="191"/>
              <w:rPr>
                <w:rFonts w:ascii="Arial" w:hAnsi="Arial" w:cs="Arial"/>
                <w:color w:val="000000"/>
                <w:sz w:val="16"/>
                <w:szCs w:val="16"/>
              </w:rPr>
            </w:pPr>
            <w:r w:rsidRPr="00982A7F">
              <w:rPr>
                <w:rFonts w:ascii="Arial" w:hAnsi="Arial" w:cs="Arial"/>
                <w:color w:val="000000"/>
                <w:sz w:val="16"/>
                <w:szCs w:val="16"/>
              </w:rPr>
              <w:t>Payments made by other entities on behalf of Department of Jobs and Small Business  (disclosed above)</w:t>
            </w:r>
          </w:p>
        </w:tc>
        <w:tc>
          <w:tcPr>
            <w:tcW w:w="1020" w:type="dxa"/>
            <w:tcBorders>
              <w:top w:val="nil"/>
              <w:left w:val="nil"/>
              <w:bottom w:val="nil"/>
              <w:right w:val="nil"/>
            </w:tcBorders>
            <w:shd w:val="clear" w:color="000000" w:fill="FFFFFF"/>
            <w:vAlign w:val="center"/>
            <w:hideMark/>
          </w:tcPr>
          <w:p w:rsidR="00E048ED" w:rsidRPr="00982A7F" w:rsidRDefault="00E048ED" w:rsidP="00E048ED">
            <w:pPr>
              <w:spacing w:after="0" w:line="240" w:lineRule="auto"/>
              <w:jc w:val="right"/>
              <w:rPr>
                <w:rFonts w:ascii="Arial" w:hAnsi="Arial" w:cs="Arial"/>
                <w:i/>
                <w:iCs/>
                <w:color w:val="000000"/>
                <w:sz w:val="16"/>
                <w:szCs w:val="16"/>
              </w:rPr>
            </w:pPr>
            <w:r w:rsidRPr="00982A7F">
              <w:rPr>
                <w:rFonts w:ascii="Arial" w:hAnsi="Arial" w:cs="Arial"/>
                <w:i/>
                <w:iCs/>
                <w:color w:val="000000"/>
                <w:sz w:val="16"/>
                <w:szCs w:val="16"/>
              </w:rPr>
              <w:t xml:space="preserve">30,016 </w:t>
            </w:r>
          </w:p>
        </w:tc>
        <w:tc>
          <w:tcPr>
            <w:tcW w:w="1020" w:type="dxa"/>
            <w:tcBorders>
              <w:top w:val="nil"/>
              <w:left w:val="nil"/>
              <w:bottom w:val="nil"/>
              <w:right w:val="nil"/>
            </w:tcBorders>
            <w:shd w:val="clear" w:color="000000" w:fill="E6E6E6"/>
            <w:vAlign w:val="center"/>
            <w:hideMark/>
          </w:tcPr>
          <w:p w:rsidR="00E048ED" w:rsidRPr="00982A7F" w:rsidRDefault="00E048ED" w:rsidP="00E048ED">
            <w:pPr>
              <w:spacing w:after="0" w:line="240" w:lineRule="auto"/>
              <w:jc w:val="right"/>
              <w:rPr>
                <w:rFonts w:ascii="Arial" w:hAnsi="Arial" w:cs="Arial"/>
                <w:color w:val="000000"/>
                <w:sz w:val="16"/>
                <w:szCs w:val="16"/>
              </w:rPr>
            </w:pPr>
            <w:r w:rsidRPr="00982A7F">
              <w:rPr>
                <w:rFonts w:ascii="Arial" w:hAnsi="Arial" w:cs="Arial"/>
                <w:color w:val="000000"/>
                <w:sz w:val="16"/>
                <w:szCs w:val="16"/>
              </w:rPr>
              <w:t xml:space="preserve">30,000 </w:t>
            </w:r>
          </w:p>
        </w:tc>
      </w:tr>
      <w:tr w:rsidR="00E048ED" w:rsidRPr="00982A7F" w:rsidTr="00E048ED">
        <w:trPr>
          <w:trHeight w:val="454"/>
        </w:trPr>
        <w:tc>
          <w:tcPr>
            <w:tcW w:w="5320" w:type="dxa"/>
            <w:tcBorders>
              <w:top w:val="nil"/>
              <w:left w:val="nil"/>
              <w:bottom w:val="nil"/>
              <w:right w:val="nil"/>
            </w:tcBorders>
            <w:shd w:val="clear" w:color="000000" w:fill="FFFFFF"/>
            <w:vAlign w:val="center"/>
            <w:hideMark/>
          </w:tcPr>
          <w:p w:rsidR="00E048ED" w:rsidRPr="00982A7F" w:rsidRDefault="00E048ED" w:rsidP="00E048ED">
            <w:pPr>
              <w:spacing w:after="0" w:line="240" w:lineRule="auto"/>
              <w:ind w:left="191" w:hanging="191"/>
              <w:rPr>
                <w:rFonts w:ascii="Arial" w:hAnsi="Arial" w:cs="Arial"/>
                <w:color w:val="000000"/>
                <w:sz w:val="16"/>
                <w:szCs w:val="16"/>
              </w:rPr>
            </w:pPr>
            <w:r w:rsidRPr="00982A7F">
              <w:rPr>
                <w:rFonts w:ascii="Arial" w:hAnsi="Arial" w:cs="Arial"/>
                <w:color w:val="000000"/>
                <w:sz w:val="16"/>
                <w:szCs w:val="16"/>
              </w:rPr>
              <w:t>Receipts received from other entities for the provision of services (disclosed above in s74 Retained revenue receipts section above)</w:t>
            </w:r>
          </w:p>
        </w:tc>
        <w:tc>
          <w:tcPr>
            <w:tcW w:w="1020" w:type="dxa"/>
            <w:tcBorders>
              <w:top w:val="nil"/>
              <w:left w:val="nil"/>
              <w:bottom w:val="nil"/>
              <w:right w:val="nil"/>
            </w:tcBorders>
            <w:shd w:val="clear" w:color="000000" w:fill="FFFFFF"/>
            <w:vAlign w:val="center"/>
            <w:hideMark/>
          </w:tcPr>
          <w:p w:rsidR="00E048ED" w:rsidRPr="00982A7F" w:rsidRDefault="00E048ED" w:rsidP="00E048ED">
            <w:pPr>
              <w:spacing w:after="0" w:line="240" w:lineRule="auto"/>
              <w:jc w:val="right"/>
              <w:rPr>
                <w:rFonts w:ascii="Arial" w:hAnsi="Arial" w:cs="Arial"/>
                <w:i/>
                <w:iCs/>
                <w:color w:val="000000"/>
                <w:sz w:val="16"/>
                <w:szCs w:val="16"/>
              </w:rPr>
            </w:pPr>
            <w:r w:rsidRPr="00982A7F">
              <w:rPr>
                <w:rFonts w:ascii="Arial" w:hAnsi="Arial" w:cs="Arial"/>
                <w:i/>
                <w:iCs/>
                <w:color w:val="000000"/>
                <w:sz w:val="16"/>
                <w:szCs w:val="16"/>
              </w:rPr>
              <w:t xml:space="preserve">52,677 </w:t>
            </w:r>
          </w:p>
        </w:tc>
        <w:tc>
          <w:tcPr>
            <w:tcW w:w="1020" w:type="dxa"/>
            <w:tcBorders>
              <w:top w:val="nil"/>
              <w:left w:val="nil"/>
              <w:bottom w:val="nil"/>
              <w:right w:val="nil"/>
            </w:tcBorders>
            <w:shd w:val="clear" w:color="000000" w:fill="E6E6E6"/>
            <w:vAlign w:val="center"/>
            <w:hideMark/>
          </w:tcPr>
          <w:p w:rsidR="00E048ED" w:rsidRPr="00982A7F"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53,329 </w:t>
            </w:r>
          </w:p>
        </w:tc>
      </w:tr>
      <w:tr w:rsidR="00E048ED" w:rsidRPr="00982A7F" w:rsidTr="00E048ED">
        <w:trPr>
          <w:trHeight w:val="225"/>
        </w:trPr>
        <w:tc>
          <w:tcPr>
            <w:tcW w:w="5320" w:type="dxa"/>
            <w:tcBorders>
              <w:top w:val="nil"/>
              <w:left w:val="nil"/>
              <w:bottom w:val="nil"/>
              <w:right w:val="nil"/>
            </w:tcBorders>
            <w:shd w:val="clear" w:color="000000" w:fill="FFFFFF"/>
            <w:vAlign w:val="bottom"/>
            <w:hideMark/>
          </w:tcPr>
          <w:p w:rsidR="00E048ED" w:rsidRPr="00982A7F" w:rsidRDefault="00E048ED" w:rsidP="00E048ED">
            <w:pPr>
              <w:spacing w:after="0" w:line="240" w:lineRule="auto"/>
              <w:rPr>
                <w:rFonts w:ascii="Arial" w:hAnsi="Arial" w:cs="Arial"/>
                <w:color w:val="000000"/>
                <w:sz w:val="16"/>
                <w:szCs w:val="16"/>
              </w:rPr>
            </w:pPr>
            <w:r w:rsidRPr="00982A7F">
              <w:rPr>
                <w:rFonts w:ascii="Arial" w:hAnsi="Arial" w:cs="Arial"/>
                <w:color w:val="000000"/>
                <w:sz w:val="16"/>
                <w:szCs w:val="16"/>
              </w:rPr>
              <w:t xml:space="preserve">Payments made to corporate entities within the Portfolio </w:t>
            </w:r>
          </w:p>
        </w:tc>
        <w:tc>
          <w:tcPr>
            <w:tcW w:w="1020" w:type="dxa"/>
            <w:tcBorders>
              <w:top w:val="nil"/>
              <w:left w:val="nil"/>
              <w:bottom w:val="nil"/>
              <w:right w:val="nil"/>
            </w:tcBorders>
            <w:shd w:val="clear" w:color="000000" w:fill="FFFFFF"/>
            <w:vAlign w:val="bottom"/>
            <w:hideMark/>
          </w:tcPr>
          <w:p w:rsidR="00E048ED" w:rsidRPr="00982A7F" w:rsidRDefault="00E048ED" w:rsidP="00E048ED">
            <w:pPr>
              <w:spacing w:after="0" w:line="240" w:lineRule="auto"/>
              <w:rPr>
                <w:rFonts w:ascii="Arial" w:hAnsi="Arial" w:cs="Arial"/>
                <w:i/>
                <w:iCs/>
                <w:color w:val="000000"/>
                <w:sz w:val="16"/>
                <w:szCs w:val="16"/>
              </w:rPr>
            </w:pPr>
            <w:r w:rsidRPr="00982A7F">
              <w:rPr>
                <w:rFonts w:ascii="Arial" w:hAnsi="Arial" w:cs="Arial"/>
                <w:i/>
                <w:iCs/>
                <w:color w:val="000000"/>
                <w:sz w:val="16"/>
                <w:szCs w:val="16"/>
              </w:rPr>
              <w:t> </w:t>
            </w:r>
          </w:p>
        </w:tc>
        <w:tc>
          <w:tcPr>
            <w:tcW w:w="1020" w:type="dxa"/>
            <w:tcBorders>
              <w:top w:val="nil"/>
              <w:left w:val="nil"/>
              <w:bottom w:val="nil"/>
              <w:right w:val="nil"/>
            </w:tcBorders>
            <w:shd w:val="clear" w:color="000000" w:fill="E6E6E6"/>
            <w:vAlign w:val="bottom"/>
            <w:hideMark/>
          </w:tcPr>
          <w:p w:rsidR="00E048ED" w:rsidRPr="00982A7F" w:rsidRDefault="00E048ED" w:rsidP="00E048ED">
            <w:pPr>
              <w:spacing w:after="0" w:line="240" w:lineRule="auto"/>
              <w:rPr>
                <w:rFonts w:ascii="Arial" w:hAnsi="Arial" w:cs="Arial"/>
                <w:color w:val="000000"/>
                <w:sz w:val="16"/>
                <w:szCs w:val="16"/>
              </w:rPr>
            </w:pPr>
            <w:r w:rsidRPr="00982A7F">
              <w:rPr>
                <w:rFonts w:ascii="Arial" w:hAnsi="Arial" w:cs="Arial"/>
                <w:color w:val="000000"/>
                <w:sz w:val="16"/>
                <w:szCs w:val="16"/>
              </w:rPr>
              <w:t> </w:t>
            </w:r>
          </w:p>
        </w:tc>
      </w:tr>
      <w:tr w:rsidR="00E048ED" w:rsidRPr="00982A7F" w:rsidTr="00E048ED">
        <w:trPr>
          <w:trHeight w:val="225"/>
        </w:trPr>
        <w:tc>
          <w:tcPr>
            <w:tcW w:w="5320" w:type="dxa"/>
            <w:tcBorders>
              <w:top w:val="nil"/>
              <w:left w:val="nil"/>
              <w:bottom w:val="single" w:sz="4" w:space="0" w:color="auto"/>
              <w:right w:val="nil"/>
            </w:tcBorders>
            <w:shd w:val="clear" w:color="000000" w:fill="FFFFFF"/>
            <w:vAlign w:val="bottom"/>
            <w:hideMark/>
          </w:tcPr>
          <w:p w:rsidR="00E048ED" w:rsidRPr="00982A7F" w:rsidRDefault="00E048ED" w:rsidP="00E048ED">
            <w:pPr>
              <w:spacing w:after="0" w:line="240" w:lineRule="auto"/>
              <w:rPr>
                <w:rFonts w:ascii="Arial" w:hAnsi="Arial" w:cs="Arial"/>
                <w:color w:val="000000"/>
                <w:sz w:val="16"/>
                <w:szCs w:val="16"/>
              </w:rPr>
            </w:pPr>
            <w:r w:rsidRPr="00982A7F">
              <w:rPr>
                <w:rFonts w:ascii="Arial" w:hAnsi="Arial" w:cs="Arial"/>
                <w:color w:val="000000"/>
                <w:sz w:val="16"/>
                <w:szCs w:val="16"/>
              </w:rPr>
              <w:t xml:space="preserve">    Comcare (Annual Appropriation Bill 1)</w:t>
            </w:r>
          </w:p>
        </w:tc>
        <w:tc>
          <w:tcPr>
            <w:tcW w:w="1020" w:type="dxa"/>
            <w:tcBorders>
              <w:top w:val="nil"/>
              <w:left w:val="nil"/>
              <w:bottom w:val="single" w:sz="4" w:space="0" w:color="auto"/>
              <w:right w:val="nil"/>
            </w:tcBorders>
            <w:shd w:val="clear" w:color="000000" w:fill="FFFFFF"/>
            <w:vAlign w:val="bottom"/>
            <w:hideMark/>
          </w:tcPr>
          <w:p w:rsidR="00E048ED" w:rsidRPr="00982A7F" w:rsidRDefault="00E048ED" w:rsidP="00E048ED">
            <w:pPr>
              <w:spacing w:after="0" w:line="240" w:lineRule="auto"/>
              <w:jc w:val="right"/>
              <w:rPr>
                <w:rFonts w:ascii="Arial" w:hAnsi="Arial" w:cs="Arial"/>
                <w:i/>
                <w:iCs/>
                <w:color w:val="000000"/>
                <w:sz w:val="16"/>
                <w:szCs w:val="16"/>
              </w:rPr>
            </w:pPr>
            <w:r w:rsidRPr="00982A7F">
              <w:rPr>
                <w:rFonts w:ascii="Arial" w:hAnsi="Arial" w:cs="Arial"/>
                <w:i/>
                <w:iCs/>
                <w:color w:val="000000"/>
                <w:sz w:val="16"/>
                <w:szCs w:val="16"/>
              </w:rPr>
              <w:t xml:space="preserve">6,020 </w:t>
            </w:r>
          </w:p>
        </w:tc>
        <w:tc>
          <w:tcPr>
            <w:tcW w:w="1020" w:type="dxa"/>
            <w:tcBorders>
              <w:top w:val="nil"/>
              <w:left w:val="nil"/>
              <w:bottom w:val="single" w:sz="4" w:space="0" w:color="auto"/>
              <w:right w:val="nil"/>
            </w:tcBorders>
            <w:shd w:val="clear" w:color="000000" w:fill="E6E6E6"/>
            <w:vAlign w:val="bottom"/>
            <w:hideMark/>
          </w:tcPr>
          <w:p w:rsidR="00E048ED" w:rsidRPr="00982A7F" w:rsidRDefault="00E048ED" w:rsidP="00E048ED">
            <w:pPr>
              <w:spacing w:after="0" w:line="240" w:lineRule="auto"/>
              <w:jc w:val="right"/>
              <w:rPr>
                <w:rFonts w:ascii="Arial" w:hAnsi="Arial" w:cs="Arial"/>
                <w:color w:val="000000"/>
                <w:sz w:val="16"/>
                <w:szCs w:val="16"/>
              </w:rPr>
            </w:pPr>
            <w:r w:rsidRPr="00982A7F">
              <w:rPr>
                <w:rFonts w:ascii="Arial" w:hAnsi="Arial" w:cs="Arial"/>
                <w:color w:val="000000"/>
                <w:sz w:val="16"/>
                <w:szCs w:val="16"/>
              </w:rPr>
              <w:t xml:space="preserve">5,989 </w:t>
            </w:r>
          </w:p>
        </w:tc>
      </w:tr>
    </w:tbl>
    <w:p w:rsidR="00E048ED" w:rsidRPr="0035788E" w:rsidRDefault="00E048ED" w:rsidP="0035788E">
      <w:pPr>
        <w:pStyle w:val="Heading3"/>
      </w:pPr>
      <w:r>
        <w:br w:type="page"/>
      </w:r>
      <w:bookmarkStart w:id="60" w:name="_Toc444523511"/>
      <w:bookmarkStart w:id="61" w:name="_Toc511656247"/>
      <w:bookmarkStart w:id="62" w:name="_Toc511722620"/>
      <w:bookmarkStart w:id="63" w:name="_Toc511736951"/>
      <w:bookmarkStart w:id="64" w:name="_Toc511747213"/>
      <w:bookmarkStart w:id="65" w:name="_Toc511765616"/>
      <w:bookmarkStart w:id="66" w:name="_Toc511828672"/>
      <w:bookmarkStart w:id="67" w:name="_Toc511836811"/>
      <w:bookmarkStart w:id="68" w:name="_Toc511902517"/>
      <w:r w:rsidRPr="0035788E">
        <w:lastRenderedPageBreak/>
        <w:t>1.3</w:t>
      </w:r>
      <w:r w:rsidRPr="0035788E">
        <w:tab/>
        <w:t>Budget measures</w:t>
      </w:r>
      <w:bookmarkEnd w:id="58"/>
      <w:bookmarkEnd w:id="59"/>
      <w:bookmarkEnd w:id="60"/>
      <w:bookmarkEnd w:id="61"/>
      <w:bookmarkEnd w:id="62"/>
      <w:bookmarkEnd w:id="63"/>
      <w:bookmarkEnd w:id="64"/>
      <w:bookmarkEnd w:id="65"/>
      <w:bookmarkEnd w:id="66"/>
      <w:bookmarkEnd w:id="67"/>
      <w:bookmarkEnd w:id="68"/>
    </w:p>
    <w:p w:rsidR="00E048ED" w:rsidRDefault="00E048ED" w:rsidP="0035788E">
      <w:r w:rsidRPr="00DC32EC">
        <w:t xml:space="preserve">Budget measures </w:t>
      </w:r>
      <w:r>
        <w:t xml:space="preserve">in Part 1 </w:t>
      </w:r>
      <w:r w:rsidRPr="00DC32EC">
        <w:t>relating to</w:t>
      </w:r>
      <w:r>
        <w:t xml:space="preserve"> the Department of Jobs and Small Business are detailed in Budget Paper No. 2 and are summarised below.</w:t>
      </w:r>
    </w:p>
    <w:p w:rsidR="00E048ED" w:rsidRPr="0035788E" w:rsidRDefault="00E048ED" w:rsidP="0035788E">
      <w:pPr>
        <w:pStyle w:val="TableHeading"/>
      </w:pPr>
      <w:r w:rsidRPr="0035788E">
        <w:t>Table 1.2: Entity 2018–19 Budget measures</w:t>
      </w:r>
    </w:p>
    <w:p w:rsidR="00E048ED" w:rsidRPr="009A40DD" w:rsidRDefault="00E048ED" w:rsidP="0035788E">
      <w:pPr>
        <w:pStyle w:val="TableHeadingcontinued"/>
        <w:spacing w:before="60"/>
      </w:pPr>
      <w:r w:rsidRPr="009A40DD">
        <w:t xml:space="preserve">Part 1: Measures announced since the </w:t>
      </w:r>
      <w:r>
        <w:t>2017–18</w:t>
      </w:r>
      <w:r w:rsidRPr="009A40DD">
        <w:t xml:space="preserve"> M</w:t>
      </w:r>
      <w:r>
        <w:t>id-</w:t>
      </w:r>
      <w:r w:rsidRPr="009A40DD">
        <w:t>Year Economic and Fiscal Outlook (MYEFO)</w:t>
      </w:r>
    </w:p>
    <w:tbl>
      <w:tblPr>
        <w:tblW w:w="7740" w:type="dxa"/>
        <w:tblInd w:w="28" w:type="dxa"/>
        <w:tblCellMar>
          <w:left w:w="28" w:type="dxa"/>
          <w:right w:w="28" w:type="dxa"/>
        </w:tblCellMar>
        <w:tblLook w:val="04A0" w:firstRow="1" w:lastRow="0" w:firstColumn="1" w:lastColumn="0" w:noHBand="0" w:noVBand="1"/>
      </w:tblPr>
      <w:tblGrid>
        <w:gridCol w:w="3033"/>
        <w:gridCol w:w="737"/>
        <w:gridCol w:w="794"/>
        <w:gridCol w:w="794"/>
        <w:gridCol w:w="794"/>
        <w:gridCol w:w="794"/>
        <w:gridCol w:w="794"/>
      </w:tblGrid>
      <w:tr w:rsidR="00E048ED" w:rsidRPr="006204F0" w:rsidTr="00672FAF">
        <w:trPr>
          <w:trHeight w:val="397"/>
        </w:trPr>
        <w:tc>
          <w:tcPr>
            <w:tcW w:w="3033" w:type="dxa"/>
            <w:tcBorders>
              <w:top w:val="single" w:sz="4" w:space="0" w:color="auto"/>
              <w:left w:val="nil"/>
              <w:bottom w:val="nil"/>
              <w:right w:val="nil"/>
            </w:tcBorders>
            <w:shd w:val="clear" w:color="auto" w:fill="auto"/>
            <w:noWrap/>
            <w:vAlign w:val="center"/>
            <w:hideMark/>
          </w:tcPr>
          <w:p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 </w:t>
            </w:r>
          </w:p>
        </w:tc>
        <w:tc>
          <w:tcPr>
            <w:tcW w:w="737" w:type="dxa"/>
            <w:tcBorders>
              <w:top w:val="single" w:sz="4" w:space="0" w:color="auto"/>
              <w:left w:val="nil"/>
              <w:bottom w:val="single" w:sz="4" w:space="0" w:color="auto"/>
              <w:right w:val="nil"/>
            </w:tcBorders>
            <w:shd w:val="clear" w:color="auto" w:fill="auto"/>
            <w:noWrap/>
            <w:vAlign w:val="center"/>
            <w:hideMark/>
          </w:tcPr>
          <w:p w:rsidR="00E048ED" w:rsidRPr="006204F0" w:rsidRDefault="00E048ED" w:rsidP="00E048ED">
            <w:pPr>
              <w:spacing w:after="0" w:line="240" w:lineRule="auto"/>
              <w:jc w:val="center"/>
              <w:rPr>
                <w:rFonts w:ascii="Arial" w:hAnsi="Arial" w:cs="Arial"/>
                <w:sz w:val="16"/>
                <w:szCs w:val="16"/>
              </w:rPr>
            </w:pPr>
            <w:r w:rsidRPr="006204F0">
              <w:rPr>
                <w:rFonts w:ascii="Arial" w:hAnsi="Arial" w:cs="Arial"/>
                <w:sz w:val="16"/>
                <w:szCs w:val="16"/>
              </w:rPr>
              <w:t>Program</w:t>
            </w:r>
          </w:p>
        </w:tc>
        <w:tc>
          <w:tcPr>
            <w:tcW w:w="794" w:type="dxa"/>
            <w:tcBorders>
              <w:top w:val="single" w:sz="4" w:space="0" w:color="auto"/>
              <w:left w:val="nil"/>
              <w:bottom w:val="single" w:sz="4" w:space="0" w:color="auto"/>
              <w:right w:val="nil"/>
            </w:tcBorders>
            <w:shd w:val="clear" w:color="000000" w:fill="E6E6E6"/>
            <w:vAlign w:val="center"/>
            <w:hideMark/>
          </w:tcPr>
          <w:p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2017–18</w:t>
            </w:r>
            <w:r w:rsidRPr="006204F0">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auto" w:fill="auto"/>
            <w:vAlign w:val="center"/>
            <w:hideMark/>
          </w:tcPr>
          <w:p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2018–19</w:t>
            </w:r>
            <w:r w:rsidRPr="006204F0">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000000" w:fill="E6E6E6"/>
            <w:vAlign w:val="center"/>
            <w:hideMark/>
          </w:tcPr>
          <w:p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2019–20</w:t>
            </w:r>
            <w:r w:rsidRPr="006204F0">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auto" w:fill="auto"/>
            <w:vAlign w:val="center"/>
            <w:hideMark/>
          </w:tcPr>
          <w:p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2020–21</w:t>
            </w:r>
            <w:r w:rsidRPr="006204F0">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000000" w:fill="E6E6E6"/>
            <w:vAlign w:val="center"/>
            <w:hideMark/>
          </w:tcPr>
          <w:p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2021–22</w:t>
            </w:r>
            <w:r w:rsidRPr="006204F0">
              <w:rPr>
                <w:rFonts w:ascii="Arial" w:hAnsi="Arial" w:cs="Arial"/>
                <w:sz w:val="16"/>
                <w:szCs w:val="16"/>
              </w:rPr>
              <w:br/>
              <w:t>$'000</w:t>
            </w:r>
          </w:p>
        </w:tc>
      </w:tr>
      <w:tr w:rsidR="00E048ED" w:rsidRPr="006204F0" w:rsidTr="00672FAF">
        <w:trPr>
          <w:trHeight w:val="225"/>
        </w:trPr>
        <w:tc>
          <w:tcPr>
            <w:tcW w:w="3033" w:type="dxa"/>
            <w:tcBorders>
              <w:top w:val="nil"/>
              <w:left w:val="nil"/>
              <w:bottom w:val="nil"/>
              <w:right w:val="nil"/>
            </w:tcBorders>
            <w:shd w:val="clear" w:color="auto" w:fill="auto"/>
            <w:vAlign w:val="bottom"/>
            <w:hideMark/>
          </w:tcPr>
          <w:p w:rsidR="00E048ED" w:rsidRPr="006204F0" w:rsidRDefault="00E048ED" w:rsidP="00E048ED">
            <w:pPr>
              <w:spacing w:after="0" w:line="240" w:lineRule="auto"/>
              <w:rPr>
                <w:rFonts w:ascii="Arial" w:hAnsi="Arial" w:cs="Arial"/>
                <w:b/>
                <w:bCs/>
                <w:sz w:val="16"/>
                <w:szCs w:val="16"/>
              </w:rPr>
            </w:pPr>
            <w:r w:rsidRPr="006204F0">
              <w:rPr>
                <w:rFonts w:ascii="Arial" w:hAnsi="Arial" w:cs="Arial"/>
                <w:b/>
                <w:bCs/>
                <w:sz w:val="16"/>
                <w:szCs w:val="16"/>
              </w:rPr>
              <w:t>Expense measures</w:t>
            </w:r>
          </w:p>
        </w:tc>
        <w:tc>
          <w:tcPr>
            <w:tcW w:w="737" w:type="dxa"/>
            <w:tcBorders>
              <w:top w:val="nil"/>
              <w:left w:val="nil"/>
              <w:bottom w:val="nil"/>
              <w:right w:val="nil"/>
            </w:tcBorders>
            <w:shd w:val="clear" w:color="auto" w:fill="auto"/>
            <w:noWrap/>
            <w:vAlign w:val="bottom"/>
            <w:hideMark/>
          </w:tcPr>
          <w:p w:rsidR="00E048ED" w:rsidRPr="006204F0" w:rsidRDefault="00E048ED" w:rsidP="00E048ED">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E048ED" w:rsidRPr="006204F0" w:rsidRDefault="00E048ED" w:rsidP="00E048ED">
            <w:pPr>
              <w:spacing w:after="0" w:line="240" w:lineRule="auto"/>
              <w:rPr>
                <w:rFonts w:ascii="Arial" w:hAnsi="Arial" w:cs="Arial"/>
                <w:sz w:val="16"/>
                <w:szCs w:val="16"/>
              </w:rPr>
            </w:pPr>
            <w:r w:rsidRPr="006204F0">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E048ED" w:rsidRPr="006204F0" w:rsidRDefault="00E048ED" w:rsidP="00E048ED">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E048ED" w:rsidRPr="006204F0" w:rsidRDefault="00E048ED" w:rsidP="00E048ED">
            <w:pPr>
              <w:spacing w:after="0" w:line="240" w:lineRule="auto"/>
              <w:rPr>
                <w:rFonts w:ascii="Arial" w:hAnsi="Arial" w:cs="Arial"/>
                <w:sz w:val="16"/>
                <w:szCs w:val="16"/>
              </w:rPr>
            </w:pPr>
            <w:r w:rsidRPr="006204F0">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E048ED" w:rsidRPr="006204F0" w:rsidRDefault="00E048ED"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E048ED" w:rsidRPr="006204F0" w:rsidRDefault="00E048ED" w:rsidP="00E048ED">
            <w:pPr>
              <w:spacing w:after="0" w:line="240" w:lineRule="auto"/>
              <w:rPr>
                <w:rFonts w:ascii="Arial" w:hAnsi="Arial" w:cs="Arial"/>
                <w:sz w:val="16"/>
                <w:szCs w:val="16"/>
              </w:rPr>
            </w:pPr>
            <w:r w:rsidRPr="006204F0">
              <w:rPr>
                <w:rFonts w:ascii="Arial" w:hAnsi="Arial" w:cs="Arial"/>
                <w:sz w:val="16"/>
                <w:szCs w:val="16"/>
              </w:rPr>
              <w:t> </w:t>
            </w:r>
          </w:p>
        </w:tc>
      </w:tr>
      <w:tr w:rsidR="00455DEE" w:rsidRPr="006204F0" w:rsidTr="00672FAF">
        <w:trPr>
          <w:trHeight w:val="340"/>
        </w:trPr>
        <w:tc>
          <w:tcPr>
            <w:tcW w:w="3033" w:type="dxa"/>
            <w:tcBorders>
              <w:top w:val="nil"/>
              <w:left w:val="nil"/>
              <w:bottom w:val="nil"/>
              <w:right w:val="nil"/>
            </w:tcBorders>
            <w:shd w:val="clear" w:color="auto" w:fill="auto"/>
            <w:vAlign w:val="bottom"/>
            <w:hideMark/>
          </w:tcPr>
          <w:p w:rsidR="00455DEE" w:rsidRDefault="002E0158" w:rsidP="002E0158">
            <w:pPr>
              <w:spacing w:after="0" w:line="240" w:lineRule="auto"/>
              <w:rPr>
                <w:rFonts w:ascii="Arial" w:hAnsi="Arial" w:cs="Arial"/>
                <w:sz w:val="16"/>
                <w:szCs w:val="16"/>
              </w:rPr>
            </w:pPr>
            <w:r>
              <w:rPr>
                <w:rFonts w:ascii="Arial" w:hAnsi="Arial" w:cs="Arial"/>
                <w:sz w:val="16"/>
                <w:szCs w:val="16"/>
              </w:rPr>
              <w:t xml:space="preserve">Better Targeting of Assistance to Support Jobseekers </w:t>
            </w:r>
            <w:r w:rsidR="00455DEE">
              <w:rPr>
                <w:rFonts w:ascii="Arial" w:hAnsi="Arial" w:cs="Arial"/>
                <w:sz w:val="16"/>
                <w:szCs w:val="16"/>
              </w:rPr>
              <w:t xml:space="preserve">— </w:t>
            </w:r>
            <w:r>
              <w:rPr>
                <w:rFonts w:ascii="Arial" w:hAnsi="Arial" w:cs="Arial"/>
                <w:sz w:val="16"/>
                <w:szCs w:val="16"/>
              </w:rPr>
              <w:t>amendment</w:t>
            </w:r>
            <w:r w:rsidR="00AD3854">
              <w:rPr>
                <w:rFonts w:ascii="Arial" w:hAnsi="Arial" w:cs="Arial"/>
                <w:sz w:val="16"/>
                <w:szCs w:val="16"/>
              </w:rPr>
              <w:t xml:space="preserve"> (a</w:t>
            </w:r>
            <w:r w:rsidR="00C827AD">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rsidR="00455DEE" w:rsidRDefault="00455DEE" w:rsidP="00455DEE">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455DEE" w:rsidRDefault="00455DEE" w:rsidP="00455DEE">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455DEE" w:rsidRDefault="00455DEE" w:rsidP="00455DEE">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455DEE" w:rsidRDefault="00455DEE" w:rsidP="00455DEE">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455DEE" w:rsidRDefault="00455DEE" w:rsidP="00455DEE">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455DEE" w:rsidRDefault="00455DEE" w:rsidP="00455DEE">
            <w:pPr>
              <w:spacing w:after="0" w:line="240" w:lineRule="auto"/>
              <w:jc w:val="right"/>
              <w:rPr>
                <w:rFonts w:ascii="Arial" w:hAnsi="Arial" w:cs="Arial"/>
                <w:sz w:val="16"/>
                <w:szCs w:val="16"/>
              </w:rPr>
            </w:pPr>
            <w:r>
              <w:rPr>
                <w:rFonts w:ascii="Arial" w:hAnsi="Arial" w:cs="Arial"/>
                <w:sz w:val="16"/>
                <w:szCs w:val="16"/>
              </w:rPr>
              <w:t> </w:t>
            </w:r>
          </w:p>
        </w:tc>
      </w:tr>
      <w:tr w:rsidR="00455DEE" w:rsidRPr="006204F0" w:rsidTr="00672FAF">
        <w:trPr>
          <w:trHeight w:val="227"/>
        </w:trPr>
        <w:tc>
          <w:tcPr>
            <w:tcW w:w="3033" w:type="dxa"/>
            <w:tcBorders>
              <w:top w:val="nil"/>
              <w:left w:val="nil"/>
              <w:bottom w:val="nil"/>
              <w:right w:val="nil"/>
            </w:tcBorders>
            <w:shd w:val="clear" w:color="auto" w:fill="auto"/>
            <w:noWrap/>
            <w:vAlign w:val="bottom"/>
            <w:hideMark/>
          </w:tcPr>
          <w:p w:rsidR="00455DEE" w:rsidRDefault="00455DEE" w:rsidP="00455DEE">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455DEE" w:rsidRDefault="00455DEE" w:rsidP="00455DEE">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455DEE" w:rsidRDefault="00455DEE" w:rsidP="00455DEE">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r>
      <w:tr w:rsidR="00455DEE" w:rsidRPr="006204F0" w:rsidTr="00672FAF">
        <w:trPr>
          <w:trHeight w:val="227"/>
        </w:trPr>
        <w:tc>
          <w:tcPr>
            <w:tcW w:w="3033" w:type="dxa"/>
            <w:tcBorders>
              <w:top w:val="nil"/>
              <w:left w:val="nil"/>
              <w:bottom w:val="nil"/>
              <w:right w:val="nil"/>
            </w:tcBorders>
            <w:shd w:val="clear" w:color="auto" w:fill="auto"/>
            <w:noWrap/>
            <w:vAlign w:val="bottom"/>
            <w:hideMark/>
          </w:tcPr>
          <w:p w:rsidR="00455DEE" w:rsidRDefault="00455DEE" w:rsidP="00455DEE">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rsidR="00455DEE" w:rsidRDefault="00455DEE" w:rsidP="00455DEE">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r>
      <w:tr w:rsidR="002E0158" w:rsidRPr="006204F0" w:rsidTr="00672FAF">
        <w:trPr>
          <w:trHeight w:val="227"/>
        </w:trPr>
        <w:tc>
          <w:tcPr>
            <w:tcW w:w="3033" w:type="dxa"/>
            <w:tcBorders>
              <w:top w:val="nil"/>
              <w:left w:val="nil"/>
              <w:bottom w:val="nil"/>
              <w:right w:val="nil"/>
            </w:tcBorders>
            <w:shd w:val="clear" w:color="auto" w:fill="auto"/>
            <w:noWrap/>
            <w:vAlign w:val="bottom"/>
            <w:hideMark/>
          </w:tcPr>
          <w:p w:rsidR="002E0158" w:rsidRDefault="002E0158" w:rsidP="002E0158">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rsidR="002E0158" w:rsidRDefault="002E0158" w:rsidP="002E0158">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w:t>
            </w:r>
          </w:p>
        </w:tc>
      </w:tr>
      <w:tr w:rsidR="00C827AD" w:rsidRPr="006204F0" w:rsidTr="00C827AD">
        <w:trPr>
          <w:trHeight w:val="397"/>
        </w:trPr>
        <w:tc>
          <w:tcPr>
            <w:tcW w:w="3033" w:type="dxa"/>
            <w:tcBorders>
              <w:top w:val="nil"/>
              <w:left w:val="nil"/>
              <w:bottom w:val="nil"/>
              <w:right w:val="nil"/>
            </w:tcBorders>
            <w:shd w:val="clear" w:color="auto" w:fill="auto"/>
            <w:vAlign w:val="bottom"/>
            <w:hideMark/>
          </w:tcPr>
          <w:p w:rsidR="00C827AD" w:rsidRDefault="00C827AD" w:rsidP="008541AA">
            <w:pPr>
              <w:spacing w:after="0" w:line="240" w:lineRule="auto"/>
              <w:rPr>
                <w:rFonts w:ascii="Arial" w:hAnsi="Arial" w:cs="Arial"/>
                <w:sz w:val="16"/>
                <w:szCs w:val="16"/>
              </w:rPr>
            </w:pPr>
            <w:r>
              <w:rPr>
                <w:rFonts w:ascii="Arial" w:hAnsi="Arial" w:cs="Arial"/>
                <w:sz w:val="16"/>
                <w:szCs w:val="16"/>
              </w:rPr>
              <w:t>C</w:t>
            </w:r>
            <w:r w:rsidR="008541AA">
              <w:rPr>
                <w:rFonts w:ascii="Arial" w:hAnsi="Arial" w:cs="Arial"/>
                <w:sz w:val="16"/>
                <w:szCs w:val="16"/>
              </w:rPr>
              <w:t xml:space="preserve">ommunity Development Program — reform </w:t>
            </w:r>
            <w:r w:rsidR="00AD3854">
              <w:rPr>
                <w:rFonts w:ascii="Arial" w:hAnsi="Arial" w:cs="Arial"/>
                <w:sz w:val="16"/>
                <w:szCs w:val="16"/>
              </w:rPr>
              <w:t>(b</w:t>
            </w:r>
            <w:r>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rsidR="00C827AD" w:rsidRDefault="00C827AD" w:rsidP="00C827AD">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C827AD" w:rsidRDefault="00C827AD" w:rsidP="00C827A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C827AD" w:rsidRDefault="00C827AD" w:rsidP="00C827A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w:t>
            </w:r>
          </w:p>
        </w:tc>
      </w:tr>
      <w:tr w:rsidR="00C827AD" w:rsidRPr="006204F0" w:rsidTr="00C827AD">
        <w:trPr>
          <w:trHeight w:val="227"/>
        </w:trPr>
        <w:tc>
          <w:tcPr>
            <w:tcW w:w="3033" w:type="dxa"/>
            <w:tcBorders>
              <w:top w:val="nil"/>
              <w:left w:val="nil"/>
              <w:bottom w:val="nil"/>
              <w:right w:val="nil"/>
            </w:tcBorders>
            <w:shd w:val="clear" w:color="auto" w:fill="auto"/>
            <w:noWrap/>
            <w:vAlign w:val="bottom"/>
            <w:hideMark/>
          </w:tcPr>
          <w:p w:rsidR="00C827AD" w:rsidRDefault="00C827AD" w:rsidP="00C827AD">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C827AD" w:rsidRDefault="00C827AD" w:rsidP="00C827A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446 </w:t>
            </w: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470 </w:t>
            </w:r>
          </w:p>
        </w:tc>
        <w:tc>
          <w:tcPr>
            <w:tcW w:w="794" w:type="dxa"/>
            <w:tcBorders>
              <w:top w:val="nil"/>
              <w:left w:val="nil"/>
              <w:bottom w:val="nil"/>
              <w:right w:val="nil"/>
            </w:tcBorders>
            <w:shd w:val="clear" w:color="auto" w:fill="auto"/>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340 </w:t>
            </w: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335 </w:t>
            </w:r>
          </w:p>
        </w:tc>
      </w:tr>
      <w:tr w:rsidR="00C827AD" w:rsidRPr="006204F0" w:rsidTr="00C827AD">
        <w:trPr>
          <w:trHeight w:val="227"/>
        </w:trPr>
        <w:tc>
          <w:tcPr>
            <w:tcW w:w="3033" w:type="dxa"/>
            <w:tcBorders>
              <w:top w:val="nil"/>
              <w:left w:val="nil"/>
              <w:bottom w:val="nil"/>
              <w:right w:val="nil"/>
            </w:tcBorders>
            <w:shd w:val="clear" w:color="auto" w:fill="auto"/>
            <w:noWrap/>
            <w:vAlign w:val="bottom"/>
            <w:hideMark/>
          </w:tcPr>
          <w:p w:rsidR="00C827AD" w:rsidRDefault="00C827AD" w:rsidP="00C827AD">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rsidR="00C827AD" w:rsidRDefault="00C827AD" w:rsidP="00C827A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4,666 </w:t>
            </w: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1,201 </w:t>
            </w:r>
          </w:p>
        </w:tc>
        <w:tc>
          <w:tcPr>
            <w:tcW w:w="794" w:type="dxa"/>
            <w:tcBorders>
              <w:top w:val="nil"/>
              <w:left w:val="nil"/>
              <w:bottom w:val="nil"/>
              <w:right w:val="nil"/>
            </w:tcBorders>
            <w:shd w:val="clear" w:color="auto" w:fill="auto"/>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692 </w:t>
            </w: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272 </w:t>
            </w:r>
          </w:p>
        </w:tc>
      </w:tr>
      <w:tr w:rsidR="00C827AD" w:rsidRPr="006204F0" w:rsidTr="00C827AD">
        <w:trPr>
          <w:trHeight w:val="227"/>
        </w:trPr>
        <w:tc>
          <w:tcPr>
            <w:tcW w:w="3033" w:type="dxa"/>
            <w:tcBorders>
              <w:top w:val="nil"/>
              <w:left w:val="nil"/>
              <w:bottom w:val="nil"/>
              <w:right w:val="nil"/>
            </w:tcBorders>
            <w:shd w:val="clear" w:color="auto" w:fill="auto"/>
            <w:noWrap/>
            <w:vAlign w:val="bottom"/>
            <w:hideMark/>
          </w:tcPr>
          <w:p w:rsidR="00C827AD" w:rsidRDefault="00C827AD" w:rsidP="00C827AD">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rsidR="00C827AD" w:rsidRDefault="00C827AD" w:rsidP="00C827A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5,112 </w:t>
            </w: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1,671 </w:t>
            </w:r>
          </w:p>
        </w:tc>
        <w:tc>
          <w:tcPr>
            <w:tcW w:w="794" w:type="dxa"/>
            <w:tcBorders>
              <w:top w:val="nil"/>
              <w:left w:val="nil"/>
              <w:bottom w:val="nil"/>
              <w:right w:val="nil"/>
            </w:tcBorders>
            <w:shd w:val="clear" w:color="auto" w:fill="auto"/>
            <w:noWrap/>
            <w:vAlign w:val="bottom"/>
            <w:hideMark/>
          </w:tcPr>
          <w:p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1,032 </w:t>
            </w:r>
          </w:p>
        </w:tc>
        <w:tc>
          <w:tcPr>
            <w:tcW w:w="794" w:type="dxa"/>
            <w:tcBorders>
              <w:top w:val="nil"/>
              <w:left w:val="nil"/>
              <w:bottom w:val="nil"/>
              <w:right w:val="nil"/>
            </w:tcBorders>
            <w:shd w:val="clear" w:color="000000" w:fill="E6E6E6"/>
            <w:noWrap/>
            <w:vAlign w:val="bottom"/>
            <w:hideMark/>
          </w:tcPr>
          <w:p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607 </w:t>
            </w:r>
          </w:p>
        </w:tc>
      </w:tr>
      <w:tr w:rsidR="00FE0499" w:rsidRPr="006204F0" w:rsidTr="00672FAF">
        <w:trPr>
          <w:trHeight w:val="567"/>
        </w:trPr>
        <w:tc>
          <w:tcPr>
            <w:tcW w:w="3033" w:type="dxa"/>
            <w:tcBorders>
              <w:top w:val="nil"/>
              <w:left w:val="nil"/>
              <w:bottom w:val="nil"/>
              <w:right w:val="nil"/>
            </w:tcBorders>
            <w:shd w:val="clear" w:color="auto" w:fill="auto"/>
            <w:vAlign w:val="bottom"/>
            <w:hideMark/>
          </w:tcPr>
          <w:p w:rsidR="00FE0499" w:rsidRDefault="00FE0499" w:rsidP="00AD3854">
            <w:pPr>
              <w:spacing w:after="0" w:line="240" w:lineRule="auto"/>
              <w:rPr>
                <w:rFonts w:ascii="Arial" w:hAnsi="Arial" w:cs="Arial"/>
                <w:sz w:val="16"/>
                <w:szCs w:val="16"/>
              </w:rPr>
            </w:pPr>
            <w:r>
              <w:rPr>
                <w:rFonts w:ascii="Arial" w:hAnsi="Arial" w:cs="Arial"/>
                <w:sz w:val="16"/>
                <w:szCs w:val="16"/>
              </w:rPr>
              <w:t>Disability Support Pension — aligning suspension peri</w:t>
            </w:r>
            <w:r w:rsidR="002E0158">
              <w:rPr>
                <w:rFonts w:ascii="Arial" w:hAnsi="Arial" w:cs="Arial"/>
                <w:sz w:val="16"/>
                <w:szCs w:val="16"/>
              </w:rPr>
              <w:t>ods for imprisoned recipients (</w:t>
            </w:r>
            <w:r w:rsidR="00AD3854">
              <w:rPr>
                <w:rFonts w:ascii="Arial" w:hAnsi="Arial" w:cs="Arial"/>
                <w:sz w:val="16"/>
                <w:szCs w:val="16"/>
              </w:rPr>
              <w:t>c</w:t>
            </w:r>
            <w:r>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FE0499" w:rsidRPr="006204F0"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8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66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140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197 </w:t>
            </w:r>
          </w:p>
        </w:tc>
      </w:tr>
      <w:tr w:rsidR="00FE0499" w:rsidRPr="006204F0"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FE0499" w:rsidRPr="006204F0"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3637D3">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8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66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140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197 </w:t>
            </w:r>
          </w:p>
        </w:tc>
      </w:tr>
      <w:tr w:rsidR="00FE0499" w:rsidRPr="006204F0" w:rsidTr="00672FAF">
        <w:trPr>
          <w:trHeight w:val="397"/>
        </w:trPr>
        <w:tc>
          <w:tcPr>
            <w:tcW w:w="3033" w:type="dxa"/>
            <w:tcBorders>
              <w:top w:val="nil"/>
              <w:left w:val="nil"/>
              <w:bottom w:val="nil"/>
              <w:right w:val="nil"/>
            </w:tcBorders>
            <w:shd w:val="clear" w:color="auto" w:fill="auto"/>
            <w:vAlign w:val="bottom"/>
            <w:hideMark/>
          </w:tcPr>
          <w:p w:rsidR="00FE0499" w:rsidRDefault="00FE0499" w:rsidP="003B4548">
            <w:pPr>
              <w:spacing w:after="0" w:line="240" w:lineRule="auto"/>
              <w:rPr>
                <w:rFonts w:ascii="Arial" w:hAnsi="Arial" w:cs="Arial"/>
                <w:sz w:val="16"/>
                <w:szCs w:val="16"/>
              </w:rPr>
            </w:pPr>
            <w:r>
              <w:rPr>
                <w:rFonts w:ascii="Arial" w:hAnsi="Arial" w:cs="Arial"/>
                <w:sz w:val="16"/>
                <w:szCs w:val="16"/>
              </w:rPr>
              <w:t>Encouraging Self-Sufficiency for Newly Arrived</w:t>
            </w:r>
            <w:r w:rsidR="002E0158">
              <w:rPr>
                <w:rFonts w:ascii="Arial" w:hAnsi="Arial" w:cs="Arial"/>
                <w:sz w:val="16"/>
                <w:szCs w:val="16"/>
              </w:rPr>
              <w:t xml:space="preserve"> Migrants —</w:t>
            </w:r>
            <w:r w:rsidR="003B4548">
              <w:rPr>
                <w:rFonts w:ascii="Arial" w:hAnsi="Arial" w:cs="Arial"/>
                <w:sz w:val="16"/>
                <w:szCs w:val="16"/>
              </w:rPr>
              <w:t xml:space="preserve"> </w:t>
            </w:r>
            <w:r w:rsidR="002E0158">
              <w:rPr>
                <w:rFonts w:ascii="Arial" w:hAnsi="Arial" w:cs="Arial"/>
                <w:sz w:val="16"/>
                <w:szCs w:val="16"/>
              </w:rPr>
              <w:t>extension (</w:t>
            </w:r>
            <w:r w:rsidR="00AD3854">
              <w:rPr>
                <w:rFonts w:ascii="Arial" w:hAnsi="Arial" w:cs="Arial"/>
                <w:sz w:val="16"/>
                <w:szCs w:val="16"/>
              </w:rPr>
              <w:t>c</w:t>
            </w:r>
            <w:r>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FE0499" w:rsidRPr="006204F0"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(5,181)</w:t>
            </w:r>
          </w:p>
        </w:tc>
      </w:tr>
      <w:tr w:rsidR="00FE0499" w:rsidRPr="006204F0"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FE0499" w:rsidRPr="006204F0"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3637D3">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(5,181)</w:t>
            </w:r>
          </w:p>
        </w:tc>
      </w:tr>
      <w:tr w:rsidR="00AD3854" w:rsidRPr="006204F0" w:rsidTr="00ED7D5C">
        <w:trPr>
          <w:trHeight w:val="397"/>
        </w:trPr>
        <w:tc>
          <w:tcPr>
            <w:tcW w:w="3033" w:type="dxa"/>
            <w:tcBorders>
              <w:top w:val="nil"/>
              <w:left w:val="nil"/>
              <w:bottom w:val="nil"/>
              <w:right w:val="nil"/>
            </w:tcBorders>
            <w:shd w:val="clear" w:color="auto" w:fill="auto"/>
            <w:vAlign w:val="bottom"/>
            <w:hideMark/>
          </w:tcPr>
          <w:p w:rsidR="00AD3854" w:rsidRDefault="00AD3854" w:rsidP="00ED7D5C">
            <w:pPr>
              <w:spacing w:after="0" w:line="240" w:lineRule="auto"/>
              <w:rPr>
                <w:rFonts w:ascii="Arial" w:hAnsi="Arial" w:cs="Arial"/>
                <w:sz w:val="16"/>
                <w:szCs w:val="16"/>
              </w:rPr>
            </w:pPr>
            <w:r>
              <w:rPr>
                <w:rFonts w:ascii="Arial" w:hAnsi="Arial" w:cs="Arial"/>
                <w:sz w:val="16"/>
                <w:szCs w:val="16"/>
              </w:rPr>
              <w:t>More Choices for a Longer Life — jobs and skills for mature age Australians (d)</w:t>
            </w:r>
          </w:p>
        </w:tc>
        <w:tc>
          <w:tcPr>
            <w:tcW w:w="737"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w:t>
            </w:r>
          </w:p>
        </w:tc>
      </w:tr>
      <w:tr w:rsidR="00AD3854" w:rsidRPr="006204F0" w:rsidTr="00ED7D5C">
        <w:trPr>
          <w:trHeight w:val="225"/>
        </w:trPr>
        <w:tc>
          <w:tcPr>
            <w:tcW w:w="3033" w:type="dxa"/>
            <w:tcBorders>
              <w:top w:val="nil"/>
              <w:left w:val="nil"/>
              <w:bottom w:val="nil"/>
              <w:right w:val="nil"/>
            </w:tcBorders>
            <w:shd w:val="clear" w:color="auto" w:fill="auto"/>
            <w:noWrap/>
            <w:vAlign w:val="bottom"/>
            <w:hideMark/>
          </w:tcPr>
          <w:p w:rsidR="00AD3854" w:rsidRDefault="00AD3854" w:rsidP="00ED7D5C">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14,222 </w:t>
            </w: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15,033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6,117 </w:t>
            </w: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4,927 </w:t>
            </w:r>
          </w:p>
        </w:tc>
      </w:tr>
      <w:tr w:rsidR="00AD3854" w:rsidRPr="006204F0" w:rsidTr="00ED7D5C">
        <w:trPr>
          <w:trHeight w:val="225"/>
        </w:trPr>
        <w:tc>
          <w:tcPr>
            <w:tcW w:w="3033" w:type="dxa"/>
            <w:tcBorders>
              <w:top w:val="nil"/>
              <w:left w:val="nil"/>
              <w:bottom w:val="nil"/>
              <w:right w:val="nil"/>
            </w:tcBorders>
            <w:shd w:val="clear" w:color="auto" w:fill="auto"/>
            <w:noWrap/>
            <w:vAlign w:val="bottom"/>
            <w:hideMark/>
          </w:tcPr>
          <w:p w:rsidR="00AD3854" w:rsidRDefault="00AD3854" w:rsidP="00ED7D5C">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3,772 </w:t>
            </w: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2,097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985 </w:t>
            </w: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 </w:t>
            </w:r>
          </w:p>
        </w:tc>
      </w:tr>
      <w:tr w:rsidR="00AD3854" w:rsidRPr="006204F0" w:rsidTr="00ED7D5C">
        <w:trPr>
          <w:trHeight w:val="227"/>
        </w:trPr>
        <w:tc>
          <w:tcPr>
            <w:tcW w:w="3033" w:type="dxa"/>
            <w:tcBorders>
              <w:top w:val="nil"/>
              <w:left w:val="nil"/>
              <w:bottom w:val="nil"/>
              <w:right w:val="nil"/>
            </w:tcBorders>
            <w:shd w:val="clear" w:color="auto" w:fill="auto"/>
            <w:noWrap/>
            <w:vAlign w:val="bottom"/>
            <w:hideMark/>
          </w:tcPr>
          <w:p w:rsidR="00AD3854" w:rsidRDefault="00AD3854" w:rsidP="00ED7D5C">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17,994 </w:t>
            </w: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17,130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7,102 </w:t>
            </w: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4,927 </w:t>
            </w:r>
          </w:p>
        </w:tc>
      </w:tr>
      <w:tr w:rsidR="00825880" w:rsidRPr="006204F0" w:rsidTr="00825880">
        <w:trPr>
          <w:trHeight w:val="227"/>
        </w:trPr>
        <w:tc>
          <w:tcPr>
            <w:tcW w:w="3033" w:type="dxa"/>
            <w:tcBorders>
              <w:top w:val="nil"/>
              <w:left w:val="nil"/>
              <w:bottom w:val="nil"/>
              <w:right w:val="nil"/>
            </w:tcBorders>
            <w:shd w:val="clear" w:color="auto" w:fill="auto"/>
            <w:vAlign w:val="bottom"/>
            <w:hideMark/>
          </w:tcPr>
          <w:p w:rsidR="00825880" w:rsidRDefault="00825880" w:rsidP="00825880">
            <w:pPr>
              <w:spacing w:after="0" w:line="240" w:lineRule="auto"/>
              <w:rPr>
                <w:rFonts w:ascii="Arial" w:hAnsi="Arial" w:cs="Arial"/>
                <w:sz w:val="16"/>
                <w:szCs w:val="16"/>
              </w:rPr>
            </w:pPr>
            <w:r>
              <w:rPr>
                <w:rFonts w:ascii="Arial" w:hAnsi="Arial" w:cs="Arial"/>
                <w:sz w:val="16"/>
                <w:szCs w:val="16"/>
              </w:rPr>
              <w:t>Online Employment Services Trial (e)</w:t>
            </w:r>
          </w:p>
        </w:tc>
        <w:tc>
          <w:tcPr>
            <w:tcW w:w="737" w:type="dxa"/>
            <w:tcBorders>
              <w:top w:val="nil"/>
              <w:left w:val="nil"/>
              <w:bottom w:val="nil"/>
              <w:right w:val="nil"/>
            </w:tcBorders>
            <w:shd w:val="clear" w:color="auto" w:fill="auto"/>
            <w:noWrap/>
            <w:vAlign w:val="bottom"/>
            <w:hideMark/>
          </w:tcPr>
          <w:p w:rsidR="00825880" w:rsidRDefault="00825880" w:rsidP="00032C97">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r>
      <w:tr w:rsidR="00825880" w:rsidRPr="006204F0" w:rsidTr="00032C97">
        <w:trPr>
          <w:trHeight w:val="227"/>
        </w:trPr>
        <w:tc>
          <w:tcPr>
            <w:tcW w:w="3033" w:type="dxa"/>
            <w:tcBorders>
              <w:top w:val="nil"/>
              <w:left w:val="nil"/>
              <w:bottom w:val="nil"/>
              <w:right w:val="nil"/>
            </w:tcBorders>
            <w:shd w:val="clear" w:color="auto" w:fill="auto"/>
            <w:noWrap/>
            <w:vAlign w:val="bottom"/>
            <w:hideMark/>
          </w:tcPr>
          <w:p w:rsidR="00825880" w:rsidRDefault="00825880" w:rsidP="00032C97">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r>
      <w:tr w:rsidR="00825880" w:rsidRPr="006204F0" w:rsidTr="00032C97">
        <w:trPr>
          <w:trHeight w:val="227"/>
        </w:trPr>
        <w:tc>
          <w:tcPr>
            <w:tcW w:w="3033" w:type="dxa"/>
            <w:tcBorders>
              <w:top w:val="nil"/>
              <w:left w:val="nil"/>
              <w:bottom w:val="nil"/>
              <w:right w:val="nil"/>
            </w:tcBorders>
            <w:shd w:val="clear" w:color="auto" w:fill="auto"/>
            <w:noWrap/>
            <w:vAlign w:val="bottom"/>
            <w:hideMark/>
          </w:tcPr>
          <w:p w:rsidR="00825880" w:rsidRDefault="00825880" w:rsidP="00032C97">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r>
      <w:tr w:rsidR="00825880" w:rsidRPr="006204F0" w:rsidTr="00032C97">
        <w:trPr>
          <w:trHeight w:val="227"/>
        </w:trPr>
        <w:tc>
          <w:tcPr>
            <w:tcW w:w="3033" w:type="dxa"/>
            <w:tcBorders>
              <w:top w:val="nil"/>
              <w:left w:val="nil"/>
              <w:bottom w:val="nil"/>
              <w:right w:val="nil"/>
            </w:tcBorders>
            <w:shd w:val="clear" w:color="auto" w:fill="auto"/>
            <w:noWrap/>
            <w:vAlign w:val="bottom"/>
            <w:hideMark/>
          </w:tcPr>
          <w:p w:rsidR="00825880" w:rsidRDefault="00825880" w:rsidP="00032C97">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r>
      <w:tr w:rsidR="00FC3BD2" w:rsidRPr="006204F0" w:rsidTr="00FC3BD2">
        <w:trPr>
          <w:trHeight w:val="397"/>
        </w:trPr>
        <w:tc>
          <w:tcPr>
            <w:tcW w:w="3033" w:type="dxa"/>
            <w:tcBorders>
              <w:left w:val="nil"/>
              <w:bottom w:val="nil"/>
              <w:right w:val="nil"/>
            </w:tcBorders>
            <w:shd w:val="clear" w:color="auto" w:fill="auto"/>
            <w:vAlign w:val="bottom"/>
            <w:hideMark/>
          </w:tcPr>
          <w:p w:rsidR="00FC3BD2" w:rsidRDefault="00FC3BD2" w:rsidP="00FC3BD2">
            <w:pPr>
              <w:spacing w:after="0" w:line="240" w:lineRule="auto"/>
              <w:rPr>
                <w:rFonts w:ascii="Arial" w:hAnsi="Arial" w:cs="Arial"/>
                <w:sz w:val="16"/>
                <w:szCs w:val="16"/>
              </w:rPr>
            </w:pPr>
            <w:r>
              <w:rPr>
                <w:rFonts w:ascii="Arial" w:hAnsi="Arial" w:cs="Arial"/>
                <w:sz w:val="16"/>
                <w:szCs w:val="16"/>
              </w:rPr>
              <w:t>Protecting Your Super Package — changes to insurance in superannuation (f)</w:t>
            </w:r>
          </w:p>
        </w:tc>
        <w:tc>
          <w:tcPr>
            <w:tcW w:w="737" w:type="dxa"/>
            <w:tcBorders>
              <w:left w:val="nil"/>
              <w:bottom w:val="nil"/>
              <w:right w:val="nil"/>
            </w:tcBorders>
            <w:shd w:val="clear" w:color="auto" w:fill="auto"/>
            <w:noWrap/>
            <w:vAlign w:val="bottom"/>
            <w:hideMark/>
          </w:tcPr>
          <w:p w:rsidR="00FC3BD2" w:rsidRDefault="00FC3BD2" w:rsidP="00FC3BD2">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r>
      <w:tr w:rsidR="00FC3BD2" w:rsidRPr="006204F0" w:rsidTr="00FC3BD2">
        <w:trPr>
          <w:trHeight w:val="225"/>
        </w:trPr>
        <w:tc>
          <w:tcPr>
            <w:tcW w:w="3033" w:type="dxa"/>
            <w:tcBorders>
              <w:top w:val="nil"/>
              <w:left w:val="nil"/>
              <w:bottom w:val="nil"/>
              <w:right w:val="nil"/>
            </w:tcBorders>
            <w:shd w:val="clear" w:color="auto" w:fill="auto"/>
            <w:noWrap/>
            <w:vAlign w:val="bottom"/>
            <w:hideMark/>
          </w:tcPr>
          <w:p w:rsidR="00FC3BD2" w:rsidRDefault="00FC3BD2" w:rsidP="00FC3BD2">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FC3BD2" w:rsidRDefault="00FC3BD2" w:rsidP="00FC3BD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377 </w:t>
            </w:r>
          </w:p>
        </w:tc>
        <w:tc>
          <w:tcPr>
            <w:tcW w:w="794" w:type="dxa"/>
            <w:tcBorders>
              <w:top w:val="nil"/>
              <w:left w:val="nil"/>
              <w:bottom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1,683 </w:t>
            </w: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2,969 </w:t>
            </w:r>
          </w:p>
        </w:tc>
      </w:tr>
      <w:tr w:rsidR="00FC3BD2" w:rsidRPr="006204F0" w:rsidTr="00FC3BD2">
        <w:trPr>
          <w:trHeight w:val="225"/>
        </w:trPr>
        <w:tc>
          <w:tcPr>
            <w:tcW w:w="3033" w:type="dxa"/>
            <w:tcBorders>
              <w:top w:val="nil"/>
              <w:left w:val="nil"/>
              <w:right w:val="nil"/>
            </w:tcBorders>
            <w:shd w:val="clear" w:color="auto" w:fill="auto"/>
            <w:noWrap/>
            <w:vAlign w:val="bottom"/>
            <w:hideMark/>
          </w:tcPr>
          <w:p w:rsidR="00FC3BD2" w:rsidRDefault="00FC3BD2" w:rsidP="00FC3BD2">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right w:val="nil"/>
            </w:tcBorders>
            <w:shd w:val="clear" w:color="auto" w:fill="auto"/>
            <w:noWrap/>
            <w:vAlign w:val="bottom"/>
            <w:hideMark/>
          </w:tcPr>
          <w:p w:rsidR="00FC3BD2" w:rsidRDefault="00FC3BD2" w:rsidP="00FC3BD2">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r>
      <w:tr w:rsidR="00FC3BD2" w:rsidRPr="006204F0" w:rsidTr="00FC3BD2">
        <w:trPr>
          <w:trHeight w:val="227"/>
        </w:trPr>
        <w:tc>
          <w:tcPr>
            <w:tcW w:w="3033" w:type="dxa"/>
            <w:tcBorders>
              <w:top w:val="nil"/>
              <w:left w:val="nil"/>
              <w:right w:val="nil"/>
            </w:tcBorders>
            <w:shd w:val="clear" w:color="auto" w:fill="auto"/>
            <w:noWrap/>
            <w:vAlign w:val="bottom"/>
            <w:hideMark/>
          </w:tcPr>
          <w:p w:rsidR="00FC3BD2" w:rsidRDefault="00FC3BD2" w:rsidP="00FC3BD2">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right w:val="nil"/>
            </w:tcBorders>
            <w:shd w:val="clear" w:color="auto" w:fill="auto"/>
            <w:noWrap/>
            <w:vAlign w:val="bottom"/>
            <w:hideMark/>
          </w:tcPr>
          <w:p w:rsidR="00FC3BD2" w:rsidRDefault="00FC3BD2" w:rsidP="00FC3BD2">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right w:val="nil"/>
            </w:tcBorders>
            <w:shd w:val="clear" w:color="auto" w:fill="auto"/>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377 </w:t>
            </w:r>
          </w:p>
        </w:tc>
        <w:tc>
          <w:tcPr>
            <w:tcW w:w="794" w:type="dxa"/>
            <w:tcBorders>
              <w:top w:val="nil"/>
              <w:left w:val="nil"/>
              <w:right w:val="nil"/>
            </w:tcBorders>
            <w:shd w:val="clear" w:color="auto" w:fill="auto"/>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1,683 </w:t>
            </w: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2,969 </w:t>
            </w:r>
          </w:p>
        </w:tc>
      </w:tr>
      <w:tr w:rsidR="00FE0499" w:rsidRPr="006204F0" w:rsidTr="00672FAF">
        <w:trPr>
          <w:trHeight w:val="397"/>
        </w:trPr>
        <w:tc>
          <w:tcPr>
            <w:tcW w:w="3033" w:type="dxa"/>
            <w:tcBorders>
              <w:top w:val="nil"/>
              <w:left w:val="nil"/>
              <w:bottom w:val="nil"/>
              <w:right w:val="nil"/>
            </w:tcBorders>
            <w:shd w:val="clear" w:color="auto" w:fill="auto"/>
            <w:vAlign w:val="bottom"/>
            <w:hideMark/>
          </w:tcPr>
          <w:p w:rsidR="00FE0499" w:rsidRDefault="00FE0499" w:rsidP="003637D3">
            <w:pPr>
              <w:spacing w:after="0" w:line="240" w:lineRule="auto"/>
              <w:rPr>
                <w:rFonts w:ascii="Arial" w:hAnsi="Arial" w:cs="Arial"/>
                <w:sz w:val="16"/>
                <w:szCs w:val="16"/>
              </w:rPr>
            </w:pPr>
            <w:r>
              <w:rPr>
                <w:rFonts w:ascii="Arial" w:hAnsi="Arial" w:cs="Arial"/>
                <w:sz w:val="16"/>
                <w:szCs w:val="16"/>
              </w:rPr>
              <w:t>Regional Employment Trials Program — establishment</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FE0499" w:rsidRPr="006204F0" w:rsidTr="00672FAF">
        <w:trPr>
          <w:trHeight w:val="225"/>
        </w:trPr>
        <w:tc>
          <w:tcPr>
            <w:tcW w:w="3033" w:type="dxa"/>
            <w:tcBorders>
              <w:top w:val="nil"/>
              <w:left w:val="nil"/>
              <w:bottom w:val="nil"/>
              <w:right w:val="nil"/>
            </w:tcBorders>
            <w:shd w:val="clear" w:color="auto" w:fill="auto"/>
            <w:noWrap/>
            <w:vAlign w:val="bottom"/>
            <w:hideMark/>
          </w:tcPr>
          <w:p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FE0499" w:rsidRPr="006204F0" w:rsidTr="00FC3BD2">
        <w:trPr>
          <w:trHeight w:val="225"/>
        </w:trPr>
        <w:tc>
          <w:tcPr>
            <w:tcW w:w="3033" w:type="dxa"/>
            <w:tcBorders>
              <w:top w:val="nil"/>
              <w:left w:val="nil"/>
              <w:right w:val="nil"/>
            </w:tcBorders>
            <w:shd w:val="clear" w:color="auto" w:fill="auto"/>
            <w:noWrap/>
            <w:vAlign w:val="bottom"/>
            <w:hideMark/>
          </w:tcPr>
          <w:p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2,753 </w:t>
            </w: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1,718 </w:t>
            </w:r>
          </w:p>
        </w:tc>
        <w:tc>
          <w:tcPr>
            <w:tcW w:w="794" w:type="dxa"/>
            <w:tcBorders>
              <w:top w:val="nil"/>
              <w:left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234 </w:t>
            </w: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FE0499" w:rsidRPr="006204F0" w:rsidTr="00FC3BD2">
        <w:trPr>
          <w:trHeight w:val="227"/>
        </w:trPr>
        <w:tc>
          <w:tcPr>
            <w:tcW w:w="3033" w:type="dxa"/>
            <w:tcBorders>
              <w:top w:val="nil"/>
              <w:left w:val="nil"/>
              <w:bottom w:val="single" w:sz="4" w:space="0" w:color="auto"/>
              <w:right w:val="nil"/>
            </w:tcBorders>
            <w:shd w:val="clear" w:color="auto" w:fill="auto"/>
            <w:noWrap/>
            <w:vAlign w:val="bottom"/>
            <w:hideMark/>
          </w:tcPr>
          <w:p w:rsidR="00FE0499" w:rsidRDefault="00FE0499" w:rsidP="003637D3">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single" w:sz="4" w:space="0" w:color="auto"/>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single" w:sz="4" w:space="0" w:color="auto"/>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single" w:sz="4" w:space="0" w:color="auto"/>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2,753 </w:t>
            </w:r>
          </w:p>
        </w:tc>
        <w:tc>
          <w:tcPr>
            <w:tcW w:w="794" w:type="dxa"/>
            <w:tcBorders>
              <w:top w:val="nil"/>
              <w:left w:val="nil"/>
              <w:bottom w:val="single" w:sz="4" w:space="0" w:color="auto"/>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1,718 </w:t>
            </w:r>
          </w:p>
        </w:tc>
        <w:tc>
          <w:tcPr>
            <w:tcW w:w="794" w:type="dxa"/>
            <w:tcBorders>
              <w:top w:val="nil"/>
              <w:left w:val="nil"/>
              <w:bottom w:val="single" w:sz="4" w:space="0" w:color="auto"/>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234 </w:t>
            </w:r>
          </w:p>
        </w:tc>
        <w:tc>
          <w:tcPr>
            <w:tcW w:w="794" w:type="dxa"/>
            <w:tcBorders>
              <w:top w:val="nil"/>
              <w:left w:val="nil"/>
              <w:bottom w:val="single" w:sz="4" w:space="0" w:color="auto"/>
              <w:right w:val="nil"/>
            </w:tcBorders>
            <w:shd w:val="clear" w:color="000000" w:fill="E6E6E6"/>
            <w:noWrap/>
            <w:vAlign w:val="bottom"/>
            <w:hideMark/>
          </w:tcPr>
          <w:p w:rsidR="00FE0499" w:rsidRDefault="00FE0499" w:rsidP="00EF1DF5">
            <w:pPr>
              <w:spacing w:after="0" w:line="240" w:lineRule="auto"/>
              <w:jc w:val="right"/>
              <w:rPr>
                <w:rFonts w:ascii="Arial" w:hAnsi="Arial" w:cs="Arial"/>
                <w:b/>
                <w:bCs/>
                <w:sz w:val="16"/>
                <w:szCs w:val="16"/>
              </w:rPr>
            </w:pPr>
            <w:r>
              <w:rPr>
                <w:rFonts w:ascii="Arial" w:hAnsi="Arial" w:cs="Arial"/>
                <w:b/>
                <w:bCs/>
                <w:sz w:val="16"/>
                <w:szCs w:val="16"/>
              </w:rPr>
              <w:t xml:space="preserve">- </w:t>
            </w:r>
          </w:p>
        </w:tc>
      </w:tr>
    </w:tbl>
    <w:p w:rsidR="00672FAF" w:rsidRDefault="00672FAF" w:rsidP="00672FAF">
      <w:pPr>
        <w:pStyle w:val="TableHeadingcontinued"/>
      </w:pPr>
      <w:r w:rsidRPr="009A40DD">
        <w:lastRenderedPageBreak/>
        <w:t xml:space="preserve">Part 1: Measures announced since the </w:t>
      </w:r>
      <w:r>
        <w:t>2017–18</w:t>
      </w:r>
      <w:r w:rsidRPr="009A40DD">
        <w:t xml:space="preserve"> M</w:t>
      </w:r>
      <w:r>
        <w:t>id-</w:t>
      </w:r>
      <w:r w:rsidRPr="009A40DD">
        <w:t>Year Economic and Fiscal Outlook (MYEFO)</w:t>
      </w:r>
      <w:r>
        <w:t xml:space="preserve"> (continued)</w:t>
      </w:r>
    </w:p>
    <w:tbl>
      <w:tblPr>
        <w:tblW w:w="7740" w:type="dxa"/>
        <w:tblInd w:w="28" w:type="dxa"/>
        <w:tblCellMar>
          <w:left w:w="28" w:type="dxa"/>
          <w:right w:w="28" w:type="dxa"/>
        </w:tblCellMar>
        <w:tblLook w:val="04A0" w:firstRow="1" w:lastRow="0" w:firstColumn="1" w:lastColumn="0" w:noHBand="0" w:noVBand="1"/>
      </w:tblPr>
      <w:tblGrid>
        <w:gridCol w:w="3033"/>
        <w:gridCol w:w="737"/>
        <w:gridCol w:w="794"/>
        <w:gridCol w:w="794"/>
        <w:gridCol w:w="794"/>
        <w:gridCol w:w="794"/>
        <w:gridCol w:w="794"/>
      </w:tblGrid>
      <w:tr w:rsidR="00672FAF" w:rsidRPr="00433463" w:rsidTr="00672FAF">
        <w:trPr>
          <w:trHeight w:val="397"/>
        </w:trPr>
        <w:tc>
          <w:tcPr>
            <w:tcW w:w="3033" w:type="dxa"/>
            <w:tcBorders>
              <w:top w:val="single" w:sz="4" w:space="0" w:color="auto"/>
              <w:left w:val="nil"/>
              <w:bottom w:val="nil"/>
              <w:right w:val="nil"/>
            </w:tcBorders>
            <w:shd w:val="clear" w:color="auto" w:fill="auto"/>
            <w:noWrap/>
            <w:vAlign w:val="center"/>
            <w:hideMark/>
          </w:tcPr>
          <w:p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 </w:t>
            </w:r>
          </w:p>
        </w:tc>
        <w:tc>
          <w:tcPr>
            <w:tcW w:w="737" w:type="dxa"/>
            <w:tcBorders>
              <w:top w:val="single" w:sz="4" w:space="0" w:color="auto"/>
              <w:left w:val="nil"/>
              <w:bottom w:val="single" w:sz="4" w:space="0" w:color="auto"/>
              <w:right w:val="nil"/>
            </w:tcBorders>
            <w:shd w:val="clear" w:color="auto" w:fill="auto"/>
            <w:noWrap/>
            <w:vAlign w:val="center"/>
            <w:hideMark/>
          </w:tcPr>
          <w:p w:rsidR="00672FAF" w:rsidRPr="00433463" w:rsidRDefault="00672FAF" w:rsidP="00672FAF">
            <w:pPr>
              <w:spacing w:after="0" w:line="240" w:lineRule="auto"/>
              <w:jc w:val="center"/>
              <w:rPr>
                <w:rFonts w:ascii="Arial" w:hAnsi="Arial" w:cs="Arial"/>
                <w:sz w:val="16"/>
                <w:szCs w:val="16"/>
              </w:rPr>
            </w:pPr>
            <w:r w:rsidRPr="00433463">
              <w:rPr>
                <w:rFonts w:ascii="Arial" w:hAnsi="Arial" w:cs="Arial"/>
                <w:sz w:val="16"/>
                <w:szCs w:val="16"/>
              </w:rPr>
              <w:t>Program</w:t>
            </w:r>
          </w:p>
        </w:tc>
        <w:tc>
          <w:tcPr>
            <w:tcW w:w="794" w:type="dxa"/>
            <w:tcBorders>
              <w:top w:val="single" w:sz="4" w:space="0" w:color="auto"/>
              <w:left w:val="nil"/>
              <w:bottom w:val="single" w:sz="4" w:space="0" w:color="auto"/>
              <w:right w:val="nil"/>
            </w:tcBorders>
            <w:shd w:val="clear" w:color="000000" w:fill="E6E6E6"/>
            <w:vAlign w:val="center"/>
            <w:hideMark/>
          </w:tcPr>
          <w:p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2017–18</w:t>
            </w:r>
            <w:r w:rsidRPr="00433463">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auto" w:fill="auto"/>
            <w:vAlign w:val="center"/>
            <w:hideMark/>
          </w:tcPr>
          <w:p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2018–19</w:t>
            </w:r>
            <w:r w:rsidRPr="00433463">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000000" w:fill="E6E6E6"/>
            <w:vAlign w:val="center"/>
            <w:hideMark/>
          </w:tcPr>
          <w:p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2019–20</w:t>
            </w:r>
            <w:r w:rsidRPr="00433463">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auto" w:fill="auto"/>
            <w:vAlign w:val="center"/>
            <w:hideMark/>
          </w:tcPr>
          <w:p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2020–21</w:t>
            </w:r>
            <w:r w:rsidRPr="00433463">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000000" w:fill="E6E6E6"/>
            <w:vAlign w:val="center"/>
            <w:hideMark/>
          </w:tcPr>
          <w:p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2021–22</w:t>
            </w:r>
            <w:r w:rsidRPr="00433463">
              <w:rPr>
                <w:rFonts w:ascii="Arial" w:hAnsi="Arial" w:cs="Arial"/>
                <w:sz w:val="16"/>
                <w:szCs w:val="16"/>
              </w:rPr>
              <w:br/>
              <w:t>$'000</w:t>
            </w:r>
          </w:p>
        </w:tc>
      </w:tr>
      <w:tr w:rsidR="00FC3BD2" w:rsidRPr="006204F0" w:rsidTr="00FC3BD2">
        <w:trPr>
          <w:trHeight w:val="227"/>
        </w:trPr>
        <w:tc>
          <w:tcPr>
            <w:tcW w:w="3033" w:type="dxa"/>
            <w:tcBorders>
              <w:top w:val="nil"/>
              <w:left w:val="nil"/>
              <w:bottom w:val="nil"/>
              <w:right w:val="nil"/>
            </w:tcBorders>
            <w:shd w:val="clear" w:color="auto" w:fill="auto"/>
            <w:vAlign w:val="bottom"/>
            <w:hideMark/>
          </w:tcPr>
          <w:p w:rsidR="00FC3BD2" w:rsidRDefault="00FC3BD2" w:rsidP="00FC3BD2">
            <w:pPr>
              <w:spacing w:after="0" w:line="240" w:lineRule="auto"/>
              <w:rPr>
                <w:rFonts w:ascii="Arial" w:hAnsi="Arial" w:cs="Arial"/>
                <w:sz w:val="16"/>
                <w:szCs w:val="16"/>
              </w:rPr>
            </w:pPr>
            <w:r>
              <w:rPr>
                <w:rFonts w:ascii="Arial" w:hAnsi="Arial" w:cs="Arial"/>
                <w:sz w:val="16"/>
                <w:szCs w:val="16"/>
              </w:rPr>
              <w:t>Streamlining Services for Refugees</w:t>
            </w:r>
          </w:p>
        </w:tc>
        <w:tc>
          <w:tcPr>
            <w:tcW w:w="737" w:type="dxa"/>
            <w:tcBorders>
              <w:top w:val="nil"/>
              <w:left w:val="nil"/>
              <w:bottom w:val="nil"/>
              <w:right w:val="nil"/>
            </w:tcBorders>
            <w:shd w:val="clear" w:color="auto" w:fill="auto"/>
            <w:noWrap/>
            <w:vAlign w:val="bottom"/>
            <w:hideMark/>
          </w:tcPr>
          <w:p w:rsidR="00FC3BD2" w:rsidRDefault="00FC3BD2" w:rsidP="00FC3BD2">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r>
      <w:tr w:rsidR="00FC3BD2" w:rsidRPr="006204F0" w:rsidTr="00FC3BD2">
        <w:trPr>
          <w:trHeight w:val="225"/>
        </w:trPr>
        <w:tc>
          <w:tcPr>
            <w:tcW w:w="3033" w:type="dxa"/>
            <w:tcBorders>
              <w:top w:val="nil"/>
              <w:left w:val="nil"/>
              <w:bottom w:val="nil"/>
              <w:right w:val="nil"/>
            </w:tcBorders>
            <w:shd w:val="clear" w:color="auto" w:fill="auto"/>
            <w:noWrap/>
            <w:vAlign w:val="bottom"/>
            <w:hideMark/>
          </w:tcPr>
          <w:p w:rsidR="00FC3BD2" w:rsidRDefault="00FC3BD2" w:rsidP="00FC3BD2">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FC3BD2" w:rsidRDefault="00FC3BD2" w:rsidP="00FC3BD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(5,385)</w:t>
            </w: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(17,351)</w:t>
            </w:r>
          </w:p>
        </w:tc>
        <w:tc>
          <w:tcPr>
            <w:tcW w:w="794" w:type="dxa"/>
            <w:tcBorders>
              <w:top w:val="nil"/>
              <w:left w:val="nil"/>
              <w:bottom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(22,347)</w:t>
            </w:r>
          </w:p>
        </w:tc>
        <w:tc>
          <w:tcPr>
            <w:tcW w:w="794" w:type="dxa"/>
            <w:tcBorders>
              <w:top w:val="nil"/>
              <w:left w:val="nil"/>
              <w:bottom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(26,242)</w:t>
            </w:r>
          </w:p>
        </w:tc>
      </w:tr>
      <w:tr w:rsidR="00FC3BD2" w:rsidRPr="006204F0" w:rsidTr="00FC3BD2">
        <w:trPr>
          <w:trHeight w:val="225"/>
        </w:trPr>
        <w:tc>
          <w:tcPr>
            <w:tcW w:w="3033" w:type="dxa"/>
            <w:tcBorders>
              <w:top w:val="nil"/>
              <w:left w:val="nil"/>
              <w:right w:val="nil"/>
            </w:tcBorders>
            <w:shd w:val="clear" w:color="auto" w:fill="auto"/>
            <w:noWrap/>
            <w:vAlign w:val="bottom"/>
            <w:hideMark/>
          </w:tcPr>
          <w:p w:rsidR="00FC3BD2" w:rsidRDefault="00FC3BD2" w:rsidP="00FC3BD2">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right w:val="nil"/>
            </w:tcBorders>
            <w:shd w:val="clear" w:color="auto" w:fill="auto"/>
            <w:noWrap/>
            <w:vAlign w:val="bottom"/>
            <w:hideMark/>
          </w:tcPr>
          <w:p w:rsidR="00FC3BD2" w:rsidRDefault="00FC3BD2" w:rsidP="00FC3BD2">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66 </w:t>
            </w: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r>
      <w:tr w:rsidR="00FC3BD2" w:rsidRPr="006204F0" w:rsidTr="00FC3BD2">
        <w:trPr>
          <w:trHeight w:val="227"/>
        </w:trPr>
        <w:tc>
          <w:tcPr>
            <w:tcW w:w="3033" w:type="dxa"/>
            <w:tcBorders>
              <w:top w:val="nil"/>
              <w:left w:val="nil"/>
              <w:right w:val="nil"/>
            </w:tcBorders>
            <w:shd w:val="clear" w:color="auto" w:fill="auto"/>
            <w:noWrap/>
            <w:vAlign w:val="bottom"/>
            <w:hideMark/>
          </w:tcPr>
          <w:p w:rsidR="00FC3BD2" w:rsidRDefault="00FC3BD2" w:rsidP="00FC3BD2">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right w:val="nil"/>
            </w:tcBorders>
            <w:shd w:val="clear" w:color="auto" w:fill="auto"/>
            <w:noWrap/>
            <w:vAlign w:val="bottom"/>
            <w:hideMark/>
          </w:tcPr>
          <w:p w:rsidR="00FC3BD2" w:rsidRDefault="00FC3BD2" w:rsidP="00FC3BD2">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right w:val="nil"/>
            </w:tcBorders>
            <w:shd w:val="clear" w:color="auto" w:fill="auto"/>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(5,319)</w:t>
            </w: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(17,351)</w:t>
            </w:r>
          </w:p>
        </w:tc>
        <w:tc>
          <w:tcPr>
            <w:tcW w:w="794" w:type="dxa"/>
            <w:tcBorders>
              <w:top w:val="nil"/>
              <w:left w:val="nil"/>
              <w:right w:val="nil"/>
            </w:tcBorders>
            <w:shd w:val="clear" w:color="auto" w:fill="auto"/>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(22,347)</w:t>
            </w:r>
          </w:p>
        </w:tc>
        <w:tc>
          <w:tcPr>
            <w:tcW w:w="794" w:type="dxa"/>
            <w:tcBorders>
              <w:top w:val="nil"/>
              <w:left w:val="nil"/>
              <w:right w:val="nil"/>
            </w:tcBorders>
            <w:shd w:val="clear" w:color="000000" w:fill="E6E6E6"/>
            <w:noWrap/>
            <w:vAlign w:val="bottom"/>
            <w:hideMark/>
          </w:tcPr>
          <w:p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(26,242)</w:t>
            </w:r>
          </w:p>
        </w:tc>
      </w:tr>
      <w:tr w:rsidR="00672FAF" w:rsidRPr="006204F0" w:rsidTr="00FC3BD2">
        <w:trPr>
          <w:trHeight w:val="227"/>
        </w:trPr>
        <w:tc>
          <w:tcPr>
            <w:tcW w:w="3033" w:type="dxa"/>
            <w:tcBorders>
              <w:left w:val="nil"/>
              <w:bottom w:val="nil"/>
              <w:right w:val="nil"/>
            </w:tcBorders>
            <w:shd w:val="clear" w:color="auto" w:fill="auto"/>
            <w:noWrap/>
            <w:vAlign w:val="bottom"/>
            <w:hideMark/>
          </w:tcPr>
          <w:p w:rsidR="00FE0499" w:rsidRDefault="00FE0499" w:rsidP="003637D3">
            <w:pPr>
              <w:spacing w:after="0" w:line="240" w:lineRule="auto"/>
              <w:rPr>
                <w:rFonts w:ascii="Arial" w:hAnsi="Arial" w:cs="Arial"/>
                <w:sz w:val="16"/>
                <w:szCs w:val="16"/>
              </w:rPr>
            </w:pPr>
            <w:r>
              <w:rPr>
                <w:rFonts w:ascii="Arial" w:hAnsi="Arial" w:cs="Arial"/>
                <w:sz w:val="16"/>
                <w:szCs w:val="16"/>
              </w:rPr>
              <w:t>Transition to Work — additional places</w:t>
            </w:r>
          </w:p>
        </w:tc>
        <w:tc>
          <w:tcPr>
            <w:tcW w:w="737" w:type="dxa"/>
            <w:tcBorders>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672FAF" w:rsidRPr="006204F0" w:rsidTr="00672FAF">
        <w:trPr>
          <w:trHeight w:val="225"/>
        </w:trPr>
        <w:tc>
          <w:tcPr>
            <w:tcW w:w="3033" w:type="dxa"/>
            <w:tcBorders>
              <w:top w:val="nil"/>
              <w:left w:val="nil"/>
              <w:bottom w:val="nil"/>
              <w:right w:val="nil"/>
            </w:tcBorders>
            <w:shd w:val="clear" w:color="auto" w:fill="auto"/>
            <w:noWrap/>
            <w:vAlign w:val="bottom"/>
            <w:hideMark/>
          </w:tcPr>
          <w:p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10,393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(1,328)</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(10,728)</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(19,008)</w:t>
            </w:r>
          </w:p>
        </w:tc>
      </w:tr>
      <w:tr w:rsidR="00672FAF" w:rsidRPr="006204F0" w:rsidTr="00672FAF">
        <w:trPr>
          <w:trHeight w:val="225"/>
        </w:trPr>
        <w:tc>
          <w:tcPr>
            <w:tcW w:w="3033" w:type="dxa"/>
            <w:tcBorders>
              <w:top w:val="nil"/>
              <w:left w:val="nil"/>
              <w:right w:val="nil"/>
            </w:tcBorders>
            <w:shd w:val="clear" w:color="auto" w:fill="auto"/>
            <w:noWrap/>
            <w:vAlign w:val="bottom"/>
            <w:hideMark/>
          </w:tcPr>
          <w:p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672FAF" w:rsidRPr="006204F0" w:rsidTr="00672FAF">
        <w:trPr>
          <w:trHeight w:val="227"/>
        </w:trPr>
        <w:tc>
          <w:tcPr>
            <w:tcW w:w="3033" w:type="dxa"/>
            <w:tcBorders>
              <w:top w:val="nil"/>
              <w:left w:val="nil"/>
              <w:right w:val="nil"/>
            </w:tcBorders>
            <w:shd w:val="clear" w:color="auto" w:fill="auto"/>
            <w:noWrap/>
            <w:vAlign w:val="bottom"/>
            <w:hideMark/>
          </w:tcPr>
          <w:p w:rsidR="00FE0499" w:rsidRDefault="00FE0499" w:rsidP="003637D3">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right w:val="nil"/>
            </w:tcBorders>
            <w:shd w:val="clear" w:color="auto" w:fill="auto"/>
            <w:noWrap/>
            <w:vAlign w:val="bottom"/>
            <w:hideMark/>
          </w:tcPr>
          <w:p w:rsidR="00FE0499" w:rsidRDefault="00FE0499" w:rsidP="003637D3">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10,393 </w:t>
            </w: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(1,328)</w:t>
            </w:r>
          </w:p>
        </w:tc>
        <w:tc>
          <w:tcPr>
            <w:tcW w:w="794" w:type="dxa"/>
            <w:tcBorders>
              <w:top w:val="nil"/>
              <w:left w:val="nil"/>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(10,728)</w:t>
            </w:r>
          </w:p>
        </w:tc>
        <w:tc>
          <w:tcPr>
            <w:tcW w:w="794" w:type="dxa"/>
            <w:tcBorders>
              <w:top w:val="nil"/>
              <w:left w:val="nil"/>
              <w:right w:val="nil"/>
            </w:tcBorders>
            <w:shd w:val="clear" w:color="000000" w:fill="E6E6E6"/>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(19,008)</w:t>
            </w:r>
          </w:p>
        </w:tc>
      </w:tr>
      <w:tr w:rsidR="00672FAF" w:rsidRPr="00433463" w:rsidTr="00825880">
        <w:trPr>
          <w:trHeight w:val="397"/>
        </w:trPr>
        <w:tc>
          <w:tcPr>
            <w:tcW w:w="3033" w:type="dxa"/>
            <w:tcBorders>
              <w:left w:val="nil"/>
              <w:bottom w:val="nil"/>
              <w:right w:val="nil"/>
            </w:tcBorders>
            <w:shd w:val="clear" w:color="auto" w:fill="auto"/>
            <w:vAlign w:val="bottom"/>
            <w:hideMark/>
          </w:tcPr>
          <w:p w:rsidR="00FE0499" w:rsidRDefault="00FE0499" w:rsidP="00FC4A5D">
            <w:pPr>
              <w:spacing w:after="0" w:line="240" w:lineRule="auto"/>
              <w:rPr>
                <w:rFonts w:ascii="Arial" w:hAnsi="Arial" w:cs="Arial"/>
                <w:sz w:val="16"/>
                <w:szCs w:val="16"/>
              </w:rPr>
            </w:pPr>
            <w:r>
              <w:rPr>
                <w:rFonts w:ascii="Arial" w:hAnsi="Arial" w:cs="Arial"/>
                <w:sz w:val="16"/>
                <w:szCs w:val="16"/>
              </w:rPr>
              <w:t>Youth Employment Body</w:t>
            </w:r>
            <w:r w:rsidR="00825880">
              <w:rPr>
                <w:rFonts w:ascii="Arial" w:hAnsi="Arial" w:cs="Arial"/>
                <w:sz w:val="16"/>
                <w:szCs w:val="16"/>
              </w:rPr>
              <w:t xml:space="preserve"> — establishment</w:t>
            </w:r>
          </w:p>
        </w:tc>
        <w:tc>
          <w:tcPr>
            <w:tcW w:w="737" w:type="dxa"/>
            <w:tcBorders>
              <w:left w:val="nil"/>
              <w:bottom w:val="nil"/>
              <w:right w:val="nil"/>
            </w:tcBorders>
            <w:shd w:val="clear" w:color="auto" w:fill="auto"/>
            <w:noWrap/>
            <w:vAlign w:val="bottom"/>
            <w:hideMark/>
          </w:tcPr>
          <w:p w:rsidR="00FE0499" w:rsidRDefault="00FE0499" w:rsidP="00FC4A5D">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672FAF" w:rsidRPr="00433463" w:rsidTr="00672FAF">
        <w:trPr>
          <w:trHeight w:val="225"/>
        </w:trPr>
        <w:tc>
          <w:tcPr>
            <w:tcW w:w="3033" w:type="dxa"/>
            <w:tcBorders>
              <w:top w:val="nil"/>
              <w:left w:val="nil"/>
              <w:bottom w:val="nil"/>
              <w:right w:val="nil"/>
            </w:tcBorders>
            <w:shd w:val="clear" w:color="auto" w:fill="auto"/>
            <w:noWrap/>
            <w:vAlign w:val="bottom"/>
            <w:hideMark/>
          </w:tcPr>
          <w:p w:rsidR="00FE0499" w:rsidRDefault="00FE0499" w:rsidP="008B1CD7">
            <w:pPr>
              <w:spacing w:after="0" w:line="240" w:lineRule="auto"/>
              <w:ind w:firstLineChars="100" w:firstLine="160"/>
              <w:rPr>
                <w:rFonts w:ascii="Arial" w:hAnsi="Arial" w:cs="Arial"/>
                <w:sz w:val="16"/>
                <w:szCs w:val="16"/>
              </w:rPr>
            </w:pPr>
            <w:r>
              <w:rPr>
                <w:rFonts w:ascii="Arial" w:hAnsi="Arial" w:cs="Arial"/>
                <w:sz w:val="16"/>
                <w:szCs w:val="16"/>
              </w:rPr>
              <w:t xml:space="preserve">Administered </w:t>
            </w:r>
            <w:r w:rsidR="008B1CD7">
              <w:rPr>
                <w:rFonts w:ascii="Arial" w:hAnsi="Arial" w:cs="Arial"/>
                <w:sz w:val="16"/>
                <w:szCs w:val="16"/>
              </w:rPr>
              <w:t>expenses</w:t>
            </w:r>
          </w:p>
        </w:tc>
        <w:tc>
          <w:tcPr>
            <w:tcW w:w="737" w:type="dxa"/>
            <w:tcBorders>
              <w:top w:val="nil"/>
              <w:left w:val="nil"/>
              <w:bottom w:val="nil"/>
              <w:right w:val="nil"/>
            </w:tcBorders>
            <w:shd w:val="clear" w:color="auto" w:fill="auto"/>
            <w:noWrap/>
            <w:vAlign w:val="bottom"/>
            <w:hideMark/>
          </w:tcPr>
          <w:p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r>
      <w:tr w:rsidR="00672FAF" w:rsidRPr="00433463" w:rsidTr="00672FAF">
        <w:trPr>
          <w:trHeight w:val="225"/>
        </w:trPr>
        <w:tc>
          <w:tcPr>
            <w:tcW w:w="3033" w:type="dxa"/>
            <w:tcBorders>
              <w:top w:val="nil"/>
              <w:left w:val="nil"/>
              <w:bottom w:val="nil"/>
              <w:right w:val="nil"/>
            </w:tcBorders>
            <w:shd w:val="clear" w:color="auto" w:fill="auto"/>
            <w:noWrap/>
            <w:vAlign w:val="bottom"/>
            <w:hideMark/>
          </w:tcPr>
          <w:p w:rsidR="00FE0499" w:rsidRDefault="008B1CD7" w:rsidP="00FC4A5D">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r>
      <w:tr w:rsidR="00672FAF" w:rsidRPr="00433463"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FC4A5D">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nil"/>
              <w:right w:val="nil"/>
            </w:tcBorders>
            <w:shd w:val="clear" w:color="auto" w:fill="auto"/>
            <w:noWrap/>
            <w:vAlign w:val="bottom"/>
            <w:hideMark/>
          </w:tcPr>
          <w:p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r>
      <w:tr w:rsidR="00672FAF" w:rsidRPr="00433463" w:rsidTr="00672FAF">
        <w:trPr>
          <w:trHeight w:val="227"/>
        </w:trPr>
        <w:tc>
          <w:tcPr>
            <w:tcW w:w="3033" w:type="dxa"/>
            <w:tcBorders>
              <w:top w:val="nil"/>
              <w:left w:val="nil"/>
              <w:bottom w:val="nil"/>
              <w:right w:val="nil"/>
            </w:tcBorders>
            <w:shd w:val="clear" w:color="auto" w:fill="auto"/>
            <w:vAlign w:val="bottom"/>
            <w:hideMark/>
          </w:tcPr>
          <w:p w:rsidR="00FE0499" w:rsidRDefault="00FE0499" w:rsidP="00FC4A5D">
            <w:pPr>
              <w:spacing w:after="0" w:line="240" w:lineRule="auto"/>
              <w:rPr>
                <w:rFonts w:ascii="Arial" w:hAnsi="Arial" w:cs="Arial"/>
                <w:sz w:val="16"/>
                <w:szCs w:val="16"/>
              </w:rPr>
            </w:pPr>
            <w:r>
              <w:rPr>
                <w:rFonts w:ascii="Arial" w:hAnsi="Arial" w:cs="Arial"/>
                <w:b/>
                <w:sz w:val="16"/>
                <w:szCs w:val="16"/>
              </w:rPr>
              <w:t>Total expense measures</w:t>
            </w:r>
            <w:r>
              <w:rPr>
                <w:rFonts w:ascii="Arial" w:hAnsi="Arial" w:cs="Arial"/>
                <w:sz w:val="16"/>
                <w:szCs w:val="16"/>
              </w:rPr>
              <w:t xml:space="preserve"> </w:t>
            </w:r>
          </w:p>
        </w:tc>
        <w:tc>
          <w:tcPr>
            <w:tcW w:w="737" w:type="dxa"/>
            <w:tcBorders>
              <w:top w:val="nil"/>
              <w:left w:val="nil"/>
              <w:bottom w:val="nil"/>
              <w:right w:val="nil"/>
            </w:tcBorders>
            <w:shd w:val="clear" w:color="auto" w:fill="auto"/>
            <w:noWrap/>
            <w:vAlign w:val="bottom"/>
            <w:hideMark/>
          </w:tcPr>
          <w:p w:rsidR="00FE0499" w:rsidRDefault="00FE0499" w:rsidP="00FC4A5D">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672FAF" w:rsidRPr="00433463"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FE0499">
            <w:pPr>
              <w:spacing w:after="0" w:line="240" w:lineRule="auto"/>
              <w:ind w:firstLineChars="100" w:firstLine="160"/>
              <w:rPr>
                <w:rFonts w:ascii="Arial" w:hAnsi="Arial" w:cs="Arial"/>
                <w:sz w:val="16"/>
                <w:szCs w:val="16"/>
              </w:rPr>
            </w:pPr>
            <w:r>
              <w:rPr>
                <w:rFonts w:ascii="Arial" w:hAnsi="Arial" w:cs="Arial"/>
                <w:sz w:val="16"/>
                <w:szCs w:val="16"/>
              </w:rPr>
              <w:t xml:space="preserve">Administered </w:t>
            </w:r>
          </w:p>
        </w:tc>
        <w:tc>
          <w:tcPr>
            <w:tcW w:w="737" w:type="dxa"/>
            <w:tcBorders>
              <w:top w:val="nil"/>
              <w:left w:val="nil"/>
              <w:bottom w:val="nil"/>
              <w:right w:val="nil"/>
            </w:tcBorders>
            <w:shd w:val="clear" w:color="auto" w:fill="auto"/>
            <w:noWrap/>
            <w:vAlign w:val="bottom"/>
            <w:hideMark/>
          </w:tcPr>
          <w:p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19,684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(2,733)</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(24,795)</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(42,003)</w:t>
            </w:r>
          </w:p>
        </w:tc>
      </w:tr>
      <w:tr w:rsidR="00672FAF" w:rsidRPr="00433463" w:rsidTr="00672FAF">
        <w:trPr>
          <w:trHeight w:val="227"/>
        </w:trPr>
        <w:tc>
          <w:tcPr>
            <w:tcW w:w="3033" w:type="dxa"/>
            <w:tcBorders>
              <w:top w:val="nil"/>
              <w:left w:val="nil"/>
              <w:bottom w:val="nil"/>
              <w:right w:val="nil"/>
            </w:tcBorders>
            <w:shd w:val="clear" w:color="auto" w:fill="auto"/>
            <w:noWrap/>
            <w:vAlign w:val="bottom"/>
            <w:hideMark/>
          </w:tcPr>
          <w:p w:rsidR="00FE0499" w:rsidRDefault="00FE0499" w:rsidP="00FE0499">
            <w:pPr>
              <w:spacing w:after="0" w:line="240" w:lineRule="auto"/>
              <w:ind w:firstLineChars="100" w:firstLine="160"/>
              <w:rPr>
                <w:rFonts w:ascii="Arial" w:hAnsi="Arial" w:cs="Arial"/>
                <w:sz w:val="16"/>
                <w:szCs w:val="16"/>
              </w:rPr>
            </w:pPr>
            <w:r>
              <w:rPr>
                <w:rFonts w:ascii="Arial" w:hAnsi="Arial" w:cs="Arial"/>
                <w:sz w:val="16"/>
                <w:szCs w:val="16"/>
              </w:rPr>
              <w:t xml:space="preserve">Departmental </w:t>
            </w:r>
          </w:p>
        </w:tc>
        <w:tc>
          <w:tcPr>
            <w:tcW w:w="737" w:type="dxa"/>
            <w:tcBorders>
              <w:top w:val="nil"/>
              <w:left w:val="nil"/>
              <w:bottom w:val="nil"/>
              <w:right w:val="nil"/>
            </w:tcBorders>
            <w:shd w:val="clear" w:color="auto" w:fill="auto"/>
            <w:noWrap/>
            <w:vAlign w:val="bottom"/>
            <w:hideMark/>
          </w:tcPr>
          <w:p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11,257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5,016 </w:t>
            </w:r>
          </w:p>
        </w:tc>
        <w:tc>
          <w:tcPr>
            <w:tcW w:w="794" w:type="dxa"/>
            <w:tcBorders>
              <w:top w:val="nil"/>
              <w:left w:val="nil"/>
              <w:bottom w:val="nil"/>
              <w:right w:val="nil"/>
            </w:tcBorders>
            <w:shd w:val="clear" w:color="auto" w:fill="auto"/>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1,911 </w:t>
            </w:r>
          </w:p>
        </w:tc>
        <w:tc>
          <w:tcPr>
            <w:tcW w:w="794" w:type="dxa"/>
            <w:tcBorders>
              <w:top w:val="nil"/>
              <w:left w:val="nil"/>
              <w:bottom w:val="nil"/>
              <w:right w:val="nil"/>
            </w:tcBorders>
            <w:shd w:val="clear" w:color="000000" w:fill="E6E6E6"/>
            <w:noWrap/>
            <w:vAlign w:val="bottom"/>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272 </w:t>
            </w:r>
          </w:p>
        </w:tc>
      </w:tr>
      <w:tr w:rsidR="00672FAF" w:rsidRPr="00433463" w:rsidTr="00825880">
        <w:trPr>
          <w:trHeight w:val="283"/>
        </w:trPr>
        <w:tc>
          <w:tcPr>
            <w:tcW w:w="3033" w:type="dxa"/>
            <w:tcBorders>
              <w:top w:val="nil"/>
              <w:left w:val="nil"/>
              <w:bottom w:val="nil"/>
              <w:right w:val="nil"/>
            </w:tcBorders>
            <w:shd w:val="clear" w:color="auto" w:fill="auto"/>
            <w:noWrap/>
            <w:vAlign w:val="center"/>
            <w:hideMark/>
          </w:tcPr>
          <w:p w:rsidR="00FE0499" w:rsidRDefault="00FE0499" w:rsidP="00825880">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center"/>
            <w:hideMark/>
          </w:tcPr>
          <w:p w:rsidR="00FE0499" w:rsidRDefault="00FE0499" w:rsidP="00825880">
            <w:pPr>
              <w:spacing w:after="0" w:line="240" w:lineRule="auto"/>
              <w:jc w:val="right"/>
              <w:rPr>
                <w:rFonts w:ascii="Arial" w:hAnsi="Arial" w:cs="Arial"/>
                <w:b/>
                <w:bCs/>
                <w:sz w:val="16"/>
                <w:szCs w:val="16"/>
              </w:rPr>
            </w:pPr>
            <w:r>
              <w:rPr>
                <w:rFonts w:ascii="Arial" w:hAnsi="Arial" w:cs="Arial"/>
                <w:b/>
                <w:bCs/>
                <w:sz w:val="16"/>
                <w:szCs w:val="16"/>
              </w:rPr>
              <w:t xml:space="preserve">30,941 </w:t>
            </w:r>
          </w:p>
        </w:tc>
        <w:tc>
          <w:tcPr>
            <w:tcW w:w="794" w:type="dxa"/>
            <w:tcBorders>
              <w:top w:val="nil"/>
              <w:left w:val="nil"/>
              <w:bottom w:val="nil"/>
              <w:right w:val="nil"/>
            </w:tcBorders>
            <w:shd w:val="clear" w:color="000000" w:fill="E6E6E6"/>
            <w:noWrap/>
            <w:vAlign w:val="center"/>
            <w:hideMark/>
          </w:tcPr>
          <w:p w:rsidR="00FE0499" w:rsidRDefault="00FE0499" w:rsidP="00825880">
            <w:pPr>
              <w:spacing w:after="0" w:line="240" w:lineRule="auto"/>
              <w:jc w:val="right"/>
              <w:rPr>
                <w:rFonts w:ascii="Arial" w:hAnsi="Arial" w:cs="Arial"/>
                <w:b/>
                <w:bCs/>
                <w:sz w:val="16"/>
                <w:szCs w:val="16"/>
              </w:rPr>
            </w:pPr>
            <w:r>
              <w:rPr>
                <w:rFonts w:ascii="Arial" w:hAnsi="Arial" w:cs="Arial"/>
                <w:b/>
                <w:bCs/>
                <w:sz w:val="16"/>
                <w:szCs w:val="16"/>
              </w:rPr>
              <w:t xml:space="preserve">2,283 </w:t>
            </w:r>
          </w:p>
        </w:tc>
        <w:tc>
          <w:tcPr>
            <w:tcW w:w="794" w:type="dxa"/>
            <w:tcBorders>
              <w:top w:val="nil"/>
              <w:left w:val="nil"/>
              <w:bottom w:val="nil"/>
              <w:right w:val="nil"/>
            </w:tcBorders>
            <w:shd w:val="clear" w:color="auto" w:fill="auto"/>
            <w:noWrap/>
            <w:vAlign w:val="center"/>
            <w:hideMark/>
          </w:tcPr>
          <w:p w:rsidR="00FE0499" w:rsidRDefault="00FE0499" w:rsidP="00825880">
            <w:pPr>
              <w:spacing w:after="0" w:line="240" w:lineRule="auto"/>
              <w:jc w:val="right"/>
              <w:rPr>
                <w:rFonts w:ascii="Arial" w:hAnsi="Arial" w:cs="Arial"/>
                <w:b/>
                <w:bCs/>
                <w:sz w:val="16"/>
                <w:szCs w:val="16"/>
              </w:rPr>
            </w:pPr>
            <w:r>
              <w:rPr>
                <w:rFonts w:ascii="Arial" w:hAnsi="Arial" w:cs="Arial"/>
                <w:b/>
                <w:bCs/>
                <w:sz w:val="16"/>
                <w:szCs w:val="16"/>
              </w:rPr>
              <w:t xml:space="preserve"> (22,884)</w:t>
            </w:r>
          </w:p>
        </w:tc>
        <w:tc>
          <w:tcPr>
            <w:tcW w:w="794" w:type="dxa"/>
            <w:tcBorders>
              <w:top w:val="nil"/>
              <w:left w:val="nil"/>
              <w:bottom w:val="nil"/>
              <w:right w:val="nil"/>
            </w:tcBorders>
            <w:shd w:val="clear" w:color="000000" w:fill="E6E6E6"/>
            <w:noWrap/>
            <w:vAlign w:val="center"/>
            <w:hideMark/>
          </w:tcPr>
          <w:p w:rsidR="00FE0499" w:rsidRDefault="00FE0499" w:rsidP="00825880">
            <w:pPr>
              <w:spacing w:after="0" w:line="240" w:lineRule="auto"/>
              <w:jc w:val="right"/>
              <w:rPr>
                <w:rFonts w:ascii="Arial" w:hAnsi="Arial" w:cs="Arial"/>
                <w:b/>
                <w:bCs/>
                <w:sz w:val="16"/>
                <w:szCs w:val="16"/>
              </w:rPr>
            </w:pPr>
            <w:r>
              <w:rPr>
                <w:rFonts w:ascii="Arial" w:hAnsi="Arial" w:cs="Arial"/>
                <w:b/>
                <w:bCs/>
                <w:sz w:val="16"/>
                <w:szCs w:val="16"/>
              </w:rPr>
              <w:t>(41,731)</w:t>
            </w:r>
          </w:p>
        </w:tc>
      </w:tr>
      <w:tr w:rsidR="00672FAF" w:rsidRPr="00433463" w:rsidTr="00672FAF">
        <w:trPr>
          <w:trHeight w:val="225"/>
        </w:trPr>
        <w:tc>
          <w:tcPr>
            <w:tcW w:w="3033" w:type="dxa"/>
            <w:tcBorders>
              <w:top w:val="nil"/>
              <w:left w:val="nil"/>
              <w:bottom w:val="nil"/>
              <w:right w:val="nil"/>
            </w:tcBorders>
            <w:shd w:val="clear" w:color="auto" w:fill="auto"/>
            <w:vAlign w:val="bottom"/>
            <w:hideMark/>
          </w:tcPr>
          <w:p w:rsidR="00E048ED" w:rsidRPr="00433463" w:rsidRDefault="00E048ED" w:rsidP="00E048ED">
            <w:pPr>
              <w:spacing w:after="0" w:line="240" w:lineRule="auto"/>
              <w:rPr>
                <w:rFonts w:ascii="Arial" w:hAnsi="Arial" w:cs="Arial"/>
                <w:b/>
                <w:bCs/>
                <w:sz w:val="16"/>
                <w:szCs w:val="16"/>
              </w:rPr>
            </w:pPr>
            <w:r w:rsidRPr="00433463">
              <w:rPr>
                <w:rFonts w:ascii="Arial" w:hAnsi="Arial" w:cs="Arial"/>
                <w:b/>
                <w:bCs/>
                <w:sz w:val="16"/>
                <w:szCs w:val="16"/>
              </w:rPr>
              <w:t>Capital measures</w:t>
            </w:r>
          </w:p>
        </w:tc>
        <w:tc>
          <w:tcPr>
            <w:tcW w:w="737" w:type="dxa"/>
            <w:tcBorders>
              <w:top w:val="nil"/>
              <w:left w:val="nil"/>
              <w:bottom w:val="nil"/>
              <w:right w:val="nil"/>
            </w:tcBorders>
            <w:shd w:val="clear" w:color="auto" w:fill="auto"/>
            <w:noWrap/>
            <w:vAlign w:val="bottom"/>
            <w:hideMark/>
          </w:tcPr>
          <w:p w:rsidR="00E048ED" w:rsidRPr="00433463" w:rsidRDefault="00E048ED" w:rsidP="00E048ED">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E048ED" w:rsidRPr="00433463" w:rsidRDefault="00E048ED" w:rsidP="00E048ED">
            <w:pPr>
              <w:spacing w:after="0" w:line="240" w:lineRule="auto"/>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E048ED" w:rsidRPr="00433463" w:rsidRDefault="00E048ED" w:rsidP="00E048ED">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E048ED" w:rsidRPr="00433463" w:rsidRDefault="00E048ED" w:rsidP="00E048ED">
            <w:pPr>
              <w:spacing w:after="0" w:line="240" w:lineRule="auto"/>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E048ED" w:rsidRPr="00433463" w:rsidRDefault="00E048ED"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E048ED" w:rsidRPr="00433463" w:rsidRDefault="00E048ED" w:rsidP="00E048ED">
            <w:pPr>
              <w:spacing w:after="0" w:line="240" w:lineRule="auto"/>
              <w:rPr>
                <w:rFonts w:ascii="Arial" w:hAnsi="Arial" w:cs="Arial"/>
                <w:sz w:val="16"/>
                <w:szCs w:val="16"/>
              </w:rPr>
            </w:pPr>
            <w:r w:rsidRPr="00433463">
              <w:rPr>
                <w:rFonts w:ascii="Arial" w:hAnsi="Arial" w:cs="Arial"/>
                <w:sz w:val="16"/>
                <w:szCs w:val="16"/>
              </w:rPr>
              <w:t> </w:t>
            </w:r>
          </w:p>
        </w:tc>
      </w:tr>
      <w:tr w:rsidR="00825880" w:rsidRPr="006204F0" w:rsidTr="00032C97">
        <w:trPr>
          <w:trHeight w:val="397"/>
        </w:trPr>
        <w:tc>
          <w:tcPr>
            <w:tcW w:w="3033" w:type="dxa"/>
            <w:tcBorders>
              <w:top w:val="nil"/>
              <w:left w:val="nil"/>
              <w:bottom w:val="nil"/>
              <w:right w:val="nil"/>
            </w:tcBorders>
            <w:shd w:val="clear" w:color="auto" w:fill="auto"/>
            <w:vAlign w:val="bottom"/>
            <w:hideMark/>
          </w:tcPr>
          <w:p w:rsidR="00825880" w:rsidRDefault="00825880" w:rsidP="00032C97">
            <w:pPr>
              <w:spacing w:after="0" w:line="240" w:lineRule="auto"/>
              <w:rPr>
                <w:rFonts w:ascii="Arial" w:hAnsi="Arial" w:cs="Arial"/>
                <w:sz w:val="16"/>
                <w:szCs w:val="16"/>
              </w:rPr>
            </w:pPr>
            <w:r>
              <w:rPr>
                <w:rFonts w:ascii="Arial" w:hAnsi="Arial" w:cs="Arial"/>
                <w:sz w:val="16"/>
                <w:szCs w:val="16"/>
              </w:rPr>
              <w:t>Community Development Program —</w:t>
            </w:r>
            <w:r w:rsidR="00ED7D5C">
              <w:rPr>
                <w:rFonts w:ascii="Arial" w:hAnsi="Arial" w:cs="Arial"/>
                <w:sz w:val="16"/>
                <w:szCs w:val="16"/>
              </w:rPr>
              <w:t>r</w:t>
            </w:r>
            <w:r w:rsidR="00AD3854">
              <w:rPr>
                <w:rFonts w:ascii="Arial" w:hAnsi="Arial" w:cs="Arial"/>
                <w:sz w:val="16"/>
                <w:szCs w:val="16"/>
              </w:rPr>
              <w:t>eform (b</w:t>
            </w:r>
            <w:r>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rsidR="00825880" w:rsidRDefault="00825880" w:rsidP="00032C97">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r>
      <w:tr w:rsidR="00825880" w:rsidRPr="006204F0" w:rsidTr="00032C97">
        <w:trPr>
          <w:trHeight w:val="227"/>
        </w:trPr>
        <w:tc>
          <w:tcPr>
            <w:tcW w:w="3033" w:type="dxa"/>
            <w:tcBorders>
              <w:top w:val="nil"/>
              <w:left w:val="nil"/>
              <w:bottom w:val="nil"/>
              <w:right w:val="nil"/>
            </w:tcBorders>
            <w:shd w:val="clear" w:color="auto" w:fill="auto"/>
            <w:noWrap/>
            <w:vAlign w:val="bottom"/>
            <w:hideMark/>
          </w:tcPr>
          <w:p w:rsidR="00825880" w:rsidRDefault="00825880" w:rsidP="00825880">
            <w:pPr>
              <w:spacing w:after="0" w:line="240" w:lineRule="auto"/>
              <w:ind w:firstLineChars="100" w:firstLine="160"/>
              <w:rPr>
                <w:rFonts w:ascii="Arial" w:hAnsi="Arial" w:cs="Arial"/>
                <w:sz w:val="16"/>
                <w:szCs w:val="16"/>
              </w:rPr>
            </w:pPr>
            <w:r>
              <w:rPr>
                <w:rFonts w:ascii="Arial" w:hAnsi="Arial" w:cs="Arial"/>
                <w:sz w:val="16"/>
                <w:szCs w:val="16"/>
              </w:rPr>
              <w:t>Administered capital</w:t>
            </w:r>
          </w:p>
        </w:tc>
        <w:tc>
          <w:tcPr>
            <w:tcW w:w="737" w:type="dxa"/>
            <w:tcBorders>
              <w:top w:val="nil"/>
              <w:left w:val="nil"/>
              <w:bottom w:val="nil"/>
              <w:right w:val="nil"/>
            </w:tcBorders>
            <w:shd w:val="clear" w:color="auto" w:fill="auto"/>
            <w:noWrap/>
            <w:vAlign w:val="bottom"/>
            <w:hideMark/>
          </w:tcPr>
          <w:p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r>
      <w:tr w:rsidR="00825880" w:rsidRPr="006204F0" w:rsidTr="00032C97">
        <w:trPr>
          <w:trHeight w:val="227"/>
        </w:trPr>
        <w:tc>
          <w:tcPr>
            <w:tcW w:w="3033" w:type="dxa"/>
            <w:tcBorders>
              <w:top w:val="nil"/>
              <w:left w:val="nil"/>
              <w:bottom w:val="nil"/>
              <w:right w:val="nil"/>
            </w:tcBorders>
            <w:shd w:val="clear" w:color="auto" w:fill="auto"/>
            <w:noWrap/>
            <w:vAlign w:val="bottom"/>
            <w:hideMark/>
          </w:tcPr>
          <w:p w:rsidR="00825880" w:rsidRDefault="00825880" w:rsidP="00825880">
            <w:pPr>
              <w:spacing w:after="0" w:line="240" w:lineRule="auto"/>
              <w:ind w:firstLineChars="100" w:firstLine="160"/>
              <w:rPr>
                <w:rFonts w:ascii="Arial" w:hAnsi="Arial" w:cs="Arial"/>
                <w:sz w:val="16"/>
                <w:szCs w:val="16"/>
              </w:rPr>
            </w:pPr>
            <w:r>
              <w:rPr>
                <w:rFonts w:ascii="Arial" w:hAnsi="Arial" w:cs="Arial"/>
                <w:sz w:val="16"/>
                <w:szCs w:val="16"/>
              </w:rPr>
              <w:t>Departmental capital</w:t>
            </w:r>
          </w:p>
        </w:tc>
        <w:tc>
          <w:tcPr>
            <w:tcW w:w="737" w:type="dxa"/>
            <w:tcBorders>
              <w:top w:val="nil"/>
              <w:left w:val="nil"/>
              <w:bottom w:val="nil"/>
              <w:right w:val="nil"/>
            </w:tcBorders>
            <w:shd w:val="clear" w:color="auto" w:fill="auto"/>
            <w:noWrap/>
            <w:vAlign w:val="bottom"/>
            <w:hideMark/>
          </w:tcPr>
          <w:p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sz w:val="16"/>
                <w:szCs w:val="16"/>
              </w:rPr>
            </w:pPr>
            <w:r>
              <w:rPr>
                <w:rFonts w:ascii="Arial" w:hAnsi="Arial" w:cs="Arial"/>
                <w:sz w:val="16"/>
                <w:szCs w:val="16"/>
              </w:rPr>
              <w:t xml:space="preserve">8,015 </w:t>
            </w:r>
          </w:p>
        </w:tc>
        <w:tc>
          <w:tcPr>
            <w:tcW w:w="794" w:type="dxa"/>
            <w:tcBorders>
              <w:top w:val="nil"/>
              <w:left w:val="nil"/>
              <w:bottom w:val="nil"/>
              <w:right w:val="nil"/>
            </w:tcBorders>
            <w:shd w:val="clear" w:color="000000" w:fill="E6E6E6"/>
            <w:noWrap/>
            <w:vAlign w:val="bottom"/>
            <w:hideMark/>
          </w:tcPr>
          <w:p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r>
      <w:tr w:rsidR="00825880" w:rsidRPr="006204F0" w:rsidTr="00032C97">
        <w:trPr>
          <w:trHeight w:val="227"/>
        </w:trPr>
        <w:tc>
          <w:tcPr>
            <w:tcW w:w="3033" w:type="dxa"/>
            <w:tcBorders>
              <w:top w:val="nil"/>
              <w:left w:val="nil"/>
              <w:bottom w:val="nil"/>
              <w:right w:val="nil"/>
            </w:tcBorders>
            <w:shd w:val="clear" w:color="auto" w:fill="auto"/>
            <w:noWrap/>
            <w:vAlign w:val="bottom"/>
            <w:hideMark/>
          </w:tcPr>
          <w:p w:rsidR="00825880" w:rsidRDefault="00825880" w:rsidP="00032C97">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 xml:space="preserve">8,015 </w:t>
            </w:r>
          </w:p>
        </w:tc>
        <w:tc>
          <w:tcPr>
            <w:tcW w:w="794" w:type="dxa"/>
            <w:tcBorders>
              <w:top w:val="nil"/>
              <w:left w:val="nil"/>
              <w:bottom w:val="nil"/>
              <w:right w:val="nil"/>
            </w:tcBorders>
            <w:shd w:val="clear" w:color="000000" w:fill="E6E6E6"/>
            <w:noWrap/>
            <w:vAlign w:val="bottom"/>
            <w:hideMark/>
          </w:tcPr>
          <w:p w:rsidR="00825880" w:rsidRPr="00433463"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r>
      <w:tr w:rsidR="00AD3854" w:rsidRPr="00433463" w:rsidTr="00ED7D5C">
        <w:trPr>
          <w:trHeight w:val="397"/>
        </w:trPr>
        <w:tc>
          <w:tcPr>
            <w:tcW w:w="3033" w:type="dxa"/>
            <w:tcBorders>
              <w:top w:val="nil"/>
              <w:left w:val="nil"/>
              <w:bottom w:val="nil"/>
              <w:right w:val="nil"/>
            </w:tcBorders>
            <w:shd w:val="clear" w:color="auto" w:fill="auto"/>
            <w:vAlign w:val="bottom"/>
            <w:hideMark/>
          </w:tcPr>
          <w:p w:rsidR="00AD3854" w:rsidRDefault="00AD3854" w:rsidP="00ED7D5C">
            <w:pPr>
              <w:spacing w:after="0" w:line="240" w:lineRule="auto"/>
              <w:rPr>
                <w:rFonts w:ascii="Arial" w:hAnsi="Arial" w:cs="Arial"/>
                <w:sz w:val="16"/>
                <w:szCs w:val="16"/>
              </w:rPr>
            </w:pPr>
            <w:r>
              <w:rPr>
                <w:rFonts w:ascii="Arial" w:hAnsi="Arial" w:cs="Arial"/>
                <w:sz w:val="16"/>
                <w:szCs w:val="16"/>
              </w:rPr>
              <w:t>More Choices for a Longer Life — jobs and skills for mature age Australians (d)</w:t>
            </w:r>
          </w:p>
        </w:tc>
        <w:tc>
          <w:tcPr>
            <w:tcW w:w="737"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AD3854" w:rsidRDefault="00AD3854" w:rsidP="00ED7D5C">
            <w:pPr>
              <w:spacing w:after="0" w:line="240" w:lineRule="auto"/>
              <w:jc w:val="center"/>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center"/>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AD3854" w:rsidRPr="00433463" w:rsidRDefault="00AD3854" w:rsidP="00ED7D5C">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center"/>
              <w:rPr>
                <w:rFonts w:ascii="Arial" w:hAnsi="Arial" w:cs="Arial"/>
                <w:sz w:val="16"/>
                <w:szCs w:val="16"/>
              </w:rPr>
            </w:pPr>
            <w:r w:rsidRPr="00433463">
              <w:rPr>
                <w:rFonts w:ascii="Arial" w:hAnsi="Arial" w:cs="Arial"/>
                <w:sz w:val="16"/>
                <w:szCs w:val="16"/>
              </w:rPr>
              <w:t> </w:t>
            </w:r>
          </w:p>
        </w:tc>
      </w:tr>
      <w:tr w:rsidR="00AD3854" w:rsidRPr="00433463" w:rsidTr="00ED7D5C">
        <w:trPr>
          <w:trHeight w:val="225"/>
        </w:trPr>
        <w:tc>
          <w:tcPr>
            <w:tcW w:w="3033" w:type="dxa"/>
            <w:tcBorders>
              <w:top w:val="nil"/>
              <w:left w:val="nil"/>
              <w:bottom w:val="nil"/>
              <w:right w:val="nil"/>
            </w:tcBorders>
            <w:shd w:val="clear" w:color="auto" w:fill="auto"/>
            <w:noWrap/>
            <w:vAlign w:val="bottom"/>
            <w:hideMark/>
          </w:tcPr>
          <w:p w:rsidR="00AD3854" w:rsidRDefault="00AD3854" w:rsidP="00ED7D5C">
            <w:pPr>
              <w:spacing w:after="0" w:line="240" w:lineRule="auto"/>
              <w:ind w:firstLineChars="100" w:firstLine="160"/>
              <w:rPr>
                <w:rFonts w:ascii="Arial" w:hAnsi="Arial" w:cs="Arial"/>
                <w:sz w:val="16"/>
                <w:szCs w:val="16"/>
              </w:rPr>
            </w:pPr>
            <w:r>
              <w:rPr>
                <w:rFonts w:ascii="Arial" w:hAnsi="Arial" w:cs="Arial"/>
                <w:sz w:val="16"/>
                <w:szCs w:val="16"/>
              </w:rPr>
              <w:t>Administered capital</w:t>
            </w:r>
          </w:p>
        </w:tc>
        <w:tc>
          <w:tcPr>
            <w:tcW w:w="737"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r>
      <w:tr w:rsidR="00AD3854" w:rsidRPr="00433463" w:rsidTr="00ED7D5C">
        <w:trPr>
          <w:trHeight w:val="225"/>
        </w:trPr>
        <w:tc>
          <w:tcPr>
            <w:tcW w:w="3033" w:type="dxa"/>
            <w:tcBorders>
              <w:top w:val="nil"/>
              <w:left w:val="nil"/>
              <w:bottom w:val="nil"/>
              <w:right w:val="nil"/>
            </w:tcBorders>
            <w:shd w:val="clear" w:color="auto" w:fill="auto"/>
            <w:noWrap/>
            <w:vAlign w:val="bottom"/>
            <w:hideMark/>
          </w:tcPr>
          <w:p w:rsidR="00AD3854" w:rsidRDefault="00AD3854" w:rsidP="00ED7D5C">
            <w:pPr>
              <w:spacing w:after="0" w:line="240" w:lineRule="auto"/>
              <w:ind w:firstLineChars="100" w:firstLine="160"/>
              <w:rPr>
                <w:rFonts w:ascii="Arial" w:hAnsi="Arial" w:cs="Arial"/>
                <w:sz w:val="16"/>
                <w:szCs w:val="16"/>
              </w:rPr>
            </w:pPr>
            <w:r>
              <w:rPr>
                <w:rFonts w:ascii="Arial" w:hAnsi="Arial" w:cs="Arial"/>
                <w:sz w:val="16"/>
                <w:szCs w:val="16"/>
              </w:rPr>
              <w:t>Departmental capital</w:t>
            </w:r>
          </w:p>
        </w:tc>
        <w:tc>
          <w:tcPr>
            <w:tcW w:w="737"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3,294 </w:t>
            </w: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r>
      <w:tr w:rsidR="00AD3854" w:rsidRPr="00433463" w:rsidTr="00ED7D5C">
        <w:trPr>
          <w:trHeight w:val="227"/>
        </w:trPr>
        <w:tc>
          <w:tcPr>
            <w:tcW w:w="3033" w:type="dxa"/>
            <w:tcBorders>
              <w:top w:val="nil"/>
              <w:left w:val="nil"/>
              <w:bottom w:val="nil"/>
              <w:right w:val="nil"/>
            </w:tcBorders>
            <w:shd w:val="clear" w:color="auto" w:fill="auto"/>
            <w:noWrap/>
            <w:vAlign w:val="bottom"/>
            <w:hideMark/>
          </w:tcPr>
          <w:p w:rsidR="00AD3854" w:rsidRDefault="00AD3854" w:rsidP="00ED7D5C">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nil"/>
              <w:right w:val="nil"/>
            </w:tcBorders>
            <w:shd w:val="clear" w:color="auto" w:fill="auto"/>
            <w:noWrap/>
            <w:vAlign w:val="bottom"/>
            <w:hideMark/>
          </w:tcPr>
          <w:p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3,294 </w:t>
            </w: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AD3854" w:rsidRPr="00433463" w:rsidRDefault="00AD3854" w:rsidP="00ED7D5C">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AD3854" w:rsidRPr="00433463" w:rsidRDefault="00AD3854" w:rsidP="00ED7D5C">
            <w:pPr>
              <w:spacing w:after="0" w:line="240" w:lineRule="auto"/>
              <w:jc w:val="right"/>
              <w:rPr>
                <w:rFonts w:ascii="Arial" w:hAnsi="Arial" w:cs="Arial"/>
                <w:b/>
                <w:bCs/>
                <w:sz w:val="16"/>
                <w:szCs w:val="16"/>
              </w:rPr>
            </w:pPr>
            <w:r>
              <w:rPr>
                <w:rFonts w:ascii="Arial" w:hAnsi="Arial" w:cs="Arial"/>
                <w:b/>
                <w:bCs/>
                <w:sz w:val="16"/>
                <w:szCs w:val="16"/>
              </w:rPr>
              <w:t>-</w:t>
            </w:r>
          </w:p>
        </w:tc>
      </w:tr>
      <w:tr w:rsidR="00825880" w:rsidRPr="00433463" w:rsidTr="00672FAF">
        <w:trPr>
          <w:trHeight w:val="397"/>
        </w:trPr>
        <w:tc>
          <w:tcPr>
            <w:tcW w:w="3033" w:type="dxa"/>
            <w:tcBorders>
              <w:top w:val="nil"/>
              <w:left w:val="nil"/>
              <w:bottom w:val="nil"/>
              <w:right w:val="nil"/>
            </w:tcBorders>
            <w:shd w:val="clear" w:color="auto" w:fill="auto"/>
            <w:vAlign w:val="bottom"/>
            <w:hideMark/>
          </w:tcPr>
          <w:p w:rsidR="00825880" w:rsidRDefault="00825880" w:rsidP="00AF6672">
            <w:pPr>
              <w:spacing w:after="0" w:line="240" w:lineRule="auto"/>
              <w:rPr>
                <w:rFonts w:ascii="Arial" w:hAnsi="Arial" w:cs="Arial"/>
                <w:sz w:val="16"/>
                <w:szCs w:val="16"/>
              </w:rPr>
            </w:pPr>
            <w:r>
              <w:rPr>
                <w:rFonts w:ascii="Arial" w:hAnsi="Arial" w:cs="Arial"/>
                <w:sz w:val="16"/>
                <w:szCs w:val="16"/>
              </w:rPr>
              <w:t>Regional Employment Trials Program — establishment</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825880" w:rsidRDefault="00825880" w:rsidP="00AF6672">
            <w:pPr>
              <w:spacing w:after="0" w:line="240" w:lineRule="auto"/>
              <w:jc w:val="center"/>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center"/>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center"/>
              <w:rPr>
                <w:rFonts w:ascii="Arial" w:hAnsi="Arial" w:cs="Arial"/>
                <w:sz w:val="16"/>
                <w:szCs w:val="16"/>
              </w:rPr>
            </w:pPr>
            <w:r w:rsidRPr="00433463">
              <w:rPr>
                <w:rFonts w:ascii="Arial" w:hAnsi="Arial" w:cs="Arial"/>
                <w:sz w:val="16"/>
                <w:szCs w:val="16"/>
              </w:rPr>
              <w:t> </w:t>
            </w:r>
          </w:p>
        </w:tc>
      </w:tr>
      <w:tr w:rsidR="00825880" w:rsidRPr="00433463" w:rsidTr="00672FAF">
        <w:trPr>
          <w:trHeight w:val="227"/>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Administered capital</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921473">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rsidTr="00672FAF">
        <w:trPr>
          <w:trHeight w:val="227"/>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Departmental capital</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921473">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345 </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rsidTr="00672FAF">
        <w:trPr>
          <w:trHeight w:val="227"/>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921473">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right"/>
              <w:rPr>
                <w:rFonts w:ascii="Arial" w:hAnsi="Arial" w:cs="Arial"/>
                <w:b/>
                <w:bCs/>
                <w:sz w:val="16"/>
                <w:szCs w:val="16"/>
              </w:rPr>
            </w:pPr>
            <w:r>
              <w:rPr>
                <w:rFonts w:ascii="Arial" w:hAnsi="Arial" w:cs="Arial"/>
                <w:b/>
                <w:bCs/>
                <w:sz w:val="16"/>
                <w:szCs w:val="16"/>
              </w:rPr>
              <w:t xml:space="preserve">345 </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r>
      <w:tr w:rsidR="00825880" w:rsidRPr="00433463" w:rsidTr="00672FAF">
        <w:trPr>
          <w:trHeight w:val="227"/>
        </w:trPr>
        <w:tc>
          <w:tcPr>
            <w:tcW w:w="3033" w:type="dxa"/>
            <w:tcBorders>
              <w:top w:val="nil"/>
              <w:left w:val="nil"/>
              <w:bottom w:val="nil"/>
              <w:right w:val="nil"/>
            </w:tcBorders>
            <w:shd w:val="clear" w:color="auto" w:fill="auto"/>
            <w:vAlign w:val="bottom"/>
            <w:hideMark/>
          </w:tcPr>
          <w:p w:rsidR="00825880" w:rsidRDefault="00825880" w:rsidP="00AF6672">
            <w:pPr>
              <w:spacing w:after="0" w:line="240" w:lineRule="auto"/>
              <w:rPr>
                <w:rFonts w:ascii="Arial" w:hAnsi="Arial" w:cs="Arial"/>
                <w:sz w:val="16"/>
                <w:szCs w:val="16"/>
              </w:rPr>
            </w:pPr>
            <w:r>
              <w:rPr>
                <w:rFonts w:ascii="Arial" w:hAnsi="Arial" w:cs="Arial"/>
                <w:sz w:val="16"/>
                <w:szCs w:val="16"/>
              </w:rPr>
              <w:t>Streamlining Services for Refugees</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rsidR="00825880" w:rsidRDefault="00825880" w:rsidP="00AF6672">
            <w:pPr>
              <w:spacing w:after="0" w:line="240" w:lineRule="auto"/>
              <w:jc w:val="center"/>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center"/>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center"/>
              <w:rPr>
                <w:rFonts w:ascii="Arial" w:hAnsi="Arial" w:cs="Arial"/>
                <w:sz w:val="16"/>
                <w:szCs w:val="16"/>
              </w:rPr>
            </w:pPr>
            <w:r w:rsidRPr="00433463">
              <w:rPr>
                <w:rFonts w:ascii="Arial" w:hAnsi="Arial" w:cs="Arial"/>
                <w:sz w:val="16"/>
                <w:szCs w:val="16"/>
              </w:rPr>
              <w:t> </w:t>
            </w:r>
          </w:p>
        </w:tc>
      </w:tr>
      <w:tr w:rsidR="00825880" w:rsidRPr="00433463" w:rsidTr="00672FAF">
        <w:trPr>
          <w:trHeight w:val="225"/>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Administered capital</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921473">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rsidTr="00672FAF">
        <w:trPr>
          <w:trHeight w:val="225"/>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Departmental capital</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921473">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372 </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rsidTr="00672FAF">
        <w:trPr>
          <w:trHeight w:val="227"/>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921473">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right"/>
              <w:rPr>
                <w:rFonts w:ascii="Arial" w:hAnsi="Arial" w:cs="Arial"/>
                <w:b/>
                <w:bCs/>
                <w:sz w:val="16"/>
                <w:szCs w:val="16"/>
              </w:rPr>
            </w:pPr>
            <w:r>
              <w:rPr>
                <w:rFonts w:ascii="Arial" w:hAnsi="Arial" w:cs="Arial"/>
                <w:b/>
                <w:bCs/>
                <w:sz w:val="16"/>
                <w:szCs w:val="16"/>
              </w:rPr>
              <w:t xml:space="preserve">372 </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r>
      <w:tr w:rsidR="00825880" w:rsidRPr="00433463" w:rsidTr="00672FAF">
        <w:trPr>
          <w:trHeight w:val="225"/>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rPr>
                <w:rFonts w:ascii="Arial" w:hAnsi="Arial" w:cs="Arial"/>
                <w:b/>
                <w:bCs/>
                <w:sz w:val="16"/>
                <w:szCs w:val="16"/>
              </w:rPr>
            </w:pPr>
            <w:r>
              <w:rPr>
                <w:rFonts w:ascii="Arial" w:hAnsi="Arial" w:cs="Arial"/>
                <w:b/>
                <w:bCs/>
                <w:sz w:val="16"/>
                <w:szCs w:val="16"/>
              </w:rPr>
              <w:t>Total capital measures</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rPr>
                <w:rFonts w:ascii="Arial" w:hAnsi="Arial" w:cs="Arial"/>
                <w:sz w:val="16"/>
                <w:szCs w:val="16"/>
              </w:rPr>
            </w:pPr>
            <w:r w:rsidRPr="00433463">
              <w:rPr>
                <w:rFonts w:ascii="Arial" w:hAnsi="Arial" w:cs="Arial"/>
                <w:sz w:val="16"/>
                <w:szCs w:val="16"/>
              </w:rPr>
              <w:t> </w:t>
            </w:r>
          </w:p>
        </w:tc>
      </w:tr>
      <w:tr w:rsidR="00825880" w:rsidRPr="00433463" w:rsidTr="00672FAF">
        <w:trPr>
          <w:trHeight w:val="225"/>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Administered</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rsidTr="00672FAF">
        <w:trPr>
          <w:trHeight w:val="225"/>
        </w:trPr>
        <w:tc>
          <w:tcPr>
            <w:tcW w:w="3033" w:type="dxa"/>
            <w:tcBorders>
              <w:top w:val="nil"/>
              <w:left w:val="nil"/>
              <w:bottom w:val="nil"/>
              <w:right w:val="nil"/>
            </w:tcBorders>
            <w:shd w:val="clear" w:color="auto" w:fill="auto"/>
            <w:noWrap/>
            <w:vAlign w:val="bottom"/>
            <w:hideMark/>
          </w:tcPr>
          <w:p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Departmental</w:t>
            </w:r>
          </w:p>
        </w:tc>
        <w:tc>
          <w:tcPr>
            <w:tcW w:w="737" w:type="dxa"/>
            <w:tcBorders>
              <w:top w:val="nil"/>
              <w:left w:val="nil"/>
              <w:bottom w:val="nil"/>
              <w:right w:val="nil"/>
            </w:tcBorders>
            <w:shd w:val="clear" w:color="auto" w:fill="auto"/>
            <w:noWrap/>
            <w:vAlign w:val="bottom"/>
            <w:hideMark/>
          </w:tcPr>
          <w:p w:rsidR="00825880" w:rsidRDefault="00825880" w:rsidP="00AF6672">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12,026 </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rsidTr="00672FAF">
        <w:trPr>
          <w:trHeight w:val="227"/>
        </w:trPr>
        <w:tc>
          <w:tcPr>
            <w:tcW w:w="3033" w:type="dxa"/>
            <w:tcBorders>
              <w:top w:val="nil"/>
              <w:left w:val="nil"/>
              <w:bottom w:val="single" w:sz="4" w:space="0" w:color="auto"/>
              <w:right w:val="nil"/>
            </w:tcBorders>
            <w:shd w:val="clear" w:color="auto" w:fill="auto"/>
            <w:noWrap/>
            <w:vAlign w:val="bottom"/>
            <w:hideMark/>
          </w:tcPr>
          <w:p w:rsidR="00825880" w:rsidRDefault="00825880" w:rsidP="00AF6672">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single" w:sz="4" w:space="0" w:color="auto"/>
              <w:right w:val="nil"/>
            </w:tcBorders>
            <w:shd w:val="clear" w:color="auto" w:fill="auto"/>
            <w:noWrap/>
            <w:vAlign w:val="bottom"/>
            <w:hideMark/>
          </w:tcPr>
          <w:p w:rsidR="00825880" w:rsidRDefault="00825880" w:rsidP="00AF6672">
            <w:pPr>
              <w:spacing w:after="0" w:line="240" w:lineRule="auto"/>
              <w:rPr>
                <w:rFonts w:ascii="Arial" w:hAnsi="Arial" w:cs="Arial"/>
                <w:b/>
                <w:bCs/>
                <w:sz w:val="16"/>
                <w:szCs w:val="16"/>
              </w:rPr>
            </w:pPr>
            <w:r>
              <w:rPr>
                <w:rFonts w:ascii="Arial" w:hAnsi="Arial" w:cs="Arial"/>
                <w:b/>
                <w:bCs/>
                <w:sz w:val="16"/>
                <w:szCs w:val="16"/>
              </w:rPr>
              <w:t> </w:t>
            </w:r>
          </w:p>
        </w:tc>
        <w:tc>
          <w:tcPr>
            <w:tcW w:w="794" w:type="dxa"/>
            <w:tcBorders>
              <w:top w:val="nil"/>
              <w:left w:val="nil"/>
              <w:bottom w:val="single" w:sz="4" w:space="0" w:color="auto"/>
              <w:right w:val="nil"/>
            </w:tcBorders>
            <w:shd w:val="clear" w:color="000000" w:fill="E6E6E6"/>
            <w:noWrap/>
            <w:vAlign w:val="bottom"/>
            <w:hideMark/>
          </w:tcPr>
          <w:p w:rsidR="00825880" w:rsidRDefault="00825880" w:rsidP="00AF667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single" w:sz="4" w:space="0" w:color="auto"/>
              <w:right w:val="nil"/>
            </w:tcBorders>
            <w:shd w:val="clear" w:color="auto" w:fill="auto"/>
            <w:noWrap/>
            <w:vAlign w:val="bottom"/>
            <w:hideMark/>
          </w:tcPr>
          <w:p w:rsidR="00825880" w:rsidRDefault="00825880" w:rsidP="00AF6672">
            <w:pPr>
              <w:spacing w:after="0" w:line="240" w:lineRule="auto"/>
              <w:jc w:val="right"/>
              <w:rPr>
                <w:rFonts w:ascii="Arial" w:hAnsi="Arial" w:cs="Arial"/>
                <w:b/>
                <w:bCs/>
                <w:sz w:val="16"/>
                <w:szCs w:val="16"/>
              </w:rPr>
            </w:pPr>
            <w:r>
              <w:rPr>
                <w:rFonts w:ascii="Arial" w:hAnsi="Arial" w:cs="Arial"/>
                <w:b/>
                <w:bCs/>
                <w:sz w:val="16"/>
                <w:szCs w:val="16"/>
              </w:rPr>
              <w:t xml:space="preserve">12,026 </w:t>
            </w:r>
          </w:p>
        </w:tc>
        <w:tc>
          <w:tcPr>
            <w:tcW w:w="794" w:type="dxa"/>
            <w:tcBorders>
              <w:top w:val="nil"/>
              <w:left w:val="nil"/>
              <w:bottom w:val="single" w:sz="4" w:space="0" w:color="auto"/>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single" w:sz="4" w:space="0" w:color="auto"/>
              <w:right w:val="nil"/>
            </w:tcBorders>
            <w:shd w:val="clear" w:color="auto" w:fill="auto"/>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single" w:sz="4" w:space="0" w:color="auto"/>
              <w:right w:val="nil"/>
            </w:tcBorders>
            <w:shd w:val="clear" w:color="000000" w:fill="E6E6E6"/>
            <w:noWrap/>
            <w:vAlign w:val="bottom"/>
            <w:hideMark/>
          </w:tcPr>
          <w:p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r>
    </w:tbl>
    <w:p w:rsidR="00E048ED" w:rsidRDefault="00E048ED" w:rsidP="00E048ED">
      <w:pPr>
        <w:pStyle w:val="ChartandTableFootnote"/>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rsidR="00032C97" w:rsidRPr="00032C97" w:rsidRDefault="00032C97" w:rsidP="00ED7D5C">
      <w:pPr>
        <w:pStyle w:val="ChartandTableFootnoteAlpha"/>
        <w:numPr>
          <w:ilvl w:val="0"/>
          <w:numId w:val="64"/>
        </w:numPr>
      </w:pPr>
      <w:r w:rsidRPr="00ED7D5C">
        <w:rPr>
          <w:lang w:val="en-AU"/>
        </w:rPr>
        <w:t xml:space="preserve">The full measure description and package details appear in </w:t>
      </w:r>
      <w:r w:rsidRPr="00ED7D5C">
        <w:rPr>
          <w:i/>
        </w:rPr>
        <w:t>Budget Paper No. 2</w:t>
      </w:r>
      <w:r w:rsidRPr="00ED7D5C">
        <w:rPr>
          <w:i/>
          <w:lang w:val="en-AU"/>
        </w:rPr>
        <w:t xml:space="preserve"> </w:t>
      </w:r>
      <w:r w:rsidRPr="00ED7D5C">
        <w:rPr>
          <w:lang w:val="en-AU"/>
        </w:rPr>
        <w:t>under the Jobs and Innovation portfolio.</w:t>
      </w:r>
    </w:p>
    <w:p w:rsidR="00032C97" w:rsidRDefault="00032C97" w:rsidP="00032C97">
      <w:pPr>
        <w:pStyle w:val="ChartandTableFootnoteAlpha"/>
      </w:pPr>
      <w:r>
        <w:t xml:space="preserve">The lead entity for this measure is the Department of the Prime Minister and Cabinet. </w:t>
      </w:r>
      <w:r w:rsidRPr="002B779E">
        <w:t xml:space="preserve">The full measure description and package details appear in </w:t>
      </w:r>
      <w:r w:rsidRPr="009A40DD">
        <w:rPr>
          <w:i/>
        </w:rPr>
        <w:t>Budget Paper No. 2</w:t>
      </w:r>
      <w:r w:rsidRPr="002B779E">
        <w:t xml:space="preserve"> under the </w:t>
      </w:r>
      <w:r>
        <w:t>Prime Minister and Cabinet</w:t>
      </w:r>
      <w:r w:rsidRPr="002B779E">
        <w:t xml:space="preserve"> portfolio.</w:t>
      </w:r>
    </w:p>
    <w:p w:rsidR="00032C97" w:rsidRDefault="00032C97" w:rsidP="00032C97">
      <w:pPr>
        <w:pStyle w:val="ChartandTableFootnoteAlpha"/>
      </w:pPr>
      <w:r>
        <w:t xml:space="preserve">The lead entity for this measure is the Department of Social Services. </w:t>
      </w:r>
      <w:r w:rsidRPr="002B779E">
        <w:t xml:space="preserve">The full measure description and package details appear in </w:t>
      </w:r>
      <w:r w:rsidRPr="009A40DD">
        <w:rPr>
          <w:i/>
        </w:rPr>
        <w:t>Budget Paper No. 2</w:t>
      </w:r>
      <w:r w:rsidRPr="002B779E">
        <w:t xml:space="preserve"> under the </w:t>
      </w:r>
      <w:r>
        <w:t>Social Services</w:t>
      </w:r>
      <w:r w:rsidRPr="002B779E">
        <w:t xml:space="preserve"> portfolio.</w:t>
      </w:r>
    </w:p>
    <w:p w:rsidR="00AD3854" w:rsidRDefault="00AD3854" w:rsidP="00AD3854">
      <w:pPr>
        <w:pStyle w:val="ChartandTableFootnoteAlpha"/>
        <w:rPr>
          <w:lang w:val="en-AU"/>
        </w:rPr>
      </w:pPr>
      <w:r w:rsidRPr="00AF6672">
        <w:lastRenderedPageBreak/>
        <w:t>Refer to t</w:t>
      </w:r>
      <w:r>
        <w:t>he Jobs and Small Business 2017–</w:t>
      </w:r>
      <w:r w:rsidRPr="00AF6672">
        <w:t>18 Portfolio Supplementary Additional</w:t>
      </w:r>
      <w:r>
        <w:t xml:space="preserve"> Estimates Statements for 2017–1</w:t>
      </w:r>
      <w:r w:rsidRPr="00AF6672">
        <w:t>8</w:t>
      </w:r>
      <w:r>
        <w:t xml:space="preserve"> financial year, and to the 2018–</w:t>
      </w:r>
      <w:r w:rsidRPr="00AF6672">
        <w:t xml:space="preserve">19 </w:t>
      </w:r>
      <w:r w:rsidRPr="00AF6672">
        <w:rPr>
          <w:i/>
        </w:rPr>
        <w:t>Budget Paper No. 2</w:t>
      </w:r>
      <w:r w:rsidRPr="00AF6672">
        <w:t xml:space="preserve"> for the full measure impact.</w:t>
      </w:r>
    </w:p>
    <w:p w:rsidR="00EF1DF5" w:rsidRPr="00EF1DF5" w:rsidRDefault="00EF1DF5" w:rsidP="00EF1DF5">
      <w:pPr>
        <w:pStyle w:val="ChartandTableFootnoteAlpha"/>
      </w:pPr>
      <w:r>
        <w:t xml:space="preserve">Measure relates to decision made post MYEFO and published in </w:t>
      </w:r>
      <w:r w:rsidR="0034703E">
        <w:rPr>
          <w:lang w:val="en-AU"/>
        </w:rPr>
        <w:t xml:space="preserve">Table 1.2 of </w:t>
      </w:r>
      <w:r>
        <w:t xml:space="preserve">the </w:t>
      </w:r>
      <w:r w:rsidR="0034703E">
        <w:rPr>
          <w:lang w:val="en-AU"/>
        </w:rPr>
        <w:t xml:space="preserve">Jobs and Small Business </w:t>
      </w:r>
      <w:r>
        <w:t>2017–18 Portfolio Additional Estimates Statements</w:t>
      </w:r>
      <w:r w:rsidR="0034703E">
        <w:rPr>
          <w:lang w:val="en-AU"/>
        </w:rPr>
        <w:t xml:space="preserve"> as measure title </w:t>
      </w:r>
      <w:r w:rsidR="0034703E">
        <w:rPr>
          <w:i/>
          <w:lang w:val="en-AU"/>
        </w:rPr>
        <w:t>Digital Employment Services — Pilot</w:t>
      </w:r>
      <w:r w:rsidR="0034703E">
        <w:rPr>
          <w:lang w:val="en-AU"/>
        </w:rPr>
        <w:t xml:space="preserve">. </w:t>
      </w:r>
    </w:p>
    <w:p w:rsidR="00AF6672" w:rsidRPr="00AF6672" w:rsidRDefault="00AF6672" w:rsidP="00AF6672">
      <w:pPr>
        <w:pStyle w:val="ChartandTableFootnoteAlpha"/>
      </w:pPr>
      <w:r>
        <w:t xml:space="preserve">The lead entity for this measure is the Department of the Treasury. </w:t>
      </w:r>
      <w:r w:rsidRPr="002B779E">
        <w:t xml:space="preserve">The full measure description and package details appear in </w:t>
      </w:r>
      <w:r w:rsidRPr="009A40DD">
        <w:rPr>
          <w:i/>
        </w:rPr>
        <w:t>Budget Paper No. 2</w:t>
      </w:r>
      <w:r w:rsidRPr="002B779E">
        <w:t xml:space="preserve"> under the </w:t>
      </w:r>
      <w:r>
        <w:t>Treasury</w:t>
      </w:r>
      <w:r w:rsidRPr="002B779E">
        <w:t xml:space="preserve"> portfolio.</w:t>
      </w:r>
    </w:p>
    <w:p w:rsidR="0035788E" w:rsidRDefault="0035788E" w:rsidP="0035788E"/>
    <w:p w:rsidR="00E048ED" w:rsidRPr="0035788E" w:rsidRDefault="00E048ED" w:rsidP="0035788E">
      <w:pPr>
        <w:pStyle w:val="TableHeadingcontinued"/>
      </w:pPr>
      <w:r w:rsidRPr="0035788E">
        <w:t>Part 2: Other measures not previously reported in a portfolio statement</w:t>
      </w:r>
    </w:p>
    <w:p w:rsidR="00E048ED" w:rsidRPr="00E43257" w:rsidRDefault="00E048ED" w:rsidP="00E048ED">
      <w:r>
        <w:t xml:space="preserve">The Department has no other measures not previously reported in a portfolio statement. For this reason Part 2 of Table 1.2 is not presented. </w:t>
      </w:r>
    </w:p>
    <w:p w:rsidR="00E048ED" w:rsidRPr="00810C6A" w:rsidRDefault="00E048ED" w:rsidP="00E048ED">
      <w:pPr>
        <w:pStyle w:val="Heading2"/>
      </w:pPr>
      <w:bookmarkStart w:id="69" w:name="_Toc190682312"/>
      <w:bookmarkStart w:id="70" w:name="_Toc190682530"/>
      <w:r>
        <w:br w:type="page"/>
      </w:r>
      <w:bookmarkStart w:id="71" w:name="_Toc444523512"/>
      <w:bookmarkStart w:id="72" w:name="_Toc511656248"/>
      <w:bookmarkStart w:id="73" w:name="_Toc511722621"/>
      <w:bookmarkStart w:id="74" w:name="_Toc511736952"/>
      <w:bookmarkStart w:id="75" w:name="_Toc511747214"/>
      <w:bookmarkStart w:id="76" w:name="_Toc511765617"/>
      <w:bookmarkStart w:id="77" w:name="_Toc511828673"/>
      <w:bookmarkStart w:id="78" w:name="_Toc511836812"/>
      <w:bookmarkStart w:id="79" w:name="_Toc511902518"/>
      <w:r w:rsidRPr="00810C6A">
        <w:lastRenderedPageBreak/>
        <w:t>Section 2: Outcomes and planned performance</w:t>
      </w:r>
      <w:bookmarkEnd w:id="71"/>
      <w:bookmarkEnd w:id="72"/>
      <w:bookmarkEnd w:id="73"/>
      <w:bookmarkEnd w:id="74"/>
      <w:bookmarkEnd w:id="75"/>
      <w:bookmarkEnd w:id="76"/>
      <w:bookmarkEnd w:id="77"/>
      <w:bookmarkEnd w:id="78"/>
      <w:bookmarkEnd w:id="79"/>
    </w:p>
    <w:p w:rsidR="00E048ED" w:rsidRPr="005E6F2B" w:rsidRDefault="00E048ED" w:rsidP="00E048ED">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E048ED" w:rsidRPr="005E6F2B" w:rsidRDefault="00E048ED" w:rsidP="00E048ED">
      <w:r w:rsidRPr="005E6F2B">
        <w:t xml:space="preserve">Each outcome is described below together with its related programs. The following provides detailed information on expenses for each outcome and program, further broken down by funding source. </w:t>
      </w:r>
    </w:p>
    <w:p w:rsidR="00E048ED" w:rsidRPr="006906E4" w:rsidRDefault="00E048ED" w:rsidP="00E048ED">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E048ED" w:rsidRDefault="00E048ED" w:rsidP="00E048ED">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E048ED" w:rsidRDefault="00E048ED" w:rsidP="00E048ED">
      <w:pPr>
        <w:pBdr>
          <w:top w:val="single" w:sz="2" w:space="6" w:color="auto"/>
          <w:left w:val="single" w:sz="2" w:space="4" w:color="auto"/>
          <w:bottom w:val="single" w:sz="2" w:space="6" w:color="auto"/>
          <w:right w:val="single" w:sz="2" w:space="4" w:color="auto"/>
        </w:pBdr>
      </w:pPr>
      <w:r>
        <w:t xml:space="preserve">The most recent corporate plan for the Department of Jobs and Small Business can be found at </w:t>
      </w:r>
      <w:r w:rsidRPr="00A364F1">
        <w:rPr>
          <w:rStyle w:val="Hyperlink"/>
        </w:rPr>
        <w:t>www.jobs.gov.au/about-department</w:t>
      </w:r>
      <w:r>
        <w:t>.</w:t>
      </w:r>
    </w:p>
    <w:p w:rsidR="00E048ED" w:rsidRDefault="00E048ED" w:rsidP="00E048ED">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r w:rsidRPr="00A364F1">
        <w:rPr>
          <w:rStyle w:val="Hyperlink"/>
        </w:rPr>
        <w:t>www.jobs.gov.au/annual-report-2016-17/part-3-annual-performance-statement</w:t>
      </w:r>
      <w:r w:rsidRPr="00A364F1">
        <w:t>.</w:t>
      </w:r>
    </w:p>
    <w:p w:rsidR="00E048ED" w:rsidRPr="00F743D8" w:rsidRDefault="00E048ED" w:rsidP="00E048ED">
      <w:pPr>
        <w:pStyle w:val="Heading3"/>
      </w:pPr>
      <w:r>
        <w:rPr>
          <w:highlight w:val="yellow"/>
        </w:rPr>
        <w:br w:type="page"/>
      </w:r>
      <w:bookmarkStart w:id="80" w:name="_Toc444523513"/>
      <w:bookmarkStart w:id="81" w:name="_Toc511656249"/>
      <w:bookmarkStart w:id="82" w:name="_Toc511722622"/>
      <w:bookmarkStart w:id="83" w:name="_Toc511736953"/>
      <w:bookmarkStart w:id="84" w:name="_Toc511747215"/>
      <w:bookmarkStart w:id="85" w:name="_Toc511765618"/>
      <w:bookmarkStart w:id="86" w:name="_Toc511828674"/>
      <w:bookmarkStart w:id="87" w:name="_Toc511836813"/>
      <w:bookmarkStart w:id="88" w:name="_Toc511902519"/>
      <w:r>
        <w:lastRenderedPageBreak/>
        <w:t>2.1</w:t>
      </w:r>
      <w:r w:rsidRPr="00F743D8">
        <w:t xml:space="preserve"> </w:t>
      </w:r>
      <w:r w:rsidRPr="00F743D8">
        <w:tab/>
        <w:t xml:space="preserve">Budgeted expenses and performance for Outcome </w:t>
      </w:r>
      <w:bookmarkEnd w:id="80"/>
      <w:r>
        <w:t>1</w:t>
      </w:r>
      <w:bookmarkEnd w:id="81"/>
      <w:bookmarkEnd w:id="82"/>
      <w:bookmarkEnd w:id="83"/>
      <w:bookmarkEnd w:id="84"/>
      <w:bookmarkEnd w:id="85"/>
      <w:bookmarkEnd w:id="86"/>
      <w:bookmarkEnd w:id="87"/>
      <w:bookmarkEnd w:id="88"/>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E048ED" w:rsidRPr="005E6F2B" w:rsidTr="00E048ED">
        <w:tc>
          <w:tcPr>
            <w:tcW w:w="7713" w:type="dxa"/>
            <w:shd w:val="clear" w:color="auto" w:fill="E6E6E6"/>
          </w:tcPr>
          <w:p w:rsidR="00E048ED" w:rsidRPr="005E6F2B" w:rsidRDefault="00E048ED" w:rsidP="00E048ED">
            <w:pPr>
              <w:pStyle w:val="TableColumnHeadingLeft"/>
            </w:pPr>
            <w:r w:rsidRPr="005E6F2B">
              <w:t xml:space="preserve">Outcome </w:t>
            </w:r>
            <w:r>
              <w:t>1: Foster a productive and competitive labour market through employment policies and programs that assist job seekers into work, meet employer needs and increase Australia’s workforce participation.</w:t>
            </w:r>
          </w:p>
        </w:tc>
      </w:tr>
    </w:tbl>
    <w:p w:rsidR="00E048ED" w:rsidRPr="005E6F2B" w:rsidRDefault="00E048ED" w:rsidP="00E048ED"/>
    <w:p w:rsidR="00E048ED" w:rsidRPr="005E6F2B" w:rsidRDefault="00E048ED" w:rsidP="00E048ED">
      <w:pPr>
        <w:pStyle w:val="Heading4"/>
      </w:pPr>
      <w:r w:rsidRPr="005E6F2B">
        <w:t xml:space="preserve">Linked programs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2"/>
      </w:tblGrid>
      <w:tr w:rsidR="00E048ED" w:rsidRPr="005E6F2B" w:rsidTr="00E048ED">
        <w:trPr>
          <w:trHeight w:val="113"/>
          <w:tblHeader/>
        </w:trPr>
        <w:tc>
          <w:tcPr>
            <w:tcW w:w="7711" w:type="dxa"/>
            <w:tcBorders>
              <w:bottom w:val="dotted" w:sz="4" w:space="0" w:color="auto"/>
            </w:tcBorders>
          </w:tcPr>
          <w:p w:rsidR="00E048ED" w:rsidRPr="005E6F2B" w:rsidRDefault="00E048ED" w:rsidP="00E048ED">
            <w:pPr>
              <w:pStyle w:val="ExampleText0"/>
              <w:spacing w:before="60" w:after="60" w:line="240" w:lineRule="auto"/>
            </w:pPr>
            <w:r>
              <w:rPr>
                <w:rStyle w:val="ExampletextCharChar"/>
                <w:b/>
                <w:color w:val="auto"/>
              </w:rPr>
              <w:t>Department of Human Services</w:t>
            </w:r>
            <w:r w:rsidRPr="005E6F2B">
              <w:rPr>
                <w:rStyle w:val="ExampletextCharChar"/>
                <w:i/>
              </w:rPr>
              <w:t xml:space="preserve"> </w:t>
            </w:r>
          </w:p>
        </w:tc>
      </w:tr>
      <w:tr w:rsidR="00E048ED" w:rsidRPr="005E6F2B" w:rsidTr="00E048ED">
        <w:trPr>
          <w:trHeight w:val="113"/>
        </w:trPr>
        <w:tc>
          <w:tcPr>
            <w:tcW w:w="7711" w:type="dxa"/>
            <w:tcBorders>
              <w:top w:val="dotted" w:sz="4" w:space="0" w:color="auto"/>
              <w:bottom w:val="dotted" w:sz="4" w:space="0" w:color="auto"/>
            </w:tcBorders>
          </w:tcPr>
          <w:p w:rsidR="00E048ED" w:rsidRPr="005E6F2B" w:rsidRDefault="00E048ED" w:rsidP="00E048ED">
            <w:pPr>
              <w:spacing w:before="60" w:after="60" w:line="240" w:lineRule="auto"/>
              <w:rPr>
                <w:rStyle w:val="ExampletextCharChar"/>
                <w:b/>
                <w:i w:val="0"/>
                <w:color w:val="auto"/>
              </w:rPr>
            </w:pPr>
            <w:r w:rsidRPr="005E6F2B">
              <w:rPr>
                <w:rStyle w:val="ExampletextCharChar"/>
                <w:b/>
                <w:i w:val="0"/>
                <w:color w:val="auto"/>
              </w:rPr>
              <w:t>Programs</w:t>
            </w:r>
          </w:p>
          <w:p w:rsidR="00E048ED" w:rsidRPr="002A4B3C" w:rsidRDefault="00E048ED" w:rsidP="00E01B4E">
            <w:pPr>
              <w:numPr>
                <w:ilvl w:val="0"/>
                <w:numId w:val="10"/>
              </w:numPr>
              <w:spacing w:before="60" w:after="60" w:line="240" w:lineRule="auto"/>
              <w:ind w:left="714" w:hanging="357"/>
              <w:rPr>
                <w:rStyle w:val="ExampletextCharChar"/>
                <w:i w:val="0"/>
                <w:color w:val="auto"/>
              </w:rPr>
            </w:pPr>
            <w:r w:rsidRPr="005E6F2B">
              <w:rPr>
                <w:rStyle w:val="ExampletextCharChar"/>
                <w:i w:val="0"/>
                <w:color w:val="auto"/>
              </w:rPr>
              <w:t xml:space="preserve">Program </w:t>
            </w:r>
            <w:r>
              <w:rPr>
                <w:rStyle w:val="ExampletextCharChar"/>
                <w:i w:val="0"/>
                <w:color w:val="auto"/>
              </w:rPr>
              <w:t>1.1—Services to the Community—Social Security and Welfare</w:t>
            </w:r>
          </w:p>
        </w:tc>
      </w:tr>
      <w:tr w:rsidR="00E048ED" w:rsidRPr="005E6F2B" w:rsidTr="00E048ED">
        <w:trPr>
          <w:trHeight w:val="113"/>
        </w:trPr>
        <w:tc>
          <w:tcPr>
            <w:tcW w:w="7711" w:type="dxa"/>
            <w:tcBorders>
              <w:top w:val="dotted" w:sz="4" w:space="0" w:color="auto"/>
              <w:bottom w:val="single" w:sz="4" w:space="0" w:color="auto"/>
            </w:tcBorders>
          </w:tcPr>
          <w:p w:rsidR="00E048ED" w:rsidRPr="005E6F2B" w:rsidRDefault="00E048ED" w:rsidP="00E048ED">
            <w:pPr>
              <w:spacing w:before="60" w:after="60" w:line="240" w:lineRule="auto"/>
              <w:rPr>
                <w:rStyle w:val="ExampletextCharChar"/>
                <w:b/>
                <w:i w:val="0"/>
                <w:color w:val="auto"/>
              </w:rPr>
            </w:pPr>
            <w:r w:rsidRPr="005E6F2B">
              <w:rPr>
                <w:rStyle w:val="ExampletextCharChar"/>
                <w:b/>
                <w:i w:val="0"/>
                <w:color w:val="auto"/>
              </w:rPr>
              <w:t xml:space="preserve">Contribution to Outcome </w:t>
            </w:r>
            <w:r>
              <w:rPr>
                <w:rStyle w:val="ExampletextCharChar"/>
                <w:b/>
                <w:i w:val="0"/>
                <w:color w:val="auto"/>
              </w:rPr>
              <w:t>1</w:t>
            </w:r>
            <w:r w:rsidRPr="005E6F2B">
              <w:rPr>
                <w:rStyle w:val="ExampletextCharChar"/>
                <w:b/>
                <w:i w:val="0"/>
                <w:color w:val="auto"/>
              </w:rPr>
              <w:t xml:space="preserve"> made </w:t>
            </w:r>
            <w:r>
              <w:rPr>
                <w:rStyle w:val="ExampletextCharChar"/>
                <w:b/>
                <w:i w:val="0"/>
                <w:color w:val="auto"/>
              </w:rPr>
              <w:t>by linked program</w:t>
            </w:r>
          </w:p>
          <w:p w:rsidR="00E048ED" w:rsidRPr="002A4B3C" w:rsidRDefault="00E048ED" w:rsidP="00EA166E">
            <w:pPr>
              <w:spacing w:before="60" w:after="60" w:line="240" w:lineRule="auto"/>
              <w:rPr>
                <w:rStyle w:val="ExampletextCharChar"/>
                <w:i w:val="0"/>
                <w:color w:val="auto"/>
              </w:rPr>
            </w:pPr>
            <w:r>
              <w:rPr>
                <w:rStyle w:val="ExampletextCharChar"/>
                <w:i w:val="0"/>
                <w:color w:val="auto"/>
              </w:rPr>
              <w:t xml:space="preserve">The Department of Human Services makes payments on behalf of the Department of Jobs and Small Business. </w:t>
            </w:r>
          </w:p>
        </w:tc>
      </w:tr>
      <w:tr w:rsidR="00E048ED" w:rsidRPr="005E6F2B" w:rsidTr="00E048ED">
        <w:trPr>
          <w:trHeight w:val="113"/>
        </w:trPr>
        <w:tc>
          <w:tcPr>
            <w:tcW w:w="7711" w:type="dxa"/>
            <w:tcBorders>
              <w:bottom w:val="dotted" w:sz="4" w:space="0" w:color="auto"/>
            </w:tcBorders>
          </w:tcPr>
          <w:p w:rsidR="00E048ED" w:rsidRPr="005E6F2B" w:rsidRDefault="00E048ED" w:rsidP="00E048ED">
            <w:pPr>
              <w:pStyle w:val="ExampleText0"/>
              <w:spacing w:before="60" w:after="60" w:line="240" w:lineRule="auto"/>
            </w:pPr>
            <w:r>
              <w:rPr>
                <w:rStyle w:val="ExampletextCharChar"/>
                <w:b/>
                <w:color w:val="auto"/>
              </w:rPr>
              <w:t>Department of Social Services</w:t>
            </w:r>
          </w:p>
        </w:tc>
      </w:tr>
      <w:tr w:rsidR="00E048ED" w:rsidRPr="005E6F2B" w:rsidTr="00E048ED">
        <w:trPr>
          <w:trHeight w:val="113"/>
        </w:trPr>
        <w:tc>
          <w:tcPr>
            <w:tcW w:w="7711" w:type="dxa"/>
            <w:tcBorders>
              <w:top w:val="dotted" w:sz="4" w:space="0" w:color="auto"/>
              <w:bottom w:val="dotted" w:sz="4" w:space="0" w:color="auto"/>
            </w:tcBorders>
          </w:tcPr>
          <w:p w:rsidR="00E048ED" w:rsidRPr="005E6F2B" w:rsidRDefault="00E048ED" w:rsidP="00E048ED">
            <w:pPr>
              <w:spacing w:before="60" w:after="60" w:line="240" w:lineRule="auto"/>
              <w:rPr>
                <w:rStyle w:val="ExampletextCharChar"/>
                <w:b/>
                <w:i w:val="0"/>
                <w:color w:val="auto"/>
              </w:rPr>
            </w:pPr>
            <w:r w:rsidRPr="005E6F2B">
              <w:rPr>
                <w:rStyle w:val="ExampletextCharChar"/>
                <w:b/>
                <w:i w:val="0"/>
                <w:color w:val="auto"/>
              </w:rPr>
              <w:t>Programs</w:t>
            </w:r>
          </w:p>
          <w:p w:rsidR="00E048ED" w:rsidRPr="005E6F2B" w:rsidRDefault="00E048ED" w:rsidP="00E01B4E">
            <w:pPr>
              <w:numPr>
                <w:ilvl w:val="0"/>
                <w:numId w:val="10"/>
              </w:numPr>
              <w:spacing w:before="60" w:after="60" w:line="240" w:lineRule="auto"/>
              <w:ind w:left="714" w:hanging="357"/>
              <w:rPr>
                <w:rStyle w:val="ExampletextCharChar"/>
                <w:i w:val="0"/>
              </w:rPr>
            </w:pPr>
            <w:r w:rsidRPr="005E6F2B">
              <w:rPr>
                <w:rStyle w:val="ExampletextCharChar"/>
                <w:i w:val="0"/>
                <w:color w:val="auto"/>
              </w:rPr>
              <w:t xml:space="preserve">Program </w:t>
            </w:r>
            <w:r>
              <w:rPr>
                <w:rStyle w:val="ExampletextCharChar"/>
                <w:i w:val="0"/>
                <w:color w:val="auto"/>
              </w:rPr>
              <w:t>1.10—Working Age Payments</w:t>
            </w:r>
          </w:p>
        </w:tc>
      </w:tr>
      <w:tr w:rsidR="00E048ED" w:rsidRPr="005E6F2B" w:rsidTr="00E048ED">
        <w:trPr>
          <w:trHeight w:val="113"/>
        </w:trPr>
        <w:tc>
          <w:tcPr>
            <w:tcW w:w="7711" w:type="dxa"/>
            <w:tcBorders>
              <w:top w:val="dotted" w:sz="4" w:space="0" w:color="auto"/>
              <w:bottom w:val="single" w:sz="4" w:space="0" w:color="auto"/>
            </w:tcBorders>
          </w:tcPr>
          <w:p w:rsidR="00E048ED" w:rsidRDefault="00E048ED" w:rsidP="00E048ED">
            <w:pPr>
              <w:spacing w:before="60" w:after="60" w:line="240" w:lineRule="auto"/>
              <w:rPr>
                <w:rStyle w:val="ExampletextCharChar"/>
                <w:b/>
                <w:i w:val="0"/>
                <w:color w:val="auto"/>
              </w:rPr>
            </w:pPr>
            <w:r>
              <w:rPr>
                <w:rStyle w:val="ExampletextCharChar"/>
                <w:b/>
                <w:i w:val="0"/>
                <w:color w:val="auto"/>
              </w:rPr>
              <w:t>Contribution to Outcome 1</w:t>
            </w:r>
            <w:r w:rsidRPr="005E6F2B">
              <w:rPr>
                <w:rStyle w:val="ExampletextCharChar"/>
                <w:b/>
                <w:i w:val="0"/>
                <w:color w:val="auto"/>
              </w:rPr>
              <w:t xml:space="preserve"> made </w:t>
            </w:r>
            <w:r>
              <w:rPr>
                <w:rStyle w:val="ExampletextCharChar"/>
                <w:b/>
                <w:i w:val="0"/>
                <w:color w:val="auto"/>
              </w:rPr>
              <w:t>by linked program</w:t>
            </w:r>
          </w:p>
          <w:p w:rsidR="00E048ED" w:rsidRPr="005E6F2B" w:rsidRDefault="00E048ED" w:rsidP="00E048ED">
            <w:pPr>
              <w:spacing w:before="60" w:after="60" w:line="240" w:lineRule="auto"/>
              <w:rPr>
                <w:rStyle w:val="ExampletextCharChar"/>
              </w:rPr>
            </w:pPr>
            <w:r>
              <w:rPr>
                <w:rStyle w:val="ExampletextCharChar"/>
                <w:i w:val="0"/>
                <w:color w:val="auto"/>
              </w:rPr>
              <w:t xml:space="preserve">The jobactive program is closely linked to the Social Services portfolio through providing means in which job seekers receiving working age income support can meet their mutual obligation requirements and also providing services to help those job seekers to find work. </w:t>
            </w:r>
          </w:p>
        </w:tc>
      </w:tr>
    </w:tbl>
    <w:p w:rsidR="00E048ED" w:rsidRPr="00446612" w:rsidRDefault="00E048ED" w:rsidP="00E048ED">
      <w:pPr>
        <w:pStyle w:val="Heading4"/>
      </w:pPr>
      <w:r>
        <w:br w:type="page"/>
      </w:r>
      <w:r w:rsidRPr="00446612">
        <w:lastRenderedPageBreak/>
        <w:t xml:space="preserve">Budgeted expenses for Outcome </w:t>
      </w:r>
      <w:r>
        <w:t>1</w:t>
      </w:r>
    </w:p>
    <w:p w:rsidR="00E048ED" w:rsidRDefault="00E048ED" w:rsidP="00E048ED">
      <w:r w:rsidRPr="00950281">
        <w:t>This table shows how much the entity intends to spend (on an accrual basis) on achieving the outcome, broken down by program, as well as by Administered an</w:t>
      </w:r>
      <w:r>
        <w:t>d Departmental funding sources.</w:t>
      </w:r>
    </w:p>
    <w:p w:rsidR="00E048ED" w:rsidRPr="00BE0F7C" w:rsidRDefault="00E048ED" w:rsidP="00E048ED">
      <w:pPr>
        <w:pStyle w:val="TableHeading"/>
        <w:rPr>
          <w:lang w:val="en-AU"/>
        </w:rPr>
      </w:pPr>
      <w:r>
        <w:t>Table 2.</w:t>
      </w:r>
      <w:r>
        <w:rPr>
          <w:lang w:val="en-AU"/>
        </w:rPr>
        <w:t>1</w:t>
      </w:r>
      <w:r>
        <w:t xml:space="preserve">.1: Budgeted expenses for Outcome </w:t>
      </w:r>
      <w:r>
        <w:rPr>
          <w:lang w:val="en-AU"/>
        </w:rPr>
        <w:t>1</w:t>
      </w:r>
    </w:p>
    <w:tbl>
      <w:tblPr>
        <w:tblW w:w="7626" w:type="dxa"/>
        <w:tblInd w:w="93" w:type="dxa"/>
        <w:tblCellMar>
          <w:left w:w="28" w:type="dxa"/>
          <w:right w:w="28" w:type="dxa"/>
        </w:tblCellMar>
        <w:tblLook w:val="04A0" w:firstRow="1" w:lastRow="0" w:firstColumn="1" w:lastColumn="0" w:noHBand="0" w:noVBand="1"/>
      </w:tblPr>
      <w:tblGrid>
        <w:gridCol w:w="2880"/>
        <w:gridCol w:w="11"/>
        <w:gridCol w:w="936"/>
        <w:gridCol w:w="11"/>
        <w:gridCol w:w="936"/>
        <w:gridCol w:w="11"/>
        <w:gridCol w:w="936"/>
        <w:gridCol w:w="11"/>
        <w:gridCol w:w="936"/>
        <w:gridCol w:w="11"/>
        <w:gridCol w:w="936"/>
        <w:gridCol w:w="11"/>
      </w:tblGrid>
      <w:tr w:rsidR="00E048ED" w:rsidRPr="00BE0F7C" w:rsidTr="00E048ED">
        <w:trPr>
          <w:trHeight w:val="624"/>
        </w:trPr>
        <w:tc>
          <w:tcPr>
            <w:tcW w:w="7626" w:type="dxa"/>
            <w:gridSpan w:val="12"/>
            <w:tcBorders>
              <w:top w:val="single" w:sz="4" w:space="0" w:color="auto"/>
              <w:left w:val="nil"/>
              <w:bottom w:val="single" w:sz="4" w:space="0" w:color="auto"/>
              <w:right w:val="nil"/>
            </w:tcBorders>
            <w:shd w:val="clear" w:color="auto" w:fill="auto"/>
            <w:vAlign w:val="center"/>
            <w:hideMark/>
          </w:tcPr>
          <w:p w:rsidR="00E048ED" w:rsidRPr="00BE0F7C" w:rsidRDefault="00E048ED" w:rsidP="00E048ED">
            <w:pPr>
              <w:spacing w:after="0" w:line="240" w:lineRule="auto"/>
              <w:rPr>
                <w:rFonts w:ascii="Arial" w:hAnsi="Arial" w:cs="Arial"/>
                <w:b/>
                <w:bCs/>
                <w:color w:val="000000"/>
                <w:sz w:val="16"/>
                <w:szCs w:val="16"/>
              </w:rPr>
            </w:pPr>
            <w:r w:rsidRPr="00BE0F7C">
              <w:rPr>
                <w:rFonts w:ascii="Arial" w:hAnsi="Arial" w:cs="Arial"/>
                <w:b/>
                <w:bCs/>
                <w:color w:val="000000"/>
                <w:sz w:val="16"/>
                <w:szCs w:val="16"/>
              </w:rPr>
              <w:t>Outcome 1: Foster a productive and competitive labour market through employment policies and programs that assist job seekers into work, meet employer needs and increase Australia’s workforce participation.</w:t>
            </w:r>
          </w:p>
        </w:tc>
      </w:tr>
      <w:tr w:rsidR="00E048ED" w:rsidRPr="00BE0F7C" w:rsidTr="00E048ED">
        <w:trPr>
          <w:gridAfter w:val="1"/>
          <w:wAfter w:w="11" w:type="dxa"/>
          <w:trHeight w:val="794"/>
        </w:trPr>
        <w:tc>
          <w:tcPr>
            <w:tcW w:w="2880" w:type="dxa"/>
            <w:tcBorders>
              <w:top w:val="nil"/>
              <w:left w:val="nil"/>
              <w:bottom w:val="single" w:sz="4" w:space="0" w:color="auto"/>
              <w:right w:val="nil"/>
            </w:tcBorders>
            <w:shd w:val="clear" w:color="auto" w:fill="auto"/>
            <w:vAlign w:val="center"/>
            <w:hideMark/>
          </w:tcPr>
          <w:p w:rsidR="00E048ED" w:rsidRPr="00BE0F7C" w:rsidRDefault="00E048ED" w:rsidP="00E048ED">
            <w:pPr>
              <w:spacing w:after="0" w:line="240" w:lineRule="auto"/>
              <w:rPr>
                <w:rFonts w:ascii="Arial" w:hAnsi="Arial" w:cs="Arial"/>
                <w:b/>
                <w:bCs/>
                <w:color w:val="000000"/>
                <w:sz w:val="16"/>
                <w:szCs w:val="16"/>
              </w:rPr>
            </w:pPr>
            <w:r w:rsidRPr="00BE0F7C">
              <w:rPr>
                <w:rFonts w:ascii="Arial" w:hAnsi="Arial" w:cs="Arial"/>
                <w:b/>
                <w:bCs/>
                <w:color w:val="000000"/>
                <w:sz w:val="16"/>
                <w:szCs w:val="16"/>
              </w:rPr>
              <w:t> </w:t>
            </w:r>
          </w:p>
        </w:tc>
        <w:tc>
          <w:tcPr>
            <w:tcW w:w="947" w:type="dxa"/>
            <w:gridSpan w:val="2"/>
            <w:tcBorders>
              <w:top w:val="nil"/>
              <w:left w:val="nil"/>
              <w:bottom w:val="single" w:sz="4" w:space="0" w:color="auto"/>
              <w:right w:val="nil"/>
            </w:tcBorders>
            <w:shd w:val="clear" w:color="auto" w:fill="auto"/>
            <w:vAlign w:val="center"/>
            <w:hideMark/>
          </w:tcPr>
          <w:p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2017–18 Estimated actual</w:t>
            </w:r>
            <w:r w:rsidRPr="00BE0F7C">
              <w:rPr>
                <w:rFonts w:ascii="Arial" w:hAnsi="Arial" w:cs="Arial"/>
                <w:sz w:val="16"/>
                <w:szCs w:val="16"/>
              </w:rPr>
              <w:br/>
              <w:t>$'000</w:t>
            </w:r>
          </w:p>
        </w:tc>
        <w:tc>
          <w:tcPr>
            <w:tcW w:w="947" w:type="dxa"/>
            <w:gridSpan w:val="2"/>
            <w:tcBorders>
              <w:top w:val="nil"/>
              <w:left w:val="nil"/>
              <w:bottom w:val="single" w:sz="4" w:space="0" w:color="auto"/>
              <w:right w:val="nil"/>
            </w:tcBorders>
            <w:shd w:val="clear" w:color="000000" w:fill="E6E6E6"/>
            <w:vAlign w:val="center"/>
            <w:hideMark/>
          </w:tcPr>
          <w:p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2018–19</w:t>
            </w:r>
            <w:r w:rsidRPr="00BE0F7C">
              <w:rPr>
                <w:rFonts w:ascii="Arial" w:hAnsi="Arial" w:cs="Arial"/>
                <w:sz w:val="16"/>
                <w:szCs w:val="16"/>
              </w:rPr>
              <w:br/>
              <w:t>Budget</w:t>
            </w:r>
            <w:r w:rsidRPr="00BE0F7C">
              <w:rPr>
                <w:rFonts w:ascii="Arial" w:hAnsi="Arial" w:cs="Arial"/>
                <w:sz w:val="16"/>
                <w:szCs w:val="16"/>
              </w:rPr>
              <w:br/>
            </w:r>
            <w:r w:rsidRPr="00BE0F7C">
              <w:rPr>
                <w:rFonts w:ascii="Arial" w:hAnsi="Arial" w:cs="Arial"/>
                <w:sz w:val="16"/>
                <w:szCs w:val="16"/>
              </w:rPr>
              <w:br/>
              <w:t>$'000</w:t>
            </w:r>
          </w:p>
        </w:tc>
        <w:tc>
          <w:tcPr>
            <w:tcW w:w="947" w:type="dxa"/>
            <w:gridSpan w:val="2"/>
            <w:tcBorders>
              <w:top w:val="nil"/>
              <w:left w:val="nil"/>
              <w:bottom w:val="single" w:sz="4" w:space="0" w:color="auto"/>
              <w:right w:val="nil"/>
            </w:tcBorders>
            <w:shd w:val="clear" w:color="auto" w:fill="auto"/>
            <w:vAlign w:val="center"/>
            <w:hideMark/>
          </w:tcPr>
          <w:p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2019–20 Forward estimate</w:t>
            </w:r>
            <w:r w:rsidRPr="00BE0F7C">
              <w:rPr>
                <w:rFonts w:ascii="Arial" w:hAnsi="Arial" w:cs="Arial"/>
                <w:sz w:val="16"/>
                <w:szCs w:val="16"/>
              </w:rPr>
              <w:br/>
              <w:t>$'000</w:t>
            </w:r>
          </w:p>
        </w:tc>
        <w:tc>
          <w:tcPr>
            <w:tcW w:w="947" w:type="dxa"/>
            <w:gridSpan w:val="2"/>
            <w:tcBorders>
              <w:top w:val="nil"/>
              <w:left w:val="nil"/>
              <w:bottom w:val="single" w:sz="4" w:space="0" w:color="auto"/>
              <w:right w:val="nil"/>
            </w:tcBorders>
            <w:shd w:val="clear" w:color="auto" w:fill="auto"/>
            <w:vAlign w:val="center"/>
            <w:hideMark/>
          </w:tcPr>
          <w:p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2020–21 Forward estimate</w:t>
            </w:r>
            <w:r w:rsidRPr="00BE0F7C">
              <w:rPr>
                <w:rFonts w:ascii="Arial" w:hAnsi="Arial" w:cs="Arial"/>
                <w:sz w:val="16"/>
                <w:szCs w:val="16"/>
              </w:rPr>
              <w:br/>
              <w:t>$'000</w:t>
            </w:r>
          </w:p>
        </w:tc>
        <w:tc>
          <w:tcPr>
            <w:tcW w:w="947" w:type="dxa"/>
            <w:gridSpan w:val="2"/>
            <w:tcBorders>
              <w:top w:val="nil"/>
              <w:left w:val="nil"/>
              <w:bottom w:val="single" w:sz="4" w:space="0" w:color="auto"/>
              <w:right w:val="nil"/>
            </w:tcBorders>
            <w:shd w:val="clear" w:color="auto" w:fill="auto"/>
            <w:vAlign w:val="center"/>
            <w:hideMark/>
          </w:tcPr>
          <w:p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2021–22</w:t>
            </w:r>
            <w:r w:rsidRPr="00BE0F7C">
              <w:rPr>
                <w:rFonts w:ascii="Arial" w:hAnsi="Arial" w:cs="Arial"/>
                <w:sz w:val="16"/>
                <w:szCs w:val="16"/>
              </w:rPr>
              <w:br/>
              <w:t>Forward estimate</w:t>
            </w:r>
            <w:r w:rsidRPr="00BE0F7C">
              <w:rPr>
                <w:rFonts w:ascii="Arial" w:hAnsi="Arial" w:cs="Arial"/>
                <w:sz w:val="16"/>
                <w:szCs w:val="16"/>
              </w:rPr>
              <w:br/>
              <w:t>$'000</w:t>
            </w:r>
          </w:p>
        </w:tc>
      </w:tr>
      <w:tr w:rsidR="00E048ED" w:rsidRPr="00BE0F7C" w:rsidTr="00E048ED">
        <w:trPr>
          <w:trHeight w:val="283"/>
        </w:trPr>
        <w:tc>
          <w:tcPr>
            <w:tcW w:w="7626" w:type="dxa"/>
            <w:gridSpan w:val="12"/>
            <w:tcBorders>
              <w:top w:val="single" w:sz="4" w:space="0" w:color="auto"/>
              <w:left w:val="nil"/>
              <w:bottom w:val="nil"/>
              <w:right w:val="nil"/>
            </w:tcBorders>
            <w:shd w:val="clear" w:color="000000" w:fill="E6E6E6"/>
            <w:vAlign w:val="center"/>
            <w:hideMark/>
          </w:tcPr>
          <w:p w:rsidR="00E048ED" w:rsidRPr="00BE0F7C" w:rsidRDefault="00E048ED" w:rsidP="00E048ED">
            <w:pPr>
              <w:spacing w:after="0" w:line="240" w:lineRule="auto"/>
              <w:rPr>
                <w:rFonts w:ascii="Arial" w:hAnsi="Arial" w:cs="Arial"/>
                <w:b/>
                <w:bCs/>
                <w:sz w:val="16"/>
                <w:szCs w:val="16"/>
              </w:rPr>
            </w:pPr>
            <w:r w:rsidRPr="00BE0F7C">
              <w:rPr>
                <w:rFonts w:ascii="Arial" w:hAnsi="Arial" w:cs="Arial"/>
                <w:b/>
                <w:bCs/>
                <w:sz w:val="16"/>
                <w:szCs w:val="16"/>
              </w:rPr>
              <w:t>Program 1.1: Employment Services</w:t>
            </w:r>
          </w:p>
        </w:tc>
      </w:tr>
      <w:tr w:rsidR="00E048ED" w:rsidRPr="00BE0F7C" w:rsidTr="00E048ED">
        <w:trPr>
          <w:trHeight w:val="225"/>
        </w:trPr>
        <w:tc>
          <w:tcPr>
            <w:tcW w:w="2891" w:type="dxa"/>
            <w:gridSpan w:val="2"/>
            <w:tcBorders>
              <w:top w:val="single" w:sz="4" w:space="0" w:color="000000"/>
              <w:left w:val="nil"/>
              <w:bottom w:val="nil"/>
              <w:right w:val="nil"/>
            </w:tcBorders>
            <w:shd w:val="clear" w:color="auto" w:fill="auto"/>
            <w:noWrap/>
            <w:vAlign w:val="center"/>
            <w:hideMark/>
          </w:tcPr>
          <w:p w:rsidR="00E048ED" w:rsidRPr="00BE0F7C" w:rsidRDefault="00E048ED" w:rsidP="00E048ED">
            <w:pPr>
              <w:spacing w:after="0" w:line="240" w:lineRule="auto"/>
              <w:rPr>
                <w:rFonts w:ascii="Arial" w:hAnsi="Arial" w:cs="Arial"/>
                <w:sz w:val="16"/>
                <w:szCs w:val="16"/>
              </w:rPr>
            </w:pPr>
            <w:r w:rsidRPr="00BE0F7C">
              <w:rPr>
                <w:rFonts w:ascii="Arial" w:hAnsi="Arial" w:cs="Arial"/>
                <w:sz w:val="16"/>
                <w:szCs w:val="16"/>
              </w:rPr>
              <w:t>Administered expenses</w:t>
            </w:r>
          </w:p>
        </w:tc>
        <w:tc>
          <w:tcPr>
            <w:tcW w:w="947" w:type="dxa"/>
            <w:gridSpan w:val="2"/>
            <w:tcBorders>
              <w:top w:val="single" w:sz="4" w:space="0" w:color="000000"/>
              <w:left w:val="nil"/>
              <w:bottom w:val="nil"/>
              <w:right w:val="nil"/>
            </w:tcBorders>
            <w:shd w:val="clear" w:color="auto" w:fill="auto"/>
            <w:noWrap/>
            <w:vAlign w:val="center"/>
            <w:hideMark/>
          </w:tcPr>
          <w:p w:rsidR="00E048ED" w:rsidRPr="00BE0F7C" w:rsidRDefault="00E048ED" w:rsidP="00E048ED">
            <w:pPr>
              <w:spacing w:after="0" w:line="240" w:lineRule="auto"/>
              <w:jc w:val="right"/>
              <w:rPr>
                <w:rFonts w:ascii="Arial" w:hAnsi="Arial" w:cs="Arial"/>
                <w:color w:val="000000"/>
                <w:sz w:val="16"/>
                <w:szCs w:val="16"/>
              </w:rPr>
            </w:pPr>
            <w:r w:rsidRPr="00BE0F7C">
              <w:rPr>
                <w:rFonts w:ascii="Arial" w:hAnsi="Arial" w:cs="Arial"/>
                <w:color w:val="000000"/>
                <w:sz w:val="16"/>
                <w:szCs w:val="16"/>
              </w:rPr>
              <w:t> </w:t>
            </w:r>
          </w:p>
        </w:tc>
        <w:tc>
          <w:tcPr>
            <w:tcW w:w="947" w:type="dxa"/>
            <w:gridSpan w:val="2"/>
            <w:tcBorders>
              <w:top w:val="single" w:sz="4" w:space="0" w:color="000000"/>
              <w:left w:val="nil"/>
              <w:bottom w:val="nil"/>
              <w:right w:val="nil"/>
            </w:tcBorders>
            <w:shd w:val="clear" w:color="000000" w:fill="E6E6E6"/>
            <w:noWrap/>
            <w:vAlign w:val="center"/>
            <w:hideMark/>
          </w:tcPr>
          <w:p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 </w:t>
            </w:r>
          </w:p>
        </w:tc>
        <w:tc>
          <w:tcPr>
            <w:tcW w:w="947" w:type="dxa"/>
            <w:gridSpan w:val="2"/>
            <w:tcBorders>
              <w:top w:val="single" w:sz="4" w:space="0" w:color="000000"/>
              <w:left w:val="nil"/>
              <w:bottom w:val="nil"/>
              <w:right w:val="nil"/>
            </w:tcBorders>
            <w:shd w:val="clear" w:color="auto" w:fill="auto"/>
            <w:noWrap/>
            <w:vAlign w:val="center"/>
            <w:hideMark/>
          </w:tcPr>
          <w:p w:rsidR="00E048ED" w:rsidRPr="00BE0F7C" w:rsidRDefault="00E048ED" w:rsidP="00E048ED">
            <w:pPr>
              <w:spacing w:after="0" w:line="240" w:lineRule="auto"/>
              <w:rPr>
                <w:rFonts w:ascii="Arial" w:hAnsi="Arial" w:cs="Arial"/>
                <w:sz w:val="16"/>
                <w:szCs w:val="16"/>
              </w:rPr>
            </w:pPr>
            <w:r w:rsidRPr="00BE0F7C">
              <w:rPr>
                <w:rFonts w:ascii="Arial" w:hAnsi="Arial" w:cs="Arial"/>
                <w:sz w:val="16"/>
                <w:szCs w:val="16"/>
              </w:rPr>
              <w:t> </w:t>
            </w:r>
          </w:p>
        </w:tc>
        <w:tc>
          <w:tcPr>
            <w:tcW w:w="947" w:type="dxa"/>
            <w:gridSpan w:val="2"/>
            <w:tcBorders>
              <w:top w:val="single" w:sz="4" w:space="0" w:color="000000"/>
              <w:left w:val="nil"/>
              <w:bottom w:val="nil"/>
              <w:right w:val="nil"/>
            </w:tcBorders>
            <w:shd w:val="clear" w:color="auto" w:fill="auto"/>
            <w:noWrap/>
            <w:vAlign w:val="center"/>
            <w:hideMark/>
          </w:tcPr>
          <w:p w:rsidR="00E048ED" w:rsidRPr="00BE0F7C" w:rsidRDefault="00E048ED" w:rsidP="00E048ED">
            <w:pPr>
              <w:spacing w:after="0" w:line="240" w:lineRule="auto"/>
              <w:rPr>
                <w:rFonts w:ascii="Arial" w:hAnsi="Arial" w:cs="Arial"/>
                <w:sz w:val="16"/>
                <w:szCs w:val="16"/>
              </w:rPr>
            </w:pPr>
            <w:r w:rsidRPr="00BE0F7C">
              <w:rPr>
                <w:rFonts w:ascii="Arial" w:hAnsi="Arial" w:cs="Arial"/>
                <w:sz w:val="16"/>
                <w:szCs w:val="16"/>
              </w:rPr>
              <w:t> </w:t>
            </w:r>
          </w:p>
        </w:tc>
        <w:tc>
          <w:tcPr>
            <w:tcW w:w="947" w:type="dxa"/>
            <w:gridSpan w:val="2"/>
            <w:tcBorders>
              <w:top w:val="single" w:sz="4" w:space="0" w:color="000000"/>
              <w:left w:val="nil"/>
              <w:bottom w:val="nil"/>
              <w:right w:val="nil"/>
            </w:tcBorders>
            <w:shd w:val="clear" w:color="auto" w:fill="auto"/>
            <w:noWrap/>
            <w:vAlign w:val="center"/>
            <w:hideMark/>
          </w:tcPr>
          <w:p w:rsidR="00E048ED" w:rsidRPr="00BE0F7C" w:rsidRDefault="00E048ED" w:rsidP="00E048ED">
            <w:pPr>
              <w:spacing w:after="0" w:line="240" w:lineRule="auto"/>
              <w:rPr>
                <w:rFonts w:ascii="Arial" w:hAnsi="Arial" w:cs="Arial"/>
                <w:sz w:val="16"/>
                <w:szCs w:val="16"/>
              </w:rPr>
            </w:pPr>
            <w:r w:rsidRPr="00BE0F7C">
              <w:rPr>
                <w:rFonts w:ascii="Arial" w:hAnsi="Arial" w:cs="Arial"/>
                <w:sz w:val="16"/>
                <w:szCs w:val="16"/>
              </w:rPr>
              <w:t>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hideMark/>
          </w:tcPr>
          <w:p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jobactive</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1,537,326 </w:t>
            </w:r>
          </w:p>
        </w:tc>
        <w:tc>
          <w:tcPr>
            <w:tcW w:w="947" w:type="dxa"/>
            <w:gridSpan w:val="2"/>
            <w:tcBorders>
              <w:top w:val="nil"/>
              <w:left w:val="nil"/>
              <w:bottom w:val="nil"/>
              <w:right w:val="nil"/>
            </w:tcBorders>
            <w:shd w:val="clear" w:color="000000" w:fill="E6E6E6"/>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1,369,674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1,276,403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1,261,753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1,278,052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hideMark/>
          </w:tcPr>
          <w:p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Empowering YOUth Initiatives</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17,600 </w:t>
            </w:r>
          </w:p>
        </w:tc>
        <w:tc>
          <w:tcPr>
            <w:tcW w:w="947" w:type="dxa"/>
            <w:gridSpan w:val="2"/>
            <w:tcBorders>
              <w:top w:val="nil"/>
              <w:left w:val="nil"/>
              <w:bottom w:val="nil"/>
              <w:right w:val="nil"/>
            </w:tcBorders>
            <w:shd w:val="clear" w:color="000000" w:fill="E6E6E6"/>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5,050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50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rsidTr="00704509">
        <w:trPr>
          <w:trHeight w:val="227"/>
        </w:trPr>
        <w:tc>
          <w:tcPr>
            <w:tcW w:w="2891" w:type="dxa"/>
            <w:gridSpan w:val="2"/>
            <w:tcBorders>
              <w:top w:val="nil"/>
              <w:left w:val="nil"/>
              <w:bottom w:val="nil"/>
              <w:right w:val="nil"/>
            </w:tcBorders>
            <w:shd w:val="clear" w:color="auto" w:fill="auto"/>
            <w:vAlign w:val="center"/>
          </w:tcPr>
          <w:p w:rsidR="00DE5DFA" w:rsidRPr="00BE0F7C" w:rsidRDefault="00DE5DFA" w:rsidP="004441EF">
            <w:pPr>
              <w:spacing w:after="0" w:line="240" w:lineRule="auto"/>
              <w:ind w:leftChars="80" w:left="333" w:hangingChars="108" w:hanging="173"/>
              <w:rPr>
                <w:rFonts w:ascii="Arial" w:hAnsi="Arial" w:cs="Arial"/>
                <w:sz w:val="16"/>
                <w:szCs w:val="16"/>
              </w:rPr>
            </w:pPr>
            <w:r>
              <w:rPr>
                <w:rFonts w:ascii="Arial" w:hAnsi="Arial" w:cs="Arial"/>
                <w:sz w:val="16"/>
                <w:szCs w:val="16"/>
              </w:rPr>
              <w:t>Entrepreneurship Facilitators</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7" w:type="dxa"/>
            <w:gridSpan w:val="2"/>
            <w:tcBorders>
              <w:top w:val="nil"/>
              <w:left w:val="nil"/>
              <w:bottom w:val="nil"/>
              <w:right w:val="nil"/>
            </w:tcBorders>
            <w:shd w:val="clear" w:color="000000" w:fill="E6E6E6"/>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2,733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5,027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5,027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4,927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hideMark/>
          </w:tcPr>
          <w:p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Job Commitment Bonus</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16 </w:t>
            </w:r>
          </w:p>
        </w:tc>
        <w:tc>
          <w:tcPr>
            <w:tcW w:w="947" w:type="dxa"/>
            <w:gridSpan w:val="2"/>
            <w:tcBorders>
              <w:top w:val="nil"/>
              <w:left w:val="nil"/>
              <w:bottom w:val="nil"/>
              <w:right w:val="nil"/>
            </w:tcBorders>
            <w:shd w:val="clear" w:color="000000" w:fill="E6E6E6"/>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tcPr>
          <w:p w:rsidR="00DE5DFA" w:rsidRPr="00BE0F7C" w:rsidRDefault="00DE5DFA" w:rsidP="00081C68">
            <w:pPr>
              <w:spacing w:after="0" w:line="240" w:lineRule="auto"/>
              <w:ind w:firstLineChars="100" w:firstLine="160"/>
              <w:rPr>
                <w:rFonts w:ascii="Arial" w:hAnsi="Arial" w:cs="Arial"/>
                <w:sz w:val="16"/>
                <w:szCs w:val="16"/>
              </w:rPr>
            </w:pPr>
            <w:r w:rsidRPr="00BE0F7C">
              <w:rPr>
                <w:rFonts w:ascii="Arial" w:hAnsi="Arial" w:cs="Arial"/>
                <w:sz w:val="16"/>
                <w:szCs w:val="16"/>
              </w:rPr>
              <w:t xml:space="preserve">Jobs </w:t>
            </w:r>
            <w:r w:rsidR="001E664F">
              <w:rPr>
                <w:rFonts w:ascii="Arial" w:hAnsi="Arial" w:cs="Arial"/>
                <w:sz w:val="16"/>
                <w:szCs w:val="16"/>
              </w:rPr>
              <w:t xml:space="preserve">Communication </w:t>
            </w:r>
            <w:r w:rsidRPr="00BE0F7C">
              <w:rPr>
                <w:rFonts w:ascii="Arial" w:hAnsi="Arial" w:cs="Arial"/>
                <w:sz w:val="16"/>
                <w:szCs w:val="16"/>
              </w:rPr>
              <w:t>Campaign</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6,000 </w:t>
            </w:r>
          </w:p>
        </w:tc>
        <w:tc>
          <w:tcPr>
            <w:tcW w:w="947" w:type="dxa"/>
            <w:gridSpan w:val="2"/>
            <w:tcBorders>
              <w:top w:val="nil"/>
              <w:left w:val="nil"/>
              <w:bottom w:val="nil"/>
              <w:right w:val="nil"/>
            </w:tcBorders>
            <w:shd w:val="clear" w:color="000000" w:fill="E6E6E6"/>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14,000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7,810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hideMark/>
          </w:tcPr>
          <w:p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ParentsNext</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21,567 </w:t>
            </w:r>
          </w:p>
        </w:tc>
        <w:tc>
          <w:tcPr>
            <w:tcW w:w="947" w:type="dxa"/>
            <w:gridSpan w:val="2"/>
            <w:tcBorders>
              <w:top w:val="nil"/>
              <w:left w:val="nil"/>
              <w:bottom w:val="nil"/>
              <w:right w:val="nil"/>
            </w:tcBorders>
            <w:shd w:val="clear" w:color="000000" w:fill="E6E6E6"/>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84,702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86,206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90,131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89,977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tcPr>
          <w:p w:rsidR="00DE5DFA" w:rsidRPr="00BE0F7C" w:rsidRDefault="00DE5DFA" w:rsidP="000A623A">
            <w:pPr>
              <w:spacing w:after="0" w:line="240" w:lineRule="auto"/>
              <w:ind w:firstLineChars="100" w:firstLine="160"/>
              <w:rPr>
                <w:rFonts w:ascii="Arial" w:hAnsi="Arial" w:cs="Arial"/>
                <w:sz w:val="16"/>
                <w:szCs w:val="16"/>
              </w:rPr>
            </w:pPr>
            <w:r>
              <w:rPr>
                <w:rFonts w:ascii="Arial" w:hAnsi="Arial" w:cs="Arial"/>
                <w:sz w:val="16"/>
                <w:szCs w:val="16"/>
              </w:rPr>
              <w:t>Regional Employment Trials</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7" w:type="dxa"/>
            <w:gridSpan w:val="2"/>
            <w:tcBorders>
              <w:top w:val="nil"/>
              <w:left w:val="nil"/>
              <w:bottom w:val="nil"/>
              <w:right w:val="nil"/>
            </w:tcBorders>
            <w:shd w:val="clear" w:color="000000" w:fill="E6E6E6"/>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6,472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6,871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tcPr>
          <w:p w:rsidR="00DE5DFA" w:rsidRPr="00BE0F7C" w:rsidRDefault="00DE5DFA" w:rsidP="000A623A">
            <w:pPr>
              <w:spacing w:after="0" w:line="240" w:lineRule="auto"/>
              <w:ind w:firstLineChars="100" w:firstLine="160"/>
              <w:rPr>
                <w:rFonts w:ascii="Arial" w:hAnsi="Arial" w:cs="Arial"/>
                <w:sz w:val="16"/>
                <w:szCs w:val="16"/>
              </w:rPr>
            </w:pPr>
            <w:r w:rsidRPr="00BE0F7C">
              <w:rPr>
                <w:rFonts w:ascii="Arial" w:hAnsi="Arial" w:cs="Arial"/>
                <w:sz w:val="16"/>
                <w:szCs w:val="16"/>
              </w:rPr>
              <w:t>Seasonal Worker Programme</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1,724 </w:t>
            </w:r>
          </w:p>
        </w:tc>
        <w:tc>
          <w:tcPr>
            <w:tcW w:w="947" w:type="dxa"/>
            <w:gridSpan w:val="2"/>
            <w:tcBorders>
              <w:top w:val="nil"/>
              <w:left w:val="nil"/>
              <w:bottom w:val="nil"/>
              <w:right w:val="nil"/>
            </w:tcBorders>
            <w:shd w:val="clear" w:color="000000" w:fill="E6E6E6"/>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tcPr>
          <w:p w:rsidR="00DE5DFA" w:rsidRPr="00BE0F7C" w:rsidRDefault="00DE5DFA" w:rsidP="000A623A">
            <w:pPr>
              <w:spacing w:after="0" w:line="240" w:lineRule="auto"/>
              <w:ind w:firstLineChars="100" w:firstLine="160"/>
              <w:rPr>
                <w:rFonts w:ascii="Arial" w:hAnsi="Arial" w:cs="Arial"/>
                <w:sz w:val="16"/>
                <w:szCs w:val="16"/>
              </w:rPr>
            </w:pPr>
            <w:r>
              <w:rPr>
                <w:rFonts w:ascii="Arial" w:hAnsi="Arial" w:cs="Arial"/>
                <w:sz w:val="16"/>
                <w:szCs w:val="16"/>
              </w:rPr>
              <w:t>Skills and Training Incentive</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7" w:type="dxa"/>
            <w:gridSpan w:val="2"/>
            <w:tcBorders>
              <w:top w:val="nil"/>
              <w:left w:val="nil"/>
              <w:bottom w:val="nil"/>
              <w:right w:val="nil"/>
            </w:tcBorders>
            <w:shd w:val="clear" w:color="000000" w:fill="E6E6E6"/>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3,598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6,535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3,190 </w:t>
            </w:r>
          </w:p>
        </w:tc>
        <w:tc>
          <w:tcPr>
            <w:tcW w:w="947" w:type="dxa"/>
            <w:gridSpan w:val="2"/>
            <w:tcBorders>
              <w:top w:val="nil"/>
              <w:left w:val="nil"/>
              <w:bottom w:val="nil"/>
              <w:right w:val="nil"/>
            </w:tcBorders>
            <w:shd w:val="clear" w:color="auto" w:fill="auto"/>
            <w:noWrap/>
            <w:vAlign w:val="center"/>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hideMark/>
          </w:tcPr>
          <w:p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Time to Work</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616 </w:t>
            </w:r>
          </w:p>
        </w:tc>
        <w:tc>
          <w:tcPr>
            <w:tcW w:w="947" w:type="dxa"/>
            <w:gridSpan w:val="2"/>
            <w:tcBorders>
              <w:top w:val="nil"/>
              <w:left w:val="nil"/>
              <w:bottom w:val="nil"/>
              <w:right w:val="nil"/>
            </w:tcBorders>
            <w:shd w:val="clear" w:color="000000" w:fill="E6E6E6"/>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3,257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3,257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3,401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rsidTr="00E048ED">
        <w:trPr>
          <w:trHeight w:val="225"/>
        </w:trPr>
        <w:tc>
          <w:tcPr>
            <w:tcW w:w="2891" w:type="dxa"/>
            <w:gridSpan w:val="2"/>
            <w:tcBorders>
              <w:top w:val="nil"/>
              <w:left w:val="nil"/>
              <w:bottom w:val="nil"/>
              <w:right w:val="nil"/>
            </w:tcBorders>
            <w:shd w:val="clear" w:color="auto" w:fill="auto"/>
            <w:vAlign w:val="center"/>
            <w:hideMark/>
          </w:tcPr>
          <w:p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Transition to Work</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101,108 </w:t>
            </w:r>
          </w:p>
        </w:tc>
        <w:tc>
          <w:tcPr>
            <w:tcW w:w="947" w:type="dxa"/>
            <w:gridSpan w:val="2"/>
            <w:tcBorders>
              <w:top w:val="nil"/>
              <w:left w:val="nil"/>
              <w:bottom w:val="nil"/>
              <w:right w:val="nil"/>
            </w:tcBorders>
            <w:shd w:val="clear" w:color="000000" w:fill="E6E6E6"/>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135,048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136,938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137,981 </w:t>
            </w:r>
          </w:p>
        </w:tc>
        <w:tc>
          <w:tcPr>
            <w:tcW w:w="947" w:type="dxa"/>
            <w:gridSpan w:val="2"/>
            <w:tcBorders>
              <w:top w:val="nil"/>
              <w:left w:val="nil"/>
              <w:bottom w:val="nil"/>
              <w:right w:val="nil"/>
            </w:tcBorders>
            <w:shd w:val="clear" w:color="auto" w:fill="auto"/>
            <w:noWrap/>
            <w:vAlign w:val="center"/>
            <w:hideMark/>
          </w:tcPr>
          <w:p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137,127 </w:t>
            </w:r>
          </w:p>
        </w:tc>
      </w:tr>
      <w:tr w:rsidR="00EC1C86" w:rsidRPr="00BE0F7C" w:rsidTr="00E048ED">
        <w:trPr>
          <w:trHeight w:val="225"/>
        </w:trPr>
        <w:tc>
          <w:tcPr>
            <w:tcW w:w="2891" w:type="dxa"/>
            <w:gridSpan w:val="2"/>
            <w:tcBorders>
              <w:top w:val="nil"/>
              <w:left w:val="nil"/>
              <w:bottom w:val="nil"/>
              <w:right w:val="nil"/>
            </w:tcBorders>
            <w:shd w:val="clear" w:color="auto" w:fill="auto"/>
            <w:vAlign w:val="center"/>
            <w:hideMark/>
          </w:tcPr>
          <w:p w:rsidR="00EC1C86" w:rsidRPr="00BE0F7C" w:rsidRDefault="00EC1C86" w:rsidP="00E048ED">
            <w:pPr>
              <w:spacing w:after="0" w:line="240" w:lineRule="auto"/>
              <w:jc w:val="right"/>
              <w:rPr>
                <w:rFonts w:ascii="Arial" w:hAnsi="Arial" w:cs="Arial"/>
                <w:b/>
                <w:bCs/>
                <w:sz w:val="16"/>
                <w:szCs w:val="16"/>
              </w:rPr>
            </w:pPr>
            <w:r w:rsidRPr="00BE0F7C">
              <w:rPr>
                <w:rFonts w:ascii="Arial" w:hAnsi="Arial" w:cs="Arial"/>
                <w:b/>
                <w:bCs/>
                <w:sz w:val="16"/>
                <w:szCs w:val="16"/>
              </w:rPr>
              <w:t>Administered total</w:t>
            </w:r>
          </w:p>
        </w:tc>
        <w:tc>
          <w:tcPr>
            <w:tcW w:w="947" w:type="dxa"/>
            <w:gridSpan w:val="2"/>
            <w:tcBorders>
              <w:top w:val="single" w:sz="4" w:space="0" w:color="000000"/>
              <w:left w:val="nil"/>
              <w:bottom w:val="single" w:sz="4" w:space="0" w:color="000000"/>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1,685,957 </w:t>
            </w:r>
          </w:p>
        </w:tc>
        <w:tc>
          <w:tcPr>
            <w:tcW w:w="947" w:type="dxa"/>
            <w:gridSpan w:val="2"/>
            <w:tcBorders>
              <w:top w:val="single" w:sz="4" w:space="0" w:color="000000"/>
              <w:left w:val="nil"/>
              <w:bottom w:val="single" w:sz="4" w:space="0" w:color="000000"/>
              <w:right w:val="nil"/>
            </w:tcBorders>
            <w:shd w:val="clear" w:color="000000" w:fill="E6E6E6"/>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1,624,534 </w:t>
            </w:r>
          </w:p>
        </w:tc>
        <w:tc>
          <w:tcPr>
            <w:tcW w:w="947" w:type="dxa"/>
            <w:gridSpan w:val="2"/>
            <w:tcBorders>
              <w:top w:val="single" w:sz="4" w:space="0" w:color="000000"/>
              <w:left w:val="nil"/>
              <w:bottom w:val="single" w:sz="4" w:space="0" w:color="000000"/>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1,529,097 </w:t>
            </w:r>
          </w:p>
        </w:tc>
        <w:tc>
          <w:tcPr>
            <w:tcW w:w="947" w:type="dxa"/>
            <w:gridSpan w:val="2"/>
            <w:tcBorders>
              <w:top w:val="single" w:sz="4" w:space="0" w:color="000000"/>
              <w:left w:val="nil"/>
              <w:bottom w:val="single" w:sz="4" w:space="0" w:color="000000"/>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1,501,483 </w:t>
            </w:r>
          </w:p>
        </w:tc>
        <w:tc>
          <w:tcPr>
            <w:tcW w:w="947" w:type="dxa"/>
            <w:gridSpan w:val="2"/>
            <w:tcBorders>
              <w:top w:val="single" w:sz="4" w:space="0" w:color="000000"/>
              <w:left w:val="nil"/>
              <w:bottom w:val="single" w:sz="4" w:space="0" w:color="000000"/>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1,510,083 </w:t>
            </w:r>
          </w:p>
        </w:tc>
      </w:tr>
      <w:tr w:rsidR="00EC1C86" w:rsidRPr="00BE0F7C" w:rsidTr="00E048ED">
        <w:trPr>
          <w:trHeight w:val="225"/>
        </w:trPr>
        <w:tc>
          <w:tcPr>
            <w:tcW w:w="2891" w:type="dxa"/>
            <w:gridSpan w:val="2"/>
            <w:tcBorders>
              <w:top w:val="nil"/>
              <w:left w:val="nil"/>
              <w:bottom w:val="single" w:sz="4" w:space="0" w:color="000000"/>
              <w:right w:val="nil"/>
            </w:tcBorders>
            <w:shd w:val="clear" w:color="auto" w:fill="auto"/>
            <w:vAlign w:val="center"/>
            <w:hideMark/>
          </w:tcPr>
          <w:p w:rsidR="00EC1C86" w:rsidRPr="00BE0F7C" w:rsidRDefault="00EC1C86" w:rsidP="00E048ED">
            <w:pPr>
              <w:spacing w:after="0" w:line="240" w:lineRule="auto"/>
              <w:rPr>
                <w:rFonts w:ascii="Arial" w:hAnsi="Arial" w:cs="Arial"/>
                <w:b/>
                <w:bCs/>
                <w:sz w:val="16"/>
                <w:szCs w:val="16"/>
              </w:rPr>
            </w:pPr>
            <w:r w:rsidRPr="00BE0F7C">
              <w:rPr>
                <w:rFonts w:ascii="Arial" w:hAnsi="Arial" w:cs="Arial"/>
                <w:b/>
                <w:bCs/>
                <w:sz w:val="16"/>
                <w:szCs w:val="16"/>
              </w:rPr>
              <w:t>Total expenses for Program 1.1</w:t>
            </w:r>
          </w:p>
        </w:tc>
        <w:tc>
          <w:tcPr>
            <w:tcW w:w="947" w:type="dxa"/>
            <w:gridSpan w:val="2"/>
            <w:tcBorders>
              <w:top w:val="nil"/>
              <w:left w:val="nil"/>
              <w:bottom w:val="single" w:sz="4" w:space="0" w:color="000000"/>
              <w:right w:val="nil"/>
            </w:tcBorders>
            <w:shd w:val="clear" w:color="auto" w:fill="auto"/>
            <w:noWrap/>
            <w:vAlign w:val="center"/>
            <w:hideMark/>
          </w:tcPr>
          <w:p w:rsidR="00EC1C86" w:rsidRDefault="00EC1C86"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1,685,957 </w:t>
            </w:r>
          </w:p>
        </w:tc>
        <w:tc>
          <w:tcPr>
            <w:tcW w:w="947" w:type="dxa"/>
            <w:gridSpan w:val="2"/>
            <w:tcBorders>
              <w:top w:val="nil"/>
              <w:left w:val="nil"/>
              <w:bottom w:val="single" w:sz="4" w:space="0" w:color="000000"/>
              <w:right w:val="nil"/>
            </w:tcBorders>
            <w:shd w:val="clear" w:color="000000" w:fill="E6E6E6"/>
            <w:noWrap/>
            <w:vAlign w:val="center"/>
            <w:hideMark/>
          </w:tcPr>
          <w:p w:rsidR="00EC1C86" w:rsidRDefault="00EC1C86"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1,624,534 </w:t>
            </w:r>
          </w:p>
        </w:tc>
        <w:tc>
          <w:tcPr>
            <w:tcW w:w="947" w:type="dxa"/>
            <w:gridSpan w:val="2"/>
            <w:tcBorders>
              <w:top w:val="nil"/>
              <w:left w:val="nil"/>
              <w:bottom w:val="single" w:sz="4" w:space="0" w:color="000000"/>
              <w:right w:val="nil"/>
            </w:tcBorders>
            <w:shd w:val="clear" w:color="auto" w:fill="auto"/>
            <w:noWrap/>
            <w:vAlign w:val="center"/>
            <w:hideMark/>
          </w:tcPr>
          <w:p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1,529,097 </w:t>
            </w:r>
          </w:p>
        </w:tc>
        <w:tc>
          <w:tcPr>
            <w:tcW w:w="947" w:type="dxa"/>
            <w:gridSpan w:val="2"/>
            <w:tcBorders>
              <w:top w:val="nil"/>
              <w:left w:val="nil"/>
              <w:bottom w:val="single" w:sz="4" w:space="0" w:color="000000"/>
              <w:right w:val="nil"/>
            </w:tcBorders>
            <w:shd w:val="clear" w:color="auto" w:fill="auto"/>
            <w:noWrap/>
            <w:vAlign w:val="center"/>
            <w:hideMark/>
          </w:tcPr>
          <w:p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1,501,483 </w:t>
            </w:r>
          </w:p>
        </w:tc>
        <w:tc>
          <w:tcPr>
            <w:tcW w:w="947" w:type="dxa"/>
            <w:gridSpan w:val="2"/>
            <w:tcBorders>
              <w:top w:val="nil"/>
              <w:left w:val="nil"/>
              <w:bottom w:val="single" w:sz="4" w:space="0" w:color="000000"/>
              <w:right w:val="nil"/>
            </w:tcBorders>
            <w:shd w:val="clear" w:color="auto" w:fill="auto"/>
            <w:noWrap/>
            <w:vAlign w:val="center"/>
            <w:hideMark/>
          </w:tcPr>
          <w:p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1,510,083 </w:t>
            </w:r>
          </w:p>
        </w:tc>
      </w:tr>
      <w:tr w:rsidR="00EC1C86" w:rsidRPr="00BE0F7C" w:rsidTr="00E048ED">
        <w:trPr>
          <w:trHeight w:val="283"/>
        </w:trPr>
        <w:tc>
          <w:tcPr>
            <w:tcW w:w="7626" w:type="dxa"/>
            <w:gridSpan w:val="12"/>
            <w:tcBorders>
              <w:top w:val="single" w:sz="4" w:space="0" w:color="auto"/>
              <w:left w:val="nil"/>
              <w:bottom w:val="single" w:sz="4" w:space="0" w:color="auto"/>
              <w:right w:val="nil"/>
            </w:tcBorders>
            <w:shd w:val="clear" w:color="000000" w:fill="E6E6E6"/>
            <w:vAlign w:val="center"/>
            <w:hideMark/>
          </w:tcPr>
          <w:p w:rsidR="00EC1C86" w:rsidRPr="00BE0F7C" w:rsidRDefault="00EC1C86" w:rsidP="00E048ED">
            <w:pPr>
              <w:spacing w:after="0" w:line="240" w:lineRule="auto"/>
              <w:rPr>
                <w:rFonts w:ascii="Arial" w:hAnsi="Arial" w:cs="Arial"/>
                <w:b/>
                <w:bCs/>
                <w:sz w:val="16"/>
                <w:szCs w:val="16"/>
              </w:rPr>
            </w:pPr>
            <w:r w:rsidRPr="00BE0F7C">
              <w:rPr>
                <w:rFonts w:ascii="Arial" w:hAnsi="Arial" w:cs="Arial"/>
                <w:b/>
                <w:bCs/>
                <w:sz w:val="16"/>
                <w:szCs w:val="16"/>
              </w:rPr>
              <w:t>Outcome 1 Totals by appropriation type</w:t>
            </w:r>
          </w:p>
        </w:tc>
      </w:tr>
      <w:tr w:rsidR="00EC1C86" w:rsidRPr="00BE0F7C" w:rsidTr="00E048ED">
        <w:trPr>
          <w:trHeight w:val="225"/>
        </w:trPr>
        <w:tc>
          <w:tcPr>
            <w:tcW w:w="2891"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r w:rsidRPr="00BE0F7C">
              <w:rPr>
                <w:rFonts w:ascii="Arial" w:hAnsi="Arial" w:cs="Arial"/>
                <w:sz w:val="16"/>
                <w:szCs w:val="16"/>
              </w:rPr>
              <w:t>Administered expenses</w:t>
            </w: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jc w:val="right"/>
              <w:rPr>
                <w:rFonts w:ascii="Arial" w:hAnsi="Arial" w:cs="Arial"/>
                <w:color w:val="000000"/>
                <w:sz w:val="16"/>
                <w:szCs w:val="16"/>
              </w:rPr>
            </w:pPr>
          </w:p>
        </w:tc>
        <w:tc>
          <w:tcPr>
            <w:tcW w:w="947" w:type="dxa"/>
            <w:gridSpan w:val="2"/>
            <w:tcBorders>
              <w:top w:val="nil"/>
              <w:left w:val="nil"/>
              <w:bottom w:val="nil"/>
              <w:right w:val="nil"/>
            </w:tcBorders>
            <w:shd w:val="clear" w:color="000000" w:fill="E6E6E6"/>
            <w:noWrap/>
            <w:vAlign w:val="center"/>
            <w:hideMark/>
          </w:tcPr>
          <w:p w:rsidR="00EC1C86" w:rsidRPr="00BE0F7C" w:rsidRDefault="00EC1C86" w:rsidP="00E048ED">
            <w:pPr>
              <w:spacing w:after="0" w:line="240" w:lineRule="auto"/>
              <w:jc w:val="right"/>
              <w:rPr>
                <w:rFonts w:ascii="Arial" w:hAnsi="Arial" w:cs="Arial"/>
                <w:sz w:val="16"/>
                <w:szCs w:val="16"/>
              </w:rPr>
            </w:pPr>
            <w:r w:rsidRPr="00BE0F7C">
              <w:rPr>
                <w:rFonts w:ascii="Arial" w:hAnsi="Arial" w:cs="Arial"/>
                <w:sz w:val="16"/>
                <w:szCs w:val="16"/>
              </w:rPr>
              <w:t> </w:t>
            </w: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r>
      <w:tr w:rsidR="00EC1C86" w:rsidRPr="00BE0F7C" w:rsidTr="00E048ED">
        <w:trPr>
          <w:trHeight w:val="397"/>
        </w:trPr>
        <w:tc>
          <w:tcPr>
            <w:tcW w:w="2891" w:type="dxa"/>
            <w:gridSpan w:val="2"/>
            <w:tcBorders>
              <w:top w:val="nil"/>
              <w:left w:val="nil"/>
              <w:bottom w:val="nil"/>
              <w:right w:val="nil"/>
            </w:tcBorders>
            <w:shd w:val="clear" w:color="auto" w:fill="auto"/>
            <w:vAlign w:val="center"/>
            <w:hideMark/>
          </w:tcPr>
          <w:p w:rsidR="00EC1C86" w:rsidRPr="00BE0F7C" w:rsidRDefault="00EC1C86" w:rsidP="00E048ED">
            <w:pPr>
              <w:spacing w:after="0" w:line="240" w:lineRule="auto"/>
              <w:ind w:leftChars="80" w:left="333" w:hangingChars="108" w:hanging="173"/>
              <w:rPr>
                <w:rFonts w:ascii="Arial" w:hAnsi="Arial" w:cs="Arial"/>
                <w:sz w:val="16"/>
                <w:szCs w:val="16"/>
              </w:rPr>
            </w:pPr>
            <w:r w:rsidRPr="00BE0F7C">
              <w:rPr>
                <w:rFonts w:ascii="Arial" w:hAnsi="Arial" w:cs="Arial"/>
                <w:sz w:val="16"/>
                <w:szCs w:val="16"/>
              </w:rPr>
              <w:t>Ordinary annual services (Appropriation Bill No. 1)</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1,685,957 </w:t>
            </w:r>
          </w:p>
        </w:tc>
        <w:tc>
          <w:tcPr>
            <w:tcW w:w="947" w:type="dxa"/>
            <w:gridSpan w:val="2"/>
            <w:tcBorders>
              <w:top w:val="nil"/>
              <w:left w:val="nil"/>
              <w:bottom w:val="nil"/>
              <w:right w:val="nil"/>
            </w:tcBorders>
            <w:shd w:val="clear" w:color="000000" w:fill="E6E6E6"/>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1,624,534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1,529,097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1,501,483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1,510,083 </w:t>
            </w:r>
          </w:p>
        </w:tc>
      </w:tr>
      <w:tr w:rsidR="00EC1C86" w:rsidRPr="00BE0F7C" w:rsidTr="00E048ED">
        <w:trPr>
          <w:trHeight w:val="225"/>
        </w:trPr>
        <w:tc>
          <w:tcPr>
            <w:tcW w:w="2891" w:type="dxa"/>
            <w:gridSpan w:val="2"/>
            <w:tcBorders>
              <w:top w:val="nil"/>
              <w:left w:val="nil"/>
              <w:bottom w:val="nil"/>
              <w:right w:val="nil"/>
            </w:tcBorders>
            <w:shd w:val="clear" w:color="auto" w:fill="auto"/>
            <w:vAlign w:val="center"/>
            <w:hideMark/>
          </w:tcPr>
          <w:p w:rsidR="00EC1C86" w:rsidRPr="00BE0F7C" w:rsidRDefault="00EC1C86" w:rsidP="00E048ED">
            <w:pPr>
              <w:spacing w:after="0" w:line="240" w:lineRule="auto"/>
              <w:jc w:val="right"/>
              <w:rPr>
                <w:rFonts w:ascii="Arial" w:hAnsi="Arial" w:cs="Arial"/>
                <w:b/>
                <w:bCs/>
                <w:sz w:val="16"/>
                <w:szCs w:val="16"/>
              </w:rPr>
            </w:pPr>
            <w:r w:rsidRPr="00BE0F7C">
              <w:rPr>
                <w:rFonts w:ascii="Arial" w:hAnsi="Arial" w:cs="Arial"/>
                <w:b/>
                <w:bCs/>
                <w:sz w:val="16"/>
                <w:szCs w:val="16"/>
              </w:rPr>
              <w:t>Administered total</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Default="00EC1C86" w:rsidP="009F0659">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xml:space="preserve">1,685,957 </w:t>
            </w:r>
          </w:p>
        </w:tc>
        <w:tc>
          <w:tcPr>
            <w:tcW w:w="947" w:type="dxa"/>
            <w:gridSpan w:val="2"/>
            <w:tcBorders>
              <w:top w:val="single" w:sz="4" w:space="0" w:color="auto"/>
              <w:left w:val="nil"/>
              <w:bottom w:val="single" w:sz="4" w:space="0" w:color="auto"/>
              <w:right w:val="nil"/>
            </w:tcBorders>
            <w:shd w:val="clear" w:color="000000" w:fill="E6E6E6"/>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1,624,534 </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Default="00EC1C86" w:rsidP="009F0659">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xml:space="preserve">1,529,097 </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Default="00EC1C86" w:rsidP="009F0659">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xml:space="preserve">1,501,483 </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Default="00EC1C86" w:rsidP="009F0659">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xml:space="preserve">1,510,083 </w:t>
            </w:r>
          </w:p>
        </w:tc>
      </w:tr>
      <w:tr w:rsidR="00EC1C86" w:rsidRPr="00BE0F7C" w:rsidTr="00E048ED">
        <w:trPr>
          <w:trHeight w:val="225"/>
        </w:trPr>
        <w:tc>
          <w:tcPr>
            <w:tcW w:w="2891"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r w:rsidRPr="00BE0F7C">
              <w:rPr>
                <w:rFonts w:ascii="Arial" w:hAnsi="Arial" w:cs="Arial"/>
                <w:sz w:val="16"/>
                <w:szCs w:val="16"/>
              </w:rPr>
              <w:t>Departmental expenses</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p>
        </w:tc>
        <w:tc>
          <w:tcPr>
            <w:tcW w:w="947" w:type="dxa"/>
            <w:gridSpan w:val="2"/>
            <w:tcBorders>
              <w:top w:val="nil"/>
              <w:left w:val="nil"/>
              <w:bottom w:val="nil"/>
              <w:right w:val="nil"/>
            </w:tcBorders>
            <w:shd w:val="clear" w:color="000000" w:fill="E6E6E6"/>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rPr>
                <w:rFonts w:ascii="Arial" w:hAnsi="Arial" w:cs="Arial"/>
                <w:sz w:val="16"/>
                <w:szCs w:val="16"/>
              </w:rPr>
            </w:pPr>
          </w:p>
        </w:tc>
      </w:tr>
      <w:tr w:rsidR="00EC1C86" w:rsidRPr="00BE0F7C" w:rsidTr="00E048ED">
        <w:trPr>
          <w:trHeight w:val="225"/>
        </w:trPr>
        <w:tc>
          <w:tcPr>
            <w:tcW w:w="2891"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ind w:firstLineChars="100" w:firstLine="160"/>
              <w:rPr>
                <w:rFonts w:ascii="Arial" w:hAnsi="Arial" w:cs="Arial"/>
                <w:sz w:val="16"/>
                <w:szCs w:val="16"/>
              </w:rPr>
            </w:pPr>
            <w:r w:rsidRPr="00BE0F7C">
              <w:rPr>
                <w:rFonts w:ascii="Arial" w:hAnsi="Arial" w:cs="Arial"/>
                <w:sz w:val="16"/>
                <w:szCs w:val="16"/>
              </w:rPr>
              <w:t>Departmental appropriation</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231,447 </w:t>
            </w:r>
          </w:p>
        </w:tc>
        <w:tc>
          <w:tcPr>
            <w:tcW w:w="947" w:type="dxa"/>
            <w:gridSpan w:val="2"/>
            <w:tcBorders>
              <w:top w:val="nil"/>
              <w:left w:val="nil"/>
              <w:bottom w:val="nil"/>
              <w:right w:val="nil"/>
            </w:tcBorders>
            <w:shd w:val="clear" w:color="000000" w:fill="E6E6E6"/>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235,505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224,679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220,580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219,492 </w:t>
            </w:r>
          </w:p>
        </w:tc>
      </w:tr>
      <w:tr w:rsidR="00EC1C86" w:rsidRPr="00BE0F7C" w:rsidTr="00E048ED">
        <w:trPr>
          <w:trHeight w:val="225"/>
        </w:trPr>
        <w:tc>
          <w:tcPr>
            <w:tcW w:w="2891" w:type="dxa"/>
            <w:gridSpan w:val="2"/>
            <w:tcBorders>
              <w:top w:val="nil"/>
              <w:left w:val="nil"/>
              <w:bottom w:val="nil"/>
              <w:right w:val="nil"/>
            </w:tcBorders>
            <w:shd w:val="clear" w:color="auto" w:fill="auto"/>
            <w:vAlign w:val="center"/>
            <w:hideMark/>
          </w:tcPr>
          <w:p w:rsidR="00EC1C86" w:rsidRPr="00BE0F7C" w:rsidRDefault="00EC1C86" w:rsidP="00E048ED">
            <w:pPr>
              <w:spacing w:after="0" w:line="240" w:lineRule="auto"/>
              <w:ind w:firstLineChars="100" w:firstLine="160"/>
              <w:rPr>
                <w:rFonts w:ascii="Arial" w:hAnsi="Arial" w:cs="Arial"/>
                <w:sz w:val="16"/>
                <w:szCs w:val="16"/>
              </w:rPr>
            </w:pPr>
            <w:r>
              <w:rPr>
                <w:rFonts w:ascii="Arial" w:hAnsi="Arial" w:cs="Arial"/>
                <w:sz w:val="16"/>
                <w:szCs w:val="16"/>
              </w:rPr>
              <w:t>s74 r</w:t>
            </w:r>
            <w:r w:rsidRPr="00BE0F7C">
              <w:rPr>
                <w:rFonts w:ascii="Arial" w:hAnsi="Arial" w:cs="Arial"/>
                <w:sz w:val="16"/>
                <w:szCs w:val="16"/>
              </w:rPr>
              <w:t>etained revenue receipts (a)</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39,508 </w:t>
            </w:r>
          </w:p>
        </w:tc>
        <w:tc>
          <w:tcPr>
            <w:tcW w:w="947" w:type="dxa"/>
            <w:gridSpan w:val="2"/>
            <w:tcBorders>
              <w:top w:val="nil"/>
              <w:left w:val="nil"/>
              <w:bottom w:val="nil"/>
              <w:right w:val="nil"/>
            </w:tcBorders>
            <w:shd w:val="clear" w:color="000000" w:fill="E6E6E6"/>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39,996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34,456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34,206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34,206 </w:t>
            </w:r>
          </w:p>
        </w:tc>
      </w:tr>
      <w:tr w:rsidR="00EC1C86" w:rsidRPr="00BE0F7C" w:rsidTr="00E048ED">
        <w:trPr>
          <w:trHeight w:val="397"/>
        </w:trPr>
        <w:tc>
          <w:tcPr>
            <w:tcW w:w="2891" w:type="dxa"/>
            <w:gridSpan w:val="2"/>
            <w:tcBorders>
              <w:top w:val="nil"/>
              <w:left w:val="nil"/>
              <w:bottom w:val="nil"/>
              <w:right w:val="nil"/>
            </w:tcBorders>
            <w:shd w:val="clear" w:color="auto" w:fill="auto"/>
            <w:vAlign w:val="center"/>
            <w:hideMark/>
          </w:tcPr>
          <w:p w:rsidR="00EC1C86" w:rsidRPr="00BE0F7C" w:rsidRDefault="00EC1C86" w:rsidP="00E048ED">
            <w:pPr>
              <w:spacing w:after="0" w:line="240" w:lineRule="auto"/>
              <w:ind w:leftChars="80" w:left="333" w:hangingChars="108" w:hanging="173"/>
              <w:rPr>
                <w:rFonts w:ascii="Arial" w:hAnsi="Arial" w:cs="Arial"/>
                <w:sz w:val="16"/>
                <w:szCs w:val="16"/>
              </w:rPr>
            </w:pPr>
            <w:r w:rsidRPr="00BE0F7C">
              <w:rPr>
                <w:rFonts w:ascii="Arial" w:hAnsi="Arial" w:cs="Arial"/>
                <w:sz w:val="16"/>
                <w:szCs w:val="16"/>
              </w:rPr>
              <w:t>Expenses not requiring appropriation  in the Budget year (b)</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28,965 </w:t>
            </w:r>
          </w:p>
        </w:tc>
        <w:tc>
          <w:tcPr>
            <w:tcW w:w="947" w:type="dxa"/>
            <w:gridSpan w:val="2"/>
            <w:tcBorders>
              <w:top w:val="nil"/>
              <w:left w:val="nil"/>
              <w:bottom w:val="nil"/>
              <w:right w:val="nil"/>
            </w:tcBorders>
            <w:shd w:val="clear" w:color="000000" w:fill="E6E6E6"/>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33,342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32,494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30,650 </w:t>
            </w:r>
          </w:p>
        </w:tc>
        <w:tc>
          <w:tcPr>
            <w:tcW w:w="947" w:type="dxa"/>
            <w:gridSpan w:val="2"/>
            <w:tcBorders>
              <w:top w:val="nil"/>
              <w:left w:val="nil"/>
              <w:bottom w:val="nil"/>
              <w:right w:val="nil"/>
            </w:tcBorders>
            <w:shd w:val="clear" w:color="auto" w:fill="auto"/>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29,407 </w:t>
            </w:r>
          </w:p>
        </w:tc>
      </w:tr>
      <w:tr w:rsidR="00EC1C86" w:rsidRPr="00BE0F7C" w:rsidTr="00E048ED">
        <w:trPr>
          <w:trHeight w:val="225"/>
        </w:trPr>
        <w:tc>
          <w:tcPr>
            <w:tcW w:w="2891" w:type="dxa"/>
            <w:gridSpan w:val="2"/>
            <w:tcBorders>
              <w:top w:val="nil"/>
              <w:left w:val="nil"/>
              <w:bottom w:val="nil"/>
              <w:right w:val="nil"/>
            </w:tcBorders>
            <w:shd w:val="clear" w:color="auto" w:fill="auto"/>
            <w:vAlign w:val="center"/>
            <w:hideMark/>
          </w:tcPr>
          <w:p w:rsidR="00EC1C86" w:rsidRPr="00BE0F7C" w:rsidRDefault="00EC1C86" w:rsidP="00E048ED">
            <w:pPr>
              <w:spacing w:after="0" w:line="240" w:lineRule="auto"/>
              <w:jc w:val="right"/>
              <w:rPr>
                <w:rFonts w:ascii="Arial" w:hAnsi="Arial" w:cs="Arial"/>
                <w:b/>
                <w:bCs/>
                <w:sz w:val="16"/>
                <w:szCs w:val="16"/>
              </w:rPr>
            </w:pPr>
            <w:r w:rsidRPr="00BE0F7C">
              <w:rPr>
                <w:rFonts w:ascii="Arial" w:hAnsi="Arial" w:cs="Arial"/>
                <w:b/>
                <w:bCs/>
                <w:sz w:val="16"/>
                <w:szCs w:val="16"/>
              </w:rPr>
              <w:t>Departmental total</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299,920 </w:t>
            </w:r>
          </w:p>
        </w:tc>
        <w:tc>
          <w:tcPr>
            <w:tcW w:w="947" w:type="dxa"/>
            <w:gridSpan w:val="2"/>
            <w:tcBorders>
              <w:top w:val="single" w:sz="4" w:space="0" w:color="auto"/>
              <w:left w:val="nil"/>
              <w:bottom w:val="single" w:sz="4" w:space="0" w:color="auto"/>
              <w:right w:val="nil"/>
            </w:tcBorders>
            <w:shd w:val="clear" w:color="000000" w:fill="E6E6E6"/>
            <w:noWrap/>
            <w:vAlign w:val="center"/>
            <w:hideMark/>
          </w:tcPr>
          <w:p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308,843 </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291,629 </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285,436 </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283,105 </w:t>
            </w:r>
          </w:p>
        </w:tc>
      </w:tr>
      <w:tr w:rsidR="00EC1C86" w:rsidRPr="00BE0F7C" w:rsidTr="009F0659">
        <w:trPr>
          <w:trHeight w:val="225"/>
        </w:trPr>
        <w:tc>
          <w:tcPr>
            <w:tcW w:w="2891" w:type="dxa"/>
            <w:gridSpan w:val="2"/>
            <w:tcBorders>
              <w:top w:val="nil"/>
              <w:left w:val="nil"/>
              <w:bottom w:val="single" w:sz="4" w:space="0" w:color="auto"/>
              <w:right w:val="nil"/>
            </w:tcBorders>
            <w:shd w:val="clear" w:color="auto" w:fill="auto"/>
            <w:noWrap/>
            <w:vAlign w:val="bottom"/>
            <w:hideMark/>
          </w:tcPr>
          <w:p w:rsidR="00EC1C86" w:rsidRPr="00BE0F7C" w:rsidRDefault="00EC1C86" w:rsidP="009F0659">
            <w:pPr>
              <w:spacing w:after="0" w:line="240" w:lineRule="auto"/>
              <w:rPr>
                <w:rFonts w:ascii="Arial" w:hAnsi="Arial" w:cs="Arial"/>
                <w:b/>
                <w:bCs/>
                <w:color w:val="000000"/>
                <w:sz w:val="16"/>
                <w:szCs w:val="16"/>
              </w:rPr>
            </w:pPr>
            <w:r w:rsidRPr="00BE0F7C">
              <w:rPr>
                <w:rFonts w:ascii="Arial" w:hAnsi="Arial" w:cs="Arial"/>
                <w:b/>
                <w:bCs/>
                <w:color w:val="000000"/>
                <w:sz w:val="16"/>
                <w:szCs w:val="16"/>
              </w:rPr>
              <w:t>Total expenses for Outcome 1</w:t>
            </w:r>
          </w:p>
        </w:tc>
        <w:tc>
          <w:tcPr>
            <w:tcW w:w="947" w:type="dxa"/>
            <w:gridSpan w:val="2"/>
            <w:tcBorders>
              <w:top w:val="nil"/>
              <w:left w:val="nil"/>
              <w:bottom w:val="single" w:sz="4" w:space="0" w:color="auto"/>
              <w:right w:val="nil"/>
            </w:tcBorders>
            <w:shd w:val="clear" w:color="auto" w:fill="auto"/>
            <w:noWrap/>
            <w:vAlign w:val="bottom"/>
            <w:hideMark/>
          </w:tcPr>
          <w:p w:rsidR="00EC1C86" w:rsidRDefault="00EC1C86"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1,985,877 </w:t>
            </w:r>
          </w:p>
        </w:tc>
        <w:tc>
          <w:tcPr>
            <w:tcW w:w="947" w:type="dxa"/>
            <w:gridSpan w:val="2"/>
            <w:tcBorders>
              <w:top w:val="nil"/>
              <w:left w:val="nil"/>
              <w:bottom w:val="single" w:sz="4" w:space="0" w:color="auto"/>
              <w:right w:val="nil"/>
            </w:tcBorders>
            <w:shd w:val="clear" w:color="000000" w:fill="E6E6E6"/>
            <w:noWrap/>
            <w:vAlign w:val="bottom"/>
            <w:hideMark/>
          </w:tcPr>
          <w:p w:rsidR="00EC1C86" w:rsidRDefault="00EC1C86"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1,933,377 </w:t>
            </w:r>
          </w:p>
        </w:tc>
        <w:tc>
          <w:tcPr>
            <w:tcW w:w="947" w:type="dxa"/>
            <w:gridSpan w:val="2"/>
            <w:tcBorders>
              <w:top w:val="nil"/>
              <w:left w:val="nil"/>
              <w:bottom w:val="single" w:sz="4" w:space="0" w:color="auto"/>
              <w:right w:val="nil"/>
            </w:tcBorders>
            <w:shd w:val="clear" w:color="auto" w:fill="auto"/>
            <w:noWrap/>
            <w:vAlign w:val="bottom"/>
            <w:hideMark/>
          </w:tcPr>
          <w:p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1,820,726 </w:t>
            </w:r>
          </w:p>
        </w:tc>
        <w:tc>
          <w:tcPr>
            <w:tcW w:w="947" w:type="dxa"/>
            <w:gridSpan w:val="2"/>
            <w:tcBorders>
              <w:top w:val="nil"/>
              <w:left w:val="nil"/>
              <w:bottom w:val="single" w:sz="4" w:space="0" w:color="auto"/>
              <w:right w:val="nil"/>
            </w:tcBorders>
            <w:shd w:val="clear" w:color="auto" w:fill="auto"/>
            <w:noWrap/>
            <w:vAlign w:val="bottom"/>
            <w:hideMark/>
          </w:tcPr>
          <w:p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1,786,919 </w:t>
            </w:r>
          </w:p>
        </w:tc>
        <w:tc>
          <w:tcPr>
            <w:tcW w:w="947" w:type="dxa"/>
            <w:gridSpan w:val="2"/>
            <w:tcBorders>
              <w:top w:val="nil"/>
              <w:left w:val="nil"/>
              <w:bottom w:val="single" w:sz="4" w:space="0" w:color="auto"/>
              <w:right w:val="nil"/>
            </w:tcBorders>
            <w:shd w:val="clear" w:color="auto" w:fill="auto"/>
            <w:noWrap/>
            <w:vAlign w:val="bottom"/>
            <w:hideMark/>
          </w:tcPr>
          <w:p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1,793,188 </w:t>
            </w:r>
          </w:p>
        </w:tc>
      </w:tr>
      <w:tr w:rsidR="00EC1C86" w:rsidRPr="00BE0F7C" w:rsidTr="00E048ED">
        <w:trPr>
          <w:gridAfter w:val="1"/>
          <w:wAfter w:w="11" w:type="dxa"/>
          <w:trHeight w:val="225"/>
        </w:trPr>
        <w:tc>
          <w:tcPr>
            <w:tcW w:w="2880" w:type="dxa"/>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b/>
                <w:bCs/>
                <w:color w:val="000000"/>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jc w:val="right"/>
              <w:rPr>
                <w:rFonts w:ascii="Arial" w:hAnsi="Arial" w:cs="Arial"/>
                <w:b/>
                <w:bCs/>
                <w:color w:val="000000"/>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jc w:val="right"/>
              <w:rPr>
                <w:rFonts w:ascii="Arial" w:hAnsi="Arial" w:cs="Arial"/>
                <w:b/>
                <w:bCs/>
                <w:color w:val="000000"/>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b/>
                <w:bCs/>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b/>
                <w:bCs/>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b/>
                <w:bCs/>
                <w:sz w:val="16"/>
                <w:szCs w:val="16"/>
              </w:rPr>
            </w:pPr>
          </w:p>
        </w:tc>
      </w:tr>
      <w:tr w:rsidR="00EC1C86" w:rsidRPr="00BE0F7C" w:rsidTr="00E048ED">
        <w:trPr>
          <w:gridAfter w:val="1"/>
          <w:wAfter w:w="11" w:type="dxa"/>
          <w:trHeight w:val="225"/>
        </w:trPr>
        <w:tc>
          <w:tcPr>
            <w:tcW w:w="2880" w:type="dxa"/>
            <w:tcBorders>
              <w:top w:val="single" w:sz="4" w:space="0" w:color="000000"/>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color w:val="000000"/>
                <w:sz w:val="16"/>
                <w:szCs w:val="16"/>
              </w:rPr>
            </w:pPr>
            <w:r w:rsidRPr="00BE0F7C">
              <w:rPr>
                <w:rFonts w:ascii="Arial" w:hAnsi="Arial" w:cs="Arial"/>
                <w:color w:val="000000"/>
                <w:sz w:val="16"/>
                <w:szCs w:val="16"/>
              </w:rPr>
              <w:t> </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EC1C86" w:rsidRPr="00BE0F7C" w:rsidRDefault="00EC1C86" w:rsidP="00E048ED">
            <w:pPr>
              <w:spacing w:after="0" w:line="240" w:lineRule="auto"/>
              <w:jc w:val="right"/>
              <w:rPr>
                <w:rFonts w:ascii="Arial" w:hAnsi="Arial" w:cs="Arial"/>
                <w:sz w:val="16"/>
                <w:szCs w:val="16"/>
              </w:rPr>
            </w:pPr>
            <w:r w:rsidRPr="00BE0F7C">
              <w:rPr>
                <w:rFonts w:ascii="Arial" w:hAnsi="Arial" w:cs="Arial"/>
                <w:sz w:val="16"/>
                <w:szCs w:val="16"/>
              </w:rPr>
              <w:t>2017–18</w:t>
            </w:r>
          </w:p>
        </w:tc>
        <w:tc>
          <w:tcPr>
            <w:tcW w:w="947" w:type="dxa"/>
            <w:gridSpan w:val="2"/>
            <w:tcBorders>
              <w:top w:val="single" w:sz="4" w:space="0" w:color="auto"/>
              <w:left w:val="nil"/>
              <w:bottom w:val="single" w:sz="4" w:space="0" w:color="auto"/>
              <w:right w:val="nil"/>
            </w:tcBorders>
            <w:shd w:val="clear" w:color="000000" w:fill="E6E6E6"/>
            <w:noWrap/>
            <w:vAlign w:val="center"/>
            <w:hideMark/>
          </w:tcPr>
          <w:p w:rsidR="00EC1C86" w:rsidRPr="00BE0F7C" w:rsidRDefault="00EC1C86" w:rsidP="00E048ED">
            <w:pPr>
              <w:spacing w:after="0" w:line="240" w:lineRule="auto"/>
              <w:jc w:val="right"/>
              <w:rPr>
                <w:rFonts w:ascii="Arial" w:hAnsi="Arial" w:cs="Arial"/>
                <w:sz w:val="16"/>
                <w:szCs w:val="16"/>
              </w:rPr>
            </w:pPr>
            <w:r w:rsidRPr="00BE0F7C">
              <w:rPr>
                <w:rFonts w:ascii="Arial" w:hAnsi="Arial" w:cs="Arial"/>
                <w:sz w:val="16"/>
                <w:szCs w:val="16"/>
              </w:rPr>
              <w:t>2018–19</w:t>
            </w: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r>
      <w:tr w:rsidR="00EC1C86" w:rsidRPr="00BE0F7C" w:rsidTr="00E048ED">
        <w:trPr>
          <w:gridAfter w:val="1"/>
          <w:wAfter w:w="11" w:type="dxa"/>
          <w:trHeight w:val="225"/>
        </w:trPr>
        <w:tc>
          <w:tcPr>
            <w:tcW w:w="2880" w:type="dxa"/>
            <w:tcBorders>
              <w:top w:val="nil"/>
              <w:left w:val="nil"/>
              <w:bottom w:val="single" w:sz="4" w:space="0" w:color="000000"/>
              <w:right w:val="nil"/>
            </w:tcBorders>
            <w:shd w:val="clear" w:color="auto" w:fill="auto"/>
            <w:noWrap/>
            <w:vAlign w:val="center"/>
            <w:hideMark/>
          </w:tcPr>
          <w:p w:rsidR="00EC1C86" w:rsidRPr="00BE0F7C" w:rsidRDefault="00EC1C86" w:rsidP="00E048ED">
            <w:pPr>
              <w:spacing w:after="0" w:line="240" w:lineRule="auto"/>
              <w:rPr>
                <w:rFonts w:ascii="Arial" w:hAnsi="Arial" w:cs="Arial"/>
                <w:b/>
                <w:bCs/>
                <w:color w:val="000000"/>
                <w:sz w:val="16"/>
                <w:szCs w:val="16"/>
              </w:rPr>
            </w:pPr>
            <w:r w:rsidRPr="00BE0F7C">
              <w:rPr>
                <w:rFonts w:ascii="Arial" w:hAnsi="Arial" w:cs="Arial"/>
                <w:b/>
                <w:bCs/>
                <w:color w:val="000000"/>
                <w:sz w:val="16"/>
                <w:szCs w:val="16"/>
              </w:rPr>
              <w:t>Average staffing level (number)</w:t>
            </w:r>
          </w:p>
        </w:tc>
        <w:tc>
          <w:tcPr>
            <w:tcW w:w="947" w:type="dxa"/>
            <w:gridSpan w:val="2"/>
            <w:tcBorders>
              <w:top w:val="nil"/>
              <w:left w:val="nil"/>
              <w:bottom w:val="single" w:sz="4" w:space="0" w:color="auto"/>
              <w:right w:val="nil"/>
            </w:tcBorders>
            <w:shd w:val="clear" w:color="auto" w:fill="auto"/>
            <w:noWrap/>
            <w:vAlign w:val="center"/>
            <w:hideMark/>
          </w:tcPr>
          <w:p w:rsidR="00EC1C86" w:rsidRPr="00BE0F7C" w:rsidRDefault="00EC1C86" w:rsidP="00E048ED">
            <w:pPr>
              <w:spacing w:after="0" w:line="240" w:lineRule="auto"/>
              <w:jc w:val="right"/>
              <w:rPr>
                <w:rFonts w:ascii="Arial" w:hAnsi="Arial" w:cs="Arial"/>
                <w:color w:val="000000"/>
                <w:sz w:val="16"/>
                <w:szCs w:val="16"/>
              </w:rPr>
            </w:pPr>
            <w:r w:rsidRPr="00BE0F7C">
              <w:rPr>
                <w:rFonts w:ascii="Arial" w:hAnsi="Arial" w:cs="Arial"/>
                <w:color w:val="000000"/>
                <w:sz w:val="16"/>
                <w:szCs w:val="16"/>
              </w:rPr>
              <w:t xml:space="preserve">1,495 </w:t>
            </w:r>
          </w:p>
        </w:tc>
        <w:tc>
          <w:tcPr>
            <w:tcW w:w="947" w:type="dxa"/>
            <w:gridSpan w:val="2"/>
            <w:tcBorders>
              <w:top w:val="nil"/>
              <w:left w:val="nil"/>
              <w:bottom w:val="single" w:sz="4" w:space="0" w:color="auto"/>
              <w:right w:val="nil"/>
            </w:tcBorders>
            <w:shd w:val="clear" w:color="000000" w:fill="E6E6E6"/>
            <w:noWrap/>
            <w:vAlign w:val="center"/>
            <w:hideMark/>
          </w:tcPr>
          <w:p w:rsidR="00EC1C86" w:rsidRPr="00BE0F7C" w:rsidRDefault="00EC1C86" w:rsidP="009F0659">
            <w:pPr>
              <w:spacing w:after="0" w:line="240" w:lineRule="auto"/>
              <w:jc w:val="right"/>
              <w:rPr>
                <w:rFonts w:ascii="Arial" w:hAnsi="Arial" w:cs="Arial"/>
                <w:color w:val="000000"/>
                <w:sz w:val="16"/>
                <w:szCs w:val="16"/>
              </w:rPr>
            </w:pPr>
            <w:r w:rsidRPr="00BE0F7C">
              <w:rPr>
                <w:rFonts w:ascii="Arial" w:hAnsi="Arial" w:cs="Arial"/>
                <w:color w:val="000000"/>
                <w:sz w:val="16"/>
                <w:szCs w:val="16"/>
              </w:rPr>
              <w:t>1,46</w:t>
            </w:r>
            <w:r>
              <w:rPr>
                <w:rFonts w:ascii="Arial" w:hAnsi="Arial" w:cs="Arial"/>
                <w:color w:val="000000"/>
                <w:sz w:val="16"/>
                <w:szCs w:val="16"/>
              </w:rPr>
              <w:t>8</w:t>
            </w:r>
            <w:r w:rsidRPr="00BE0F7C">
              <w:rPr>
                <w:rFonts w:ascii="Arial" w:hAnsi="Arial" w:cs="Arial"/>
                <w:color w:val="000000"/>
                <w:sz w:val="16"/>
                <w:szCs w:val="16"/>
              </w:rPr>
              <w:t xml:space="preserve"> </w:t>
            </w: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rsidR="00EC1C86" w:rsidRPr="00BE0F7C" w:rsidRDefault="00EC1C86" w:rsidP="00E048ED">
            <w:pPr>
              <w:spacing w:after="0" w:line="240" w:lineRule="auto"/>
              <w:rPr>
                <w:rFonts w:ascii="Arial" w:hAnsi="Arial" w:cs="Arial"/>
                <w:sz w:val="16"/>
                <w:szCs w:val="16"/>
              </w:rPr>
            </w:pPr>
          </w:p>
        </w:tc>
      </w:tr>
    </w:tbl>
    <w:p w:rsidR="00E048ED" w:rsidRPr="00950281" w:rsidRDefault="00E048ED" w:rsidP="00E01B4E">
      <w:pPr>
        <w:pStyle w:val="ChartandTableFootnoteAlpha"/>
        <w:numPr>
          <w:ilvl w:val="0"/>
          <w:numId w:val="15"/>
        </w:numPr>
      </w:pPr>
      <w:r w:rsidRPr="00950281">
        <w:t>E</w:t>
      </w:r>
      <w:r>
        <w:t>stimated e</w:t>
      </w:r>
      <w:r w:rsidRPr="00950281">
        <w:t xml:space="preserve">xpenses </w:t>
      </w:r>
      <w:r>
        <w:t>incurred in relation to receipts retained under section 74 of the PGPA Act</w:t>
      </w:r>
      <w:r w:rsidRPr="006922DC">
        <w:t>.</w:t>
      </w:r>
    </w:p>
    <w:p w:rsidR="00E048ED" w:rsidRPr="00950281" w:rsidRDefault="00E048ED" w:rsidP="00E048ED">
      <w:pPr>
        <w:pStyle w:val="ChartandTableFootnoteAlpha"/>
      </w:pPr>
      <w:r w:rsidRPr="00950281">
        <w:t xml:space="preserve">Expenses not requiring appropriation in the Budget year are made up of depreciation expenses, amortisation expenses, make good expenses, </w:t>
      </w:r>
      <w:r>
        <w:t>and audit fees</w:t>
      </w:r>
      <w:r w:rsidRPr="00950281">
        <w:t>.</w:t>
      </w:r>
    </w:p>
    <w:p w:rsidR="00E048ED" w:rsidRPr="00446612" w:rsidRDefault="00E048ED" w:rsidP="00E048ED">
      <w:pPr>
        <w:pStyle w:val="ChartandTableFootnote"/>
      </w:pPr>
      <w:r w:rsidRPr="00446612">
        <w:t>Note: Departmental appropriation splits and totals are indicative estimates and may change in the course of the budget year as government priorities change.</w:t>
      </w:r>
    </w:p>
    <w:p w:rsidR="00E048ED" w:rsidRPr="00B464BE" w:rsidRDefault="00E048ED" w:rsidP="00E048ED">
      <w:pPr>
        <w:pStyle w:val="TableHeading"/>
        <w:rPr>
          <w:lang w:val="en-AU"/>
        </w:rPr>
      </w:pPr>
      <w:bookmarkStart w:id="89" w:name="_Toc190682315"/>
      <w:bookmarkStart w:id="90" w:name="_Toc190682532"/>
      <w:bookmarkEnd w:id="69"/>
      <w:bookmarkEnd w:id="70"/>
      <w:r>
        <w:rPr>
          <w:highlight w:val="yellow"/>
          <w:lang w:val="en-US"/>
        </w:rPr>
        <w:br w:type="page"/>
      </w:r>
      <w:r>
        <w:lastRenderedPageBreak/>
        <w:t>Table 2.</w:t>
      </w:r>
      <w:r>
        <w:rPr>
          <w:lang w:val="en-AU"/>
        </w:rPr>
        <w:t>1</w:t>
      </w:r>
      <w:r w:rsidRPr="00F71634">
        <w:t>.</w:t>
      </w:r>
      <w:r>
        <w:rPr>
          <w:lang w:val="en-AU"/>
        </w:rPr>
        <w:t>2</w:t>
      </w:r>
      <w:r w:rsidRPr="00F71634">
        <w:t>: Pe</w:t>
      </w:r>
      <w:r>
        <w:t xml:space="preserve">rformance criteria for Outcome </w:t>
      </w:r>
      <w:r>
        <w:rPr>
          <w:lang w:val="en-AU"/>
        </w:rPr>
        <w:t>1</w:t>
      </w:r>
    </w:p>
    <w:p w:rsidR="00E048ED" w:rsidRPr="00B166C6" w:rsidRDefault="00E048ED" w:rsidP="00EA166E">
      <w:pPr>
        <w:spacing w:after="200"/>
      </w:pPr>
      <w:r w:rsidRPr="00B166C6">
        <w:t>Table 2.</w:t>
      </w:r>
      <w:r>
        <w:t>1</w:t>
      </w:r>
      <w:r w:rsidRPr="00B166C6">
        <w:t>.</w:t>
      </w:r>
      <w:r>
        <w:t>2</w:t>
      </w:r>
      <w:r w:rsidRPr="00B166C6">
        <w:t xml:space="preserve"> below details the performance criteria for each program associated with Outcome </w:t>
      </w:r>
      <w:r>
        <w:t>1</w:t>
      </w:r>
      <w:r w:rsidRPr="00B166C6">
        <w:t>. It also summarises how each program is delivered and where 2018</w:t>
      </w:r>
      <w:r>
        <w:t>–</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3772"/>
      </w:tblGrid>
      <w:tr w:rsidR="00E048ED" w:rsidRPr="00F71634" w:rsidTr="00E048ED">
        <w:trPr>
          <w:tblHeader/>
        </w:trPr>
        <w:tc>
          <w:tcPr>
            <w:tcW w:w="7741" w:type="dxa"/>
            <w:gridSpan w:val="3"/>
            <w:shd w:val="clear" w:color="auto" w:fill="F2F2F2"/>
          </w:tcPr>
          <w:p w:rsidR="00E048ED" w:rsidRPr="006906E4" w:rsidRDefault="00E048ED" w:rsidP="00641937">
            <w:pPr>
              <w:pStyle w:val="TableColumnHeadingLeft"/>
              <w:spacing w:before="40" w:after="40"/>
            </w:pPr>
            <w:r>
              <w:t>Outcome 1—</w:t>
            </w:r>
            <w:r w:rsidRPr="00ED3C1F">
              <w:t>Foster a productive and competitive labour market through employment policies and programs that assist job seekers into work, meet employer needs and increase Australia’s workforce participation</w:t>
            </w:r>
            <w:r>
              <w:t>.</w:t>
            </w:r>
          </w:p>
        </w:tc>
      </w:tr>
      <w:tr w:rsidR="00E048ED" w:rsidRPr="00F71634" w:rsidTr="00E048ED">
        <w:trPr>
          <w:tblHeader/>
        </w:trPr>
        <w:tc>
          <w:tcPr>
            <w:tcW w:w="7741" w:type="dxa"/>
            <w:gridSpan w:val="3"/>
            <w:shd w:val="clear" w:color="auto" w:fill="F2F2F2"/>
          </w:tcPr>
          <w:p w:rsidR="00E048ED" w:rsidRDefault="00E048ED" w:rsidP="00641937">
            <w:pPr>
              <w:tabs>
                <w:tab w:val="left" w:pos="709"/>
              </w:tabs>
              <w:spacing w:before="40" w:after="40" w:line="240" w:lineRule="auto"/>
              <w:rPr>
                <w:rFonts w:ascii="Arial" w:hAnsi="Arial" w:cs="Arial"/>
                <w:sz w:val="16"/>
                <w:szCs w:val="16"/>
              </w:rPr>
            </w:pPr>
            <w:r>
              <w:rPr>
                <w:rFonts w:ascii="Arial" w:hAnsi="Arial" w:cs="Arial"/>
                <w:b/>
                <w:sz w:val="16"/>
                <w:szCs w:val="16"/>
              </w:rPr>
              <w:t>Program 1</w:t>
            </w:r>
            <w:r w:rsidRPr="006906E4">
              <w:rPr>
                <w:rFonts w:ascii="Arial" w:hAnsi="Arial" w:cs="Arial"/>
                <w:b/>
                <w:sz w:val="16"/>
                <w:szCs w:val="16"/>
              </w:rPr>
              <w:t>.1</w:t>
            </w:r>
            <w:r>
              <w:rPr>
                <w:rFonts w:ascii="Arial" w:hAnsi="Arial" w:cs="Arial"/>
                <w:sz w:val="16"/>
                <w:szCs w:val="16"/>
              </w:rPr>
              <w:t>—</w:t>
            </w:r>
            <w:r w:rsidRPr="00BC6BDC">
              <w:rPr>
                <w:rFonts w:ascii="Arial" w:hAnsi="Arial" w:cs="Arial"/>
                <w:b/>
                <w:sz w:val="16"/>
                <w:szCs w:val="16"/>
              </w:rPr>
              <w:t>Employment services</w:t>
            </w:r>
          </w:p>
          <w:p w:rsidR="00E048ED" w:rsidRPr="006906E4" w:rsidRDefault="00E048ED" w:rsidP="00081C68">
            <w:pPr>
              <w:pStyle w:val="TableTextLeft"/>
              <w:spacing w:before="40" w:after="40"/>
            </w:pPr>
            <w:r>
              <w:t xml:space="preserve">The Australian Government’s employment services system has four key objectives. These are to: help job seekers to find and keep a job, help job seekers move from welfare to work, help job seekers meet their mutual obligations, and that employment services providers deliver quality services. The objectives of Program 1.1 contribute to Outcome 1 by helping job seekers move into employment. </w:t>
            </w:r>
          </w:p>
        </w:tc>
      </w:tr>
      <w:tr w:rsidR="00E048ED" w:rsidRPr="00F71634" w:rsidTr="00E048ED">
        <w:tc>
          <w:tcPr>
            <w:tcW w:w="1134" w:type="dxa"/>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607" w:type="dxa"/>
            <w:gridSpan w:val="2"/>
          </w:tcPr>
          <w:p w:rsidR="00E048ED" w:rsidRPr="006906E4" w:rsidRDefault="00E048ED" w:rsidP="00EF1DF5">
            <w:pPr>
              <w:pStyle w:val="TableTextLeft"/>
              <w:rPr>
                <w:i/>
                <w:color w:val="FF0000"/>
              </w:rPr>
            </w:pPr>
            <w:r w:rsidRPr="00AF6662">
              <w:t xml:space="preserve">Our role is to </w:t>
            </w:r>
            <w:r w:rsidR="00EF1DF5">
              <w:t>deliver policies and programs that foster safe, fair and productive workplaces of all sizes, assisting job seekers to find work and small businesses to grow.</w:t>
            </w:r>
            <w:r w:rsidR="00EF1DF5">
              <w:rPr>
                <w:rStyle w:val="FootnoteReference"/>
              </w:rPr>
              <w:footnoteReference w:id="1"/>
            </w:r>
          </w:p>
        </w:tc>
      </w:tr>
      <w:tr w:rsidR="00E048ED" w:rsidRPr="00F71634" w:rsidTr="00E048ED">
        <w:tc>
          <w:tcPr>
            <w:tcW w:w="1134" w:type="dxa"/>
            <w:tcBorders>
              <w:bottom w:val="doub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607" w:type="dxa"/>
            <w:gridSpan w:val="2"/>
            <w:tcBorders>
              <w:bottom w:val="double" w:sz="4" w:space="0" w:color="auto"/>
            </w:tcBorders>
          </w:tcPr>
          <w:p w:rsidR="00E048ED" w:rsidRPr="00AC3899" w:rsidRDefault="00E048ED" w:rsidP="00E048ED">
            <w:pPr>
              <w:pStyle w:val="TableTextLeft"/>
            </w:pPr>
            <w:r w:rsidRPr="00AC3899">
              <w:t>jobactive services include:</w:t>
            </w:r>
          </w:p>
          <w:p w:rsidR="00E048ED" w:rsidRPr="00AC3899" w:rsidRDefault="00E048ED" w:rsidP="00E048ED">
            <w:pPr>
              <w:pStyle w:val="TableTextBullet"/>
            </w:pPr>
            <w:r>
              <w:t>a</w:t>
            </w:r>
            <w:r w:rsidRPr="00AC3899">
              <w:t>ssisting job seekers to find and keep a job and ensuring employers are provided with job seekers who meet their business needs</w:t>
            </w:r>
          </w:p>
          <w:p w:rsidR="00E048ED" w:rsidRDefault="00E048ED" w:rsidP="00E048ED">
            <w:pPr>
              <w:pStyle w:val="TableTextBullet"/>
            </w:pPr>
            <w:r>
              <w:t xml:space="preserve">Work for the Dole and the National Work Experience Programme which provide </w:t>
            </w:r>
            <w:r w:rsidRPr="002773C3">
              <w:t>work-like</w:t>
            </w:r>
            <w:r>
              <w:t xml:space="preserve"> activities </w:t>
            </w:r>
            <w:r w:rsidRPr="002773C3">
              <w:t xml:space="preserve">for job seekers to </w:t>
            </w:r>
            <w:r>
              <w:t xml:space="preserve">help build skills, confidence and experience to </w:t>
            </w:r>
            <w:r w:rsidRPr="002773C3">
              <w:t>improve their job prospects and dev</w:t>
            </w:r>
            <w:r w:rsidR="001E664F">
              <w:t>elop their employability skills</w:t>
            </w:r>
          </w:p>
          <w:p w:rsidR="00E048ED" w:rsidRDefault="00E048ED" w:rsidP="00E048ED">
            <w:pPr>
              <w:pStyle w:val="TableTextBullet"/>
            </w:pPr>
            <w:r w:rsidRPr="002773C3">
              <w:t>New Enterprise Incentive Scheme</w:t>
            </w:r>
            <w:r>
              <w:t xml:space="preserve"> which encourages </w:t>
            </w:r>
            <w:r w:rsidRPr="002773C3">
              <w:t xml:space="preserve">entrepreneurship and </w:t>
            </w:r>
            <w:r w:rsidR="00081C68">
              <w:br/>
            </w:r>
            <w:r w:rsidRPr="002773C3">
              <w:t>self-employment through providing nationally accredited training, mentoring and business advice to assist participants to start and manage their own small businesses</w:t>
            </w:r>
            <w:r w:rsidR="001E664F">
              <w:t>, and</w:t>
            </w:r>
          </w:p>
          <w:p w:rsidR="00E048ED" w:rsidRPr="002773C3" w:rsidRDefault="00E048ED" w:rsidP="00E048ED">
            <w:pPr>
              <w:pStyle w:val="TableTextBullet"/>
            </w:pPr>
            <w:r w:rsidRPr="002773C3">
              <w:t xml:space="preserve">Harvest Labour Services and the National Harvest Labour Information Service </w:t>
            </w:r>
            <w:r>
              <w:t xml:space="preserve">which </w:t>
            </w:r>
            <w:r w:rsidRPr="002773C3">
              <w:t>connect workers with employers in harvesting areas across Australia</w:t>
            </w:r>
            <w:r>
              <w:t>.</w:t>
            </w:r>
          </w:p>
          <w:p w:rsidR="00E048ED" w:rsidRDefault="00E048ED" w:rsidP="00E048ED">
            <w:pPr>
              <w:pStyle w:val="TableTextLeft"/>
            </w:pPr>
            <w:r w:rsidRPr="00E83466">
              <w:t xml:space="preserve">From 1 July 2018 the Online Employment Services </w:t>
            </w:r>
            <w:r>
              <w:t>T</w:t>
            </w:r>
            <w:r w:rsidRPr="00E83466">
              <w:t xml:space="preserve">rial will test an online </w:t>
            </w:r>
            <w:r w:rsidR="00081C68">
              <w:br/>
            </w:r>
            <w:r w:rsidRPr="00E83466">
              <w:t xml:space="preserve">self-service platform that will activate and support job seekers to find work. The </w:t>
            </w:r>
            <w:r>
              <w:t xml:space="preserve">trial </w:t>
            </w:r>
            <w:r w:rsidRPr="00E83466">
              <w:t>will involve 5,000 job-ready people a year for two years. The pilot will be offered to new job seekers registering for jobactive who are job-ready and do</w:t>
            </w:r>
            <w:r>
              <w:t xml:space="preserve"> not </w:t>
            </w:r>
            <w:r w:rsidRPr="00E83466">
              <w:t xml:space="preserve">require any specialised assistance. </w:t>
            </w:r>
          </w:p>
          <w:p w:rsidR="00E048ED" w:rsidRDefault="00E048ED" w:rsidP="00E048ED">
            <w:pPr>
              <w:pStyle w:val="TableTextLeft"/>
            </w:pPr>
            <w:r>
              <w:t xml:space="preserve">The Time to Work Employment Service provides in-prison employment services to Aboriginal and Torres Strait Islander prisoners. This ensures access to support they need upon release to better prepare them to find employment and reintegrate back into the community. </w:t>
            </w:r>
          </w:p>
          <w:p w:rsidR="00E048ED" w:rsidRPr="009A1D0D" w:rsidRDefault="00E048ED" w:rsidP="00E048ED">
            <w:pPr>
              <w:pStyle w:val="TableTextLeft"/>
            </w:pPr>
            <w:r w:rsidRPr="009A1D0D">
              <w:t>The two-year Seasonal Work Incentives for Job Seekers Trial supports employers to meet their seasonal labour needs by encouraging job seekers in employment services to undertake eligible seasonal horticultural work.</w:t>
            </w:r>
          </w:p>
          <w:p w:rsidR="00641937" w:rsidRDefault="00641937" w:rsidP="00E048ED">
            <w:pPr>
              <w:pStyle w:val="TableTextLeft"/>
            </w:pPr>
            <w:r w:rsidRPr="00641937">
              <w:t xml:space="preserve">Transition to Work provides intensive, pre-employment support to improve the </w:t>
            </w:r>
            <w:r w:rsidR="00081C68">
              <w:br/>
            </w:r>
            <w:r w:rsidRPr="00641937">
              <w:t xml:space="preserve">work-readiness of young people and help them into work (including apprenticeships and traineeships) or education. From 1 July 2018, funding will be demand-driven. </w:t>
            </w:r>
          </w:p>
          <w:p w:rsidR="00E048ED" w:rsidRDefault="00E048ED" w:rsidP="00E048ED">
            <w:pPr>
              <w:pStyle w:val="TableTextLeft"/>
            </w:pPr>
            <w:r>
              <w:t>T</w:t>
            </w:r>
            <w:r w:rsidRPr="003F1A22">
              <w:t xml:space="preserve">he Youth Jobs PaTH </w:t>
            </w:r>
            <w:r>
              <w:t xml:space="preserve">for young job seekers under 25 years of age </w:t>
            </w:r>
            <w:r w:rsidRPr="003F1A22">
              <w:t>support</w:t>
            </w:r>
            <w:r>
              <w:t>s</w:t>
            </w:r>
            <w:r w:rsidRPr="003F1A22">
              <w:t xml:space="preserve"> young people to gain the skills and work experience they need to get and keep a job. </w:t>
            </w:r>
            <w:r>
              <w:t>This pathway has three elements:</w:t>
            </w:r>
          </w:p>
          <w:p w:rsidR="00E048ED" w:rsidRDefault="00E048ED" w:rsidP="00641937">
            <w:pPr>
              <w:pStyle w:val="TableTextBullet"/>
              <w:spacing w:after="40"/>
            </w:pPr>
            <w:r>
              <w:t xml:space="preserve">Prepare: </w:t>
            </w:r>
            <w:r w:rsidRPr="003F1A22">
              <w:t>Empl</w:t>
            </w:r>
            <w:r>
              <w:t xml:space="preserve">oyability Skills Training to enhance young people’s basic employability skills. </w:t>
            </w:r>
          </w:p>
          <w:p w:rsidR="00E048ED" w:rsidRPr="002E21A9" w:rsidRDefault="00E048ED" w:rsidP="00E048ED">
            <w:pPr>
              <w:pStyle w:val="TableTextBullet"/>
            </w:pPr>
            <w:r>
              <w:lastRenderedPageBreak/>
              <w:t xml:space="preserve">Trial: Up to 30,000 intern placements </w:t>
            </w:r>
            <w:r w:rsidR="00641937">
              <w:t xml:space="preserve">each year </w:t>
            </w:r>
            <w:r>
              <w:t xml:space="preserve">for young </w:t>
            </w:r>
            <w:r w:rsidRPr="002E21A9">
              <w:t>people to help them gain real work expe</w:t>
            </w:r>
            <w:r>
              <w:t>rience in Australian businesses and demonstrate their skills to potential employers.</w:t>
            </w:r>
          </w:p>
          <w:p w:rsidR="00E048ED" w:rsidRPr="009A1D0D" w:rsidRDefault="00E048ED" w:rsidP="00E048ED">
            <w:pPr>
              <w:pStyle w:val="TableTextBullet"/>
            </w:pPr>
            <w:r>
              <w:t>Hire: P</w:t>
            </w:r>
            <w:r w:rsidRPr="002E21A9">
              <w:t xml:space="preserve">rovides a </w:t>
            </w:r>
            <w:r w:rsidRPr="00BE3DE6">
              <w:t xml:space="preserve">Youth Bonus wage subsidy </w:t>
            </w:r>
            <w:r w:rsidRPr="002E21A9">
              <w:t>of up to $10,000</w:t>
            </w:r>
            <w:r>
              <w:t xml:space="preserve"> </w:t>
            </w:r>
            <w:r w:rsidRPr="002E21A9">
              <w:t>paid over six months to employers who hire young job seekers</w:t>
            </w:r>
            <w:r w:rsidR="00AC037D">
              <w:t xml:space="preserve"> aged 15–</w:t>
            </w:r>
            <w:r>
              <w:t xml:space="preserve">24 years of age with barriers to employment. A wage subsidy of up </w:t>
            </w:r>
            <w:r w:rsidRPr="00BE3DE6">
              <w:t>to $6,500</w:t>
            </w:r>
            <w:r>
              <w:t xml:space="preserve"> </w:t>
            </w:r>
            <w:r w:rsidRPr="00BE3DE6">
              <w:t xml:space="preserve">is </w:t>
            </w:r>
            <w:r>
              <w:t xml:space="preserve">also </w:t>
            </w:r>
            <w:r w:rsidRPr="00BE3DE6">
              <w:t xml:space="preserve">available for </w:t>
            </w:r>
            <w:r>
              <w:t>the most job-ready young job seekers.</w:t>
            </w:r>
          </w:p>
          <w:p w:rsidR="00E048ED" w:rsidRPr="00BE3DE6" w:rsidRDefault="00E048ED" w:rsidP="00E048ED">
            <w:pPr>
              <w:pStyle w:val="TableTextLeft"/>
            </w:pPr>
            <w:r>
              <w:t xml:space="preserve">Empowering YOUth Initiatives </w:t>
            </w:r>
            <w:r w:rsidRPr="00F4312D">
              <w:t xml:space="preserve">support new, innovative approaches to help </w:t>
            </w:r>
            <w:r>
              <w:br/>
            </w:r>
            <w:r w:rsidRPr="00F4312D">
              <w:t>long-term unemployed young people aged 15 to 24 years to improve their skills and move toward sustainable employment.</w:t>
            </w:r>
          </w:p>
          <w:p w:rsidR="00E048ED" w:rsidRDefault="00E048ED" w:rsidP="00E048ED">
            <w:pPr>
              <w:pStyle w:val="TableTextLeft"/>
            </w:pPr>
            <w:r w:rsidRPr="00BE3DE6">
              <w:t>ParentsNext helps eligible parents to plan and prepare for employment by the time their</w:t>
            </w:r>
            <w:r>
              <w:t xml:space="preserve"> youngest child reaches school age</w:t>
            </w:r>
            <w:r w:rsidRPr="00BE3DE6">
              <w:t>.</w:t>
            </w:r>
            <w:r>
              <w:t xml:space="preserve"> </w:t>
            </w:r>
            <w:r w:rsidRPr="00F65F25">
              <w:t>ParentsNext providers work with parents to help them to identify their education and employment goals, develop a pathway to achieve their goals</w:t>
            </w:r>
            <w:r>
              <w:t>,</w:t>
            </w:r>
            <w:r w:rsidRPr="00F65F25">
              <w:t xml:space="preserve"> and link them to activities and services in the local community</w:t>
            </w:r>
            <w:r>
              <w:t>.</w:t>
            </w:r>
          </w:p>
          <w:p w:rsidR="00E048ED" w:rsidRDefault="00E048ED" w:rsidP="00E048ED">
            <w:pPr>
              <w:pStyle w:val="TableTextLeft"/>
            </w:pPr>
            <w:r>
              <w:t xml:space="preserve">The </w:t>
            </w:r>
            <w:r w:rsidRPr="00F4312D">
              <w:t xml:space="preserve">Career Transition Assistance </w:t>
            </w:r>
            <w:r>
              <w:t xml:space="preserve">Program </w:t>
            </w:r>
            <w:r w:rsidRPr="00F4312D">
              <w:t>help</w:t>
            </w:r>
            <w:r>
              <w:t>s</w:t>
            </w:r>
            <w:r w:rsidRPr="00F4312D">
              <w:t xml:space="preserve"> mature age job seekers become more competiti</w:t>
            </w:r>
            <w:r>
              <w:t>ve in their local labour market.</w:t>
            </w:r>
            <w:r w:rsidR="00641937">
              <w:t xml:space="preserve"> </w:t>
            </w:r>
            <w:r w:rsidR="00641937" w:rsidRPr="00641937">
              <w:t>It will be rolled out nationally and eligibility expanded from July 2019.</w:t>
            </w:r>
          </w:p>
          <w:p w:rsidR="00E048ED" w:rsidRPr="00072B93" w:rsidRDefault="00E048ED" w:rsidP="00E048ED">
            <w:pPr>
              <w:pStyle w:val="TableTextLeft"/>
            </w:pPr>
            <w:r w:rsidRPr="00072B93">
              <w:t>The Launch into Work Program trials pre-employment projects that provide training, mentoring, work experience and guaranteed employment to all participants who successfully complete the project. Projects select job seekers based on their values and attributes and train them for specific roles within a business and/or industry.</w:t>
            </w:r>
          </w:p>
          <w:p w:rsidR="00E048ED" w:rsidRPr="00072B93" w:rsidRDefault="00E048ED" w:rsidP="00E048ED">
            <w:pPr>
              <w:pStyle w:val="TableTextLeft"/>
            </w:pPr>
            <w:r w:rsidRPr="00072B93">
              <w:t>From 1 July 2018</w:t>
            </w:r>
            <w:r w:rsidR="000A6D23">
              <w:t>,</w:t>
            </w:r>
            <w:r w:rsidRPr="00072B93">
              <w:t xml:space="preserve"> up to</w:t>
            </w:r>
            <w:r>
              <w:t xml:space="preserve"> 10 </w:t>
            </w:r>
            <w:r w:rsidRPr="00072B93">
              <w:t>Pathway to Work pilots will assist people looking for work, particularly those facing barriers such as mature age Australians, to prepare and train for vacancies in specific industries.</w:t>
            </w:r>
          </w:p>
          <w:p w:rsidR="00E048ED" w:rsidRDefault="008A3FC8" w:rsidP="00737870">
            <w:pPr>
              <w:pStyle w:val="TableTextLeft"/>
            </w:pPr>
            <w:r>
              <w:t xml:space="preserve">The </w:t>
            </w:r>
            <w:r w:rsidR="00E048ED">
              <w:t xml:space="preserve">Stronger Transitions </w:t>
            </w:r>
            <w:r w:rsidR="000A6D23">
              <w:t>package</w:t>
            </w:r>
            <w:r>
              <w:t xml:space="preserve"> </w:t>
            </w:r>
            <w:r w:rsidR="00E048ED">
              <w:t>supports workers who are to be retrenched, or have been retrenched, to transition</w:t>
            </w:r>
            <w:r w:rsidR="00737870">
              <w:t xml:space="preserve"> into </w:t>
            </w:r>
            <w:r w:rsidR="00E048ED">
              <w:t xml:space="preserve">new jobs. </w:t>
            </w:r>
            <w:r w:rsidR="00EA166E">
              <w:t>The package</w:t>
            </w:r>
            <w:r w:rsidR="00E048ED">
              <w:t xml:space="preserve"> will operate in five regions impacted by structural change.</w:t>
            </w:r>
          </w:p>
          <w:p w:rsidR="00641937" w:rsidRPr="00641937" w:rsidRDefault="00641937" w:rsidP="002047CC">
            <w:pPr>
              <w:pStyle w:val="TableTextLeft"/>
            </w:pPr>
            <w:r w:rsidRPr="00641937">
              <w:t xml:space="preserve">The </w:t>
            </w:r>
            <w:r w:rsidR="002047CC">
              <w:t>More Choices for a Longer Life</w:t>
            </w:r>
            <w:r w:rsidRPr="00641937">
              <w:t xml:space="preserve"> </w:t>
            </w:r>
            <w:r>
              <w:t>P</w:t>
            </w:r>
            <w:r w:rsidRPr="00641937">
              <w:t>ackage introduces a new Skills and Training Incentive, 20 additional Entrepreneurship Facilitators in selected locations, a range of Job Change initiatives to help older Australians facing retrenchment, a Collaborative Partnership on Mature Age Employment, and new funding arrangements for wage subsidies to ensure they continue to be available to employers to encourage them to hire disadvantaged Australians.</w:t>
            </w:r>
          </w:p>
        </w:tc>
      </w:tr>
      <w:tr w:rsidR="00E048ED" w:rsidRPr="00F71634" w:rsidTr="00E048ED">
        <w:tc>
          <w:tcPr>
            <w:tcW w:w="7741" w:type="dxa"/>
            <w:gridSpan w:val="3"/>
            <w:tcBorders>
              <w:top w:val="double" w:sz="4" w:space="0" w:color="auto"/>
              <w:bottom w:val="doub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lastRenderedPageBreak/>
              <w:t>Performance information</w:t>
            </w:r>
          </w:p>
        </w:tc>
      </w:tr>
      <w:tr w:rsidR="00E048ED" w:rsidRPr="00F71634" w:rsidTr="00A3044F">
        <w:tc>
          <w:tcPr>
            <w:tcW w:w="1134" w:type="dxa"/>
            <w:tcBorders>
              <w:top w:val="double" w:sz="4" w:space="0" w:color="auto"/>
              <w:bottom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2835" w:type="dxa"/>
            <w:tcBorders>
              <w:top w:val="double" w:sz="4" w:space="0" w:color="auto"/>
              <w:left w:val="single" w:sz="4" w:space="0" w:color="auto"/>
              <w:bottom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p>
        </w:tc>
        <w:tc>
          <w:tcPr>
            <w:tcW w:w="3772" w:type="dxa"/>
            <w:tcBorders>
              <w:top w:val="double" w:sz="4" w:space="0" w:color="auto"/>
              <w:left w:val="single" w:sz="4" w:space="0" w:color="auto"/>
              <w:bottom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A3044F" w:rsidRPr="00F71634" w:rsidTr="00A3044F">
        <w:trPr>
          <w:trHeight w:val="60"/>
        </w:trPr>
        <w:tc>
          <w:tcPr>
            <w:tcW w:w="1134" w:type="dxa"/>
            <w:tcBorders>
              <w:top w:val="single" w:sz="4" w:space="0" w:color="auto"/>
              <w:bottom w:val="dotted" w:sz="4" w:space="0" w:color="auto"/>
              <w:right w:val="single" w:sz="4" w:space="0" w:color="auto"/>
            </w:tcBorders>
          </w:tcPr>
          <w:p w:rsidR="00A3044F" w:rsidRPr="006906E4" w:rsidRDefault="00A3044F" w:rsidP="00A3044F">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2835" w:type="dxa"/>
            <w:tcBorders>
              <w:top w:val="single" w:sz="4" w:space="0" w:color="auto"/>
              <w:left w:val="single" w:sz="4" w:space="0" w:color="auto"/>
              <w:bottom w:val="dotted" w:sz="4" w:space="0" w:color="auto"/>
              <w:right w:val="single" w:sz="4" w:space="0" w:color="auto"/>
            </w:tcBorders>
          </w:tcPr>
          <w:p w:rsidR="00A3044F" w:rsidRPr="006906E4" w:rsidRDefault="00A3044F" w:rsidP="00A3044F">
            <w:pPr>
              <w:pStyle w:val="TableTextLeft"/>
            </w:pPr>
            <w:r>
              <w:t>Help job seekers find and keep a job</w:t>
            </w:r>
          </w:p>
        </w:tc>
        <w:tc>
          <w:tcPr>
            <w:tcW w:w="3772" w:type="dxa"/>
            <w:tcBorders>
              <w:top w:val="single" w:sz="4" w:space="0" w:color="auto"/>
              <w:left w:val="single" w:sz="4" w:space="0" w:color="auto"/>
              <w:bottom w:val="dotted" w:sz="4" w:space="0" w:color="auto"/>
            </w:tcBorders>
          </w:tcPr>
          <w:p w:rsidR="00A3044F" w:rsidRPr="00461C1E" w:rsidRDefault="00A3044F" w:rsidP="00A3044F">
            <w:pPr>
              <w:pStyle w:val="TableTextBullet"/>
              <w:spacing w:after="40"/>
              <w:rPr>
                <w:sz w:val="16"/>
                <w:szCs w:val="16"/>
              </w:rPr>
            </w:pPr>
            <w:r w:rsidRPr="00461C1E">
              <w:rPr>
                <w:sz w:val="16"/>
                <w:szCs w:val="16"/>
              </w:rPr>
              <w:t xml:space="preserve">Count of job placements (overall): 380,000 </w:t>
            </w:r>
            <w:r w:rsidRPr="00461C1E">
              <w:rPr>
                <w:sz w:val="16"/>
                <w:szCs w:val="16"/>
              </w:rPr>
              <w:br/>
            </w:r>
            <w:r w:rsidRPr="00461C1E">
              <w:rPr>
                <w:b/>
                <w:sz w:val="16"/>
                <w:szCs w:val="16"/>
              </w:rPr>
              <w:t>Assessment</w:t>
            </w:r>
            <w:r w:rsidRPr="00461C1E">
              <w:rPr>
                <w:sz w:val="16"/>
                <w:szCs w:val="16"/>
              </w:rPr>
              <w:t>: Forecast achievement is not on track</w:t>
            </w:r>
          </w:p>
          <w:p w:rsidR="00A3044F" w:rsidRPr="00641937" w:rsidRDefault="00A3044F" w:rsidP="00641937">
            <w:pPr>
              <w:pStyle w:val="TableTextBullet"/>
              <w:spacing w:before="40" w:after="40"/>
              <w:rPr>
                <w:sz w:val="16"/>
                <w:szCs w:val="16"/>
              </w:rPr>
            </w:pPr>
            <w:r w:rsidRPr="00461C1E">
              <w:rPr>
                <w:sz w:val="16"/>
                <w:szCs w:val="16"/>
              </w:rPr>
              <w:t xml:space="preserve">Count of job placements (Indigenous): 38,000 </w:t>
            </w:r>
            <w:r w:rsidRPr="00461C1E">
              <w:rPr>
                <w:b/>
                <w:sz w:val="16"/>
                <w:szCs w:val="16"/>
              </w:rPr>
              <w:br/>
              <w:t>Assessment</w:t>
            </w:r>
            <w:r w:rsidRPr="00461C1E">
              <w:rPr>
                <w:sz w:val="16"/>
                <w:szCs w:val="16"/>
              </w:rPr>
              <w:t>: Forecast achievement is not on track</w:t>
            </w:r>
            <w:r w:rsidRPr="00461C1E">
              <w:rPr>
                <w:rStyle w:val="FootnoteReference"/>
                <w:rFonts w:cs="Arial"/>
                <w:sz w:val="16"/>
                <w:szCs w:val="16"/>
              </w:rPr>
              <w:footnoteReference w:id="2"/>
            </w:r>
          </w:p>
        </w:tc>
      </w:tr>
      <w:tr w:rsidR="00A3044F" w:rsidRPr="00F71634" w:rsidTr="00A3044F">
        <w:trPr>
          <w:trHeight w:val="60"/>
        </w:trPr>
        <w:tc>
          <w:tcPr>
            <w:tcW w:w="1134" w:type="dxa"/>
            <w:tcBorders>
              <w:top w:val="dotted" w:sz="4" w:space="0" w:color="auto"/>
              <w:bottom w:val="nil"/>
              <w:right w:val="single" w:sz="4" w:space="0" w:color="auto"/>
            </w:tcBorders>
          </w:tcPr>
          <w:p w:rsidR="00A3044F" w:rsidRPr="006906E4" w:rsidRDefault="00A3044F" w:rsidP="00E048ED">
            <w:pPr>
              <w:tabs>
                <w:tab w:val="left" w:pos="709"/>
              </w:tabs>
              <w:spacing w:before="60" w:after="60" w:line="240" w:lineRule="auto"/>
              <w:rPr>
                <w:rFonts w:ascii="Arial" w:hAnsi="Arial" w:cs="Arial"/>
                <w:sz w:val="16"/>
                <w:szCs w:val="16"/>
              </w:rPr>
            </w:pPr>
          </w:p>
        </w:tc>
        <w:tc>
          <w:tcPr>
            <w:tcW w:w="2835" w:type="dxa"/>
            <w:tcBorders>
              <w:top w:val="single" w:sz="4" w:space="0" w:color="auto"/>
              <w:left w:val="single" w:sz="4" w:space="0" w:color="auto"/>
              <w:bottom w:val="dotted" w:sz="4" w:space="0" w:color="auto"/>
              <w:right w:val="single" w:sz="4" w:space="0" w:color="auto"/>
            </w:tcBorders>
          </w:tcPr>
          <w:p w:rsidR="00A3044F" w:rsidRPr="006906E4" w:rsidRDefault="00A3044F" w:rsidP="00E048ED">
            <w:pPr>
              <w:pStyle w:val="TableTextLeft"/>
            </w:pPr>
          </w:p>
        </w:tc>
        <w:tc>
          <w:tcPr>
            <w:tcW w:w="3772" w:type="dxa"/>
            <w:tcBorders>
              <w:top w:val="single" w:sz="4" w:space="0" w:color="auto"/>
              <w:left w:val="single" w:sz="4" w:space="0" w:color="auto"/>
              <w:bottom w:val="dotted" w:sz="4" w:space="0" w:color="auto"/>
            </w:tcBorders>
          </w:tcPr>
          <w:p w:rsidR="00641937" w:rsidRDefault="00641937" w:rsidP="00641937">
            <w:pPr>
              <w:pStyle w:val="TableTextBullet"/>
              <w:spacing w:before="40" w:after="40"/>
              <w:rPr>
                <w:sz w:val="16"/>
              </w:rPr>
            </w:pPr>
            <w:r>
              <w:rPr>
                <w:sz w:val="16"/>
                <w:szCs w:val="16"/>
              </w:rPr>
              <w:t>Proportion of job p</w:t>
            </w:r>
            <w:r w:rsidRPr="00461C1E">
              <w:rPr>
                <w:sz w:val="16"/>
                <w:szCs w:val="16"/>
              </w:rPr>
              <w:t>lacements sustained to 4</w:t>
            </w:r>
            <w:r>
              <w:rPr>
                <w:sz w:val="16"/>
                <w:szCs w:val="16"/>
              </w:rPr>
              <w:t> </w:t>
            </w:r>
            <w:r w:rsidRPr="00461C1E">
              <w:rPr>
                <w:sz w:val="16"/>
                <w:szCs w:val="16"/>
              </w:rPr>
              <w:t>weeks (overall): 55%</w:t>
            </w:r>
            <w:r w:rsidRPr="00461C1E">
              <w:rPr>
                <w:b/>
                <w:sz w:val="16"/>
                <w:szCs w:val="16"/>
              </w:rPr>
              <w:t xml:space="preserve"> </w:t>
            </w:r>
            <w:r w:rsidRPr="00461C1E">
              <w:rPr>
                <w:b/>
                <w:sz w:val="16"/>
                <w:szCs w:val="16"/>
              </w:rPr>
              <w:br/>
              <w:t>Assessment</w:t>
            </w:r>
            <w:r w:rsidRPr="00461C1E">
              <w:rPr>
                <w:sz w:val="16"/>
                <w:szCs w:val="16"/>
              </w:rPr>
              <w:t>: Forecast achievement is on track</w:t>
            </w:r>
          </w:p>
          <w:p w:rsidR="00A3044F" w:rsidRDefault="00A3044F" w:rsidP="00641937">
            <w:pPr>
              <w:pStyle w:val="TableTextBullet"/>
              <w:spacing w:before="40" w:after="40"/>
              <w:rPr>
                <w:sz w:val="16"/>
              </w:rPr>
            </w:pPr>
            <w:r w:rsidRPr="00461C1E">
              <w:rPr>
                <w:sz w:val="16"/>
              </w:rPr>
              <w:t>Proportion o</w:t>
            </w:r>
            <w:r w:rsidR="00641937">
              <w:rPr>
                <w:sz w:val="16"/>
              </w:rPr>
              <w:t>f job p</w:t>
            </w:r>
            <w:r>
              <w:rPr>
                <w:sz w:val="16"/>
              </w:rPr>
              <w:t>lacements sustained to 4 </w:t>
            </w:r>
            <w:r w:rsidRPr="00461C1E">
              <w:rPr>
                <w:sz w:val="16"/>
              </w:rPr>
              <w:t>weeks (Indigenous): 55%</w:t>
            </w:r>
            <w:r w:rsidRPr="00461C1E">
              <w:rPr>
                <w:b/>
                <w:sz w:val="16"/>
              </w:rPr>
              <w:br/>
              <w:t>Assessment</w:t>
            </w:r>
            <w:r w:rsidRPr="00461C1E">
              <w:rPr>
                <w:sz w:val="16"/>
              </w:rPr>
              <w:t>: F</w:t>
            </w:r>
            <w:r>
              <w:rPr>
                <w:sz w:val="16"/>
              </w:rPr>
              <w:t>orecast achievement is on track</w:t>
            </w:r>
          </w:p>
          <w:p w:rsidR="00A3044F" w:rsidRPr="00461C1E" w:rsidRDefault="00641937" w:rsidP="00641937">
            <w:pPr>
              <w:pStyle w:val="TableTextBullet"/>
              <w:spacing w:before="40" w:after="40"/>
              <w:rPr>
                <w:sz w:val="16"/>
              </w:rPr>
            </w:pPr>
            <w:r>
              <w:rPr>
                <w:sz w:val="16"/>
              </w:rPr>
              <w:t>Proportion of job p</w:t>
            </w:r>
            <w:r w:rsidR="00A3044F" w:rsidRPr="00461C1E">
              <w:rPr>
                <w:sz w:val="16"/>
              </w:rPr>
              <w:t>lacements sustained to 12</w:t>
            </w:r>
            <w:r w:rsidR="00A3044F">
              <w:rPr>
                <w:sz w:val="16"/>
              </w:rPr>
              <w:t> </w:t>
            </w:r>
            <w:r w:rsidR="00A3044F" w:rsidRPr="00461C1E">
              <w:rPr>
                <w:sz w:val="16"/>
              </w:rPr>
              <w:t>weeks (overall): 45%</w:t>
            </w:r>
            <w:r w:rsidR="00A3044F" w:rsidRPr="00461C1E">
              <w:rPr>
                <w:b/>
                <w:sz w:val="16"/>
              </w:rPr>
              <w:t xml:space="preserve"> </w:t>
            </w:r>
            <w:r w:rsidR="00A3044F" w:rsidRPr="00461C1E">
              <w:rPr>
                <w:b/>
                <w:sz w:val="16"/>
              </w:rPr>
              <w:br/>
              <w:t>Assessment</w:t>
            </w:r>
            <w:r w:rsidR="00A3044F" w:rsidRPr="00461C1E">
              <w:rPr>
                <w:sz w:val="16"/>
              </w:rPr>
              <w:t>: Forecast achievement is on track</w:t>
            </w:r>
          </w:p>
          <w:p w:rsidR="00A3044F" w:rsidRPr="00461C1E" w:rsidRDefault="00641937" w:rsidP="00641937">
            <w:pPr>
              <w:pStyle w:val="TableTextBullet"/>
              <w:spacing w:before="40" w:after="40"/>
              <w:rPr>
                <w:sz w:val="16"/>
              </w:rPr>
            </w:pPr>
            <w:r>
              <w:rPr>
                <w:sz w:val="16"/>
              </w:rPr>
              <w:t>Proportion of job p</w:t>
            </w:r>
            <w:r w:rsidR="00A3044F" w:rsidRPr="00461C1E">
              <w:rPr>
                <w:sz w:val="16"/>
              </w:rPr>
              <w:t>lacements sustained to 12</w:t>
            </w:r>
            <w:r w:rsidR="00A3044F">
              <w:rPr>
                <w:sz w:val="16"/>
              </w:rPr>
              <w:t> </w:t>
            </w:r>
            <w:r w:rsidR="00A3044F" w:rsidRPr="00461C1E">
              <w:rPr>
                <w:sz w:val="16"/>
              </w:rPr>
              <w:t>weeks (Indigenous): 45%</w:t>
            </w:r>
            <w:r w:rsidR="00A3044F" w:rsidRPr="00461C1E">
              <w:rPr>
                <w:b/>
                <w:sz w:val="16"/>
              </w:rPr>
              <w:t xml:space="preserve"> </w:t>
            </w:r>
            <w:r w:rsidR="00A3044F" w:rsidRPr="00461C1E">
              <w:rPr>
                <w:b/>
                <w:sz w:val="16"/>
              </w:rPr>
              <w:br/>
              <w:t>Assessment</w:t>
            </w:r>
            <w:r w:rsidR="00A3044F" w:rsidRPr="00461C1E">
              <w:rPr>
                <w:sz w:val="16"/>
              </w:rPr>
              <w:t>: Forecast achievement is on track</w:t>
            </w:r>
          </w:p>
          <w:p w:rsidR="00A3044F" w:rsidRPr="00461C1E" w:rsidRDefault="00641937" w:rsidP="00641937">
            <w:pPr>
              <w:pStyle w:val="TableTextBullet"/>
              <w:spacing w:before="40" w:after="40"/>
              <w:rPr>
                <w:sz w:val="16"/>
              </w:rPr>
            </w:pPr>
            <w:r>
              <w:rPr>
                <w:sz w:val="16"/>
              </w:rPr>
              <w:t>Proportion of job p</w:t>
            </w:r>
            <w:r w:rsidR="00A3044F" w:rsidRPr="00461C1E">
              <w:rPr>
                <w:sz w:val="16"/>
              </w:rPr>
              <w:t>lacements sustained to 26</w:t>
            </w:r>
            <w:r w:rsidR="00A3044F">
              <w:rPr>
                <w:sz w:val="16"/>
              </w:rPr>
              <w:t> </w:t>
            </w:r>
            <w:r w:rsidR="00A3044F" w:rsidRPr="00461C1E">
              <w:rPr>
                <w:sz w:val="16"/>
              </w:rPr>
              <w:t>weeks (overall): 25%</w:t>
            </w:r>
            <w:r w:rsidR="00A3044F" w:rsidRPr="00461C1E">
              <w:rPr>
                <w:b/>
                <w:sz w:val="16"/>
              </w:rPr>
              <w:t xml:space="preserve"> </w:t>
            </w:r>
            <w:r w:rsidR="00A3044F" w:rsidRPr="00461C1E">
              <w:rPr>
                <w:b/>
                <w:sz w:val="16"/>
              </w:rPr>
              <w:br/>
              <w:t>Assessment</w:t>
            </w:r>
            <w:r w:rsidR="00A3044F" w:rsidRPr="00461C1E">
              <w:rPr>
                <w:sz w:val="16"/>
              </w:rPr>
              <w:t>: Forecast achievement is on track</w:t>
            </w:r>
          </w:p>
          <w:p w:rsidR="00A3044F" w:rsidRPr="00461C1E" w:rsidRDefault="00641937" w:rsidP="00641937">
            <w:pPr>
              <w:pStyle w:val="TableTextBullet"/>
              <w:spacing w:before="40" w:after="40"/>
              <w:rPr>
                <w:sz w:val="16"/>
              </w:rPr>
            </w:pPr>
            <w:r>
              <w:rPr>
                <w:sz w:val="16"/>
              </w:rPr>
              <w:t>Proportion of job p</w:t>
            </w:r>
            <w:r w:rsidR="00A3044F" w:rsidRPr="00461C1E">
              <w:rPr>
                <w:sz w:val="16"/>
              </w:rPr>
              <w:t>lacements sustained to 26</w:t>
            </w:r>
            <w:r w:rsidR="00A3044F">
              <w:rPr>
                <w:sz w:val="16"/>
              </w:rPr>
              <w:t> </w:t>
            </w:r>
            <w:r w:rsidR="00A3044F" w:rsidRPr="00461C1E">
              <w:rPr>
                <w:sz w:val="16"/>
              </w:rPr>
              <w:t>weeks (Indigenous): 25%</w:t>
            </w:r>
            <w:r w:rsidR="00A3044F" w:rsidRPr="00461C1E">
              <w:rPr>
                <w:b/>
                <w:sz w:val="16"/>
              </w:rPr>
              <w:t xml:space="preserve"> </w:t>
            </w:r>
            <w:r w:rsidR="00A3044F" w:rsidRPr="00461C1E">
              <w:rPr>
                <w:b/>
                <w:sz w:val="16"/>
              </w:rPr>
              <w:br/>
              <w:t>Assessment</w:t>
            </w:r>
            <w:r w:rsidR="00A3044F" w:rsidRPr="00461C1E">
              <w:rPr>
                <w:sz w:val="16"/>
              </w:rPr>
              <w:t>: Forecast achievement is on track</w:t>
            </w:r>
          </w:p>
          <w:p w:rsidR="00A3044F" w:rsidRPr="00E86EC0" w:rsidRDefault="00A3044F" w:rsidP="00641937">
            <w:pPr>
              <w:pStyle w:val="TableTextBullet"/>
              <w:spacing w:before="40" w:after="40"/>
            </w:pPr>
            <w:r w:rsidRPr="00461C1E">
              <w:rPr>
                <w:sz w:val="16"/>
              </w:rPr>
              <w:t>Proportion of job seekers employed three months following participation in employment services</w:t>
            </w:r>
            <w:r w:rsidRPr="00461C1E">
              <w:rPr>
                <w:sz w:val="16"/>
              </w:rPr>
              <w:br/>
              <w:t xml:space="preserve">  Stream A: 55%</w:t>
            </w:r>
            <w:r w:rsidRPr="00461C1E">
              <w:rPr>
                <w:sz w:val="16"/>
              </w:rPr>
              <w:br/>
              <w:t xml:space="preserve">  Stream B: 35%</w:t>
            </w:r>
            <w:r w:rsidRPr="00461C1E">
              <w:rPr>
                <w:sz w:val="16"/>
              </w:rPr>
              <w:br/>
              <w:t xml:space="preserve">  Stream C: 25%</w:t>
            </w:r>
            <w:r w:rsidRPr="00461C1E">
              <w:rPr>
                <w:sz w:val="16"/>
              </w:rPr>
              <w:br/>
              <w:t xml:space="preserve">  Overall: 45%</w:t>
            </w:r>
            <w:r w:rsidRPr="00461C1E">
              <w:rPr>
                <w:sz w:val="16"/>
              </w:rPr>
              <w:br/>
            </w:r>
            <w:r w:rsidRPr="00461C1E">
              <w:rPr>
                <w:b/>
                <w:sz w:val="16"/>
              </w:rPr>
              <w:t>Assessment</w:t>
            </w:r>
            <w:r w:rsidRPr="00461C1E">
              <w:rPr>
                <w:sz w:val="16"/>
              </w:rPr>
              <w:t>: Forecast achievement is on track</w:t>
            </w:r>
          </w:p>
        </w:tc>
      </w:tr>
      <w:tr w:rsidR="00A3044F" w:rsidRPr="00F71634" w:rsidTr="00A3044F">
        <w:trPr>
          <w:trHeight w:val="60"/>
        </w:trPr>
        <w:tc>
          <w:tcPr>
            <w:tcW w:w="1134" w:type="dxa"/>
            <w:tcBorders>
              <w:top w:val="nil"/>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6906E4" w:rsidRDefault="00A3044F" w:rsidP="00EA166E">
            <w:pPr>
              <w:pStyle w:val="TableTextLeft"/>
              <w:spacing w:before="40"/>
            </w:pPr>
            <w:r>
              <w:t>Help job seekers move from welfare to work</w:t>
            </w:r>
          </w:p>
        </w:tc>
        <w:tc>
          <w:tcPr>
            <w:tcW w:w="3772" w:type="dxa"/>
            <w:tcBorders>
              <w:top w:val="dotted" w:sz="4" w:space="0" w:color="auto"/>
              <w:left w:val="single" w:sz="4" w:space="0" w:color="auto"/>
              <w:bottom w:val="dotted" w:sz="4" w:space="0" w:color="auto"/>
            </w:tcBorders>
          </w:tcPr>
          <w:p w:rsidR="00A3044F" w:rsidRPr="006906E4" w:rsidRDefault="00A3044F" w:rsidP="00641937">
            <w:pPr>
              <w:pStyle w:val="TableTextBullet"/>
              <w:spacing w:before="40" w:after="40"/>
            </w:pPr>
            <w:r w:rsidRPr="00461C1E">
              <w:rPr>
                <w:sz w:val="16"/>
              </w:rPr>
              <w:t xml:space="preserve">Proportion of job seekers moving off income support, or with reduced reliance on income support, six months after participation in jobactive: 40% </w:t>
            </w:r>
            <w:r w:rsidRPr="00461C1E">
              <w:rPr>
                <w:sz w:val="16"/>
              </w:rPr>
              <w:br/>
            </w:r>
            <w:r w:rsidRPr="00461C1E">
              <w:rPr>
                <w:b/>
                <w:sz w:val="16"/>
              </w:rPr>
              <w:t>Assessment</w:t>
            </w:r>
            <w:r w:rsidRPr="00461C1E">
              <w:rPr>
                <w:sz w:val="16"/>
              </w:rPr>
              <w:t>: Forecast achievement is on track</w:t>
            </w:r>
          </w:p>
        </w:tc>
      </w:tr>
      <w:tr w:rsidR="00A3044F" w:rsidRPr="00F71634" w:rsidTr="00A3044F">
        <w:trPr>
          <w:trHeight w:val="60"/>
        </w:trPr>
        <w:tc>
          <w:tcPr>
            <w:tcW w:w="1134" w:type="dxa"/>
            <w:tcBorders>
              <w:top w:val="nil"/>
              <w:bottom w:val="dotted" w:sz="4" w:space="0" w:color="auto"/>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6906E4" w:rsidRDefault="00A3044F" w:rsidP="00EA166E">
            <w:pPr>
              <w:pStyle w:val="TableTextLeft"/>
              <w:spacing w:before="40"/>
            </w:pPr>
            <w:r>
              <w:t>Help job seekers meet their mutual obligations</w:t>
            </w:r>
          </w:p>
        </w:tc>
        <w:tc>
          <w:tcPr>
            <w:tcW w:w="3772" w:type="dxa"/>
            <w:tcBorders>
              <w:top w:val="dotted" w:sz="4" w:space="0" w:color="auto"/>
              <w:left w:val="single" w:sz="4" w:space="0" w:color="auto"/>
              <w:bottom w:val="dotted" w:sz="4" w:space="0" w:color="auto"/>
            </w:tcBorders>
          </w:tcPr>
          <w:p w:rsidR="00A3044F" w:rsidRPr="00461C1E" w:rsidRDefault="00A3044F" w:rsidP="00641937">
            <w:pPr>
              <w:pStyle w:val="TableTextBullet"/>
              <w:spacing w:before="40" w:after="40"/>
              <w:rPr>
                <w:sz w:val="16"/>
              </w:rPr>
            </w:pPr>
            <w:r w:rsidRPr="00461C1E">
              <w:rPr>
                <w:sz w:val="16"/>
              </w:rPr>
              <w:t>Proportion of Work for the Dole participants who report increased motivation to find a job: 75%</w:t>
            </w:r>
            <w:r w:rsidRPr="00461C1E">
              <w:rPr>
                <w:b/>
                <w:sz w:val="16"/>
              </w:rPr>
              <w:t xml:space="preserve"> </w:t>
            </w:r>
            <w:r w:rsidRPr="00461C1E">
              <w:rPr>
                <w:b/>
                <w:sz w:val="16"/>
              </w:rPr>
              <w:br/>
              <w:t>Assessment</w:t>
            </w:r>
            <w:r w:rsidRPr="00461C1E">
              <w:rPr>
                <w:sz w:val="16"/>
              </w:rPr>
              <w:t>: Forecast achievement is on track</w:t>
            </w:r>
          </w:p>
          <w:p w:rsidR="00A3044F" w:rsidRPr="00461C1E" w:rsidRDefault="00A3044F" w:rsidP="00641937">
            <w:pPr>
              <w:pStyle w:val="TableTextBullet"/>
              <w:spacing w:before="40" w:after="40"/>
              <w:rPr>
                <w:sz w:val="16"/>
              </w:rPr>
            </w:pPr>
            <w:r w:rsidRPr="00461C1E">
              <w:rPr>
                <w:sz w:val="16"/>
              </w:rPr>
              <w:t>Proportion of Provider appointments attended: 90%</w:t>
            </w:r>
            <w:r w:rsidRPr="00461C1E">
              <w:rPr>
                <w:b/>
                <w:sz w:val="16"/>
              </w:rPr>
              <w:t xml:space="preserve"> </w:t>
            </w:r>
            <w:r w:rsidRPr="00461C1E">
              <w:rPr>
                <w:b/>
                <w:sz w:val="16"/>
              </w:rPr>
              <w:br/>
            </w:r>
            <w:r w:rsidRPr="00461C1E">
              <w:rPr>
                <w:b/>
                <w:sz w:val="16"/>
              </w:rPr>
              <w:lastRenderedPageBreak/>
              <w:t>Assessment</w:t>
            </w:r>
            <w:r w:rsidRPr="00461C1E">
              <w:rPr>
                <w:sz w:val="16"/>
              </w:rPr>
              <w:t>: Forecast achievement is not on track</w:t>
            </w:r>
          </w:p>
          <w:p w:rsidR="00A3044F" w:rsidRPr="006906E4" w:rsidRDefault="00A3044F" w:rsidP="00EA166E">
            <w:pPr>
              <w:pStyle w:val="TableTextBullet"/>
              <w:spacing w:before="40" w:after="40"/>
            </w:pPr>
            <w:r w:rsidRPr="00461C1E">
              <w:rPr>
                <w:sz w:val="16"/>
              </w:rPr>
              <w:t>Proportion of job seekers (with Mutual Obligation requirements) who are actively looking for work</w:t>
            </w:r>
            <w:r>
              <w:rPr>
                <w:sz w:val="16"/>
              </w:rPr>
              <w:t>: 95%</w:t>
            </w:r>
            <w:r w:rsidRPr="00461C1E">
              <w:rPr>
                <w:b/>
                <w:sz w:val="16"/>
              </w:rPr>
              <w:t xml:space="preserve"> </w:t>
            </w:r>
            <w:r w:rsidRPr="00461C1E">
              <w:rPr>
                <w:b/>
                <w:sz w:val="16"/>
              </w:rPr>
              <w:br/>
              <w:t>Assessment</w:t>
            </w:r>
            <w:r w:rsidR="00641937">
              <w:rPr>
                <w:sz w:val="16"/>
              </w:rPr>
              <w:t>: Forecast achievement</w:t>
            </w:r>
            <w:r w:rsidRPr="00461C1E">
              <w:rPr>
                <w:sz w:val="16"/>
              </w:rPr>
              <w:t xml:space="preserve"> on track</w:t>
            </w:r>
          </w:p>
        </w:tc>
      </w:tr>
      <w:tr w:rsidR="00A3044F" w:rsidRPr="00F71634" w:rsidTr="00A3044F">
        <w:trPr>
          <w:trHeight w:val="60"/>
        </w:trPr>
        <w:tc>
          <w:tcPr>
            <w:tcW w:w="1134" w:type="dxa"/>
            <w:tcBorders>
              <w:top w:val="dotted" w:sz="4" w:space="0" w:color="auto"/>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6906E4" w:rsidRDefault="00A3044F" w:rsidP="00E048ED">
            <w:pPr>
              <w:pStyle w:val="TableTextLeft"/>
            </w:pPr>
            <w:r>
              <w:t>jobactive organisations deliver quality services</w:t>
            </w:r>
          </w:p>
        </w:tc>
        <w:tc>
          <w:tcPr>
            <w:tcW w:w="3772" w:type="dxa"/>
            <w:tcBorders>
              <w:top w:val="dotted" w:sz="4" w:space="0" w:color="auto"/>
              <w:left w:val="single" w:sz="4" w:space="0" w:color="auto"/>
              <w:bottom w:val="dotted" w:sz="4" w:space="0" w:color="auto"/>
            </w:tcBorders>
          </w:tcPr>
          <w:p w:rsidR="00A3044F" w:rsidRPr="00461C1E" w:rsidRDefault="00A3044F" w:rsidP="00EA166E">
            <w:pPr>
              <w:pStyle w:val="TableTextBullet"/>
              <w:spacing w:after="40"/>
            </w:pPr>
            <w:r w:rsidRPr="00461C1E">
              <w:t>Proportion of employers satisfied with the assistance provided by a jobactive organisation</w:t>
            </w:r>
            <w:r>
              <w:t>: 80%</w:t>
            </w:r>
            <w:r w:rsidRPr="00461C1E">
              <w:t xml:space="preserve"> </w:t>
            </w:r>
            <w:r w:rsidRPr="00461C1E">
              <w:br/>
            </w:r>
            <w:r w:rsidRPr="00461C1E">
              <w:rPr>
                <w:b/>
              </w:rPr>
              <w:t>Assessment</w:t>
            </w:r>
            <w:r w:rsidRPr="00461C1E">
              <w:t>: Forecast achievement is on track</w:t>
            </w:r>
          </w:p>
          <w:p w:rsidR="00A3044F" w:rsidRPr="006906E4" w:rsidRDefault="00A3044F" w:rsidP="00BF675B">
            <w:pPr>
              <w:pStyle w:val="TableTextBullet"/>
              <w:spacing w:before="40"/>
            </w:pPr>
            <w:r w:rsidRPr="00461C1E">
              <w:t xml:space="preserve">Proportion of jobactive providers that meet their </w:t>
            </w:r>
            <w:r>
              <w:t>service l</w:t>
            </w:r>
            <w:r w:rsidRPr="00461C1E">
              <w:t xml:space="preserve">evel </w:t>
            </w:r>
            <w:r>
              <w:t>requirements: 80%</w:t>
            </w:r>
            <w:r w:rsidRPr="00461C1E">
              <w:t xml:space="preserve"> </w:t>
            </w:r>
            <w:r w:rsidRPr="00461C1E">
              <w:br/>
            </w:r>
            <w:r w:rsidRPr="00461C1E">
              <w:rPr>
                <w:b/>
              </w:rPr>
              <w:t>Assessment</w:t>
            </w:r>
            <w:r w:rsidRPr="00461C1E">
              <w:t xml:space="preserve">: Forecast achievement is on track </w:t>
            </w:r>
          </w:p>
        </w:tc>
      </w:tr>
      <w:tr w:rsidR="00A3044F" w:rsidRPr="00F71634" w:rsidTr="00A3044F">
        <w:trPr>
          <w:trHeight w:val="60"/>
        </w:trPr>
        <w:tc>
          <w:tcPr>
            <w:tcW w:w="1134" w:type="dxa"/>
            <w:tcBorders>
              <w:top w:val="nil"/>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6906E4" w:rsidRDefault="00A3044F" w:rsidP="00E048ED">
            <w:pPr>
              <w:pStyle w:val="TableTextLeft"/>
            </w:pPr>
            <w:r>
              <w:t>jobactive—overall program performance</w:t>
            </w:r>
          </w:p>
        </w:tc>
        <w:tc>
          <w:tcPr>
            <w:tcW w:w="3772" w:type="dxa"/>
            <w:tcBorders>
              <w:top w:val="dotted" w:sz="4" w:space="0" w:color="auto"/>
              <w:left w:val="single" w:sz="4" w:space="0" w:color="auto"/>
              <w:bottom w:val="dotted" w:sz="4" w:space="0" w:color="auto"/>
            </w:tcBorders>
          </w:tcPr>
          <w:p w:rsidR="00A3044F" w:rsidRPr="006906E4" w:rsidRDefault="00A3044F" w:rsidP="00E048ED">
            <w:pPr>
              <w:pStyle w:val="TableTextBullet"/>
            </w:pPr>
            <w:r>
              <w:t>$2,500 cost per employment outcome</w:t>
            </w:r>
            <w:r>
              <w:rPr>
                <w:b/>
              </w:rPr>
              <w:t xml:space="preserve"> Assessment</w:t>
            </w:r>
            <w:r>
              <w:t>: Forecast achievement is on track</w:t>
            </w:r>
          </w:p>
        </w:tc>
      </w:tr>
      <w:tr w:rsidR="00A3044F" w:rsidRPr="00F71634" w:rsidTr="00A3044F">
        <w:trPr>
          <w:trHeight w:val="60"/>
        </w:trPr>
        <w:tc>
          <w:tcPr>
            <w:tcW w:w="1134" w:type="dxa"/>
            <w:tcBorders>
              <w:top w:val="nil"/>
              <w:bottom w:val="single" w:sz="4" w:space="0" w:color="auto"/>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6906E4" w:rsidRDefault="00A3044F" w:rsidP="00E048ED">
            <w:pPr>
              <w:pStyle w:val="TableTextLeft"/>
            </w:pPr>
            <w:r>
              <w:t>Help young people move into work or education (Transition to Work)</w:t>
            </w:r>
            <w:r>
              <w:rPr>
                <w:rStyle w:val="FootnoteReference"/>
              </w:rPr>
              <w:footnoteReference w:id="3"/>
            </w:r>
          </w:p>
        </w:tc>
        <w:tc>
          <w:tcPr>
            <w:tcW w:w="3772" w:type="dxa"/>
            <w:tcBorders>
              <w:top w:val="dotted" w:sz="4" w:space="0" w:color="auto"/>
              <w:left w:val="single" w:sz="4" w:space="0" w:color="auto"/>
              <w:bottom w:val="dotted" w:sz="4" w:space="0" w:color="auto"/>
            </w:tcBorders>
          </w:tcPr>
          <w:p w:rsidR="00A3044F" w:rsidRDefault="00A3044F" w:rsidP="00E048ED">
            <w:pPr>
              <w:pStyle w:val="TableTextBullet"/>
            </w:pPr>
            <w:r>
              <w:t xml:space="preserve">Proportion of placements sustained to a 12 week Employment or Hybrid Outcome, or a 26 week Education Outcome: 65% </w:t>
            </w:r>
            <w:r>
              <w:rPr>
                <w:b/>
              </w:rPr>
              <w:t xml:space="preserve"> Assessment</w:t>
            </w:r>
            <w:r>
              <w:t>: Forecast achievement is on track</w:t>
            </w:r>
          </w:p>
          <w:p w:rsidR="00A3044F" w:rsidRDefault="00A3044F" w:rsidP="00E048ED">
            <w:pPr>
              <w:pStyle w:val="TableTextBullet"/>
            </w:pPr>
            <w:r>
              <w:t>Proportion of placements that are converted to Sustainability Outcomes: 40%</w:t>
            </w:r>
            <w:r>
              <w:rPr>
                <w:b/>
              </w:rPr>
              <w:t xml:space="preserve"> Assessment</w:t>
            </w:r>
            <w:r>
              <w:t>: Forecast achievement is on track</w:t>
            </w:r>
          </w:p>
          <w:p w:rsidR="00A3044F" w:rsidRPr="006906E4" w:rsidRDefault="00A3044F" w:rsidP="00E048ED">
            <w:pPr>
              <w:pStyle w:val="TableTextBullet"/>
            </w:pPr>
            <w:r>
              <w:t>Proportion of Transition to Work participants moving off income support, with reduced reliance on income support, or on to Youth Allowance (student) six months after participation in the service: 30%</w:t>
            </w:r>
            <w:r>
              <w:br/>
            </w:r>
            <w:r>
              <w:rPr>
                <w:b/>
              </w:rPr>
              <w:t>Assessment</w:t>
            </w:r>
            <w:r>
              <w:t>: Forecast achievement is on track</w:t>
            </w:r>
          </w:p>
        </w:tc>
      </w:tr>
      <w:tr w:rsidR="00A3044F" w:rsidRPr="00F71634" w:rsidTr="00A3044F">
        <w:tc>
          <w:tcPr>
            <w:tcW w:w="1134" w:type="dxa"/>
            <w:tcBorders>
              <w:top w:val="single" w:sz="4" w:space="0" w:color="auto"/>
              <w:bottom w:val="dotted" w:sz="4" w:space="0" w:color="auto"/>
              <w:right w:val="single" w:sz="4" w:space="0" w:color="auto"/>
            </w:tcBorders>
          </w:tcPr>
          <w:p w:rsidR="00A3044F" w:rsidRPr="006906E4" w:rsidRDefault="00A3044F" w:rsidP="00E048ED">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2835" w:type="dxa"/>
            <w:tcBorders>
              <w:top w:val="single" w:sz="4" w:space="0" w:color="auto"/>
              <w:left w:val="single" w:sz="4" w:space="0" w:color="auto"/>
              <w:bottom w:val="dotted" w:sz="4" w:space="0" w:color="auto"/>
              <w:right w:val="single" w:sz="4" w:space="0" w:color="auto"/>
            </w:tcBorders>
          </w:tcPr>
          <w:p w:rsidR="00A3044F" w:rsidRPr="001229F2" w:rsidRDefault="00A3044F" w:rsidP="00E048ED">
            <w:pPr>
              <w:pStyle w:val="TableTextLeft"/>
            </w:pPr>
            <w:r>
              <w:t>Help job seekers find and keep a job</w:t>
            </w:r>
          </w:p>
        </w:tc>
        <w:tc>
          <w:tcPr>
            <w:tcW w:w="3772" w:type="dxa"/>
            <w:tcBorders>
              <w:top w:val="single" w:sz="4" w:space="0" w:color="auto"/>
              <w:left w:val="single" w:sz="4" w:space="0" w:color="auto"/>
              <w:bottom w:val="dotted" w:sz="4" w:space="0" w:color="auto"/>
            </w:tcBorders>
          </w:tcPr>
          <w:p w:rsidR="00A3044F" w:rsidRDefault="007620FB" w:rsidP="00E048ED">
            <w:pPr>
              <w:pStyle w:val="TableTextBullet"/>
            </w:pPr>
            <w:r>
              <w:t>Proportion of job p</w:t>
            </w:r>
            <w:r w:rsidR="00A3044F">
              <w:t>lacements sustained to 26 weeks (</w:t>
            </w:r>
            <w:r w:rsidR="00A3044F" w:rsidRPr="003B2FE3">
              <w:t>overall): 30%</w:t>
            </w:r>
          </w:p>
          <w:p w:rsidR="00A3044F" w:rsidRDefault="007620FB" w:rsidP="00E048ED">
            <w:pPr>
              <w:pStyle w:val="TableTextBullet"/>
            </w:pPr>
            <w:r>
              <w:t>Proportion of job p</w:t>
            </w:r>
            <w:r w:rsidR="00A3044F">
              <w:t>lacements sustained to 26 weeks (Indigenous): 30%</w:t>
            </w:r>
          </w:p>
          <w:p w:rsidR="00A3044F" w:rsidRDefault="00A3044F" w:rsidP="00EA166E">
            <w:pPr>
              <w:pStyle w:val="TableTextBullet"/>
              <w:spacing w:after="20"/>
            </w:pPr>
            <w:r>
              <w:t>Proportion of job seekers employed three months after accessing jobactive services (some will still be accessing jobactive and some will have exited)</w:t>
            </w:r>
          </w:p>
          <w:p w:rsidR="00A3044F" w:rsidRDefault="00A3044F" w:rsidP="00EA166E">
            <w:pPr>
              <w:pStyle w:val="TableTextBullet"/>
              <w:numPr>
                <w:ilvl w:val="0"/>
                <w:numId w:val="0"/>
              </w:numPr>
              <w:spacing w:before="40" w:after="20"/>
              <w:ind w:left="567"/>
            </w:pPr>
            <w:r>
              <w:lastRenderedPageBreak/>
              <w:t>Stream A 55%</w:t>
            </w:r>
          </w:p>
          <w:p w:rsidR="00A3044F" w:rsidRDefault="00A3044F" w:rsidP="00EA166E">
            <w:pPr>
              <w:pStyle w:val="TableTextBullet"/>
              <w:numPr>
                <w:ilvl w:val="0"/>
                <w:numId w:val="0"/>
              </w:numPr>
              <w:spacing w:before="40" w:after="20"/>
              <w:ind w:left="567"/>
            </w:pPr>
            <w:r w:rsidRPr="00DE69D7">
              <w:t>Stream B 40%</w:t>
            </w:r>
          </w:p>
          <w:p w:rsidR="00A3044F" w:rsidRDefault="00A3044F" w:rsidP="00EA166E">
            <w:pPr>
              <w:pStyle w:val="TableTextBullet"/>
              <w:numPr>
                <w:ilvl w:val="0"/>
                <w:numId w:val="0"/>
              </w:numPr>
              <w:spacing w:before="40" w:after="20"/>
              <w:ind w:left="567"/>
            </w:pPr>
            <w:r>
              <w:t>Stream C 25%</w:t>
            </w:r>
          </w:p>
          <w:p w:rsidR="00A3044F" w:rsidRPr="006906E4" w:rsidRDefault="00A3044F" w:rsidP="00641937">
            <w:pPr>
              <w:pStyle w:val="TableTextBullet"/>
              <w:numPr>
                <w:ilvl w:val="0"/>
                <w:numId w:val="0"/>
              </w:numPr>
              <w:spacing w:before="40" w:after="120"/>
              <w:ind w:left="567"/>
              <w:rPr>
                <w:rFonts w:cs="Arial"/>
                <w:i/>
                <w:color w:val="FF0000"/>
                <w:sz w:val="16"/>
                <w:szCs w:val="16"/>
              </w:rPr>
            </w:pPr>
            <w:r>
              <w:t>Overall 45%</w:t>
            </w:r>
          </w:p>
        </w:tc>
      </w:tr>
      <w:tr w:rsidR="00A3044F" w:rsidRPr="00F71634" w:rsidTr="00A3044F">
        <w:tc>
          <w:tcPr>
            <w:tcW w:w="1134" w:type="dxa"/>
            <w:tcBorders>
              <w:top w:val="dotted" w:sz="4" w:space="0" w:color="auto"/>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1229F2" w:rsidRDefault="00A3044F" w:rsidP="00E048ED">
            <w:pPr>
              <w:pStyle w:val="TableTextLeft"/>
            </w:pPr>
            <w:r>
              <w:t>Help job seekers move from welfare to work</w:t>
            </w:r>
          </w:p>
        </w:tc>
        <w:tc>
          <w:tcPr>
            <w:tcW w:w="3772" w:type="dxa"/>
            <w:tcBorders>
              <w:top w:val="dotted" w:sz="4" w:space="0" w:color="auto"/>
              <w:left w:val="single" w:sz="4" w:space="0" w:color="auto"/>
              <w:bottom w:val="dotted" w:sz="4" w:space="0" w:color="auto"/>
            </w:tcBorders>
          </w:tcPr>
          <w:p w:rsidR="00A3044F" w:rsidRPr="001229F2" w:rsidRDefault="00A3044F" w:rsidP="00E048ED">
            <w:pPr>
              <w:pStyle w:val="TableTextBullet"/>
            </w:pPr>
            <w:r>
              <w:t>Proportion of job seekers moving off income support, or with reduced reliance on income support, six months after participation in jobactive: 40%</w:t>
            </w:r>
          </w:p>
        </w:tc>
      </w:tr>
      <w:tr w:rsidR="00A3044F" w:rsidRPr="00F71634" w:rsidTr="00CB388E">
        <w:tc>
          <w:tcPr>
            <w:tcW w:w="1134" w:type="dxa"/>
            <w:tcBorders>
              <w:top w:val="nil"/>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1229F2" w:rsidRDefault="00A3044F" w:rsidP="00E048ED">
            <w:pPr>
              <w:pStyle w:val="TableTextLeft"/>
              <w:rPr>
                <w:rFonts w:cs="Arial"/>
                <w:sz w:val="16"/>
                <w:szCs w:val="16"/>
              </w:rPr>
            </w:pPr>
            <w:r>
              <w:rPr>
                <w:rFonts w:cs="Arial"/>
                <w:sz w:val="16"/>
                <w:szCs w:val="16"/>
              </w:rPr>
              <w:t>Help job seekers meet their mutual obligations</w:t>
            </w:r>
          </w:p>
        </w:tc>
        <w:tc>
          <w:tcPr>
            <w:tcW w:w="3772" w:type="dxa"/>
            <w:tcBorders>
              <w:top w:val="dotted" w:sz="4" w:space="0" w:color="auto"/>
              <w:left w:val="single" w:sz="4" w:space="0" w:color="auto"/>
              <w:bottom w:val="dotted" w:sz="4" w:space="0" w:color="auto"/>
            </w:tcBorders>
          </w:tcPr>
          <w:p w:rsidR="00A3044F" w:rsidRDefault="00A3044F" w:rsidP="00E048ED">
            <w:pPr>
              <w:pStyle w:val="TableTextBullet"/>
            </w:pPr>
            <w:r>
              <w:t>Proportion of Work for the Dole participants who report increased motivation to find a job: 75%</w:t>
            </w:r>
          </w:p>
          <w:p w:rsidR="00A3044F" w:rsidRDefault="00A3044F" w:rsidP="00E048ED">
            <w:pPr>
              <w:pStyle w:val="TableTextBullet"/>
            </w:pPr>
            <w:r>
              <w:t>Proportion of Provider appointments attended: 90%</w:t>
            </w:r>
          </w:p>
          <w:p w:rsidR="00A3044F" w:rsidRPr="001229F2" w:rsidRDefault="00A3044F" w:rsidP="00E048ED">
            <w:pPr>
              <w:pStyle w:val="TableTextBullet"/>
            </w:pPr>
            <w:r>
              <w:t>Proportion of job seekers (with Mutual Obligation requirements) who are actively looking for work: 98%</w:t>
            </w:r>
          </w:p>
        </w:tc>
      </w:tr>
      <w:tr w:rsidR="00A3044F" w:rsidRPr="00F71634" w:rsidTr="00CB388E">
        <w:tc>
          <w:tcPr>
            <w:tcW w:w="1134" w:type="dxa"/>
            <w:tcBorders>
              <w:top w:val="nil"/>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3B2FE3" w:rsidRDefault="00A3044F" w:rsidP="00E048ED">
            <w:pPr>
              <w:pStyle w:val="TableTextLeft"/>
              <w:rPr>
                <w:rFonts w:cs="Arial"/>
                <w:sz w:val="16"/>
                <w:szCs w:val="16"/>
              </w:rPr>
            </w:pPr>
            <w:r w:rsidRPr="003B2FE3">
              <w:rPr>
                <w:rFonts w:cs="Arial"/>
                <w:sz w:val="16"/>
                <w:szCs w:val="16"/>
              </w:rPr>
              <w:t>jobactive providers deliver quality services</w:t>
            </w:r>
          </w:p>
        </w:tc>
        <w:tc>
          <w:tcPr>
            <w:tcW w:w="3772" w:type="dxa"/>
            <w:tcBorders>
              <w:top w:val="dotted" w:sz="4" w:space="0" w:color="auto"/>
              <w:left w:val="single" w:sz="4" w:space="0" w:color="auto"/>
              <w:bottom w:val="dotted" w:sz="4" w:space="0" w:color="auto"/>
            </w:tcBorders>
          </w:tcPr>
          <w:p w:rsidR="00A3044F" w:rsidRPr="003B2FE3" w:rsidRDefault="00A3044F" w:rsidP="00E048ED">
            <w:pPr>
              <w:pStyle w:val="TableTextBullet"/>
            </w:pPr>
            <w:r w:rsidRPr="003B2FE3">
              <w:t>Proportion of employers satisfied with the assistance provided by a jobactive organisation: 80%</w:t>
            </w:r>
          </w:p>
          <w:p w:rsidR="00A3044F" w:rsidRPr="003B2FE3" w:rsidRDefault="00A3044F" w:rsidP="003B2FE3">
            <w:pPr>
              <w:pStyle w:val="TableTextBullet"/>
            </w:pPr>
            <w:r w:rsidRPr="003B2FE3">
              <w:t>Proportion of assessed commitments met by jobactive providers: 80%</w:t>
            </w:r>
          </w:p>
        </w:tc>
      </w:tr>
      <w:tr w:rsidR="00A3044F" w:rsidRPr="00F71634" w:rsidTr="00CB388E">
        <w:tc>
          <w:tcPr>
            <w:tcW w:w="1134" w:type="dxa"/>
            <w:tcBorders>
              <w:top w:val="nil"/>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1229F2" w:rsidRDefault="00A3044F" w:rsidP="00E048ED">
            <w:pPr>
              <w:pStyle w:val="TableTextLeft"/>
              <w:rPr>
                <w:rFonts w:cs="Arial"/>
                <w:sz w:val="16"/>
                <w:szCs w:val="16"/>
              </w:rPr>
            </w:pPr>
            <w:r>
              <w:rPr>
                <w:rFonts w:cs="Arial"/>
                <w:sz w:val="16"/>
                <w:szCs w:val="16"/>
              </w:rPr>
              <w:t>jobactive—overall program measure</w:t>
            </w:r>
          </w:p>
        </w:tc>
        <w:tc>
          <w:tcPr>
            <w:tcW w:w="3772" w:type="dxa"/>
            <w:tcBorders>
              <w:top w:val="dotted" w:sz="4" w:space="0" w:color="auto"/>
              <w:left w:val="single" w:sz="4" w:space="0" w:color="auto"/>
              <w:bottom w:val="dotted" w:sz="4" w:space="0" w:color="auto"/>
            </w:tcBorders>
          </w:tcPr>
          <w:p w:rsidR="00A3044F" w:rsidRPr="001229F2" w:rsidRDefault="00A3044F" w:rsidP="00E048ED">
            <w:pPr>
              <w:pStyle w:val="TableTextBullet"/>
            </w:pPr>
            <w:r>
              <w:t>Cost per employment outcome: $2,500</w:t>
            </w:r>
          </w:p>
        </w:tc>
      </w:tr>
      <w:tr w:rsidR="00A3044F" w:rsidRPr="00F71634" w:rsidTr="00CB388E">
        <w:tc>
          <w:tcPr>
            <w:tcW w:w="1134" w:type="dxa"/>
            <w:tcBorders>
              <w:top w:val="nil"/>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Default="00A3044F" w:rsidP="00E048ED">
            <w:pPr>
              <w:pStyle w:val="TableTextLeft"/>
              <w:rPr>
                <w:rFonts w:cs="Arial"/>
                <w:sz w:val="16"/>
                <w:szCs w:val="16"/>
              </w:rPr>
            </w:pPr>
            <w:r>
              <w:rPr>
                <w:rFonts w:cs="Arial"/>
                <w:sz w:val="16"/>
                <w:szCs w:val="16"/>
              </w:rPr>
              <w:t>New Enterprise Incentive Scheme (NEIS)—help people to create their own job through self-employment</w:t>
            </w:r>
          </w:p>
        </w:tc>
        <w:tc>
          <w:tcPr>
            <w:tcW w:w="3772" w:type="dxa"/>
            <w:tcBorders>
              <w:top w:val="dotted" w:sz="4" w:space="0" w:color="auto"/>
              <w:left w:val="single" w:sz="4" w:space="0" w:color="auto"/>
              <w:bottom w:val="dotted" w:sz="4" w:space="0" w:color="auto"/>
            </w:tcBorders>
          </w:tcPr>
          <w:p w:rsidR="00A3044F" w:rsidRPr="001229F2" w:rsidRDefault="00A3044F" w:rsidP="00E048ED">
            <w:pPr>
              <w:pStyle w:val="TableTextBullet"/>
            </w:pPr>
            <w:r>
              <w:t>Proportion of NEIS participants off income support or working 20 hours per week three months after participating in and exiting NEIS: 68%</w:t>
            </w:r>
          </w:p>
        </w:tc>
      </w:tr>
      <w:tr w:rsidR="00A3044F" w:rsidRPr="00F71634" w:rsidTr="00CB388E">
        <w:tc>
          <w:tcPr>
            <w:tcW w:w="1134" w:type="dxa"/>
            <w:tcBorders>
              <w:top w:val="nil"/>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Default="00A3044F" w:rsidP="00E048ED">
            <w:pPr>
              <w:pStyle w:val="TableTextLeft"/>
              <w:rPr>
                <w:rFonts w:cs="Arial"/>
                <w:sz w:val="16"/>
                <w:szCs w:val="16"/>
              </w:rPr>
            </w:pPr>
            <w:r>
              <w:rPr>
                <w:rFonts w:cs="Arial"/>
                <w:sz w:val="16"/>
                <w:szCs w:val="16"/>
              </w:rPr>
              <w:t>ParentsNext</w:t>
            </w:r>
            <w:r>
              <w:t>—</w:t>
            </w:r>
            <w:r>
              <w:rPr>
                <w:rFonts w:cs="Arial"/>
                <w:sz w:val="16"/>
                <w:szCs w:val="16"/>
              </w:rPr>
              <w:t>support parents to build their work readiness</w:t>
            </w:r>
          </w:p>
        </w:tc>
        <w:tc>
          <w:tcPr>
            <w:tcW w:w="3772" w:type="dxa"/>
            <w:tcBorders>
              <w:top w:val="dotted" w:sz="4" w:space="0" w:color="auto"/>
              <w:left w:val="single" w:sz="4" w:space="0" w:color="auto"/>
              <w:bottom w:val="dotted" w:sz="4" w:space="0" w:color="auto"/>
            </w:tcBorders>
          </w:tcPr>
          <w:p w:rsidR="00A3044F" w:rsidRPr="006906E4" w:rsidRDefault="00A3044F" w:rsidP="00E048ED">
            <w:pPr>
              <w:pStyle w:val="TableTextBullet"/>
              <w:rPr>
                <w:i/>
                <w:color w:val="FF0000"/>
              </w:rPr>
            </w:pPr>
            <w:r>
              <w:t>Proportion of ParentsNext participants who are in a current activity: 80%</w:t>
            </w:r>
          </w:p>
        </w:tc>
      </w:tr>
      <w:tr w:rsidR="00A3044F" w:rsidRPr="00F71634" w:rsidTr="00CB388E">
        <w:tc>
          <w:tcPr>
            <w:tcW w:w="1134" w:type="dxa"/>
            <w:tcBorders>
              <w:top w:val="nil"/>
              <w:bottom w:val="nil"/>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rsidR="00A3044F" w:rsidRPr="001229F2" w:rsidRDefault="00A3044F" w:rsidP="00E048ED">
            <w:pPr>
              <w:pStyle w:val="TableTextLeft"/>
              <w:rPr>
                <w:rFonts w:cs="Arial"/>
                <w:sz w:val="16"/>
                <w:szCs w:val="16"/>
              </w:rPr>
            </w:pPr>
            <w:r>
              <w:rPr>
                <w:rFonts w:cs="Arial"/>
                <w:sz w:val="16"/>
                <w:szCs w:val="16"/>
              </w:rPr>
              <w:t>Transition to Work—help young people move into work or education</w:t>
            </w:r>
          </w:p>
        </w:tc>
        <w:tc>
          <w:tcPr>
            <w:tcW w:w="3772" w:type="dxa"/>
            <w:tcBorders>
              <w:top w:val="dotted" w:sz="4" w:space="0" w:color="auto"/>
              <w:left w:val="single" w:sz="4" w:space="0" w:color="auto"/>
              <w:bottom w:val="dotted" w:sz="4" w:space="0" w:color="auto"/>
            </w:tcBorders>
          </w:tcPr>
          <w:p w:rsidR="00A3044F" w:rsidRDefault="00A3044F" w:rsidP="00E048ED">
            <w:pPr>
              <w:pStyle w:val="TableTextBullet"/>
            </w:pPr>
            <w:r>
              <w:t>Proportion of placements sustained to a 12 week Employment or Hybrid Outcome, or a 26 week Education Outcome</w:t>
            </w:r>
            <w:r>
              <w:rPr>
                <w:b/>
              </w:rPr>
              <w:t xml:space="preserve">: </w:t>
            </w:r>
            <w:r>
              <w:t>65%</w:t>
            </w:r>
          </w:p>
          <w:p w:rsidR="00A3044F" w:rsidRDefault="00A3044F" w:rsidP="00E048ED">
            <w:pPr>
              <w:pStyle w:val="TableTextBullet"/>
            </w:pPr>
            <w:r>
              <w:t>Proportion of placements that are converted to Sustainability Outcomes: 40%</w:t>
            </w:r>
          </w:p>
          <w:p w:rsidR="00A3044F" w:rsidRPr="001229F2" w:rsidRDefault="00A3044F" w:rsidP="00E048ED">
            <w:pPr>
              <w:pStyle w:val="TableTextBullet"/>
            </w:pPr>
            <w:r>
              <w:t>Proportion of Transition to Work participants moving off income support, with reduced reliance on income support, or on to Youth Allowance (student) six months after participation in the service: 30%</w:t>
            </w:r>
          </w:p>
        </w:tc>
      </w:tr>
      <w:tr w:rsidR="00A3044F" w:rsidRPr="00F71634" w:rsidTr="00CB388E">
        <w:tc>
          <w:tcPr>
            <w:tcW w:w="1134" w:type="dxa"/>
            <w:tcBorders>
              <w:top w:val="nil"/>
              <w:bottom w:val="single" w:sz="4" w:space="0" w:color="auto"/>
              <w:right w:val="single" w:sz="4" w:space="0" w:color="auto"/>
            </w:tcBorders>
          </w:tcPr>
          <w:p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single" w:sz="4" w:space="0" w:color="auto"/>
              <w:right w:val="single" w:sz="4" w:space="0" w:color="auto"/>
            </w:tcBorders>
          </w:tcPr>
          <w:p w:rsidR="00A3044F" w:rsidRPr="001229F2" w:rsidRDefault="00A3044F" w:rsidP="00E048ED">
            <w:pPr>
              <w:pStyle w:val="TableTextLeft"/>
              <w:rPr>
                <w:rFonts w:cs="Arial"/>
                <w:sz w:val="16"/>
                <w:szCs w:val="16"/>
              </w:rPr>
            </w:pPr>
            <w:r>
              <w:rPr>
                <w:rFonts w:cs="Arial"/>
                <w:sz w:val="16"/>
                <w:szCs w:val="16"/>
              </w:rPr>
              <w:t xml:space="preserve">Time to Work Employment Service  </w:t>
            </w:r>
          </w:p>
        </w:tc>
        <w:tc>
          <w:tcPr>
            <w:tcW w:w="3772" w:type="dxa"/>
            <w:tcBorders>
              <w:top w:val="dotted" w:sz="4" w:space="0" w:color="auto"/>
              <w:left w:val="single" w:sz="4" w:space="0" w:color="auto"/>
              <w:bottom w:val="single" w:sz="4" w:space="0" w:color="auto"/>
            </w:tcBorders>
          </w:tcPr>
          <w:p w:rsidR="00A3044F" w:rsidRDefault="00A3044F" w:rsidP="00E048ED">
            <w:pPr>
              <w:pStyle w:val="TableTextBullet"/>
            </w:pPr>
            <w:r>
              <w:t>Proportion of eligible prisoners that participate in the service: 50%</w:t>
            </w:r>
          </w:p>
          <w:p w:rsidR="00A3044F" w:rsidRPr="001229F2" w:rsidRDefault="00A3044F" w:rsidP="003B2FE3">
            <w:pPr>
              <w:pStyle w:val="TableTextBullet"/>
            </w:pPr>
            <w:r>
              <w:t xml:space="preserve">Proportion of participants that complete a facilitated transfer from their in-prison </w:t>
            </w:r>
            <w:r>
              <w:lastRenderedPageBreak/>
              <w:t>service provider to their post-release employment service provider: 60%</w:t>
            </w:r>
          </w:p>
        </w:tc>
      </w:tr>
      <w:tr w:rsidR="00A3044F" w:rsidRPr="00F71634" w:rsidTr="00E048ED">
        <w:tc>
          <w:tcPr>
            <w:tcW w:w="1134" w:type="dxa"/>
            <w:tcBorders>
              <w:top w:val="single" w:sz="4" w:space="0" w:color="auto"/>
              <w:right w:val="single" w:sz="4" w:space="0" w:color="auto"/>
            </w:tcBorders>
          </w:tcPr>
          <w:p w:rsidR="00A3044F" w:rsidRPr="006906E4" w:rsidRDefault="00A3044F" w:rsidP="00E048ED">
            <w:pPr>
              <w:tabs>
                <w:tab w:val="left" w:pos="709"/>
              </w:tabs>
              <w:spacing w:before="60" w:after="60" w:line="240" w:lineRule="auto"/>
              <w:rPr>
                <w:rFonts w:ascii="Arial" w:hAnsi="Arial" w:cs="Arial"/>
                <w:sz w:val="16"/>
                <w:szCs w:val="16"/>
              </w:rPr>
            </w:pPr>
            <w:r>
              <w:rPr>
                <w:rFonts w:ascii="Arial" w:hAnsi="Arial" w:cs="Arial"/>
                <w:sz w:val="16"/>
                <w:szCs w:val="16"/>
              </w:rPr>
              <w:lastRenderedPageBreak/>
              <w:t>2019–20</w:t>
            </w:r>
            <w:r w:rsidRPr="006906E4">
              <w:rPr>
                <w:rFonts w:ascii="Arial" w:hAnsi="Arial" w:cs="Arial"/>
                <w:sz w:val="16"/>
                <w:szCs w:val="16"/>
              </w:rPr>
              <w:t xml:space="preserve"> and beyond</w:t>
            </w:r>
          </w:p>
        </w:tc>
        <w:tc>
          <w:tcPr>
            <w:tcW w:w="2835" w:type="dxa"/>
            <w:tcBorders>
              <w:top w:val="single" w:sz="4" w:space="0" w:color="auto"/>
              <w:left w:val="single" w:sz="4" w:space="0" w:color="auto"/>
              <w:right w:val="single" w:sz="4" w:space="0" w:color="auto"/>
            </w:tcBorders>
          </w:tcPr>
          <w:p w:rsidR="00A3044F" w:rsidRPr="006906E4" w:rsidRDefault="00A3044F" w:rsidP="00E048ED">
            <w:pPr>
              <w:pStyle w:val="TableTextLeft"/>
            </w:pPr>
            <w:r>
              <w:t>As per 2018–19</w:t>
            </w:r>
          </w:p>
        </w:tc>
        <w:tc>
          <w:tcPr>
            <w:tcW w:w="3772" w:type="dxa"/>
            <w:tcBorders>
              <w:top w:val="single" w:sz="4" w:space="0" w:color="auto"/>
              <w:left w:val="single" w:sz="4" w:space="0" w:color="auto"/>
            </w:tcBorders>
          </w:tcPr>
          <w:p w:rsidR="00A3044F" w:rsidRPr="006906E4" w:rsidRDefault="00A3044F" w:rsidP="00E048ED">
            <w:pPr>
              <w:pStyle w:val="TableTextLeft"/>
            </w:pPr>
            <w:r>
              <w:t>As per 2018–19</w:t>
            </w:r>
          </w:p>
        </w:tc>
      </w:tr>
      <w:tr w:rsidR="00A3044F" w:rsidRPr="00F71634" w:rsidTr="00E048ED">
        <w:tc>
          <w:tcPr>
            <w:tcW w:w="7741" w:type="dxa"/>
            <w:gridSpan w:val="3"/>
          </w:tcPr>
          <w:p w:rsidR="00A3044F" w:rsidRPr="006906E4" w:rsidRDefault="00A3044F" w:rsidP="00E048ED">
            <w:pPr>
              <w:spacing w:after="120"/>
              <w:rPr>
                <w:rStyle w:val="BodyTextChar"/>
                <w:rFonts w:ascii="Arial" w:hAnsi="Arial" w:cs="Arial"/>
                <w:b/>
                <w:bCs/>
                <w:iCs/>
                <w:spacing w:val="-6"/>
                <w:sz w:val="16"/>
                <w:szCs w:val="16"/>
              </w:rPr>
            </w:pPr>
            <w:r>
              <w:rPr>
                <w:rStyle w:val="BodyTextChar"/>
                <w:rFonts w:ascii="Arial" w:hAnsi="Arial" w:cs="Arial"/>
                <w:b/>
                <w:bCs/>
                <w:iCs/>
                <w:spacing w:val="-6"/>
                <w:sz w:val="16"/>
                <w:szCs w:val="16"/>
              </w:rPr>
              <w:t>Material changes to Program 1</w:t>
            </w:r>
            <w:r w:rsidRPr="006906E4">
              <w:rPr>
                <w:rStyle w:val="BodyTextChar"/>
                <w:rFonts w:ascii="Arial" w:hAnsi="Arial" w:cs="Arial"/>
                <w:b/>
                <w:bCs/>
                <w:iCs/>
                <w:spacing w:val="-6"/>
                <w:sz w:val="16"/>
                <w:szCs w:val="16"/>
              </w:rPr>
              <w:t>.1 resulting from the following measures:</w:t>
            </w:r>
          </w:p>
          <w:p w:rsidR="00A3044F" w:rsidRPr="00641937" w:rsidRDefault="002047CC" w:rsidP="00641937">
            <w:pPr>
              <w:pStyle w:val="TableTextBullet"/>
              <w:rPr>
                <w:rStyle w:val="BodyTextChar"/>
                <w:rFonts w:ascii="Arial" w:eastAsia="Times New Roman" w:hAnsi="Arial"/>
                <w:sz w:val="17"/>
                <w:szCs w:val="20"/>
                <w:lang w:eastAsia="en-AU"/>
              </w:rPr>
            </w:pPr>
            <w:r>
              <w:rPr>
                <w:rStyle w:val="BodyTextChar"/>
                <w:rFonts w:ascii="Arial" w:eastAsia="Times New Roman" w:hAnsi="Arial"/>
                <w:sz w:val="17"/>
                <w:szCs w:val="20"/>
                <w:lang w:eastAsia="en-AU"/>
              </w:rPr>
              <w:t>More Choices for a Longer Life</w:t>
            </w:r>
            <w:r w:rsidR="00A3044F" w:rsidRPr="00641937">
              <w:rPr>
                <w:rStyle w:val="BodyTextChar"/>
                <w:rFonts w:ascii="Arial" w:eastAsia="Times New Roman" w:hAnsi="Arial"/>
                <w:sz w:val="17"/>
                <w:szCs w:val="20"/>
                <w:lang w:eastAsia="en-AU"/>
              </w:rPr>
              <w:t xml:space="preserve"> —</w:t>
            </w:r>
            <w:r>
              <w:rPr>
                <w:rStyle w:val="BodyTextChar"/>
                <w:rFonts w:ascii="Arial" w:eastAsia="Times New Roman" w:hAnsi="Arial"/>
                <w:sz w:val="17"/>
                <w:szCs w:val="20"/>
                <w:lang w:eastAsia="en-AU"/>
              </w:rPr>
              <w:t xml:space="preserve"> jobs and skills for mature age Australians</w:t>
            </w:r>
          </w:p>
          <w:p w:rsidR="00A3044F" w:rsidRPr="00641937" w:rsidRDefault="00A3044F" w:rsidP="00641937">
            <w:pPr>
              <w:pStyle w:val="TableTextBullet"/>
              <w:rPr>
                <w:rStyle w:val="BodyTextChar"/>
                <w:rFonts w:ascii="Arial" w:eastAsia="Times New Roman" w:hAnsi="Arial"/>
                <w:sz w:val="17"/>
                <w:szCs w:val="20"/>
                <w:lang w:eastAsia="en-AU"/>
              </w:rPr>
            </w:pPr>
            <w:r w:rsidRPr="00641937">
              <w:rPr>
                <w:rStyle w:val="BodyTextChar"/>
                <w:rFonts w:ascii="Arial" w:hAnsi="Arial"/>
                <w:sz w:val="17"/>
                <w:szCs w:val="20"/>
                <w:lang w:eastAsia="en-AU"/>
              </w:rPr>
              <w:t>Regional Employment Trials Program—establishment</w:t>
            </w:r>
          </w:p>
          <w:p w:rsidR="00A3044F" w:rsidRPr="006906E4" w:rsidRDefault="00A3044F" w:rsidP="00641937">
            <w:pPr>
              <w:pStyle w:val="TableTextBullet"/>
            </w:pPr>
            <w:r w:rsidRPr="00641937">
              <w:rPr>
                <w:rStyle w:val="BodyTextChar"/>
                <w:rFonts w:ascii="Arial" w:hAnsi="Arial"/>
                <w:sz w:val="17"/>
                <w:szCs w:val="20"/>
                <w:lang w:eastAsia="en-AU"/>
              </w:rPr>
              <w:t xml:space="preserve">Streamlining Services for </w:t>
            </w:r>
            <w:r w:rsidR="00641937" w:rsidRPr="00641937">
              <w:rPr>
                <w:rStyle w:val="BodyTextChar"/>
                <w:rFonts w:ascii="Arial" w:hAnsi="Arial"/>
                <w:sz w:val="17"/>
                <w:szCs w:val="20"/>
                <w:lang w:eastAsia="en-AU"/>
              </w:rPr>
              <w:t>Refugees</w:t>
            </w:r>
          </w:p>
        </w:tc>
      </w:tr>
    </w:tbl>
    <w:p w:rsidR="00E048ED" w:rsidRPr="00950281" w:rsidRDefault="00E048ED" w:rsidP="00E01B4E">
      <w:pPr>
        <w:pStyle w:val="ChartandTableFootnote"/>
        <w:numPr>
          <w:ilvl w:val="0"/>
          <w:numId w:val="11"/>
        </w:numPr>
        <w:ind w:left="284" w:hanging="284"/>
      </w:pPr>
      <w:r>
        <w:rPr>
          <w:lang w:val="en-AU"/>
        </w:rPr>
        <w:t xml:space="preserve">On track means that the Department </w:t>
      </w:r>
      <w:r>
        <w:t>is either meeting the year to date benchmark or within 5 per cent of meeting it.</w:t>
      </w:r>
      <w:r>
        <w:rPr>
          <w:lang w:val="en-AU"/>
        </w:rPr>
        <w:t xml:space="preserve"> </w:t>
      </w:r>
    </w:p>
    <w:bookmarkEnd w:id="89"/>
    <w:bookmarkEnd w:id="90"/>
    <w:p w:rsidR="00E048ED" w:rsidRPr="00F743D8" w:rsidRDefault="00E048ED" w:rsidP="00E048ED">
      <w:pPr>
        <w:pStyle w:val="Heading3"/>
      </w:pPr>
      <w:r w:rsidRPr="00C3303C">
        <w:rPr>
          <w:rFonts w:ascii="Book Antiqua" w:hAnsi="Book Antiqua"/>
          <w:i/>
          <w:color w:val="FF0000"/>
          <w:sz w:val="20"/>
        </w:rPr>
        <w:br w:type="page"/>
      </w:r>
      <w:bookmarkStart w:id="91" w:name="_Toc444523516"/>
      <w:bookmarkStart w:id="92" w:name="_Toc511656250"/>
      <w:bookmarkStart w:id="93" w:name="_Toc511722623"/>
      <w:bookmarkStart w:id="94" w:name="_Toc511736954"/>
      <w:bookmarkStart w:id="95" w:name="_Toc511747216"/>
      <w:bookmarkStart w:id="96" w:name="_Toc511765619"/>
      <w:bookmarkStart w:id="97" w:name="_Toc511828675"/>
      <w:bookmarkStart w:id="98" w:name="_Toc511836814"/>
      <w:bookmarkStart w:id="99" w:name="_Toc511902520"/>
      <w:r>
        <w:lastRenderedPageBreak/>
        <w:t>2.2</w:t>
      </w:r>
      <w:r w:rsidRPr="00F743D8">
        <w:t xml:space="preserve"> </w:t>
      </w:r>
      <w:r w:rsidRPr="00F743D8">
        <w:tab/>
        <w:t xml:space="preserve">Budgeted expenses and performance for Outcome </w:t>
      </w:r>
      <w:r>
        <w:t>2</w:t>
      </w:r>
      <w:bookmarkEnd w:id="92"/>
      <w:bookmarkEnd w:id="93"/>
      <w:bookmarkEnd w:id="94"/>
      <w:bookmarkEnd w:id="95"/>
      <w:bookmarkEnd w:id="96"/>
      <w:bookmarkEnd w:id="97"/>
      <w:bookmarkEnd w:id="98"/>
      <w:bookmarkEnd w:id="99"/>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E048ED" w:rsidRPr="005E6F2B" w:rsidTr="00E048ED">
        <w:tc>
          <w:tcPr>
            <w:tcW w:w="7713" w:type="dxa"/>
            <w:shd w:val="clear" w:color="auto" w:fill="E6E6E6"/>
          </w:tcPr>
          <w:p w:rsidR="00E048ED" w:rsidRPr="005E6F2B" w:rsidRDefault="00E048ED" w:rsidP="00E048ED">
            <w:pPr>
              <w:pStyle w:val="TableColumnHeadingLeft"/>
            </w:pPr>
            <w:r w:rsidRPr="005E6F2B">
              <w:t xml:space="preserve">Outcome </w:t>
            </w:r>
            <w:r>
              <w:t xml:space="preserve">2: Facilitate jobs growth through policies </w:t>
            </w:r>
            <w:r w:rsidR="00B40754">
              <w:t xml:space="preserve">and programs </w:t>
            </w:r>
            <w:r>
              <w:t>that promote fair, productive and safe workplaces, and facilitate the growth of small business.</w:t>
            </w:r>
          </w:p>
        </w:tc>
      </w:tr>
    </w:tbl>
    <w:p w:rsidR="00E048ED" w:rsidRPr="005E6F2B" w:rsidRDefault="00E048ED" w:rsidP="00E048ED"/>
    <w:p w:rsidR="00E048ED" w:rsidRDefault="00E048ED" w:rsidP="00E048ED">
      <w:pPr>
        <w:pStyle w:val="Heading4"/>
      </w:pPr>
      <w:r>
        <w:t>Program changes</w:t>
      </w:r>
    </w:p>
    <w:p w:rsidR="00E048ED" w:rsidRDefault="00E048ED" w:rsidP="00E048ED">
      <w:pPr>
        <w:pStyle w:val="FigureHeading"/>
      </w:pPr>
      <w:r>
        <w:t>Figure 2: Changes to the program structure for Outcome 2 since the last Portfolio Budget Statement</w:t>
      </w:r>
    </w:p>
    <w:tbl>
      <w:tblPr>
        <w:tblW w:w="7730" w:type="dxa"/>
        <w:tblInd w:w="93" w:type="dxa"/>
        <w:tblLook w:val="04A0" w:firstRow="1" w:lastRow="0" w:firstColumn="1" w:lastColumn="0" w:noHBand="0" w:noVBand="1"/>
      </w:tblPr>
      <w:tblGrid>
        <w:gridCol w:w="1247"/>
        <w:gridCol w:w="2835"/>
        <w:gridCol w:w="3648"/>
      </w:tblGrid>
      <w:tr w:rsidR="00E048ED" w:rsidRPr="00566D5F" w:rsidTr="00E048ED">
        <w:trPr>
          <w:trHeight w:val="450"/>
        </w:trPr>
        <w:tc>
          <w:tcPr>
            <w:tcW w:w="1247" w:type="dxa"/>
            <w:tcBorders>
              <w:top w:val="single" w:sz="4" w:space="0" w:color="000000"/>
              <w:left w:val="nil"/>
              <w:bottom w:val="single" w:sz="4" w:space="0" w:color="000000"/>
              <w:right w:val="nil"/>
            </w:tcBorders>
            <w:shd w:val="clear" w:color="000000" w:fill="E6E6E6"/>
            <w:vAlign w:val="center"/>
            <w:hideMark/>
          </w:tcPr>
          <w:p w:rsidR="00E048ED" w:rsidRPr="00566D5F" w:rsidRDefault="00E048ED" w:rsidP="00E048ED">
            <w:pPr>
              <w:spacing w:after="0" w:line="240" w:lineRule="auto"/>
              <w:jc w:val="center"/>
              <w:rPr>
                <w:rFonts w:ascii="Arial" w:hAnsi="Arial" w:cs="Arial"/>
                <w:b/>
                <w:bCs/>
                <w:color w:val="000000"/>
                <w:sz w:val="16"/>
                <w:szCs w:val="16"/>
              </w:rPr>
            </w:pPr>
            <w:r w:rsidRPr="00566D5F">
              <w:rPr>
                <w:rFonts w:ascii="Arial" w:hAnsi="Arial" w:cs="Arial"/>
                <w:b/>
                <w:bCs/>
                <w:color w:val="000000"/>
                <w:sz w:val="16"/>
                <w:szCs w:val="16"/>
              </w:rPr>
              <w:t>Program No.</w:t>
            </w:r>
          </w:p>
        </w:tc>
        <w:tc>
          <w:tcPr>
            <w:tcW w:w="2835" w:type="dxa"/>
            <w:tcBorders>
              <w:top w:val="single" w:sz="4" w:space="0" w:color="000000"/>
              <w:left w:val="nil"/>
              <w:bottom w:val="single" w:sz="4" w:space="0" w:color="000000"/>
              <w:right w:val="nil"/>
            </w:tcBorders>
            <w:shd w:val="clear" w:color="000000" w:fill="E6E6E6"/>
            <w:vAlign w:val="center"/>
            <w:hideMark/>
          </w:tcPr>
          <w:p w:rsidR="00E048ED" w:rsidRPr="00566D5F" w:rsidRDefault="00E048ED" w:rsidP="00E048ED">
            <w:pPr>
              <w:spacing w:after="0" w:line="240" w:lineRule="auto"/>
              <w:rPr>
                <w:rFonts w:ascii="Arial" w:hAnsi="Arial" w:cs="Arial"/>
                <w:b/>
                <w:bCs/>
                <w:color w:val="000000"/>
                <w:sz w:val="16"/>
                <w:szCs w:val="16"/>
              </w:rPr>
            </w:pPr>
            <w:r w:rsidRPr="00566D5F">
              <w:rPr>
                <w:rFonts w:ascii="Arial" w:hAnsi="Arial" w:cs="Arial"/>
                <w:b/>
                <w:bCs/>
                <w:color w:val="000000"/>
                <w:sz w:val="16"/>
                <w:szCs w:val="16"/>
              </w:rPr>
              <w:t>Program title</w:t>
            </w:r>
          </w:p>
        </w:tc>
        <w:tc>
          <w:tcPr>
            <w:tcW w:w="3648" w:type="dxa"/>
            <w:tcBorders>
              <w:top w:val="single" w:sz="4" w:space="0" w:color="000000"/>
              <w:left w:val="nil"/>
              <w:bottom w:val="single" w:sz="4" w:space="0" w:color="000000"/>
              <w:right w:val="nil"/>
            </w:tcBorders>
            <w:shd w:val="clear" w:color="000000" w:fill="E6E6E6"/>
            <w:vAlign w:val="center"/>
            <w:hideMark/>
          </w:tcPr>
          <w:p w:rsidR="00E048ED" w:rsidRPr="00566D5F" w:rsidRDefault="00E048ED" w:rsidP="00E048ED">
            <w:pPr>
              <w:spacing w:after="0" w:line="240" w:lineRule="auto"/>
              <w:rPr>
                <w:rFonts w:ascii="Arial" w:hAnsi="Arial" w:cs="Arial"/>
                <w:b/>
                <w:bCs/>
                <w:color w:val="000000"/>
                <w:sz w:val="16"/>
                <w:szCs w:val="16"/>
              </w:rPr>
            </w:pPr>
            <w:r w:rsidRPr="00566D5F">
              <w:rPr>
                <w:rFonts w:ascii="Arial" w:hAnsi="Arial" w:cs="Arial"/>
                <w:b/>
                <w:bCs/>
                <w:color w:val="000000"/>
                <w:sz w:val="16"/>
                <w:szCs w:val="16"/>
              </w:rPr>
              <w:t>Description of change</w:t>
            </w:r>
          </w:p>
        </w:tc>
      </w:tr>
      <w:tr w:rsidR="00E048ED" w:rsidRPr="00566D5F" w:rsidTr="008D52E2">
        <w:trPr>
          <w:trHeight w:val="624"/>
        </w:trPr>
        <w:tc>
          <w:tcPr>
            <w:tcW w:w="1247" w:type="dxa"/>
            <w:tcBorders>
              <w:top w:val="nil"/>
              <w:left w:val="nil"/>
              <w:bottom w:val="single" w:sz="4" w:space="0" w:color="000000"/>
              <w:right w:val="nil"/>
            </w:tcBorders>
            <w:shd w:val="clear" w:color="auto" w:fill="auto"/>
            <w:noWrap/>
            <w:hideMark/>
          </w:tcPr>
          <w:p w:rsidR="00E048ED" w:rsidRPr="00566D5F" w:rsidRDefault="00E048ED" w:rsidP="00E048ED">
            <w:pPr>
              <w:spacing w:before="40" w:after="0" w:line="240" w:lineRule="auto"/>
              <w:jc w:val="center"/>
              <w:rPr>
                <w:rFonts w:ascii="Arial" w:hAnsi="Arial" w:cs="Arial"/>
                <w:color w:val="000000"/>
                <w:sz w:val="16"/>
                <w:szCs w:val="16"/>
              </w:rPr>
            </w:pPr>
            <w:r w:rsidRPr="00566D5F">
              <w:rPr>
                <w:rFonts w:ascii="Arial" w:hAnsi="Arial" w:cs="Arial"/>
                <w:color w:val="000000"/>
                <w:sz w:val="16"/>
                <w:szCs w:val="16"/>
              </w:rPr>
              <w:t>2.</w:t>
            </w:r>
            <w:r>
              <w:rPr>
                <w:rFonts w:ascii="Arial" w:hAnsi="Arial" w:cs="Arial"/>
                <w:color w:val="000000"/>
                <w:sz w:val="16"/>
                <w:szCs w:val="16"/>
              </w:rPr>
              <w:t>3</w:t>
            </w:r>
          </w:p>
        </w:tc>
        <w:tc>
          <w:tcPr>
            <w:tcW w:w="2835" w:type="dxa"/>
            <w:tcBorders>
              <w:top w:val="nil"/>
              <w:left w:val="nil"/>
              <w:bottom w:val="single" w:sz="4" w:space="0" w:color="000000"/>
              <w:right w:val="nil"/>
            </w:tcBorders>
            <w:shd w:val="clear" w:color="auto" w:fill="auto"/>
            <w:hideMark/>
          </w:tcPr>
          <w:p w:rsidR="00E048ED" w:rsidRPr="00566D5F" w:rsidRDefault="00E048ED" w:rsidP="00E048ED">
            <w:pPr>
              <w:spacing w:before="40" w:after="0" w:line="240" w:lineRule="auto"/>
              <w:rPr>
                <w:rFonts w:ascii="Arial" w:hAnsi="Arial" w:cs="Arial"/>
                <w:color w:val="000000"/>
                <w:sz w:val="16"/>
                <w:szCs w:val="16"/>
              </w:rPr>
            </w:pPr>
            <w:r>
              <w:rPr>
                <w:rFonts w:ascii="Arial" w:hAnsi="Arial" w:cs="Arial"/>
                <w:color w:val="000000"/>
                <w:sz w:val="16"/>
                <w:szCs w:val="16"/>
              </w:rPr>
              <w:t>Small Business Support</w:t>
            </w:r>
          </w:p>
        </w:tc>
        <w:tc>
          <w:tcPr>
            <w:tcW w:w="3648" w:type="dxa"/>
            <w:tcBorders>
              <w:top w:val="nil"/>
              <w:left w:val="nil"/>
              <w:bottom w:val="single" w:sz="4" w:space="0" w:color="000000"/>
              <w:right w:val="nil"/>
            </w:tcBorders>
            <w:shd w:val="clear" w:color="auto" w:fill="auto"/>
            <w:hideMark/>
          </w:tcPr>
          <w:p w:rsidR="00E048ED" w:rsidRPr="00566D5F" w:rsidRDefault="008D52E2" w:rsidP="008D52E2">
            <w:pPr>
              <w:spacing w:before="40" w:after="0" w:line="240" w:lineRule="auto"/>
              <w:rPr>
                <w:rFonts w:ascii="Arial" w:hAnsi="Arial" w:cs="Arial"/>
                <w:color w:val="000000"/>
                <w:sz w:val="16"/>
                <w:szCs w:val="16"/>
              </w:rPr>
            </w:pPr>
            <w:r>
              <w:rPr>
                <w:rFonts w:ascii="Arial" w:hAnsi="Arial" w:cs="Arial"/>
                <w:color w:val="000000"/>
                <w:sz w:val="16"/>
                <w:szCs w:val="16"/>
              </w:rPr>
              <w:t xml:space="preserve">New program created for small business functions transferred to the department following the </w:t>
            </w:r>
            <w:r w:rsidR="00E048ED">
              <w:rPr>
                <w:rFonts w:ascii="Arial" w:hAnsi="Arial" w:cs="Arial"/>
                <w:color w:val="000000"/>
                <w:sz w:val="16"/>
                <w:szCs w:val="16"/>
              </w:rPr>
              <w:t xml:space="preserve">AAO </w:t>
            </w:r>
            <w:r>
              <w:rPr>
                <w:rFonts w:ascii="Arial" w:hAnsi="Arial" w:cs="Arial"/>
                <w:color w:val="000000"/>
                <w:sz w:val="16"/>
                <w:szCs w:val="16"/>
              </w:rPr>
              <w:t xml:space="preserve">of </w:t>
            </w:r>
            <w:r w:rsidR="00E048ED">
              <w:rPr>
                <w:rFonts w:ascii="Arial" w:hAnsi="Arial" w:cs="Arial"/>
                <w:color w:val="000000"/>
                <w:sz w:val="16"/>
                <w:szCs w:val="16"/>
              </w:rPr>
              <w:t xml:space="preserve">20 December 2017. </w:t>
            </w:r>
          </w:p>
        </w:tc>
      </w:tr>
    </w:tbl>
    <w:p w:rsidR="00E048ED" w:rsidRDefault="00E048ED" w:rsidP="00E048ED"/>
    <w:p w:rsidR="00E048ED" w:rsidRPr="00446612" w:rsidRDefault="00E048ED" w:rsidP="00E048ED">
      <w:pPr>
        <w:pStyle w:val="Heading4"/>
      </w:pPr>
      <w:r w:rsidRPr="00446612">
        <w:t xml:space="preserve">Budgeted expenses for Outcome </w:t>
      </w:r>
      <w:r>
        <w:t>2</w:t>
      </w:r>
    </w:p>
    <w:p w:rsidR="00E048ED" w:rsidRDefault="00E048ED" w:rsidP="00E048ED">
      <w:r w:rsidRPr="00950281">
        <w:t>This table shows how much the entity intends to spend (on an accrual basis) on achieving the outcome, broken down by program, as well as by Administered an</w:t>
      </w:r>
      <w:r>
        <w:t>d Departmental funding sources.</w:t>
      </w:r>
    </w:p>
    <w:p w:rsidR="00E048ED" w:rsidRDefault="00E048ED" w:rsidP="00E048ED">
      <w:pPr>
        <w:pStyle w:val="TableHeading"/>
        <w:rPr>
          <w:lang w:val="en-AU"/>
        </w:rPr>
      </w:pPr>
      <w:r>
        <w:t>Table 2.</w:t>
      </w:r>
      <w:r>
        <w:rPr>
          <w:lang w:val="en-AU"/>
        </w:rPr>
        <w:t>2</w:t>
      </w:r>
      <w:r>
        <w:t xml:space="preserve">.1: Budgeted expenses for Outcome </w:t>
      </w:r>
      <w:r>
        <w:rPr>
          <w:lang w:val="en-AU"/>
        </w:rPr>
        <w:t>2</w:t>
      </w:r>
    </w:p>
    <w:tbl>
      <w:tblPr>
        <w:tblW w:w="7741" w:type="dxa"/>
        <w:tblInd w:w="93" w:type="dxa"/>
        <w:tblLook w:val="04A0" w:firstRow="1" w:lastRow="0" w:firstColumn="1" w:lastColumn="0" w:noHBand="0" w:noVBand="1"/>
      </w:tblPr>
      <w:tblGrid>
        <w:gridCol w:w="3005"/>
        <w:gridCol w:w="947"/>
        <w:gridCol w:w="947"/>
        <w:gridCol w:w="947"/>
        <w:gridCol w:w="947"/>
        <w:gridCol w:w="948"/>
      </w:tblGrid>
      <w:tr w:rsidR="00E048ED" w:rsidRPr="00566D5F" w:rsidTr="003B2FE3">
        <w:trPr>
          <w:trHeight w:val="454"/>
        </w:trPr>
        <w:tc>
          <w:tcPr>
            <w:tcW w:w="7741" w:type="dxa"/>
            <w:gridSpan w:val="6"/>
            <w:tcBorders>
              <w:top w:val="single" w:sz="4" w:space="0" w:color="auto"/>
              <w:left w:val="nil"/>
              <w:bottom w:val="single" w:sz="4" w:space="0" w:color="auto"/>
              <w:right w:val="nil"/>
            </w:tcBorders>
            <w:shd w:val="clear" w:color="auto" w:fill="auto"/>
            <w:vAlign w:val="center"/>
            <w:hideMark/>
          </w:tcPr>
          <w:p w:rsidR="00E048ED" w:rsidRPr="00566D5F" w:rsidRDefault="00E048ED" w:rsidP="00E048ED">
            <w:pPr>
              <w:spacing w:after="0" w:line="240" w:lineRule="auto"/>
              <w:rPr>
                <w:rFonts w:ascii="Arial" w:hAnsi="Arial" w:cs="Arial"/>
                <w:b/>
                <w:bCs/>
                <w:color w:val="000000"/>
                <w:sz w:val="16"/>
                <w:szCs w:val="16"/>
              </w:rPr>
            </w:pPr>
            <w:r w:rsidRPr="00566D5F">
              <w:rPr>
                <w:rFonts w:ascii="Arial" w:hAnsi="Arial" w:cs="Arial"/>
                <w:b/>
                <w:bCs/>
                <w:color w:val="000000"/>
                <w:sz w:val="16"/>
                <w:szCs w:val="16"/>
              </w:rPr>
              <w:t xml:space="preserve">Outcome 2: Facilitate jobs growth through policies </w:t>
            </w:r>
            <w:r w:rsidR="00B40754">
              <w:rPr>
                <w:rFonts w:ascii="Arial" w:hAnsi="Arial" w:cs="Arial"/>
                <w:b/>
                <w:bCs/>
                <w:color w:val="000000"/>
                <w:sz w:val="16"/>
                <w:szCs w:val="16"/>
              </w:rPr>
              <w:t xml:space="preserve">and programs </w:t>
            </w:r>
            <w:r w:rsidRPr="00566D5F">
              <w:rPr>
                <w:rFonts w:ascii="Arial" w:hAnsi="Arial" w:cs="Arial"/>
                <w:b/>
                <w:bCs/>
                <w:color w:val="000000"/>
                <w:sz w:val="16"/>
                <w:szCs w:val="16"/>
              </w:rPr>
              <w:t>that promote fair, productive and safe workplaces, and facilitate the growth of small business.</w:t>
            </w:r>
          </w:p>
        </w:tc>
      </w:tr>
      <w:tr w:rsidR="00E048ED" w:rsidRPr="00566D5F" w:rsidTr="00E048ED">
        <w:trPr>
          <w:trHeight w:val="794"/>
        </w:trPr>
        <w:tc>
          <w:tcPr>
            <w:tcW w:w="3005" w:type="dxa"/>
            <w:tcBorders>
              <w:top w:val="nil"/>
              <w:left w:val="nil"/>
              <w:bottom w:val="single" w:sz="4" w:space="0" w:color="auto"/>
              <w:right w:val="nil"/>
            </w:tcBorders>
            <w:shd w:val="clear" w:color="auto" w:fill="auto"/>
            <w:vAlign w:val="center"/>
            <w:hideMark/>
          </w:tcPr>
          <w:p w:rsidR="00E048ED" w:rsidRPr="00566D5F" w:rsidRDefault="00E048ED" w:rsidP="00E048ED">
            <w:pPr>
              <w:spacing w:after="0" w:line="240" w:lineRule="auto"/>
              <w:rPr>
                <w:rFonts w:ascii="Arial" w:hAnsi="Arial" w:cs="Arial"/>
                <w:b/>
                <w:bCs/>
                <w:color w:val="000000"/>
                <w:sz w:val="16"/>
                <w:szCs w:val="16"/>
              </w:rPr>
            </w:pPr>
            <w:r w:rsidRPr="00566D5F">
              <w:rPr>
                <w:rFonts w:ascii="Arial" w:hAnsi="Arial" w:cs="Arial"/>
                <w:b/>
                <w:bCs/>
                <w:color w:val="000000"/>
                <w:sz w:val="16"/>
                <w:szCs w:val="16"/>
              </w:rPr>
              <w:t> </w:t>
            </w:r>
          </w:p>
        </w:tc>
        <w:tc>
          <w:tcPr>
            <w:tcW w:w="947" w:type="dxa"/>
            <w:tcBorders>
              <w:top w:val="nil"/>
              <w:left w:val="nil"/>
              <w:bottom w:val="single" w:sz="4" w:space="0" w:color="auto"/>
              <w:right w:val="nil"/>
            </w:tcBorders>
            <w:shd w:val="clear" w:color="auto" w:fill="auto"/>
            <w:vAlign w:val="center"/>
            <w:hideMark/>
          </w:tcPr>
          <w:p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2017–18 Estimated actual</w:t>
            </w:r>
            <w:r w:rsidRPr="00566D5F">
              <w:rPr>
                <w:rFonts w:ascii="Arial" w:hAnsi="Arial" w:cs="Arial"/>
                <w:sz w:val="16"/>
                <w:szCs w:val="16"/>
              </w:rPr>
              <w:br/>
              <w:t>$'000</w:t>
            </w:r>
          </w:p>
        </w:tc>
        <w:tc>
          <w:tcPr>
            <w:tcW w:w="947" w:type="dxa"/>
            <w:tcBorders>
              <w:top w:val="nil"/>
              <w:left w:val="nil"/>
              <w:bottom w:val="single" w:sz="4" w:space="0" w:color="auto"/>
              <w:right w:val="nil"/>
            </w:tcBorders>
            <w:shd w:val="clear" w:color="000000" w:fill="E6E6E6"/>
            <w:vAlign w:val="center"/>
            <w:hideMark/>
          </w:tcPr>
          <w:p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2018–19</w:t>
            </w:r>
            <w:r w:rsidRPr="00566D5F">
              <w:rPr>
                <w:rFonts w:ascii="Arial" w:hAnsi="Arial" w:cs="Arial"/>
                <w:sz w:val="16"/>
                <w:szCs w:val="16"/>
              </w:rPr>
              <w:br/>
              <w:t>Budget</w:t>
            </w:r>
            <w:r w:rsidRPr="00566D5F">
              <w:rPr>
                <w:rFonts w:ascii="Arial" w:hAnsi="Arial" w:cs="Arial"/>
                <w:sz w:val="16"/>
                <w:szCs w:val="16"/>
              </w:rPr>
              <w:br/>
            </w:r>
            <w:r w:rsidRPr="00566D5F">
              <w:rPr>
                <w:rFonts w:ascii="Arial" w:hAnsi="Arial" w:cs="Arial"/>
                <w:sz w:val="16"/>
                <w:szCs w:val="16"/>
              </w:rPr>
              <w:br/>
              <w:t>$'000</w:t>
            </w:r>
          </w:p>
        </w:tc>
        <w:tc>
          <w:tcPr>
            <w:tcW w:w="947" w:type="dxa"/>
            <w:tcBorders>
              <w:top w:val="nil"/>
              <w:left w:val="nil"/>
              <w:bottom w:val="single" w:sz="4" w:space="0" w:color="auto"/>
              <w:right w:val="nil"/>
            </w:tcBorders>
            <w:shd w:val="clear" w:color="auto" w:fill="auto"/>
            <w:vAlign w:val="center"/>
            <w:hideMark/>
          </w:tcPr>
          <w:p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2019–20 Forward estimate</w:t>
            </w:r>
            <w:r w:rsidRPr="00566D5F">
              <w:rPr>
                <w:rFonts w:ascii="Arial" w:hAnsi="Arial" w:cs="Arial"/>
                <w:sz w:val="16"/>
                <w:szCs w:val="16"/>
              </w:rPr>
              <w:br/>
              <w:t>$'000</w:t>
            </w:r>
          </w:p>
        </w:tc>
        <w:tc>
          <w:tcPr>
            <w:tcW w:w="947" w:type="dxa"/>
            <w:tcBorders>
              <w:top w:val="nil"/>
              <w:left w:val="nil"/>
              <w:bottom w:val="single" w:sz="4" w:space="0" w:color="auto"/>
              <w:right w:val="nil"/>
            </w:tcBorders>
            <w:shd w:val="clear" w:color="auto" w:fill="auto"/>
            <w:vAlign w:val="center"/>
            <w:hideMark/>
          </w:tcPr>
          <w:p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2020–21 Forward estimate</w:t>
            </w:r>
            <w:r w:rsidRPr="00566D5F">
              <w:rPr>
                <w:rFonts w:ascii="Arial" w:hAnsi="Arial" w:cs="Arial"/>
                <w:sz w:val="16"/>
                <w:szCs w:val="16"/>
              </w:rPr>
              <w:br/>
              <w:t>$'000</w:t>
            </w:r>
          </w:p>
        </w:tc>
        <w:tc>
          <w:tcPr>
            <w:tcW w:w="948" w:type="dxa"/>
            <w:tcBorders>
              <w:top w:val="nil"/>
              <w:left w:val="nil"/>
              <w:bottom w:val="single" w:sz="4" w:space="0" w:color="auto"/>
              <w:right w:val="nil"/>
            </w:tcBorders>
            <w:shd w:val="clear" w:color="auto" w:fill="auto"/>
            <w:vAlign w:val="center"/>
            <w:hideMark/>
          </w:tcPr>
          <w:p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2021–22</w:t>
            </w:r>
            <w:r w:rsidRPr="00566D5F">
              <w:rPr>
                <w:rFonts w:ascii="Arial" w:hAnsi="Arial" w:cs="Arial"/>
                <w:sz w:val="16"/>
                <w:szCs w:val="16"/>
              </w:rPr>
              <w:br/>
              <w:t>Forward estimate</w:t>
            </w:r>
            <w:r w:rsidRPr="00566D5F">
              <w:rPr>
                <w:rFonts w:ascii="Arial" w:hAnsi="Arial" w:cs="Arial"/>
                <w:sz w:val="16"/>
                <w:szCs w:val="16"/>
              </w:rPr>
              <w:br/>
              <w:t>$'000</w:t>
            </w:r>
          </w:p>
        </w:tc>
      </w:tr>
      <w:tr w:rsidR="00E048ED" w:rsidRPr="00566D5F" w:rsidTr="00E048ED">
        <w:trPr>
          <w:trHeight w:val="283"/>
        </w:trPr>
        <w:tc>
          <w:tcPr>
            <w:tcW w:w="7741" w:type="dxa"/>
            <w:gridSpan w:val="6"/>
            <w:tcBorders>
              <w:top w:val="single" w:sz="4" w:space="0" w:color="auto"/>
              <w:left w:val="nil"/>
              <w:bottom w:val="nil"/>
              <w:right w:val="nil"/>
            </w:tcBorders>
            <w:shd w:val="clear" w:color="000000" w:fill="E6E6E6"/>
            <w:vAlign w:val="center"/>
            <w:hideMark/>
          </w:tcPr>
          <w:p w:rsidR="00E048ED" w:rsidRPr="00566D5F" w:rsidRDefault="00E048ED" w:rsidP="00E048ED">
            <w:pPr>
              <w:spacing w:after="0" w:line="240" w:lineRule="auto"/>
              <w:rPr>
                <w:rFonts w:ascii="Arial" w:hAnsi="Arial" w:cs="Arial"/>
                <w:b/>
                <w:bCs/>
                <w:sz w:val="16"/>
                <w:szCs w:val="16"/>
              </w:rPr>
            </w:pPr>
            <w:r w:rsidRPr="00566D5F">
              <w:rPr>
                <w:rFonts w:ascii="Arial" w:hAnsi="Arial" w:cs="Arial"/>
                <w:b/>
                <w:bCs/>
                <w:sz w:val="16"/>
                <w:szCs w:val="16"/>
              </w:rPr>
              <w:t>Program 2.1: Workplace Support</w:t>
            </w:r>
          </w:p>
        </w:tc>
      </w:tr>
      <w:tr w:rsidR="00E048ED" w:rsidRPr="00566D5F" w:rsidTr="00E048ED">
        <w:trPr>
          <w:trHeight w:val="225"/>
        </w:trPr>
        <w:tc>
          <w:tcPr>
            <w:tcW w:w="3005" w:type="dxa"/>
            <w:tcBorders>
              <w:top w:val="single" w:sz="4" w:space="0" w:color="000000"/>
              <w:left w:val="nil"/>
              <w:bottom w:val="nil"/>
              <w:right w:val="nil"/>
            </w:tcBorders>
            <w:shd w:val="clear" w:color="auto" w:fill="auto"/>
            <w:noWrap/>
            <w:vAlign w:val="center"/>
            <w:hideMark/>
          </w:tcPr>
          <w:p w:rsidR="00E048ED" w:rsidRPr="00566D5F" w:rsidRDefault="00E048ED" w:rsidP="00E048ED">
            <w:pPr>
              <w:spacing w:after="0" w:line="240" w:lineRule="auto"/>
              <w:rPr>
                <w:rFonts w:ascii="Arial" w:hAnsi="Arial" w:cs="Arial"/>
                <w:sz w:val="16"/>
                <w:szCs w:val="16"/>
              </w:rPr>
            </w:pPr>
            <w:r w:rsidRPr="00566D5F">
              <w:rPr>
                <w:rFonts w:ascii="Arial" w:hAnsi="Arial" w:cs="Arial"/>
                <w:sz w:val="16"/>
                <w:szCs w:val="16"/>
              </w:rPr>
              <w:t>Administered expenses</w:t>
            </w:r>
          </w:p>
        </w:tc>
        <w:tc>
          <w:tcPr>
            <w:tcW w:w="947" w:type="dxa"/>
            <w:tcBorders>
              <w:top w:val="single" w:sz="4" w:space="0" w:color="000000"/>
              <w:left w:val="nil"/>
              <w:bottom w:val="nil"/>
              <w:right w:val="nil"/>
            </w:tcBorders>
            <w:shd w:val="clear" w:color="auto" w:fill="auto"/>
            <w:noWrap/>
            <w:vAlign w:val="center"/>
            <w:hideMark/>
          </w:tcPr>
          <w:p w:rsidR="00E048ED" w:rsidRPr="00566D5F" w:rsidRDefault="00E048ED" w:rsidP="00E048ED">
            <w:pPr>
              <w:spacing w:after="0" w:line="240" w:lineRule="auto"/>
              <w:jc w:val="right"/>
              <w:rPr>
                <w:rFonts w:ascii="Arial" w:hAnsi="Arial" w:cs="Arial"/>
                <w:color w:val="000000"/>
                <w:sz w:val="16"/>
                <w:szCs w:val="16"/>
              </w:rPr>
            </w:pPr>
            <w:r w:rsidRPr="00566D5F">
              <w:rPr>
                <w:rFonts w:ascii="Arial" w:hAnsi="Arial" w:cs="Arial"/>
                <w:color w:val="000000"/>
                <w:sz w:val="16"/>
                <w:szCs w:val="16"/>
              </w:rPr>
              <w:t> </w:t>
            </w:r>
          </w:p>
        </w:tc>
        <w:tc>
          <w:tcPr>
            <w:tcW w:w="947" w:type="dxa"/>
            <w:tcBorders>
              <w:top w:val="single" w:sz="4" w:space="0" w:color="000000"/>
              <w:left w:val="nil"/>
              <w:bottom w:val="nil"/>
              <w:right w:val="nil"/>
            </w:tcBorders>
            <w:shd w:val="clear" w:color="000000" w:fill="E6E6E6"/>
            <w:noWrap/>
            <w:vAlign w:val="center"/>
            <w:hideMark/>
          </w:tcPr>
          <w:p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 </w:t>
            </w:r>
          </w:p>
        </w:tc>
        <w:tc>
          <w:tcPr>
            <w:tcW w:w="947" w:type="dxa"/>
            <w:tcBorders>
              <w:top w:val="single" w:sz="4" w:space="0" w:color="000000"/>
              <w:left w:val="nil"/>
              <w:bottom w:val="nil"/>
              <w:right w:val="nil"/>
            </w:tcBorders>
            <w:shd w:val="clear" w:color="auto" w:fill="auto"/>
            <w:noWrap/>
            <w:vAlign w:val="center"/>
            <w:hideMark/>
          </w:tcPr>
          <w:p w:rsidR="00E048ED" w:rsidRPr="00566D5F" w:rsidRDefault="00E048ED" w:rsidP="00E048ED">
            <w:pPr>
              <w:spacing w:after="0" w:line="240" w:lineRule="auto"/>
              <w:rPr>
                <w:rFonts w:ascii="Arial" w:hAnsi="Arial" w:cs="Arial"/>
                <w:sz w:val="16"/>
                <w:szCs w:val="16"/>
              </w:rPr>
            </w:pPr>
            <w:r w:rsidRPr="00566D5F">
              <w:rPr>
                <w:rFonts w:ascii="Arial" w:hAnsi="Arial" w:cs="Arial"/>
                <w:sz w:val="16"/>
                <w:szCs w:val="16"/>
              </w:rPr>
              <w:t> </w:t>
            </w:r>
          </w:p>
        </w:tc>
        <w:tc>
          <w:tcPr>
            <w:tcW w:w="947" w:type="dxa"/>
            <w:tcBorders>
              <w:top w:val="single" w:sz="4" w:space="0" w:color="000000"/>
              <w:left w:val="nil"/>
              <w:bottom w:val="nil"/>
              <w:right w:val="nil"/>
            </w:tcBorders>
            <w:shd w:val="clear" w:color="auto" w:fill="auto"/>
            <w:noWrap/>
            <w:vAlign w:val="center"/>
            <w:hideMark/>
          </w:tcPr>
          <w:p w:rsidR="00E048ED" w:rsidRPr="00566D5F" w:rsidRDefault="00E048ED" w:rsidP="00E048ED">
            <w:pPr>
              <w:spacing w:after="0" w:line="240" w:lineRule="auto"/>
              <w:rPr>
                <w:rFonts w:ascii="Arial" w:hAnsi="Arial" w:cs="Arial"/>
                <w:sz w:val="16"/>
                <w:szCs w:val="16"/>
              </w:rPr>
            </w:pPr>
            <w:r w:rsidRPr="00566D5F">
              <w:rPr>
                <w:rFonts w:ascii="Arial" w:hAnsi="Arial" w:cs="Arial"/>
                <w:sz w:val="16"/>
                <w:szCs w:val="16"/>
              </w:rPr>
              <w:t> </w:t>
            </w:r>
          </w:p>
        </w:tc>
        <w:tc>
          <w:tcPr>
            <w:tcW w:w="948" w:type="dxa"/>
            <w:tcBorders>
              <w:top w:val="single" w:sz="4" w:space="0" w:color="000000"/>
              <w:left w:val="nil"/>
              <w:bottom w:val="nil"/>
              <w:right w:val="nil"/>
            </w:tcBorders>
            <w:shd w:val="clear" w:color="auto" w:fill="auto"/>
            <w:noWrap/>
            <w:vAlign w:val="center"/>
            <w:hideMark/>
          </w:tcPr>
          <w:p w:rsidR="00E048ED" w:rsidRPr="00566D5F" w:rsidRDefault="00E048ED" w:rsidP="00E048ED">
            <w:pPr>
              <w:spacing w:after="0" w:line="240" w:lineRule="auto"/>
              <w:rPr>
                <w:rFonts w:ascii="Arial" w:hAnsi="Arial" w:cs="Arial"/>
                <w:sz w:val="16"/>
                <w:szCs w:val="16"/>
              </w:rPr>
            </w:pPr>
            <w:r w:rsidRPr="00566D5F">
              <w:rPr>
                <w:rFonts w:ascii="Arial" w:hAnsi="Arial" w:cs="Arial"/>
                <w:sz w:val="16"/>
                <w:szCs w:val="16"/>
              </w:rPr>
              <w:t> </w:t>
            </w:r>
          </w:p>
        </w:tc>
      </w:tr>
      <w:tr w:rsidR="003B2FE3" w:rsidRPr="00566D5F" w:rsidTr="00E048ED">
        <w:trPr>
          <w:trHeight w:val="225"/>
        </w:trPr>
        <w:tc>
          <w:tcPr>
            <w:tcW w:w="3005" w:type="dxa"/>
            <w:tcBorders>
              <w:top w:val="nil"/>
              <w:left w:val="nil"/>
              <w:bottom w:val="nil"/>
              <w:right w:val="nil"/>
            </w:tcBorders>
            <w:shd w:val="clear" w:color="auto" w:fill="auto"/>
            <w:vAlign w:val="center"/>
            <w:hideMark/>
          </w:tcPr>
          <w:p w:rsidR="003B2FE3" w:rsidRPr="00566D5F" w:rsidRDefault="003B2FE3" w:rsidP="00E048ED">
            <w:pPr>
              <w:spacing w:after="0" w:line="240" w:lineRule="auto"/>
              <w:ind w:firstLineChars="100" w:firstLine="160"/>
              <w:rPr>
                <w:rFonts w:ascii="Arial" w:hAnsi="Arial" w:cs="Arial"/>
                <w:sz w:val="16"/>
                <w:szCs w:val="16"/>
              </w:rPr>
            </w:pPr>
            <w:r w:rsidRPr="00566D5F">
              <w:rPr>
                <w:rFonts w:ascii="Arial" w:hAnsi="Arial" w:cs="Arial"/>
                <w:sz w:val="16"/>
                <w:szCs w:val="16"/>
              </w:rPr>
              <w:t>Fair Entitlements Guarantee</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color w:val="000000"/>
                <w:sz w:val="16"/>
                <w:szCs w:val="16"/>
              </w:rPr>
            </w:pPr>
            <w:r>
              <w:rPr>
                <w:rFonts w:ascii="Arial" w:hAnsi="Arial" w:cs="Arial"/>
                <w:color w:val="000000"/>
                <w:sz w:val="16"/>
                <w:szCs w:val="16"/>
              </w:rPr>
              <w:t xml:space="preserve">20,051 </w:t>
            </w:r>
          </w:p>
        </w:tc>
        <w:tc>
          <w:tcPr>
            <w:tcW w:w="947" w:type="dxa"/>
            <w:tcBorders>
              <w:top w:val="nil"/>
              <w:left w:val="nil"/>
              <w:bottom w:val="nil"/>
              <w:right w:val="nil"/>
            </w:tcBorders>
            <w:shd w:val="clear" w:color="000000" w:fill="E6E6E6"/>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19,222 </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11,802 </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11,953 </w:t>
            </w:r>
          </w:p>
        </w:tc>
        <w:tc>
          <w:tcPr>
            <w:tcW w:w="948"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12,106 </w:t>
            </w:r>
          </w:p>
        </w:tc>
      </w:tr>
      <w:tr w:rsidR="007317F5" w:rsidRPr="00566D5F" w:rsidTr="00081C68">
        <w:trPr>
          <w:trHeight w:val="397"/>
        </w:trPr>
        <w:tc>
          <w:tcPr>
            <w:tcW w:w="3005" w:type="dxa"/>
            <w:tcBorders>
              <w:top w:val="nil"/>
              <w:left w:val="nil"/>
              <w:bottom w:val="nil"/>
              <w:right w:val="nil"/>
            </w:tcBorders>
            <w:shd w:val="clear" w:color="auto" w:fill="auto"/>
            <w:vAlign w:val="center"/>
          </w:tcPr>
          <w:p w:rsidR="007317F5" w:rsidRPr="00566D5F" w:rsidRDefault="007317F5" w:rsidP="000A623A">
            <w:pPr>
              <w:spacing w:after="0" w:line="240" w:lineRule="auto"/>
              <w:ind w:leftChars="80" w:left="333" w:hangingChars="108" w:hanging="173"/>
              <w:rPr>
                <w:rFonts w:ascii="Arial" w:hAnsi="Arial" w:cs="Arial"/>
                <w:sz w:val="16"/>
                <w:szCs w:val="16"/>
              </w:rPr>
            </w:pPr>
            <w:r w:rsidRPr="00566D5F">
              <w:rPr>
                <w:rFonts w:ascii="Arial" w:hAnsi="Arial" w:cs="Arial"/>
                <w:sz w:val="16"/>
                <w:szCs w:val="16"/>
              </w:rPr>
              <w:t>General Employee Entitlements and Redundancy Scheme</w:t>
            </w:r>
          </w:p>
        </w:tc>
        <w:tc>
          <w:tcPr>
            <w:tcW w:w="947" w:type="dxa"/>
            <w:tcBorders>
              <w:top w:val="nil"/>
              <w:left w:val="nil"/>
              <w:bottom w:val="nil"/>
              <w:right w:val="nil"/>
            </w:tcBorders>
            <w:shd w:val="clear" w:color="auto" w:fill="auto"/>
            <w:noWrap/>
            <w:vAlign w:val="center"/>
          </w:tcPr>
          <w:p w:rsidR="007317F5" w:rsidRDefault="007317F5" w:rsidP="000A623A">
            <w:pPr>
              <w:spacing w:after="0" w:line="240" w:lineRule="auto"/>
              <w:jc w:val="right"/>
              <w:rPr>
                <w:rFonts w:ascii="Arial" w:hAnsi="Arial" w:cs="Arial"/>
                <w:color w:val="000000"/>
                <w:sz w:val="16"/>
                <w:szCs w:val="16"/>
              </w:rPr>
            </w:pPr>
            <w:r>
              <w:rPr>
                <w:rFonts w:ascii="Arial" w:hAnsi="Arial" w:cs="Arial"/>
                <w:color w:val="000000"/>
                <w:sz w:val="16"/>
                <w:szCs w:val="16"/>
              </w:rPr>
              <w:t xml:space="preserve">18 </w:t>
            </w:r>
          </w:p>
        </w:tc>
        <w:tc>
          <w:tcPr>
            <w:tcW w:w="947" w:type="dxa"/>
            <w:tcBorders>
              <w:top w:val="nil"/>
              <w:left w:val="nil"/>
              <w:bottom w:val="nil"/>
              <w:right w:val="nil"/>
            </w:tcBorders>
            <w:shd w:val="clear" w:color="000000" w:fill="E6E6E6"/>
            <w:noWrap/>
            <w:vAlign w:val="center"/>
          </w:tcPr>
          <w:p w:rsidR="007317F5" w:rsidRDefault="007317F5" w:rsidP="000A623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tcBorders>
              <w:top w:val="nil"/>
              <w:left w:val="nil"/>
              <w:bottom w:val="nil"/>
              <w:right w:val="nil"/>
            </w:tcBorders>
            <w:shd w:val="clear" w:color="auto" w:fill="auto"/>
            <w:noWrap/>
            <w:vAlign w:val="center"/>
          </w:tcPr>
          <w:p w:rsidR="007317F5" w:rsidRDefault="007317F5" w:rsidP="000A623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tcBorders>
              <w:top w:val="nil"/>
              <w:left w:val="nil"/>
              <w:bottom w:val="nil"/>
              <w:right w:val="nil"/>
            </w:tcBorders>
            <w:shd w:val="clear" w:color="auto" w:fill="auto"/>
            <w:noWrap/>
            <w:vAlign w:val="center"/>
          </w:tcPr>
          <w:p w:rsidR="007317F5" w:rsidRDefault="007317F5" w:rsidP="000A623A">
            <w:pPr>
              <w:spacing w:after="0" w:line="240" w:lineRule="auto"/>
              <w:jc w:val="right"/>
              <w:rPr>
                <w:rFonts w:ascii="Arial" w:hAnsi="Arial" w:cs="Arial"/>
                <w:sz w:val="16"/>
                <w:szCs w:val="16"/>
              </w:rPr>
            </w:pPr>
            <w:r>
              <w:rPr>
                <w:rFonts w:ascii="Arial" w:hAnsi="Arial" w:cs="Arial"/>
                <w:sz w:val="16"/>
                <w:szCs w:val="16"/>
              </w:rPr>
              <w:t xml:space="preserve">- </w:t>
            </w:r>
          </w:p>
        </w:tc>
        <w:tc>
          <w:tcPr>
            <w:tcW w:w="948" w:type="dxa"/>
            <w:tcBorders>
              <w:top w:val="nil"/>
              <w:left w:val="nil"/>
              <w:bottom w:val="nil"/>
              <w:right w:val="nil"/>
            </w:tcBorders>
            <w:shd w:val="clear" w:color="auto" w:fill="auto"/>
            <w:noWrap/>
            <w:vAlign w:val="center"/>
          </w:tcPr>
          <w:p w:rsidR="007317F5" w:rsidRDefault="007317F5" w:rsidP="000A623A">
            <w:pPr>
              <w:spacing w:after="0" w:line="240" w:lineRule="auto"/>
              <w:jc w:val="right"/>
              <w:rPr>
                <w:rFonts w:ascii="Arial" w:hAnsi="Arial" w:cs="Arial"/>
                <w:sz w:val="16"/>
                <w:szCs w:val="16"/>
              </w:rPr>
            </w:pPr>
            <w:r>
              <w:rPr>
                <w:rFonts w:ascii="Arial" w:hAnsi="Arial" w:cs="Arial"/>
                <w:sz w:val="16"/>
                <w:szCs w:val="16"/>
              </w:rPr>
              <w:t xml:space="preserve">- </w:t>
            </w:r>
          </w:p>
        </w:tc>
      </w:tr>
      <w:tr w:rsidR="003B2FE3" w:rsidRPr="00566D5F" w:rsidTr="00081C68">
        <w:trPr>
          <w:trHeight w:val="397"/>
        </w:trPr>
        <w:tc>
          <w:tcPr>
            <w:tcW w:w="3005" w:type="dxa"/>
            <w:tcBorders>
              <w:top w:val="nil"/>
              <w:left w:val="nil"/>
              <w:bottom w:val="nil"/>
              <w:right w:val="nil"/>
            </w:tcBorders>
            <w:shd w:val="clear" w:color="auto" w:fill="auto"/>
            <w:vAlign w:val="center"/>
            <w:hideMark/>
          </w:tcPr>
          <w:p w:rsidR="003B2FE3" w:rsidRPr="00566D5F" w:rsidRDefault="003B2FE3" w:rsidP="00F31292">
            <w:pPr>
              <w:spacing w:after="0" w:line="240" w:lineRule="auto"/>
              <w:ind w:leftChars="80" w:left="333" w:hangingChars="108" w:hanging="173"/>
              <w:rPr>
                <w:rFonts w:ascii="Arial" w:hAnsi="Arial" w:cs="Arial"/>
                <w:sz w:val="16"/>
                <w:szCs w:val="16"/>
              </w:rPr>
            </w:pPr>
            <w:r w:rsidRPr="00566D5F">
              <w:rPr>
                <w:rFonts w:ascii="Arial" w:hAnsi="Arial" w:cs="Arial"/>
                <w:sz w:val="16"/>
                <w:szCs w:val="16"/>
              </w:rPr>
              <w:t>International Labour Organization Subscription</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color w:val="000000"/>
                <w:sz w:val="16"/>
                <w:szCs w:val="16"/>
              </w:rPr>
            </w:pPr>
            <w:r>
              <w:rPr>
                <w:rFonts w:ascii="Arial" w:hAnsi="Arial" w:cs="Arial"/>
                <w:color w:val="000000"/>
                <w:sz w:val="16"/>
                <w:szCs w:val="16"/>
              </w:rPr>
              <w:t xml:space="preserve">11,822 </w:t>
            </w:r>
          </w:p>
        </w:tc>
        <w:tc>
          <w:tcPr>
            <w:tcW w:w="947" w:type="dxa"/>
            <w:tcBorders>
              <w:top w:val="nil"/>
              <w:left w:val="nil"/>
              <w:bottom w:val="nil"/>
              <w:right w:val="nil"/>
            </w:tcBorders>
            <w:shd w:val="clear" w:color="000000" w:fill="E6E6E6"/>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11,955 </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12,068 </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12,253 </w:t>
            </w:r>
          </w:p>
        </w:tc>
        <w:tc>
          <w:tcPr>
            <w:tcW w:w="948"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12,630 </w:t>
            </w:r>
          </w:p>
        </w:tc>
      </w:tr>
      <w:tr w:rsidR="003B2FE3" w:rsidRPr="00566D5F" w:rsidTr="00E048ED">
        <w:trPr>
          <w:trHeight w:val="225"/>
        </w:trPr>
        <w:tc>
          <w:tcPr>
            <w:tcW w:w="3005" w:type="dxa"/>
            <w:tcBorders>
              <w:top w:val="nil"/>
              <w:left w:val="nil"/>
              <w:bottom w:val="nil"/>
              <w:right w:val="nil"/>
            </w:tcBorders>
            <w:shd w:val="clear" w:color="auto" w:fill="auto"/>
            <w:vAlign w:val="center"/>
            <w:hideMark/>
          </w:tcPr>
          <w:p w:rsidR="003B2FE3" w:rsidRPr="00566D5F" w:rsidRDefault="003B2FE3" w:rsidP="00E048ED">
            <w:pPr>
              <w:spacing w:after="0" w:line="240" w:lineRule="auto"/>
              <w:ind w:firstLineChars="100" w:firstLine="160"/>
              <w:rPr>
                <w:rFonts w:ascii="Arial" w:hAnsi="Arial" w:cs="Arial"/>
                <w:sz w:val="16"/>
                <w:szCs w:val="16"/>
              </w:rPr>
            </w:pPr>
            <w:r w:rsidRPr="00566D5F">
              <w:rPr>
                <w:rFonts w:ascii="Arial" w:hAnsi="Arial" w:cs="Arial"/>
                <w:sz w:val="16"/>
                <w:szCs w:val="16"/>
              </w:rPr>
              <w:t>Protected Action Ballots Scheme</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c>
          <w:tcPr>
            <w:tcW w:w="947" w:type="dxa"/>
            <w:tcBorders>
              <w:top w:val="nil"/>
              <w:left w:val="nil"/>
              <w:bottom w:val="nil"/>
              <w:right w:val="nil"/>
            </w:tcBorders>
            <w:shd w:val="clear" w:color="000000" w:fill="E6E6E6"/>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1,600 </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1,600 </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1,600 </w:t>
            </w:r>
          </w:p>
        </w:tc>
        <w:tc>
          <w:tcPr>
            <w:tcW w:w="948"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1,600 </w:t>
            </w:r>
          </w:p>
        </w:tc>
      </w:tr>
      <w:tr w:rsidR="003B2FE3" w:rsidRPr="00566D5F" w:rsidTr="00E048ED">
        <w:trPr>
          <w:trHeight w:val="225"/>
        </w:trPr>
        <w:tc>
          <w:tcPr>
            <w:tcW w:w="3005" w:type="dxa"/>
            <w:tcBorders>
              <w:top w:val="nil"/>
              <w:left w:val="nil"/>
              <w:bottom w:val="nil"/>
              <w:right w:val="nil"/>
            </w:tcBorders>
            <w:shd w:val="clear" w:color="auto" w:fill="auto"/>
            <w:noWrap/>
            <w:vAlign w:val="center"/>
            <w:hideMark/>
          </w:tcPr>
          <w:p w:rsidR="003B2FE3" w:rsidRPr="00566D5F" w:rsidRDefault="003B2FE3" w:rsidP="00470C04">
            <w:pPr>
              <w:spacing w:after="0" w:line="240" w:lineRule="auto"/>
              <w:rPr>
                <w:rFonts w:ascii="Arial" w:hAnsi="Arial" w:cs="Arial"/>
                <w:sz w:val="16"/>
                <w:szCs w:val="16"/>
              </w:rPr>
            </w:pPr>
            <w:r w:rsidRPr="00566D5F">
              <w:rPr>
                <w:rFonts w:ascii="Arial" w:hAnsi="Arial" w:cs="Arial"/>
                <w:sz w:val="16"/>
                <w:szCs w:val="16"/>
              </w:rPr>
              <w:t>Special appropriations</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rsidR="003B2FE3" w:rsidRDefault="003B2FE3" w:rsidP="003B2FE3">
            <w:pPr>
              <w:spacing w:after="0" w:line="240" w:lineRule="auto"/>
              <w:jc w:val="right"/>
              <w:rPr>
                <w:rFonts w:ascii="Arial" w:hAnsi="Arial" w:cs="Arial"/>
                <w:sz w:val="16"/>
                <w:szCs w:val="16"/>
              </w:rPr>
            </w:pPr>
            <w:r>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3B2FE3" w:rsidRDefault="003B2FE3" w:rsidP="003B2FE3">
            <w:pPr>
              <w:spacing w:after="0" w:line="240" w:lineRule="auto"/>
              <w:rPr>
                <w:rFonts w:ascii="Arial" w:hAnsi="Arial" w:cs="Arial"/>
                <w:sz w:val="16"/>
                <w:szCs w:val="16"/>
              </w:rPr>
            </w:pPr>
          </w:p>
        </w:tc>
        <w:tc>
          <w:tcPr>
            <w:tcW w:w="948" w:type="dxa"/>
            <w:tcBorders>
              <w:top w:val="nil"/>
              <w:left w:val="nil"/>
              <w:bottom w:val="nil"/>
              <w:right w:val="nil"/>
            </w:tcBorders>
            <w:shd w:val="clear" w:color="auto" w:fill="auto"/>
            <w:noWrap/>
            <w:vAlign w:val="center"/>
            <w:hideMark/>
          </w:tcPr>
          <w:p w:rsidR="003B2FE3" w:rsidRDefault="003B2FE3" w:rsidP="003B2FE3">
            <w:pPr>
              <w:spacing w:after="0" w:line="240" w:lineRule="auto"/>
              <w:rPr>
                <w:rFonts w:ascii="Arial" w:hAnsi="Arial" w:cs="Arial"/>
                <w:sz w:val="16"/>
                <w:szCs w:val="16"/>
              </w:rPr>
            </w:pPr>
          </w:p>
        </w:tc>
      </w:tr>
      <w:tr w:rsidR="00033C86" w:rsidRPr="00566D5F" w:rsidTr="00470C04">
        <w:trPr>
          <w:trHeight w:val="227"/>
        </w:trPr>
        <w:tc>
          <w:tcPr>
            <w:tcW w:w="3005" w:type="dxa"/>
            <w:tcBorders>
              <w:top w:val="nil"/>
              <w:left w:val="nil"/>
              <w:bottom w:val="nil"/>
              <w:right w:val="nil"/>
            </w:tcBorders>
            <w:shd w:val="clear" w:color="auto" w:fill="auto"/>
            <w:vAlign w:val="center"/>
            <w:hideMark/>
          </w:tcPr>
          <w:p w:rsidR="00033C86" w:rsidRPr="00470C04" w:rsidRDefault="00033C86" w:rsidP="009402ED">
            <w:pPr>
              <w:spacing w:after="0" w:line="240" w:lineRule="auto"/>
              <w:ind w:leftChars="80" w:left="333" w:hangingChars="108" w:hanging="173"/>
              <w:rPr>
                <w:rFonts w:ascii="Arial" w:hAnsi="Arial" w:cs="Arial"/>
                <w:i/>
                <w:iCs/>
                <w:sz w:val="16"/>
                <w:szCs w:val="16"/>
              </w:rPr>
            </w:pPr>
            <w:r w:rsidRPr="00470C04">
              <w:rPr>
                <w:rFonts w:ascii="Arial" w:hAnsi="Arial" w:cs="Arial"/>
                <w:i/>
                <w:sz w:val="16"/>
                <w:szCs w:val="16"/>
              </w:rPr>
              <w:t>Coal Mining Industry (L</w:t>
            </w:r>
            <w:r w:rsidR="00B8507A">
              <w:rPr>
                <w:rFonts w:ascii="Arial" w:hAnsi="Arial" w:cs="Arial"/>
                <w:i/>
                <w:sz w:val="16"/>
                <w:szCs w:val="16"/>
              </w:rPr>
              <w:t xml:space="preserve">ong </w:t>
            </w:r>
            <w:r w:rsidRPr="00470C04">
              <w:rPr>
                <w:rFonts w:ascii="Arial" w:hAnsi="Arial" w:cs="Arial"/>
                <w:i/>
                <w:sz w:val="16"/>
                <w:szCs w:val="16"/>
              </w:rPr>
              <w:t>S</w:t>
            </w:r>
            <w:r w:rsidR="00B8507A">
              <w:rPr>
                <w:rFonts w:ascii="Arial" w:hAnsi="Arial" w:cs="Arial"/>
                <w:i/>
                <w:sz w:val="16"/>
                <w:szCs w:val="16"/>
              </w:rPr>
              <w:t xml:space="preserve">ervice </w:t>
            </w:r>
            <w:r w:rsidRPr="00470C04">
              <w:rPr>
                <w:rFonts w:ascii="Arial" w:hAnsi="Arial" w:cs="Arial"/>
                <w:i/>
                <w:sz w:val="16"/>
                <w:szCs w:val="16"/>
              </w:rPr>
              <w:t>L</w:t>
            </w:r>
            <w:r w:rsidR="00B8507A">
              <w:rPr>
                <w:rFonts w:ascii="Arial" w:hAnsi="Arial" w:cs="Arial"/>
                <w:i/>
                <w:sz w:val="16"/>
                <w:szCs w:val="16"/>
              </w:rPr>
              <w:t>eave</w:t>
            </w:r>
            <w:r w:rsidRPr="00470C04">
              <w:rPr>
                <w:rFonts w:ascii="Arial" w:hAnsi="Arial" w:cs="Arial"/>
                <w:i/>
                <w:sz w:val="16"/>
                <w:szCs w:val="16"/>
              </w:rPr>
              <w:t xml:space="preserve">) </w:t>
            </w:r>
            <w:r w:rsidR="009402ED">
              <w:rPr>
                <w:rFonts w:ascii="Arial" w:hAnsi="Arial" w:cs="Arial"/>
                <w:i/>
                <w:sz w:val="16"/>
                <w:szCs w:val="16"/>
              </w:rPr>
              <w:t xml:space="preserve">Administration </w:t>
            </w:r>
            <w:r w:rsidRPr="00470C04">
              <w:rPr>
                <w:rFonts w:ascii="Arial" w:hAnsi="Arial" w:cs="Arial"/>
                <w:i/>
                <w:sz w:val="16"/>
                <w:szCs w:val="16"/>
              </w:rPr>
              <w:t>Act 1992</w:t>
            </w:r>
          </w:p>
        </w:tc>
        <w:tc>
          <w:tcPr>
            <w:tcW w:w="947" w:type="dxa"/>
            <w:tcBorders>
              <w:top w:val="nil"/>
              <w:left w:val="nil"/>
              <w:bottom w:val="nil"/>
              <w:right w:val="nil"/>
            </w:tcBorders>
            <w:shd w:val="clear" w:color="auto" w:fill="auto"/>
            <w:noWrap/>
            <w:vAlign w:val="center"/>
            <w:hideMark/>
          </w:tcPr>
          <w:p w:rsidR="00033C86" w:rsidRDefault="00033C86" w:rsidP="00033C86">
            <w:pPr>
              <w:spacing w:after="0" w:line="240" w:lineRule="auto"/>
              <w:jc w:val="right"/>
              <w:rPr>
                <w:rFonts w:ascii="Arial" w:hAnsi="Arial" w:cs="Arial"/>
                <w:color w:val="000000"/>
                <w:sz w:val="16"/>
                <w:szCs w:val="16"/>
              </w:rPr>
            </w:pPr>
            <w:r>
              <w:rPr>
                <w:rFonts w:ascii="Arial" w:hAnsi="Arial" w:cs="Arial"/>
                <w:color w:val="000000"/>
                <w:sz w:val="16"/>
                <w:szCs w:val="16"/>
              </w:rPr>
              <w:t xml:space="preserve">143,670 </w:t>
            </w:r>
          </w:p>
        </w:tc>
        <w:tc>
          <w:tcPr>
            <w:tcW w:w="947" w:type="dxa"/>
            <w:tcBorders>
              <w:top w:val="nil"/>
              <w:left w:val="nil"/>
              <w:bottom w:val="nil"/>
              <w:right w:val="nil"/>
            </w:tcBorders>
            <w:shd w:val="clear" w:color="000000" w:fill="E6E6E6"/>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113,150 </w:t>
            </w:r>
          </w:p>
        </w:tc>
        <w:tc>
          <w:tcPr>
            <w:tcW w:w="947" w:type="dxa"/>
            <w:tcBorders>
              <w:top w:val="nil"/>
              <w:left w:val="nil"/>
              <w:bottom w:val="nil"/>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154,618 </w:t>
            </w:r>
          </w:p>
        </w:tc>
        <w:tc>
          <w:tcPr>
            <w:tcW w:w="947" w:type="dxa"/>
            <w:tcBorders>
              <w:top w:val="nil"/>
              <w:left w:val="nil"/>
              <w:bottom w:val="nil"/>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154,618 </w:t>
            </w:r>
          </w:p>
        </w:tc>
        <w:tc>
          <w:tcPr>
            <w:tcW w:w="948" w:type="dxa"/>
            <w:tcBorders>
              <w:top w:val="nil"/>
              <w:left w:val="nil"/>
              <w:bottom w:val="nil"/>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154,618 </w:t>
            </w:r>
          </w:p>
        </w:tc>
      </w:tr>
      <w:tr w:rsidR="00033C86" w:rsidRPr="00566D5F" w:rsidTr="00470C04">
        <w:trPr>
          <w:trHeight w:val="397"/>
        </w:trPr>
        <w:tc>
          <w:tcPr>
            <w:tcW w:w="3005" w:type="dxa"/>
            <w:tcBorders>
              <w:top w:val="nil"/>
              <w:left w:val="nil"/>
              <w:bottom w:val="nil"/>
              <w:right w:val="nil"/>
            </w:tcBorders>
            <w:shd w:val="clear" w:color="auto" w:fill="auto"/>
            <w:vAlign w:val="center"/>
            <w:hideMark/>
          </w:tcPr>
          <w:p w:rsidR="00033C86" w:rsidRPr="00566D5F" w:rsidRDefault="00033C86" w:rsidP="00470C04">
            <w:pPr>
              <w:spacing w:after="0" w:line="240" w:lineRule="auto"/>
              <w:ind w:leftChars="80" w:left="333" w:hangingChars="108" w:hanging="173"/>
              <w:rPr>
                <w:rFonts w:ascii="Arial" w:hAnsi="Arial" w:cs="Arial"/>
                <w:i/>
                <w:iCs/>
                <w:sz w:val="16"/>
                <w:szCs w:val="16"/>
              </w:rPr>
            </w:pPr>
            <w:r w:rsidRPr="00470C04">
              <w:rPr>
                <w:rFonts w:ascii="Arial" w:hAnsi="Arial" w:cs="Arial"/>
                <w:i/>
                <w:sz w:val="16"/>
                <w:szCs w:val="16"/>
              </w:rPr>
              <w:t>Fair Entitlements Guarantee Act 2012</w:t>
            </w:r>
          </w:p>
        </w:tc>
        <w:tc>
          <w:tcPr>
            <w:tcW w:w="947" w:type="dxa"/>
            <w:tcBorders>
              <w:top w:val="nil"/>
              <w:left w:val="nil"/>
              <w:bottom w:val="nil"/>
              <w:right w:val="nil"/>
            </w:tcBorders>
            <w:shd w:val="clear" w:color="auto" w:fill="auto"/>
            <w:noWrap/>
            <w:vAlign w:val="center"/>
            <w:hideMark/>
          </w:tcPr>
          <w:p w:rsidR="00033C86" w:rsidRDefault="00033C86" w:rsidP="00033C86">
            <w:pPr>
              <w:spacing w:after="0" w:line="240" w:lineRule="auto"/>
              <w:jc w:val="right"/>
              <w:rPr>
                <w:rFonts w:ascii="Arial" w:hAnsi="Arial" w:cs="Arial"/>
                <w:color w:val="000000"/>
                <w:sz w:val="16"/>
                <w:szCs w:val="16"/>
              </w:rPr>
            </w:pPr>
            <w:r>
              <w:rPr>
                <w:rFonts w:ascii="Arial" w:hAnsi="Arial" w:cs="Arial"/>
                <w:color w:val="000000"/>
                <w:sz w:val="16"/>
                <w:szCs w:val="16"/>
              </w:rPr>
              <w:t xml:space="preserve">204,637 </w:t>
            </w:r>
          </w:p>
        </w:tc>
        <w:tc>
          <w:tcPr>
            <w:tcW w:w="947" w:type="dxa"/>
            <w:tcBorders>
              <w:top w:val="nil"/>
              <w:left w:val="nil"/>
              <w:bottom w:val="nil"/>
              <w:right w:val="nil"/>
            </w:tcBorders>
            <w:shd w:val="clear" w:color="000000" w:fill="E6E6E6"/>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220,766 </w:t>
            </w:r>
          </w:p>
        </w:tc>
        <w:tc>
          <w:tcPr>
            <w:tcW w:w="947" w:type="dxa"/>
            <w:tcBorders>
              <w:top w:val="nil"/>
              <w:left w:val="nil"/>
              <w:bottom w:val="nil"/>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219,370 </w:t>
            </w:r>
          </w:p>
        </w:tc>
        <w:tc>
          <w:tcPr>
            <w:tcW w:w="947" w:type="dxa"/>
            <w:tcBorders>
              <w:top w:val="nil"/>
              <w:left w:val="nil"/>
              <w:bottom w:val="nil"/>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216,642 </w:t>
            </w:r>
          </w:p>
        </w:tc>
        <w:tc>
          <w:tcPr>
            <w:tcW w:w="948" w:type="dxa"/>
            <w:tcBorders>
              <w:top w:val="nil"/>
              <w:left w:val="nil"/>
              <w:bottom w:val="nil"/>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218,401 </w:t>
            </w:r>
          </w:p>
        </w:tc>
      </w:tr>
      <w:tr w:rsidR="00033C86" w:rsidRPr="00566D5F" w:rsidTr="00E048ED">
        <w:trPr>
          <w:trHeight w:val="225"/>
        </w:trPr>
        <w:tc>
          <w:tcPr>
            <w:tcW w:w="3005" w:type="dxa"/>
            <w:tcBorders>
              <w:top w:val="nil"/>
              <w:left w:val="nil"/>
              <w:bottom w:val="nil"/>
              <w:right w:val="nil"/>
            </w:tcBorders>
            <w:shd w:val="clear" w:color="auto" w:fill="auto"/>
            <w:vAlign w:val="center"/>
            <w:hideMark/>
          </w:tcPr>
          <w:p w:rsidR="00033C86" w:rsidRPr="00566D5F" w:rsidRDefault="00033C86" w:rsidP="00E048ED">
            <w:pPr>
              <w:spacing w:after="0" w:line="240" w:lineRule="auto"/>
              <w:jc w:val="right"/>
              <w:rPr>
                <w:rFonts w:ascii="Arial" w:hAnsi="Arial" w:cs="Arial"/>
                <w:b/>
                <w:bCs/>
                <w:sz w:val="16"/>
                <w:szCs w:val="16"/>
              </w:rPr>
            </w:pPr>
            <w:r w:rsidRPr="00566D5F">
              <w:rPr>
                <w:rFonts w:ascii="Arial" w:hAnsi="Arial" w:cs="Arial"/>
                <w:b/>
                <w:bCs/>
                <w:sz w:val="16"/>
                <w:szCs w:val="16"/>
              </w:rPr>
              <w:t>Administered total</w:t>
            </w:r>
          </w:p>
        </w:tc>
        <w:tc>
          <w:tcPr>
            <w:tcW w:w="947" w:type="dxa"/>
            <w:tcBorders>
              <w:top w:val="single" w:sz="4" w:space="0" w:color="000000"/>
              <w:left w:val="nil"/>
              <w:bottom w:val="single" w:sz="4" w:space="0" w:color="000000"/>
              <w:right w:val="nil"/>
            </w:tcBorders>
            <w:shd w:val="clear" w:color="auto" w:fill="auto"/>
            <w:noWrap/>
            <w:vAlign w:val="center"/>
            <w:hideMark/>
          </w:tcPr>
          <w:p w:rsidR="00033C86" w:rsidRDefault="00033C86" w:rsidP="00FE40C1">
            <w:pPr>
              <w:spacing w:after="0" w:line="240" w:lineRule="auto"/>
              <w:jc w:val="right"/>
              <w:rPr>
                <w:rFonts w:ascii="Arial" w:hAnsi="Arial" w:cs="Arial"/>
                <w:color w:val="000000"/>
                <w:sz w:val="16"/>
                <w:szCs w:val="16"/>
              </w:rPr>
            </w:pPr>
            <w:r>
              <w:rPr>
                <w:rFonts w:ascii="Arial" w:hAnsi="Arial" w:cs="Arial"/>
                <w:color w:val="000000"/>
                <w:sz w:val="16"/>
                <w:szCs w:val="16"/>
              </w:rPr>
              <w:t>381,7</w:t>
            </w:r>
            <w:r w:rsidR="00FE40C1">
              <w:rPr>
                <w:rFonts w:ascii="Arial" w:hAnsi="Arial" w:cs="Arial"/>
                <w:color w:val="000000"/>
                <w:sz w:val="16"/>
                <w:szCs w:val="16"/>
              </w:rPr>
              <w:t>98</w:t>
            </w:r>
            <w:r>
              <w:rPr>
                <w:rFonts w:ascii="Arial" w:hAnsi="Arial" w:cs="Arial"/>
                <w:color w:val="000000"/>
                <w:sz w:val="16"/>
                <w:szCs w:val="16"/>
              </w:rPr>
              <w:t xml:space="preserve"> </w:t>
            </w:r>
          </w:p>
        </w:tc>
        <w:tc>
          <w:tcPr>
            <w:tcW w:w="947" w:type="dxa"/>
            <w:tcBorders>
              <w:top w:val="single" w:sz="4" w:space="0" w:color="000000"/>
              <w:left w:val="nil"/>
              <w:bottom w:val="single" w:sz="4" w:space="0" w:color="000000"/>
              <w:right w:val="nil"/>
            </w:tcBorders>
            <w:shd w:val="clear" w:color="000000" w:fill="E6E6E6"/>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366,693 </w:t>
            </w:r>
          </w:p>
        </w:tc>
        <w:tc>
          <w:tcPr>
            <w:tcW w:w="947" w:type="dxa"/>
            <w:tcBorders>
              <w:top w:val="single" w:sz="4" w:space="0" w:color="000000"/>
              <w:left w:val="nil"/>
              <w:bottom w:val="single" w:sz="4" w:space="0" w:color="000000"/>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399,458 </w:t>
            </w:r>
          </w:p>
        </w:tc>
        <w:tc>
          <w:tcPr>
            <w:tcW w:w="947" w:type="dxa"/>
            <w:tcBorders>
              <w:top w:val="single" w:sz="4" w:space="0" w:color="000000"/>
              <w:left w:val="nil"/>
              <w:bottom w:val="single" w:sz="4" w:space="0" w:color="000000"/>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397,066 </w:t>
            </w:r>
          </w:p>
        </w:tc>
        <w:tc>
          <w:tcPr>
            <w:tcW w:w="948" w:type="dxa"/>
            <w:tcBorders>
              <w:top w:val="single" w:sz="4" w:space="0" w:color="000000"/>
              <w:left w:val="nil"/>
              <w:bottom w:val="single" w:sz="4" w:space="0" w:color="000000"/>
              <w:right w:val="nil"/>
            </w:tcBorders>
            <w:shd w:val="clear" w:color="auto" w:fill="auto"/>
            <w:noWrap/>
            <w:vAlign w:val="center"/>
            <w:hideMark/>
          </w:tcPr>
          <w:p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399,355 </w:t>
            </w:r>
          </w:p>
        </w:tc>
      </w:tr>
      <w:tr w:rsidR="00033C86" w:rsidRPr="00566D5F" w:rsidTr="00E048ED">
        <w:trPr>
          <w:trHeight w:val="225"/>
        </w:trPr>
        <w:tc>
          <w:tcPr>
            <w:tcW w:w="3005" w:type="dxa"/>
            <w:tcBorders>
              <w:top w:val="nil"/>
              <w:left w:val="nil"/>
              <w:bottom w:val="single" w:sz="4" w:space="0" w:color="000000"/>
              <w:right w:val="nil"/>
            </w:tcBorders>
            <w:shd w:val="clear" w:color="auto" w:fill="auto"/>
            <w:vAlign w:val="center"/>
            <w:hideMark/>
          </w:tcPr>
          <w:p w:rsidR="00033C86" w:rsidRPr="00566D5F" w:rsidRDefault="00033C86" w:rsidP="00E048ED">
            <w:pPr>
              <w:spacing w:after="0" w:line="240" w:lineRule="auto"/>
              <w:rPr>
                <w:rFonts w:ascii="Arial" w:hAnsi="Arial" w:cs="Arial"/>
                <w:b/>
                <w:bCs/>
                <w:sz w:val="16"/>
                <w:szCs w:val="16"/>
              </w:rPr>
            </w:pPr>
            <w:r w:rsidRPr="00566D5F">
              <w:rPr>
                <w:rFonts w:ascii="Arial" w:hAnsi="Arial" w:cs="Arial"/>
                <w:b/>
                <w:bCs/>
                <w:sz w:val="16"/>
                <w:szCs w:val="16"/>
              </w:rPr>
              <w:t>Total expenses</w:t>
            </w:r>
            <w:r>
              <w:rPr>
                <w:rFonts w:ascii="Arial" w:hAnsi="Arial" w:cs="Arial"/>
                <w:b/>
                <w:bCs/>
                <w:sz w:val="16"/>
                <w:szCs w:val="16"/>
              </w:rPr>
              <w:t xml:space="preserve"> for P</w:t>
            </w:r>
            <w:r w:rsidRPr="00566D5F">
              <w:rPr>
                <w:rFonts w:ascii="Arial" w:hAnsi="Arial" w:cs="Arial"/>
                <w:b/>
                <w:bCs/>
                <w:sz w:val="16"/>
                <w:szCs w:val="16"/>
              </w:rPr>
              <w:t>rogram 2.1</w:t>
            </w:r>
          </w:p>
        </w:tc>
        <w:tc>
          <w:tcPr>
            <w:tcW w:w="947" w:type="dxa"/>
            <w:tcBorders>
              <w:top w:val="nil"/>
              <w:left w:val="nil"/>
              <w:bottom w:val="single" w:sz="4" w:space="0" w:color="000000"/>
              <w:right w:val="nil"/>
            </w:tcBorders>
            <w:shd w:val="clear" w:color="auto" w:fill="auto"/>
            <w:noWrap/>
            <w:vAlign w:val="center"/>
            <w:hideMark/>
          </w:tcPr>
          <w:p w:rsidR="00033C86" w:rsidRDefault="00FE40C1" w:rsidP="00033C86">
            <w:pPr>
              <w:spacing w:after="0" w:line="240" w:lineRule="auto"/>
              <w:jc w:val="right"/>
              <w:rPr>
                <w:rFonts w:ascii="Arial" w:hAnsi="Arial" w:cs="Arial"/>
                <w:b/>
                <w:bCs/>
                <w:color w:val="000000"/>
                <w:sz w:val="16"/>
                <w:szCs w:val="16"/>
              </w:rPr>
            </w:pPr>
            <w:r>
              <w:rPr>
                <w:rFonts w:ascii="Arial" w:hAnsi="Arial" w:cs="Arial"/>
                <w:b/>
                <w:bCs/>
                <w:color w:val="000000"/>
                <w:sz w:val="16"/>
                <w:szCs w:val="16"/>
              </w:rPr>
              <w:t>381,798</w:t>
            </w:r>
            <w:r w:rsidR="00033C86">
              <w:rPr>
                <w:rFonts w:ascii="Arial" w:hAnsi="Arial" w:cs="Arial"/>
                <w:b/>
                <w:bCs/>
                <w:color w:val="000000"/>
                <w:sz w:val="16"/>
                <w:szCs w:val="16"/>
              </w:rPr>
              <w:t xml:space="preserve"> </w:t>
            </w:r>
          </w:p>
        </w:tc>
        <w:tc>
          <w:tcPr>
            <w:tcW w:w="947" w:type="dxa"/>
            <w:tcBorders>
              <w:top w:val="nil"/>
              <w:left w:val="nil"/>
              <w:bottom w:val="single" w:sz="4" w:space="0" w:color="000000"/>
              <w:right w:val="nil"/>
            </w:tcBorders>
            <w:shd w:val="clear" w:color="000000" w:fill="E6E6E6"/>
            <w:noWrap/>
            <w:vAlign w:val="center"/>
            <w:hideMark/>
          </w:tcPr>
          <w:p w:rsidR="00033C86" w:rsidRDefault="00033C86" w:rsidP="00033C8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366,693 </w:t>
            </w:r>
          </w:p>
        </w:tc>
        <w:tc>
          <w:tcPr>
            <w:tcW w:w="947" w:type="dxa"/>
            <w:tcBorders>
              <w:top w:val="nil"/>
              <w:left w:val="nil"/>
              <w:bottom w:val="single" w:sz="4" w:space="0" w:color="000000"/>
              <w:right w:val="nil"/>
            </w:tcBorders>
            <w:shd w:val="clear" w:color="auto" w:fill="auto"/>
            <w:noWrap/>
            <w:vAlign w:val="center"/>
            <w:hideMark/>
          </w:tcPr>
          <w:p w:rsidR="00033C86" w:rsidRDefault="00033C86" w:rsidP="00033C86">
            <w:pPr>
              <w:spacing w:after="0" w:line="240" w:lineRule="auto"/>
              <w:jc w:val="right"/>
              <w:rPr>
                <w:rFonts w:ascii="Arial" w:hAnsi="Arial" w:cs="Arial"/>
                <w:b/>
                <w:bCs/>
                <w:sz w:val="16"/>
                <w:szCs w:val="16"/>
              </w:rPr>
            </w:pPr>
            <w:r>
              <w:rPr>
                <w:rFonts w:ascii="Arial" w:hAnsi="Arial" w:cs="Arial"/>
                <w:b/>
                <w:bCs/>
                <w:sz w:val="16"/>
                <w:szCs w:val="16"/>
              </w:rPr>
              <w:t xml:space="preserve">399,458 </w:t>
            </w:r>
          </w:p>
        </w:tc>
        <w:tc>
          <w:tcPr>
            <w:tcW w:w="947" w:type="dxa"/>
            <w:tcBorders>
              <w:top w:val="nil"/>
              <w:left w:val="nil"/>
              <w:bottom w:val="single" w:sz="4" w:space="0" w:color="000000"/>
              <w:right w:val="nil"/>
            </w:tcBorders>
            <w:shd w:val="clear" w:color="auto" w:fill="auto"/>
            <w:noWrap/>
            <w:vAlign w:val="center"/>
            <w:hideMark/>
          </w:tcPr>
          <w:p w:rsidR="00033C86" w:rsidRDefault="00033C86" w:rsidP="00033C86">
            <w:pPr>
              <w:spacing w:after="0" w:line="240" w:lineRule="auto"/>
              <w:jc w:val="right"/>
              <w:rPr>
                <w:rFonts w:ascii="Arial" w:hAnsi="Arial" w:cs="Arial"/>
                <w:b/>
                <w:bCs/>
                <w:sz w:val="16"/>
                <w:szCs w:val="16"/>
              </w:rPr>
            </w:pPr>
            <w:r>
              <w:rPr>
                <w:rFonts w:ascii="Arial" w:hAnsi="Arial" w:cs="Arial"/>
                <w:b/>
                <w:bCs/>
                <w:sz w:val="16"/>
                <w:szCs w:val="16"/>
              </w:rPr>
              <w:t xml:space="preserve">397,066 </w:t>
            </w:r>
          </w:p>
        </w:tc>
        <w:tc>
          <w:tcPr>
            <w:tcW w:w="948" w:type="dxa"/>
            <w:tcBorders>
              <w:top w:val="nil"/>
              <w:left w:val="nil"/>
              <w:bottom w:val="single" w:sz="4" w:space="0" w:color="000000"/>
              <w:right w:val="nil"/>
            </w:tcBorders>
            <w:shd w:val="clear" w:color="auto" w:fill="auto"/>
            <w:noWrap/>
            <w:vAlign w:val="center"/>
            <w:hideMark/>
          </w:tcPr>
          <w:p w:rsidR="00033C86" w:rsidRDefault="00033C86" w:rsidP="00033C86">
            <w:pPr>
              <w:spacing w:after="0" w:line="240" w:lineRule="auto"/>
              <w:jc w:val="right"/>
              <w:rPr>
                <w:rFonts w:ascii="Arial" w:hAnsi="Arial" w:cs="Arial"/>
                <w:b/>
                <w:bCs/>
                <w:sz w:val="16"/>
                <w:szCs w:val="16"/>
              </w:rPr>
            </w:pPr>
            <w:r>
              <w:rPr>
                <w:rFonts w:ascii="Arial" w:hAnsi="Arial" w:cs="Arial"/>
                <w:b/>
                <w:bCs/>
                <w:sz w:val="16"/>
                <w:szCs w:val="16"/>
              </w:rPr>
              <w:t xml:space="preserve">399,355 </w:t>
            </w:r>
          </w:p>
        </w:tc>
      </w:tr>
    </w:tbl>
    <w:p w:rsidR="00E048ED" w:rsidRDefault="00E048ED" w:rsidP="00E048ED">
      <w:pPr>
        <w:pStyle w:val="TableGraphic"/>
        <w:rPr>
          <w:lang w:eastAsia="x-none"/>
        </w:rPr>
      </w:pPr>
    </w:p>
    <w:p w:rsidR="00E048ED" w:rsidRDefault="00E048ED" w:rsidP="00E048ED">
      <w:pPr>
        <w:pStyle w:val="TableHeadingcontinued"/>
      </w:pPr>
      <w:r>
        <w:br w:type="page"/>
      </w:r>
      <w:r>
        <w:lastRenderedPageBreak/>
        <w:t>Table 2.2.1: Budgeted expenses for Outcome 2 (continued)</w:t>
      </w:r>
    </w:p>
    <w:tbl>
      <w:tblPr>
        <w:tblW w:w="7740" w:type="dxa"/>
        <w:tblInd w:w="93" w:type="dxa"/>
        <w:tblCellMar>
          <w:left w:w="85" w:type="dxa"/>
          <w:right w:w="85" w:type="dxa"/>
        </w:tblCellMar>
        <w:tblLook w:val="04A0" w:firstRow="1" w:lastRow="0" w:firstColumn="1" w:lastColumn="0" w:noHBand="0" w:noVBand="1"/>
      </w:tblPr>
      <w:tblGrid>
        <w:gridCol w:w="3005"/>
        <w:gridCol w:w="947"/>
        <w:gridCol w:w="947"/>
        <w:gridCol w:w="947"/>
        <w:gridCol w:w="947"/>
        <w:gridCol w:w="947"/>
      </w:tblGrid>
      <w:tr w:rsidR="00E048ED" w:rsidRPr="00894CEE" w:rsidTr="00E048ED">
        <w:trPr>
          <w:trHeight w:val="794"/>
        </w:trPr>
        <w:tc>
          <w:tcPr>
            <w:tcW w:w="3005" w:type="dxa"/>
            <w:tcBorders>
              <w:top w:val="single" w:sz="4" w:space="0" w:color="auto"/>
              <w:left w:val="nil"/>
              <w:bottom w:val="single" w:sz="4" w:space="0" w:color="auto"/>
              <w:right w:val="nil"/>
            </w:tcBorders>
            <w:shd w:val="clear" w:color="auto" w:fill="auto"/>
            <w:vAlign w:val="center"/>
            <w:hideMark/>
          </w:tcPr>
          <w:p w:rsidR="00E048ED" w:rsidRPr="00894CEE" w:rsidRDefault="00E048ED" w:rsidP="00E048ED">
            <w:pPr>
              <w:spacing w:after="0" w:line="240" w:lineRule="auto"/>
              <w:rPr>
                <w:rFonts w:ascii="Arial" w:hAnsi="Arial" w:cs="Arial"/>
                <w:b/>
                <w:bCs/>
                <w:color w:val="000000"/>
                <w:sz w:val="16"/>
                <w:szCs w:val="16"/>
              </w:rPr>
            </w:pPr>
            <w:r w:rsidRPr="00894CEE">
              <w:rPr>
                <w:rFonts w:ascii="Arial" w:hAnsi="Arial" w:cs="Arial"/>
                <w:b/>
                <w:bCs/>
                <w:color w:val="000000"/>
                <w:sz w:val="16"/>
                <w:szCs w:val="16"/>
              </w:rPr>
              <w:t> </w:t>
            </w:r>
          </w:p>
        </w:tc>
        <w:tc>
          <w:tcPr>
            <w:tcW w:w="947" w:type="dxa"/>
            <w:tcBorders>
              <w:top w:val="single" w:sz="4" w:space="0" w:color="auto"/>
              <w:left w:val="nil"/>
              <w:bottom w:val="single" w:sz="4" w:space="0" w:color="auto"/>
              <w:right w:val="nil"/>
            </w:tcBorders>
            <w:shd w:val="clear" w:color="auto" w:fill="auto"/>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2017–18 Estimated actual</w:t>
            </w:r>
            <w:r w:rsidRPr="00894CEE">
              <w:rPr>
                <w:rFonts w:ascii="Arial" w:hAnsi="Arial" w:cs="Arial"/>
                <w:sz w:val="16"/>
                <w:szCs w:val="16"/>
              </w:rPr>
              <w:br/>
              <w:t>$'000</w:t>
            </w:r>
          </w:p>
        </w:tc>
        <w:tc>
          <w:tcPr>
            <w:tcW w:w="947" w:type="dxa"/>
            <w:tcBorders>
              <w:top w:val="single" w:sz="4" w:space="0" w:color="auto"/>
              <w:left w:val="nil"/>
              <w:bottom w:val="single" w:sz="4" w:space="0" w:color="auto"/>
              <w:right w:val="nil"/>
            </w:tcBorders>
            <w:shd w:val="clear" w:color="000000" w:fill="E6E6E6"/>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2018–19</w:t>
            </w:r>
            <w:r w:rsidRPr="00894CEE">
              <w:rPr>
                <w:rFonts w:ascii="Arial" w:hAnsi="Arial" w:cs="Arial"/>
                <w:sz w:val="16"/>
                <w:szCs w:val="16"/>
              </w:rPr>
              <w:br/>
              <w:t>Budget</w:t>
            </w:r>
            <w:r w:rsidRPr="00894CEE">
              <w:rPr>
                <w:rFonts w:ascii="Arial" w:hAnsi="Arial" w:cs="Arial"/>
                <w:sz w:val="16"/>
                <w:szCs w:val="16"/>
              </w:rPr>
              <w:br/>
            </w:r>
            <w:r w:rsidRPr="00894CEE">
              <w:rPr>
                <w:rFonts w:ascii="Arial" w:hAnsi="Arial" w:cs="Arial"/>
                <w:sz w:val="16"/>
                <w:szCs w:val="16"/>
              </w:rPr>
              <w:br/>
              <w:t>$'000</w:t>
            </w:r>
          </w:p>
        </w:tc>
        <w:tc>
          <w:tcPr>
            <w:tcW w:w="947" w:type="dxa"/>
            <w:tcBorders>
              <w:top w:val="single" w:sz="4" w:space="0" w:color="auto"/>
              <w:left w:val="nil"/>
              <w:bottom w:val="single" w:sz="4" w:space="0" w:color="auto"/>
              <w:right w:val="nil"/>
            </w:tcBorders>
            <w:shd w:val="clear" w:color="auto" w:fill="auto"/>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2019–20 Forward estimate</w:t>
            </w:r>
            <w:r w:rsidRPr="00894CEE">
              <w:rPr>
                <w:rFonts w:ascii="Arial" w:hAnsi="Arial" w:cs="Arial"/>
                <w:sz w:val="16"/>
                <w:szCs w:val="16"/>
              </w:rPr>
              <w:br/>
              <w:t>$'000</w:t>
            </w:r>
          </w:p>
        </w:tc>
        <w:tc>
          <w:tcPr>
            <w:tcW w:w="947" w:type="dxa"/>
            <w:tcBorders>
              <w:top w:val="single" w:sz="4" w:space="0" w:color="auto"/>
              <w:left w:val="nil"/>
              <w:bottom w:val="single" w:sz="4" w:space="0" w:color="auto"/>
              <w:right w:val="nil"/>
            </w:tcBorders>
            <w:shd w:val="clear" w:color="auto" w:fill="auto"/>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2020–21 Forward estimate</w:t>
            </w:r>
            <w:r w:rsidRPr="00894CEE">
              <w:rPr>
                <w:rFonts w:ascii="Arial" w:hAnsi="Arial" w:cs="Arial"/>
                <w:sz w:val="16"/>
                <w:szCs w:val="16"/>
              </w:rPr>
              <w:br/>
              <w:t>$'000</w:t>
            </w:r>
          </w:p>
        </w:tc>
        <w:tc>
          <w:tcPr>
            <w:tcW w:w="947" w:type="dxa"/>
            <w:tcBorders>
              <w:top w:val="single" w:sz="4" w:space="0" w:color="auto"/>
              <w:left w:val="nil"/>
              <w:bottom w:val="single" w:sz="4" w:space="0" w:color="auto"/>
              <w:right w:val="nil"/>
            </w:tcBorders>
            <w:shd w:val="clear" w:color="auto" w:fill="auto"/>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2021–22</w:t>
            </w:r>
            <w:r w:rsidRPr="00894CEE">
              <w:rPr>
                <w:rFonts w:ascii="Arial" w:hAnsi="Arial" w:cs="Arial"/>
                <w:sz w:val="16"/>
                <w:szCs w:val="16"/>
              </w:rPr>
              <w:br/>
              <w:t>Forward estimate</w:t>
            </w:r>
            <w:r w:rsidRPr="00894CEE">
              <w:rPr>
                <w:rFonts w:ascii="Arial" w:hAnsi="Arial" w:cs="Arial"/>
                <w:sz w:val="16"/>
                <w:szCs w:val="16"/>
              </w:rPr>
              <w:br/>
              <w:t>$'000</w:t>
            </w:r>
          </w:p>
        </w:tc>
      </w:tr>
      <w:tr w:rsidR="00E048ED" w:rsidRPr="00894CEE" w:rsidTr="00E048ED">
        <w:trPr>
          <w:trHeight w:val="283"/>
        </w:trPr>
        <w:tc>
          <w:tcPr>
            <w:tcW w:w="7740" w:type="dxa"/>
            <w:gridSpan w:val="6"/>
            <w:tcBorders>
              <w:top w:val="single" w:sz="4" w:space="0" w:color="auto"/>
              <w:left w:val="nil"/>
              <w:bottom w:val="single" w:sz="4" w:space="0" w:color="auto"/>
              <w:right w:val="nil"/>
            </w:tcBorders>
            <w:shd w:val="clear" w:color="000000" w:fill="E6E6E6"/>
            <w:vAlign w:val="center"/>
            <w:hideMark/>
          </w:tcPr>
          <w:p w:rsidR="00E048ED" w:rsidRPr="00894CEE" w:rsidRDefault="00E048ED" w:rsidP="00E048ED">
            <w:pPr>
              <w:spacing w:after="0" w:line="240" w:lineRule="auto"/>
              <w:rPr>
                <w:rFonts w:ascii="Arial" w:hAnsi="Arial" w:cs="Arial"/>
                <w:b/>
                <w:bCs/>
                <w:sz w:val="16"/>
                <w:szCs w:val="16"/>
              </w:rPr>
            </w:pPr>
            <w:r w:rsidRPr="00894CEE">
              <w:rPr>
                <w:rFonts w:ascii="Arial" w:hAnsi="Arial" w:cs="Arial"/>
                <w:b/>
                <w:bCs/>
                <w:sz w:val="16"/>
                <w:szCs w:val="16"/>
              </w:rPr>
              <w:t>Program 2.2: Workers' Compensation Payments</w:t>
            </w:r>
          </w:p>
        </w:tc>
      </w:tr>
      <w:tr w:rsidR="00E048ED" w:rsidRPr="00894CEE" w:rsidTr="00E048ED">
        <w:trPr>
          <w:trHeight w:val="225"/>
        </w:trPr>
        <w:tc>
          <w:tcPr>
            <w:tcW w:w="3005"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r w:rsidRPr="00894CEE">
              <w:rPr>
                <w:rFonts w:ascii="Arial" w:hAnsi="Arial" w:cs="Arial"/>
                <w:sz w:val="16"/>
                <w:szCs w:val="16"/>
              </w:rPr>
              <w:t>Administered expenses</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r>
      <w:tr w:rsidR="00E048ED" w:rsidRPr="00894CEE" w:rsidTr="00E048ED">
        <w:trPr>
          <w:trHeight w:val="225"/>
        </w:trPr>
        <w:tc>
          <w:tcPr>
            <w:tcW w:w="3005" w:type="dxa"/>
            <w:tcBorders>
              <w:top w:val="nil"/>
              <w:left w:val="nil"/>
              <w:bottom w:val="nil"/>
              <w:right w:val="nil"/>
            </w:tcBorders>
            <w:shd w:val="clear" w:color="auto" w:fill="auto"/>
            <w:vAlign w:val="center"/>
            <w:hideMark/>
          </w:tcPr>
          <w:p w:rsidR="00E048ED" w:rsidRPr="00894CEE" w:rsidRDefault="00E048ED" w:rsidP="00E048ED">
            <w:pPr>
              <w:spacing w:after="0" w:line="240" w:lineRule="auto"/>
              <w:ind w:firstLineChars="100" w:firstLine="160"/>
              <w:rPr>
                <w:rFonts w:ascii="Arial" w:hAnsi="Arial" w:cs="Arial"/>
                <w:sz w:val="16"/>
                <w:szCs w:val="16"/>
              </w:rPr>
            </w:pPr>
            <w:r w:rsidRPr="00894CEE">
              <w:rPr>
                <w:rFonts w:ascii="Arial" w:hAnsi="Arial" w:cs="Arial"/>
                <w:sz w:val="16"/>
                <w:szCs w:val="16"/>
              </w:rPr>
              <w:t>Comcare</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6,020 </w:t>
            </w:r>
          </w:p>
        </w:tc>
        <w:tc>
          <w:tcPr>
            <w:tcW w:w="947" w:type="dxa"/>
            <w:tcBorders>
              <w:top w:val="nil"/>
              <w:left w:val="nil"/>
              <w:bottom w:val="nil"/>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5,989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5,995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6,034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6,069 </w:t>
            </w:r>
          </w:p>
        </w:tc>
      </w:tr>
      <w:tr w:rsidR="00E048ED" w:rsidRPr="00894CEE" w:rsidTr="00E048ED">
        <w:trPr>
          <w:trHeight w:val="225"/>
        </w:trPr>
        <w:tc>
          <w:tcPr>
            <w:tcW w:w="3005" w:type="dxa"/>
            <w:tcBorders>
              <w:top w:val="nil"/>
              <w:left w:val="nil"/>
              <w:bottom w:val="nil"/>
              <w:right w:val="nil"/>
            </w:tcBorders>
            <w:shd w:val="clear" w:color="auto" w:fill="auto"/>
            <w:noWrap/>
            <w:vAlign w:val="center"/>
            <w:hideMark/>
          </w:tcPr>
          <w:p w:rsidR="00E048ED" w:rsidRPr="00894CEE" w:rsidRDefault="00E048ED" w:rsidP="00470C04">
            <w:pPr>
              <w:spacing w:after="0" w:line="240" w:lineRule="auto"/>
              <w:rPr>
                <w:rFonts w:ascii="Arial" w:hAnsi="Arial" w:cs="Arial"/>
                <w:sz w:val="16"/>
                <w:szCs w:val="16"/>
              </w:rPr>
            </w:pPr>
            <w:r w:rsidRPr="00894CEE">
              <w:rPr>
                <w:rFonts w:ascii="Arial" w:hAnsi="Arial" w:cs="Arial"/>
                <w:sz w:val="16"/>
                <w:szCs w:val="16"/>
              </w:rPr>
              <w:t>Special appropriations</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r>
      <w:tr w:rsidR="00E048ED" w:rsidRPr="00894CEE" w:rsidTr="00E048ED">
        <w:trPr>
          <w:trHeight w:val="227"/>
        </w:trPr>
        <w:tc>
          <w:tcPr>
            <w:tcW w:w="3005" w:type="dxa"/>
            <w:tcBorders>
              <w:top w:val="nil"/>
              <w:left w:val="nil"/>
              <w:bottom w:val="nil"/>
              <w:right w:val="nil"/>
            </w:tcBorders>
            <w:shd w:val="clear" w:color="auto" w:fill="auto"/>
            <w:vAlign w:val="center"/>
            <w:hideMark/>
          </w:tcPr>
          <w:p w:rsidR="00E048ED" w:rsidRPr="00894CEE" w:rsidRDefault="00E048ED" w:rsidP="00470C04">
            <w:pPr>
              <w:spacing w:after="0" w:line="240" w:lineRule="auto"/>
              <w:ind w:leftChars="80" w:left="333" w:hangingChars="108" w:hanging="173"/>
              <w:rPr>
                <w:rFonts w:ascii="Arial" w:hAnsi="Arial" w:cs="Arial"/>
                <w:i/>
                <w:iCs/>
                <w:sz w:val="16"/>
                <w:szCs w:val="16"/>
              </w:rPr>
            </w:pPr>
            <w:r w:rsidRPr="00470C04">
              <w:rPr>
                <w:rFonts w:ascii="Arial" w:hAnsi="Arial" w:cs="Arial"/>
                <w:i/>
                <w:sz w:val="16"/>
                <w:szCs w:val="16"/>
              </w:rPr>
              <w:t>Asbestos-related Claims Act 2005</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24,675 </w:t>
            </w:r>
          </w:p>
        </w:tc>
        <w:tc>
          <w:tcPr>
            <w:tcW w:w="947" w:type="dxa"/>
            <w:tcBorders>
              <w:top w:val="nil"/>
              <w:left w:val="nil"/>
              <w:bottom w:val="nil"/>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29,309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27,126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28,137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28,837 </w:t>
            </w:r>
          </w:p>
        </w:tc>
      </w:tr>
      <w:tr w:rsidR="00E048ED" w:rsidRPr="00894CEE" w:rsidTr="00E048ED">
        <w:trPr>
          <w:trHeight w:val="397"/>
        </w:trPr>
        <w:tc>
          <w:tcPr>
            <w:tcW w:w="3005" w:type="dxa"/>
            <w:tcBorders>
              <w:top w:val="nil"/>
              <w:left w:val="nil"/>
              <w:bottom w:val="nil"/>
              <w:right w:val="nil"/>
            </w:tcBorders>
            <w:shd w:val="clear" w:color="auto" w:fill="auto"/>
            <w:vAlign w:val="center"/>
            <w:hideMark/>
          </w:tcPr>
          <w:p w:rsidR="00E048ED" w:rsidRPr="00894CEE" w:rsidRDefault="00E048ED" w:rsidP="00470C04">
            <w:pPr>
              <w:spacing w:after="0" w:line="240" w:lineRule="auto"/>
              <w:ind w:leftChars="80" w:left="333" w:hangingChars="108" w:hanging="173"/>
              <w:rPr>
                <w:rFonts w:ascii="Arial" w:hAnsi="Arial" w:cs="Arial"/>
                <w:i/>
                <w:iCs/>
                <w:sz w:val="16"/>
                <w:szCs w:val="16"/>
              </w:rPr>
            </w:pPr>
            <w:r w:rsidRPr="00470C04">
              <w:rPr>
                <w:rFonts w:ascii="Arial" w:hAnsi="Arial" w:cs="Arial"/>
                <w:i/>
                <w:sz w:val="16"/>
                <w:szCs w:val="16"/>
              </w:rPr>
              <w:t>Safety, Rehabilitation &amp; Compensation Act 1998</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30,697 </w:t>
            </w:r>
          </w:p>
        </w:tc>
        <w:tc>
          <w:tcPr>
            <w:tcW w:w="947" w:type="dxa"/>
            <w:tcBorders>
              <w:top w:val="nil"/>
              <w:left w:val="nil"/>
              <w:bottom w:val="nil"/>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31,227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30,035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28,720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27,440 </w:t>
            </w:r>
          </w:p>
        </w:tc>
      </w:tr>
      <w:tr w:rsidR="00E048ED" w:rsidRPr="00894CEE" w:rsidTr="00E048ED">
        <w:trPr>
          <w:trHeight w:val="225"/>
        </w:trPr>
        <w:tc>
          <w:tcPr>
            <w:tcW w:w="3005" w:type="dxa"/>
            <w:tcBorders>
              <w:top w:val="nil"/>
              <w:left w:val="nil"/>
              <w:bottom w:val="nil"/>
              <w:right w:val="nil"/>
            </w:tcBorders>
            <w:shd w:val="clear" w:color="auto" w:fill="auto"/>
            <w:vAlign w:val="center"/>
            <w:hideMark/>
          </w:tcPr>
          <w:p w:rsidR="00E048ED" w:rsidRPr="00894CEE" w:rsidRDefault="00E048ED" w:rsidP="00E048ED">
            <w:pPr>
              <w:spacing w:after="0" w:line="240" w:lineRule="auto"/>
              <w:jc w:val="right"/>
              <w:rPr>
                <w:rFonts w:ascii="Arial" w:hAnsi="Arial" w:cs="Arial"/>
                <w:b/>
                <w:bCs/>
                <w:sz w:val="16"/>
                <w:szCs w:val="16"/>
              </w:rPr>
            </w:pPr>
            <w:r w:rsidRPr="00894CEE">
              <w:rPr>
                <w:rFonts w:ascii="Arial" w:hAnsi="Arial" w:cs="Arial"/>
                <w:b/>
                <w:bCs/>
                <w:sz w:val="16"/>
                <w:szCs w:val="16"/>
              </w:rPr>
              <w:t>Administered total</w:t>
            </w:r>
          </w:p>
        </w:tc>
        <w:tc>
          <w:tcPr>
            <w:tcW w:w="947" w:type="dxa"/>
            <w:tcBorders>
              <w:top w:val="single" w:sz="4" w:space="0" w:color="auto"/>
              <w:left w:val="nil"/>
              <w:bottom w:val="single" w:sz="4" w:space="0" w:color="auto"/>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61,392 </w:t>
            </w:r>
          </w:p>
        </w:tc>
        <w:tc>
          <w:tcPr>
            <w:tcW w:w="947" w:type="dxa"/>
            <w:tcBorders>
              <w:top w:val="single" w:sz="4" w:space="0" w:color="auto"/>
              <w:left w:val="nil"/>
              <w:bottom w:val="single" w:sz="4" w:space="0" w:color="auto"/>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66,525 </w:t>
            </w:r>
          </w:p>
        </w:tc>
        <w:tc>
          <w:tcPr>
            <w:tcW w:w="947" w:type="dxa"/>
            <w:tcBorders>
              <w:top w:val="single" w:sz="4" w:space="0" w:color="auto"/>
              <w:left w:val="nil"/>
              <w:bottom w:val="single" w:sz="4" w:space="0" w:color="auto"/>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63,156 </w:t>
            </w:r>
          </w:p>
        </w:tc>
        <w:tc>
          <w:tcPr>
            <w:tcW w:w="947" w:type="dxa"/>
            <w:tcBorders>
              <w:top w:val="single" w:sz="4" w:space="0" w:color="auto"/>
              <w:left w:val="nil"/>
              <w:bottom w:val="single" w:sz="4" w:space="0" w:color="auto"/>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62,891 </w:t>
            </w:r>
          </w:p>
        </w:tc>
        <w:tc>
          <w:tcPr>
            <w:tcW w:w="947" w:type="dxa"/>
            <w:tcBorders>
              <w:top w:val="single" w:sz="4" w:space="0" w:color="auto"/>
              <w:left w:val="nil"/>
              <w:bottom w:val="single" w:sz="4" w:space="0" w:color="auto"/>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62,346 </w:t>
            </w:r>
          </w:p>
        </w:tc>
      </w:tr>
      <w:tr w:rsidR="00E048ED" w:rsidRPr="00894CEE" w:rsidTr="00E048ED">
        <w:trPr>
          <w:trHeight w:val="225"/>
        </w:trPr>
        <w:tc>
          <w:tcPr>
            <w:tcW w:w="3005" w:type="dxa"/>
            <w:tcBorders>
              <w:top w:val="nil"/>
              <w:left w:val="nil"/>
              <w:bottom w:val="single" w:sz="4" w:space="0" w:color="auto"/>
              <w:right w:val="nil"/>
            </w:tcBorders>
            <w:shd w:val="clear" w:color="auto" w:fill="auto"/>
            <w:vAlign w:val="center"/>
            <w:hideMark/>
          </w:tcPr>
          <w:p w:rsidR="00E048ED" w:rsidRPr="00894CEE" w:rsidRDefault="00E048ED" w:rsidP="00E048ED">
            <w:pPr>
              <w:spacing w:after="0" w:line="240" w:lineRule="auto"/>
              <w:rPr>
                <w:rFonts w:ascii="Arial" w:hAnsi="Arial" w:cs="Arial"/>
                <w:b/>
                <w:bCs/>
                <w:sz w:val="16"/>
                <w:szCs w:val="16"/>
              </w:rPr>
            </w:pPr>
            <w:r w:rsidRPr="00894CEE">
              <w:rPr>
                <w:rFonts w:ascii="Arial" w:hAnsi="Arial" w:cs="Arial"/>
                <w:b/>
                <w:bCs/>
                <w:sz w:val="16"/>
                <w:szCs w:val="16"/>
              </w:rPr>
              <w:t>Total expenses for Program 2.2</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b/>
                <w:bCs/>
                <w:color w:val="000000"/>
                <w:sz w:val="16"/>
                <w:szCs w:val="16"/>
              </w:rPr>
            </w:pPr>
            <w:r w:rsidRPr="00894CEE">
              <w:rPr>
                <w:rFonts w:ascii="Arial" w:hAnsi="Arial" w:cs="Arial"/>
                <w:b/>
                <w:bCs/>
                <w:color w:val="000000"/>
                <w:sz w:val="16"/>
                <w:szCs w:val="16"/>
              </w:rPr>
              <w:t xml:space="preserve">61,392 </w:t>
            </w:r>
          </w:p>
        </w:tc>
        <w:tc>
          <w:tcPr>
            <w:tcW w:w="947" w:type="dxa"/>
            <w:tcBorders>
              <w:top w:val="nil"/>
              <w:left w:val="nil"/>
              <w:bottom w:val="nil"/>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b/>
                <w:bCs/>
                <w:color w:val="000000"/>
                <w:sz w:val="16"/>
                <w:szCs w:val="16"/>
              </w:rPr>
            </w:pPr>
            <w:r w:rsidRPr="00894CEE">
              <w:rPr>
                <w:rFonts w:ascii="Arial" w:hAnsi="Arial" w:cs="Arial"/>
                <w:b/>
                <w:bCs/>
                <w:color w:val="000000"/>
                <w:sz w:val="16"/>
                <w:szCs w:val="16"/>
              </w:rPr>
              <w:t xml:space="preserve">66,525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b/>
                <w:bCs/>
                <w:sz w:val="16"/>
                <w:szCs w:val="16"/>
              </w:rPr>
            </w:pPr>
            <w:r w:rsidRPr="00894CEE">
              <w:rPr>
                <w:rFonts w:ascii="Arial" w:hAnsi="Arial" w:cs="Arial"/>
                <w:b/>
                <w:bCs/>
                <w:sz w:val="16"/>
                <w:szCs w:val="16"/>
              </w:rPr>
              <w:t xml:space="preserve">63,156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b/>
                <w:bCs/>
                <w:sz w:val="16"/>
                <w:szCs w:val="16"/>
              </w:rPr>
            </w:pPr>
            <w:r w:rsidRPr="00894CEE">
              <w:rPr>
                <w:rFonts w:ascii="Arial" w:hAnsi="Arial" w:cs="Arial"/>
                <w:b/>
                <w:bCs/>
                <w:sz w:val="16"/>
                <w:szCs w:val="16"/>
              </w:rPr>
              <w:t xml:space="preserve">62,891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b/>
                <w:bCs/>
                <w:sz w:val="16"/>
                <w:szCs w:val="16"/>
              </w:rPr>
            </w:pPr>
            <w:r w:rsidRPr="00894CEE">
              <w:rPr>
                <w:rFonts w:ascii="Arial" w:hAnsi="Arial" w:cs="Arial"/>
                <w:b/>
                <w:bCs/>
                <w:sz w:val="16"/>
                <w:szCs w:val="16"/>
              </w:rPr>
              <w:t xml:space="preserve">62,346 </w:t>
            </w:r>
          </w:p>
        </w:tc>
      </w:tr>
      <w:tr w:rsidR="00E048ED" w:rsidRPr="00894CEE" w:rsidTr="00E048ED">
        <w:trPr>
          <w:trHeight w:val="283"/>
        </w:trPr>
        <w:tc>
          <w:tcPr>
            <w:tcW w:w="7740" w:type="dxa"/>
            <w:gridSpan w:val="6"/>
            <w:tcBorders>
              <w:top w:val="single" w:sz="4" w:space="0" w:color="auto"/>
              <w:left w:val="nil"/>
              <w:bottom w:val="single" w:sz="4" w:space="0" w:color="auto"/>
              <w:right w:val="nil"/>
            </w:tcBorders>
            <w:shd w:val="clear" w:color="000000" w:fill="E6E6E6"/>
            <w:vAlign w:val="center"/>
            <w:hideMark/>
          </w:tcPr>
          <w:p w:rsidR="00E048ED" w:rsidRPr="00894CEE" w:rsidRDefault="00E048ED" w:rsidP="00E048ED">
            <w:pPr>
              <w:spacing w:after="0" w:line="240" w:lineRule="auto"/>
              <w:rPr>
                <w:rFonts w:ascii="Arial" w:hAnsi="Arial" w:cs="Arial"/>
                <w:b/>
                <w:bCs/>
                <w:sz w:val="16"/>
                <w:szCs w:val="16"/>
              </w:rPr>
            </w:pPr>
            <w:r w:rsidRPr="00894CEE">
              <w:rPr>
                <w:rFonts w:ascii="Arial" w:hAnsi="Arial" w:cs="Arial"/>
                <w:b/>
                <w:bCs/>
                <w:sz w:val="16"/>
                <w:szCs w:val="16"/>
              </w:rPr>
              <w:t>Program 2.3: Small Business Support</w:t>
            </w:r>
          </w:p>
        </w:tc>
      </w:tr>
      <w:tr w:rsidR="00E048ED" w:rsidRPr="00894CEE" w:rsidTr="00E048ED">
        <w:trPr>
          <w:trHeight w:val="225"/>
        </w:trPr>
        <w:tc>
          <w:tcPr>
            <w:tcW w:w="3005"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r w:rsidRPr="00894CEE">
              <w:rPr>
                <w:rFonts w:ascii="Arial" w:hAnsi="Arial" w:cs="Arial"/>
                <w:sz w:val="16"/>
                <w:szCs w:val="16"/>
              </w:rPr>
              <w:t>Administered expenses</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r>
      <w:tr w:rsidR="009F0659" w:rsidRPr="00894CEE" w:rsidTr="00737870">
        <w:trPr>
          <w:trHeight w:val="225"/>
        </w:trPr>
        <w:tc>
          <w:tcPr>
            <w:tcW w:w="3005" w:type="dxa"/>
            <w:tcBorders>
              <w:top w:val="nil"/>
              <w:left w:val="nil"/>
              <w:bottom w:val="nil"/>
              <w:right w:val="nil"/>
            </w:tcBorders>
            <w:shd w:val="clear" w:color="auto" w:fill="auto"/>
            <w:vAlign w:val="center"/>
            <w:hideMark/>
          </w:tcPr>
          <w:p w:rsidR="009F0659" w:rsidRPr="001A2D6D" w:rsidRDefault="009F0659" w:rsidP="003B2FE3">
            <w:pPr>
              <w:spacing w:after="0" w:line="240" w:lineRule="auto"/>
              <w:ind w:firstLineChars="100" w:firstLine="160"/>
              <w:rPr>
                <w:rFonts w:ascii="Arial" w:hAnsi="Arial" w:cs="Arial"/>
                <w:sz w:val="16"/>
                <w:szCs w:val="16"/>
              </w:rPr>
            </w:pPr>
            <w:r w:rsidRPr="001A2D6D">
              <w:rPr>
                <w:rFonts w:ascii="Arial" w:hAnsi="Arial" w:cs="Arial"/>
                <w:sz w:val="16"/>
                <w:szCs w:val="16"/>
              </w:rPr>
              <w:t xml:space="preserve">Small Business </w:t>
            </w:r>
            <w:r>
              <w:rPr>
                <w:rFonts w:ascii="Arial" w:hAnsi="Arial" w:cs="Arial"/>
                <w:sz w:val="16"/>
                <w:szCs w:val="16"/>
              </w:rPr>
              <w:t>Advisory Services</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4,706 </w:t>
            </w:r>
          </w:p>
        </w:tc>
        <w:tc>
          <w:tcPr>
            <w:tcW w:w="947" w:type="dxa"/>
            <w:tcBorders>
              <w:top w:val="nil"/>
              <w:left w:val="nil"/>
              <w:bottom w:val="nil"/>
              <w:right w:val="nil"/>
            </w:tcBorders>
            <w:shd w:val="clear" w:color="auto"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5,994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6,292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5,974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6,278 </w:t>
            </w:r>
          </w:p>
        </w:tc>
      </w:tr>
      <w:tr w:rsidR="009F0659" w:rsidRPr="00894CEE" w:rsidTr="00E048ED">
        <w:trPr>
          <w:trHeight w:val="225"/>
        </w:trPr>
        <w:tc>
          <w:tcPr>
            <w:tcW w:w="3005" w:type="dxa"/>
            <w:tcBorders>
              <w:top w:val="nil"/>
              <w:left w:val="nil"/>
              <w:bottom w:val="nil"/>
              <w:right w:val="nil"/>
            </w:tcBorders>
            <w:shd w:val="clear" w:color="auto" w:fill="auto"/>
            <w:vAlign w:val="center"/>
            <w:hideMark/>
          </w:tcPr>
          <w:p w:rsidR="009F0659" w:rsidRPr="00894CEE" w:rsidRDefault="009F0659" w:rsidP="00E048ED">
            <w:pPr>
              <w:spacing w:after="0" w:line="240" w:lineRule="auto"/>
              <w:jc w:val="right"/>
              <w:rPr>
                <w:rFonts w:ascii="Arial" w:hAnsi="Arial" w:cs="Arial"/>
                <w:b/>
                <w:bCs/>
                <w:sz w:val="16"/>
                <w:szCs w:val="16"/>
              </w:rPr>
            </w:pPr>
            <w:r w:rsidRPr="00894CEE">
              <w:rPr>
                <w:rFonts w:ascii="Arial" w:hAnsi="Arial" w:cs="Arial"/>
                <w:b/>
                <w:bCs/>
                <w:sz w:val="16"/>
                <w:szCs w:val="16"/>
              </w:rPr>
              <w:t>Administered total</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4,706 </w:t>
            </w:r>
          </w:p>
        </w:tc>
        <w:tc>
          <w:tcPr>
            <w:tcW w:w="947" w:type="dxa"/>
            <w:tcBorders>
              <w:top w:val="single" w:sz="4" w:space="0" w:color="auto"/>
              <w:left w:val="nil"/>
              <w:bottom w:val="single" w:sz="4" w:space="0" w:color="auto"/>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5,994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6,292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5,974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6,278 </w:t>
            </w:r>
          </w:p>
        </w:tc>
      </w:tr>
      <w:tr w:rsidR="009F0659" w:rsidRPr="00894CEE" w:rsidTr="00E048ED">
        <w:trPr>
          <w:trHeight w:val="225"/>
        </w:trPr>
        <w:tc>
          <w:tcPr>
            <w:tcW w:w="3005" w:type="dxa"/>
            <w:tcBorders>
              <w:top w:val="nil"/>
              <w:left w:val="nil"/>
              <w:bottom w:val="single" w:sz="4" w:space="0" w:color="auto"/>
              <w:right w:val="nil"/>
            </w:tcBorders>
            <w:shd w:val="clear" w:color="auto" w:fill="auto"/>
            <w:vAlign w:val="center"/>
            <w:hideMark/>
          </w:tcPr>
          <w:p w:rsidR="009F0659" w:rsidRPr="00894CEE" w:rsidRDefault="009F0659" w:rsidP="00E048ED">
            <w:pPr>
              <w:spacing w:after="0" w:line="240" w:lineRule="auto"/>
              <w:rPr>
                <w:rFonts w:ascii="Arial" w:hAnsi="Arial" w:cs="Arial"/>
                <w:b/>
                <w:bCs/>
                <w:sz w:val="16"/>
                <w:szCs w:val="16"/>
              </w:rPr>
            </w:pPr>
            <w:r w:rsidRPr="00894CEE">
              <w:rPr>
                <w:rFonts w:ascii="Arial" w:hAnsi="Arial" w:cs="Arial"/>
                <w:b/>
                <w:bCs/>
                <w:sz w:val="16"/>
                <w:szCs w:val="16"/>
              </w:rPr>
              <w:t>Total expenses for Program 2.3</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4,706 </w:t>
            </w:r>
          </w:p>
        </w:tc>
        <w:tc>
          <w:tcPr>
            <w:tcW w:w="947" w:type="dxa"/>
            <w:tcBorders>
              <w:top w:val="nil"/>
              <w:left w:val="nil"/>
              <w:bottom w:val="nil"/>
              <w:right w:val="nil"/>
            </w:tcBorders>
            <w:shd w:val="clear" w:color="000000" w:fill="E6E6E6"/>
            <w:noWrap/>
            <w:vAlign w:val="center"/>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5,994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6,292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5,974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6,278 </w:t>
            </w:r>
          </w:p>
        </w:tc>
      </w:tr>
      <w:tr w:rsidR="00E048ED" w:rsidRPr="00894CEE" w:rsidTr="003B2FE3">
        <w:trPr>
          <w:trHeight w:val="283"/>
        </w:trPr>
        <w:tc>
          <w:tcPr>
            <w:tcW w:w="7740" w:type="dxa"/>
            <w:gridSpan w:val="6"/>
            <w:tcBorders>
              <w:top w:val="single" w:sz="4" w:space="0" w:color="auto"/>
              <w:left w:val="nil"/>
              <w:bottom w:val="single" w:sz="4" w:space="0" w:color="auto"/>
              <w:right w:val="nil"/>
            </w:tcBorders>
            <w:shd w:val="clear" w:color="000000" w:fill="E6E6E6"/>
            <w:vAlign w:val="center"/>
            <w:hideMark/>
          </w:tcPr>
          <w:p w:rsidR="00E048ED" w:rsidRPr="00894CEE" w:rsidRDefault="00E048ED" w:rsidP="00E048ED">
            <w:pPr>
              <w:spacing w:after="0" w:line="240" w:lineRule="auto"/>
              <w:rPr>
                <w:rFonts w:ascii="Arial" w:hAnsi="Arial" w:cs="Arial"/>
                <w:b/>
                <w:bCs/>
                <w:sz w:val="16"/>
                <w:szCs w:val="16"/>
              </w:rPr>
            </w:pPr>
            <w:r w:rsidRPr="00894CEE">
              <w:rPr>
                <w:rFonts w:ascii="Arial" w:hAnsi="Arial" w:cs="Arial"/>
                <w:b/>
                <w:bCs/>
                <w:sz w:val="16"/>
                <w:szCs w:val="16"/>
              </w:rPr>
              <w:t>Outcome 2 Totals by appropriation type</w:t>
            </w:r>
          </w:p>
        </w:tc>
      </w:tr>
      <w:tr w:rsidR="00E048ED" w:rsidRPr="00894CEE" w:rsidTr="00E048ED">
        <w:trPr>
          <w:trHeight w:val="227"/>
        </w:trPr>
        <w:tc>
          <w:tcPr>
            <w:tcW w:w="3005"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r w:rsidRPr="00894CEE">
              <w:rPr>
                <w:rFonts w:ascii="Arial" w:hAnsi="Arial" w:cs="Arial"/>
                <w:sz w:val="16"/>
                <w:szCs w:val="16"/>
              </w:rPr>
              <w:t>Administered expenses</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r>
      <w:tr w:rsidR="009F0659" w:rsidRPr="00894CEE" w:rsidTr="00E048ED">
        <w:trPr>
          <w:trHeight w:val="397"/>
        </w:trPr>
        <w:tc>
          <w:tcPr>
            <w:tcW w:w="3005" w:type="dxa"/>
            <w:tcBorders>
              <w:top w:val="nil"/>
              <w:left w:val="nil"/>
              <w:bottom w:val="nil"/>
              <w:right w:val="nil"/>
            </w:tcBorders>
            <w:shd w:val="clear" w:color="auto" w:fill="auto"/>
            <w:vAlign w:val="center"/>
            <w:hideMark/>
          </w:tcPr>
          <w:p w:rsidR="009F0659" w:rsidRPr="00894CEE" w:rsidRDefault="009F0659" w:rsidP="00E048ED">
            <w:pPr>
              <w:spacing w:after="0" w:line="240" w:lineRule="auto"/>
              <w:ind w:leftChars="95" w:left="331" w:hangingChars="88" w:hanging="141"/>
              <w:rPr>
                <w:rFonts w:ascii="Arial" w:hAnsi="Arial" w:cs="Arial"/>
                <w:sz w:val="16"/>
                <w:szCs w:val="16"/>
              </w:rPr>
            </w:pPr>
            <w:r w:rsidRPr="00894CEE">
              <w:rPr>
                <w:rFonts w:ascii="Arial" w:hAnsi="Arial" w:cs="Arial"/>
                <w:sz w:val="16"/>
                <w:szCs w:val="16"/>
              </w:rPr>
              <w:t>Ordinary annual services</w:t>
            </w:r>
            <w:r>
              <w:rPr>
                <w:rFonts w:ascii="Arial" w:hAnsi="Arial" w:cs="Arial"/>
                <w:sz w:val="16"/>
                <w:szCs w:val="16"/>
              </w:rPr>
              <w:t xml:space="preserve"> </w:t>
            </w:r>
            <w:r w:rsidRPr="00894CEE">
              <w:rPr>
                <w:rFonts w:ascii="Arial" w:hAnsi="Arial" w:cs="Arial"/>
                <w:sz w:val="16"/>
                <w:szCs w:val="16"/>
              </w:rPr>
              <w:t>(Appropriation Bill No. 1)</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44,217 </w:t>
            </w:r>
          </w:p>
        </w:tc>
        <w:tc>
          <w:tcPr>
            <w:tcW w:w="947" w:type="dxa"/>
            <w:tcBorders>
              <w:top w:val="nil"/>
              <w:left w:val="nil"/>
              <w:bottom w:val="nil"/>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44,760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37,757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37,814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38,683 </w:t>
            </w:r>
          </w:p>
        </w:tc>
      </w:tr>
      <w:tr w:rsidR="009F0659" w:rsidRPr="00894CEE" w:rsidTr="00E048ED">
        <w:trPr>
          <w:trHeight w:val="225"/>
        </w:trPr>
        <w:tc>
          <w:tcPr>
            <w:tcW w:w="3005" w:type="dxa"/>
            <w:tcBorders>
              <w:top w:val="nil"/>
              <w:left w:val="nil"/>
              <w:right w:val="nil"/>
            </w:tcBorders>
            <w:shd w:val="clear" w:color="auto" w:fill="auto"/>
            <w:noWrap/>
            <w:vAlign w:val="center"/>
            <w:hideMark/>
          </w:tcPr>
          <w:p w:rsidR="009F0659" w:rsidRPr="00894CEE" w:rsidRDefault="009F0659" w:rsidP="00E048ED">
            <w:pPr>
              <w:spacing w:after="0" w:line="240" w:lineRule="auto"/>
              <w:ind w:firstLineChars="119" w:firstLine="190"/>
              <w:rPr>
                <w:rFonts w:ascii="Arial" w:hAnsi="Arial" w:cs="Arial"/>
                <w:sz w:val="16"/>
                <w:szCs w:val="16"/>
              </w:rPr>
            </w:pPr>
            <w:r w:rsidRPr="00894CEE">
              <w:rPr>
                <w:rFonts w:ascii="Arial" w:hAnsi="Arial" w:cs="Arial"/>
                <w:sz w:val="16"/>
                <w:szCs w:val="16"/>
              </w:rPr>
              <w:t>Special appropriations</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403,679 </w:t>
            </w:r>
          </w:p>
        </w:tc>
        <w:tc>
          <w:tcPr>
            <w:tcW w:w="947" w:type="dxa"/>
            <w:tcBorders>
              <w:top w:val="nil"/>
              <w:left w:val="nil"/>
              <w:bottom w:val="nil"/>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394,452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431,149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428,117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429,296 </w:t>
            </w:r>
          </w:p>
        </w:tc>
      </w:tr>
      <w:tr w:rsidR="009F0659" w:rsidRPr="00894CEE" w:rsidTr="00E048ED">
        <w:trPr>
          <w:trHeight w:val="225"/>
        </w:trPr>
        <w:tc>
          <w:tcPr>
            <w:tcW w:w="3005" w:type="dxa"/>
            <w:tcBorders>
              <w:top w:val="nil"/>
              <w:left w:val="nil"/>
              <w:right w:val="nil"/>
            </w:tcBorders>
            <w:shd w:val="clear" w:color="auto" w:fill="auto"/>
            <w:vAlign w:val="center"/>
            <w:hideMark/>
          </w:tcPr>
          <w:p w:rsidR="009F0659" w:rsidRPr="00894CEE" w:rsidRDefault="009F0659" w:rsidP="00E048ED">
            <w:pPr>
              <w:spacing w:after="0" w:line="240" w:lineRule="auto"/>
              <w:jc w:val="right"/>
              <w:rPr>
                <w:rFonts w:ascii="Arial" w:hAnsi="Arial" w:cs="Arial"/>
                <w:b/>
                <w:bCs/>
                <w:sz w:val="16"/>
                <w:szCs w:val="16"/>
              </w:rPr>
            </w:pPr>
            <w:r w:rsidRPr="00894CEE">
              <w:rPr>
                <w:rFonts w:ascii="Arial" w:hAnsi="Arial" w:cs="Arial"/>
                <w:b/>
                <w:bCs/>
                <w:sz w:val="16"/>
                <w:szCs w:val="16"/>
              </w:rPr>
              <w:t>Administered total</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447,896 </w:t>
            </w:r>
          </w:p>
        </w:tc>
        <w:tc>
          <w:tcPr>
            <w:tcW w:w="947" w:type="dxa"/>
            <w:tcBorders>
              <w:top w:val="single" w:sz="4" w:space="0" w:color="auto"/>
              <w:left w:val="nil"/>
              <w:bottom w:val="single" w:sz="4" w:space="0" w:color="auto"/>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439,212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468,906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465,931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467,979 </w:t>
            </w:r>
          </w:p>
        </w:tc>
      </w:tr>
      <w:tr w:rsidR="009F0659" w:rsidRPr="00894CEE" w:rsidTr="00E048ED">
        <w:trPr>
          <w:trHeight w:val="225"/>
        </w:trPr>
        <w:tc>
          <w:tcPr>
            <w:tcW w:w="3005" w:type="dxa"/>
            <w:tcBorders>
              <w:left w:val="nil"/>
              <w:bottom w:val="nil"/>
              <w:right w:val="nil"/>
            </w:tcBorders>
            <w:shd w:val="clear" w:color="auto" w:fill="auto"/>
            <w:noWrap/>
            <w:vAlign w:val="center"/>
            <w:hideMark/>
          </w:tcPr>
          <w:p w:rsidR="009F0659" w:rsidRPr="00894CEE" w:rsidRDefault="009F0659" w:rsidP="00E048ED">
            <w:pPr>
              <w:spacing w:after="0" w:line="240" w:lineRule="auto"/>
              <w:rPr>
                <w:rFonts w:ascii="Arial" w:hAnsi="Arial" w:cs="Arial"/>
                <w:sz w:val="16"/>
                <w:szCs w:val="16"/>
              </w:rPr>
            </w:pPr>
            <w:r w:rsidRPr="00894CEE">
              <w:rPr>
                <w:rFonts w:ascii="Arial" w:hAnsi="Arial" w:cs="Arial"/>
                <w:sz w:val="16"/>
                <w:szCs w:val="16"/>
              </w:rPr>
              <w:t>Departmental expenses</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sz w:val="16"/>
                <w:szCs w:val="16"/>
              </w:rPr>
            </w:pPr>
          </w:p>
        </w:tc>
      </w:tr>
      <w:tr w:rsidR="009F0659" w:rsidRPr="00894CEE" w:rsidTr="00E048ED">
        <w:trPr>
          <w:trHeight w:val="225"/>
        </w:trPr>
        <w:tc>
          <w:tcPr>
            <w:tcW w:w="3005" w:type="dxa"/>
            <w:tcBorders>
              <w:top w:val="nil"/>
              <w:left w:val="nil"/>
              <w:bottom w:val="nil"/>
              <w:right w:val="nil"/>
            </w:tcBorders>
            <w:shd w:val="clear" w:color="auto" w:fill="auto"/>
            <w:noWrap/>
            <w:vAlign w:val="center"/>
            <w:hideMark/>
          </w:tcPr>
          <w:p w:rsidR="009F0659" w:rsidRPr="00894CEE" w:rsidRDefault="009F0659" w:rsidP="00E048ED">
            <w:pPr>
              <w:spacing w:after="0" w:line="240" w:lineRule="auto"/>
              <w:ind w:firstLineChars="119" w:firstLine="190"/>
              <w:rPr>
                <w:rFonts w:ascii="Arial" w:hAnsi="Arial" w:cs="Arial"/>
                <w:sz w:val="16"/>
                <w:szCs w:val="16"/>
              </w:rPr>
            </w:pPr>
            <w:r w:rsidRPr="00894CEE">
              <w:rPr>
                <w:rFonts w:ascii="Arial" w:hAnsi="Arial" w:cs="Arial"/>
                <w:sz w:val="16"/>
                <w:szCs w:val="16"/>
              </w:rPr>
              <w:t>Departmental appropriation</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79,383 </w:t>
            </w:r>
          </w:p>
        </w:tc>
        <w:tc>
          <w:tcPr>
            <w:tcW w:w="947" w:type="dxa"/>
            <w:tcBorders>
              <w:top w:val="nil"/>
              <w:left w:val="nil"/>
              <w:bottom w:val="nil"/>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82,710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82,447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82,986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83,221 </w:t>
            </w:r>
          </w:p>
        </w:tc>
      </w:tr>
      <w:tr w:rsidR="009F0659" w:rsidRPr="00894CEE" w:rsidTr="00E048ED">
        <w:trPr>
          <w:trHeight w:val="225"/>
        </w:trPr>
        <w:tc>
          <w:tcPr>
            <w:tcW w:w="3005" w:type="dxa"/>
            <w:tcBorders>
              <w:top w:val="nil"/>
              <w:left w:val="nil"/>
              <w:bottom w:val="nil"/>
              <w:right w:val="nil"/>
            </w:tcBorders>
            <w:shd w:val="clear" w:color="auto" w:fill="auto"/>
            <w:vAlign w:val="center"/>
            <w:hideMark/>
          </w:tcPr>
          <w:p w:rsidR="009F0659" w:rsidRPr="00894CEE" w:rsidRDefault="009F0659" w:rsidP="00E048ED">
            <w:pPr>
              <w:spacing w:after="0" w:line="240" w:lineRule="auto"/>
              <w:ind w:firstLineChars="119" w:firstLine="190"/>
              <w:rPr>
                <w:rFonts w:ascii="Arial" w:hAnsi="Arial" w:cs="Arial"/>
                <w:sz w:val="16"/>
                <w:szCs w:val="16"/>
              </w:rPr>
            </w:pPr>
            <w:r w:rsidRPr="00894CEE">
              <w:rPr>
                <w:rFonts w:ascii="Arial" w:hAnsi="Arial" w:cs="Arial"/>
                <w:sz w:val="16"/>
                <w:szCs w:val="16"/>
              </w:rPr>
              <w:t>s74 Retained revenue receipts (a)</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13,169 </w:t>
            </w:r>
          </w:p>
        </w:tc>
        <w:tc>
          <w:tcPr>
            <w:tcW w:w="947" w:type="dxa"/>
            <w:tcBorders>
              <w:top w:val="nil"/>
              <w:left w:val="nil"/>
              <w:bottom w:val="nil"/>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13,333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11,486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11,401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11,401 </w:t>
            </w:r>
          </w:p>
        </w:tc>
      </w:tr>
      <w:tr w:rsidR="009F0659" w:rsidRPr="00894CEE" w:rsidTr="00E048ED">
        <w:trPr>
          <w:trHeight w:val="397"/>
        </w:trPr>
        <w:tc>
          <w:tcPr>
            <w:tcW w:w="3005" w:type="dxa"/>
            <w:tcBorders>
              <w:top w:val="nil"/>
              <w:left w:val="nil"/>
              <w:bottom w:val="nil"/>
              <w:right w:val="nil"/>
            </w:tcBorders>
            <w:shd w:val="clear" w:color="auto" w:fill="auto"/>
            <w:vAlign w:val="center"/>
            <w:hideMark/>
          </w:tcPr>
          <w:p w:rsidR="009F0659" w:rsidRPr="00894CEE" w:rsidRDefault="009F0659" w:rsidP="00E048ED">
            <w:pPr>
              <w:spacing w:after="0" w:line="240" w:lineRule="auto"/>
              <w:ind w:leftChars="96" w:left="333" w:hangingChars="88" w:hanging="141"/>
              <w:rPr>
                <w:rFonts w:ascii="Arial" w:hAnsi="Arial" w:cs="Arial"/>
                <w:sz w:val="16"/>
                <w:szCs w:val="16"/>
              </w:rPr>
            </w:pPr>
            <w:r w:rsidRPr="00894CEE">
              <w:rPr>
                <w:rFonts w:ascii="Arial" w:hAnsi="Arial" w:cs="Arial"/>
                <w:sz w:val="16"/>
                <w:szCs w:val="16"/>
              </w:rPr>
              <w:t>Expenses not requiring appropriation in the Budget year (b)</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8,622 </w:t>
            </w:r>
          </w:p>
        </w:tc>
        <w:tc>
          <w:tcPr>
            <w:tcW w:w="947" w:type="dxa"/>
            <w:tcBorders>
              <w:top w:val="nil"/>
              <w:left w:val="nil"/>
              <w:bottom w:val="nil"/>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8,059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7,484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7,132 </w:t>
            </w:r>
          </w:p>
        </w:tc>
        <w:tc>
          <w:tcPr>
            <w:tcW w:w="94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6,921 </w:t>
            </w:r>
          </w:p>
        </w:tc>
      </w:tr>
      <w:tr w:rsidR="009F0659" w:rsidRPr="00894CEE" w:rsidTr="00E048ED">
        <w:trPr>
          <w:trHeight w:val="225"/>
        </w:trPr>
        <w:tc>
          <w:tcPr>
            <w:tcW w:w="3005" w:type="dxa"/>
            <w:tcBorders>
              <w:top w:val="nil"/>
              <w:left w:val="nil"/>
              <w:bottom w:val="nil"/>
              <w:right w:val="nil"/>
            </w:tcBorders>
            <w:shd w:val="clear" w:color="auto" w:fill="auto"/>
            <w:vAlign w:val="center"/>
            <w:hideMark/>
          </w:tcPr>
          <w:p w:rsidR="009F0659" w:rsidRPr="00894CEE" w:rsidRDefault="009F0659" w:rsidP="00E048ED">
            <w:pPr>
              <w:spacing w:after="0" w:line="240" w:lineRule="auto"/>
              <w:jc w:val="right"/>
              <w:rPr>
                <w:rFonts w:ascii="Arial" w:hAnsi="Arial" w:cs="Arial"/>
                <w:b/>
                <w:bCs/>
                <w:sz w:val="16"/>
                <w:szCs w:val="16"/>
              </w:rPr>
            </w:pPr>
            <w:r w:rsidRPr="00894CEE">
              <w:rPr>
                <w:rFonts w:ascii="Arial" w:hAnsi="Arial" w:cs="Arial"/>
                <w:b/>
                <w:bCs/>
                <w:sz w:val="16"/>
                <w:szCs w:val="16"/>
              </w:rPr>
              <w:t>Departmental total</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101,174 </w:t>
            </w:r>
          </w:p>
        </w:tc>
        <w:tc>
          <w:tcPr>
            <w:tcW w:w="947" w:type="dxa"/>
            <w:tcBorders>
              <w:top w:val="single" w:sz="4" w:space="0" w:color="auto"/>
              <w:left w:val="nil"/>
              <w:bottom w:val="single" w:sz="4" w:space="0" w:color="auto"/>
              <w:right w:val="nil"/>
            </w:tcBorders>
            <w:shd w:val="clear" w:color="000000" w:fill="E6E6E6"/>
            <w:noWrap/>
            <w:vAlign w:val="center"/>
            <w:hideMark/>
          </w:tcPr>
          <w:p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104,102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101,417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101,519 </w:t>
            </w:r>
          </w:p>
        </w:tc>
        <w:tc>
          <w:tcPr>
            <w:tcW w:w="947" w:type="dxa"/>
            <w:tcBorders>
              <w:top w:val="single" w:sz="4" w:space="0" w:color="auto"/>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101,543 </w:t>
            </w:r>
          </w:p>
        </w:tc>
      </w:tr>
      <w:tr w:rsidR="009F0659" w:rsidRPr="00894CEE" w:rsidTr="009F0659">
        <w:trPr>
          <w:trHeight w:val="225"/>
        </w:trPr>
        <w:tc>
          <w:tcPr>
            <w:tcW w:w="3005" w:type="dxa"/>
            <w:tcBorders>
              <w:top w:val="nil"/>
              <w:left w:val="nil"/>
              <w:bottom w:val="single" w:sz="4" w:space="0" w:color="auto"/>
              <w:right w:val="nil"/>
            </w:tcBorders>
            <w:shd w:val="clear" w:color="auto" w:fill="auto"/>
            <w:noWrap/>
            <w:vAlign w:val="bottom"/>
            <w:hideMark/>
          </w:tcPr>
          <w:p w:rsidR="009F0659" w:rsidRPr="00894CEE" w:rsidRDefault="009F0659" w:rsidP="009F0659">
            <w:pPr>
              <w:spacing w:after="0" w:line="240" w:lineRule="auto"/>
              <w:rPr>
                <w:rFonts w:ascii="Arial" w:hAnsi="Arial" w:cs="Arial"/>
                <w:b/>
                <w:bCs/>
                <w:color w:val="000000"/>
                <w:sz w:val="16"/>
                <w:szCs w:val="16"/>
              </w:rPr>
            </w:pPr>
            <w:r w:rsidRPr="00894CEE">
              <w:rPr>
                <w:rFonts w:ascii="Arial" w:hAnsi="Arial" w:cs="Arial"/>
                <w:b/>
                <w:bCs/>
                <w:color w:val="000000"/>
                <w:sz w:val="16"/>
                <w:szCs w:val="16"/>
              </w:rPr>
              <w:t>Total expenses for Outcome 2</w:t>
            </w:r>
          </w:p>
        </w:tc>
        <w:tc>
          <w:tcPr>
            <w:tcW w:w="947" w:type="dxa"/>
            <w:tcBorders>
              <w:top w:val="nil"/>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549,070 </w:t>
            </w:r>
          </w:p>
        </w:tc>
        <w:tc>
          <w:tcPr>
            <w:tcW w:w="947" w:type="dxa"/>
            <w:tcBorders>
              <w:top w:val="nil"/>
              <w:left w:val="nil"/>
              <w:bottom w:val="single" w:sz="4" w:space="0" w:color="auto"/>
              <w:right w:val="nil"/>
            </w:tcBorders>
            <w:shd w:val="clear" w:color="000000" w:fill="E6E6E6"/>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543,314 </w:t>
            </w:r>
          </w:p>
        </w:tc>
        <w:tc>
          <w:tcPr>
            <w:tcW w:w="947" w:type="dxa"/>
            <w:tcBorders>
              <w:top w:val="nil"/>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570,323 </w:t>
            </w:r>
          </w:p>
        </w:tc>
        <w:tc>
          <w:tcPr>
            <w:tcW w:w="947" w:type="dxa"/>
            <w:tcBorders>
              <w:top w:val="nil"/>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567,450 </w:t>
            </w:r>
          </w:p>
        </w:tc>
        <w:tc>
          <w:tcPr>
            <w:tcW w:w="947" w:type="dxa"/>
            <w:tcBorders>
              <w:top w:val="nil"/>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569,522 </w:t>
            </w:r>
          </w:p>
        </w:tc>
      </w:tr>
      <w:tr w:rsidR="00E048ED" w:rsidRPr="00894CEE" w:rsidTr="00E048ED">
        <w:trPr>
          <w:trHeight w:val="225"/>
        </w:trPr>
        <w:tc>
          <w:tcPr>
            <w:tcW w:w="3005"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b/>
                <w:bCs/>
                <w:color w:val="000000"/>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b/>
                <w:bCs/>
                <w:color w:val="000000"/>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b/>
                <w:bCs/>
                <w:color w:val="000000"/>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b/>
                <w:bCs/>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b/>
                <w:bCs/>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b/>
                <w:bCs/>
                <w:sz w:val="16"/>
                <w:szCs w:val="16"/>
              </w:rPr>
            </w:pPr>
          </w:p>
        </w:tc>
      </w:tr>
      <w:tr w:rsidR="00E048ED" w:rsidRPr="00894CEE" w:rsidTr="00E048ED">
        <w:trPr>
          <w:trHeight w:val="227"/>
        </w:trPr>
        <w:tc>
          <w:tcPr>
            <w:tcW w:w="3005" w:type="dxa"/>
            <w:tcBorders>
              <w:top w:val="single" w:sz="4" w:space="0" w:color="000000"/>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color w:val="000000"/>
                <w:sz w:val="16"/>
                <w:szCs w:val="16"/>
              </w:rPr>
            </w:pPr>
            <w:r w:rsidRPr="00894CEE">
              <w:rPr>
                <w:rFonts w:ascii="Arial" w:hAnsi="Arial" w:cs="Arial"/>
                <w:color w:val="000000"/>
                <w:sz w:val="16"/>
                <w:szCs w:val="16"/>
              </w:rPr>
              <w:t> </w:t>
            </w:r>
          </w:p>
        </w:tc>
        <w:tc>
          <w:tcPr>
            <w:tcW w:w="947" w:type="dxa"/>
            <w:tcBorders>
              <w:top w:val="single" w:sz="4" w:space="0" w:color="auto"/>
              <w:left w:val="nil"/>
              <w:bottom w:val="single" w:sz="4" w:space="0" w:color="auto"/>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2017–18</w:t>
            </w:r>
          </w:p>
        </w:tc>
        <w:tc>
          <w:tcPr>
            <w:tcW w:w="947" w:type="dxa"/>
            <w:tcBorders>
              <w:top w:val="single" w:sz="4" w:space="0" w:color="auto"/>
              <w:left w:val="nil"/>
              <w:bottom w:val="single" w:sz="4" w:space="0" w:color="auto"/>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2018–19</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r>
      <w:tr w:rsidR="00E048ED" w:rsidRPr="00894CEE" w:rsidTr="00E048ED">
        <w:trPr>
          <w:trHeight w:val="227"/>
        </w:trPr>
        <w:tc>
          <w:tcPr>
            <w:tcW w:w="3005" w:type="dxa"/>
            <w:tcBorders>
              <w:top w:val="nil"/>
              <w:left w:val="nil"/>
              <w:bottom w:val="single" w:sz="4" w:space="0" w:color="000000"/>
              <w:right w:val="nil"/>
            </w:tcBorders>
            <w:shd w:val="clear" w:color="auto" w:fill="auto"/>
            <w:noWrap/>
            <w:vAlign w:val="center"/>
            <w:hideMark/>
          </w:tcPr>
          <w:p w:rsidR="00E048ED" w:rsidRPr="00894CEE" w:rsidRDefault="00E048ED" w:rsidP="00E048ED">
            <w:pPr>
              <w:spacing w:after="0" w:line="240" w:lineRule="auto"/>
              <w:rPr>
                <w:rFonts w:ascii="Arial" w:hAnsi="Arial" w:cs="Arial"/>
                <w:b/>
                <w:bCs/>
                <w:color w:val="000000"/>
                <w:sz w:val="16"/>
                <w:szCs w:val="16"/>
              </w:rPr>
            </w:pPr>
            <w:r w:rsidRPr="00894CEE">
              <w:rPr>
                <w:rFonts w:ascii="Arial" w:hAnsi="Arial" w:cs="Arial"/>
                <w:b/>
                <w:bCs/>
                <w:color w:val="000000"/>
                <w:sz w:val="16"/>
                <w:szCs w:val="16"/>
              </w:rPr>
              <w:t>Average staffing level (number)</w:t>
            </w:r>
          </w:p>
        </w:tc>
        <w:tc>
          <w:tcPr>
            <w:tcW w:w="947" w:type="dxa"/>
            <w:tcBorders>
              <w:top w:val="nil"/>
              <w:left w:val="nil"/>
              <w:bottom w:val="single" w:sz="4" w:space="0" w:color="auto"/>
              <w:right w:val="nil"/>
            </w:tcBorders>
            <w:shd w:val="clear" w:color="auto" w:fill="auto"/>
            <w:noWrap/>
            <w:vAlign w:val="center"/>
            <w:hideMark/>
          </w:tcPr>
          <w:p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470 </w:t>
            </w:r>
          </w:p>
        </w:tc>
        <w:tc>
          <w:tcPr>
            <w:tcW w:w="947" w:type="dxa"/>
            <w:tcBorders>
              <w:top w:val="nil"/>
              <w:left w:val="nil"/>
              <w:bottom w:val="single" w:sz="4" w:space="0" w:color="auto"/>
              <w:right w:val="nil"/>
            </w:tcBorders>
            <w:shd w:val="clear" w:color="000000" w:fill="E6E6E6"/>
            <w:noWrap/>
            <w:vAlign w:val="center"/>
            <w:hideMark/>
          </w:tcPr>
          <w:p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484 </w:t>
            </w: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rsidR="00E048ED" w:rsidRPr="00894CEE" w:rsidRDefault="00E048ED" w:rsidP="00E048ED">
            <w:pPr>
              <w:spacing w:after="0" w:line="240" w:lineRule="auto"/>
              <w:rPr>
                <w:rFonts w:ascii="Arial" w:hAnsi="Arial" w:cs="Arial"/>
                <w:sz w:val="16"/>
                <w:szCs w:val="16"/>
              </w:rPr>
            </w:pPr>
          </w:p>
        </w:tc>
      </w:tr>
    </w:tbl>
    <w:p w:rsidR="00E048ED" w:rsidRPr="00950281" w:rsidRDefault="00E048ED" w:rsidP="00E01B4E">
      <w:pPr>
        <w:pStyle w:val="ChartandTableFootnoteAlpha"/>
        <w:numPr>
          <w:ilvl w:val="0"/>
          <w:numId w:val="16"/>
        </w:numPr>
      </w:pPr>
      <w:r w:rsidRPr="00950281">
        <w:t>E</w:t>
      </w:r>
      <w:r>
        <w:t>stimated e</w:t>
      </w:r>
      <w:r w:rsidRPr="00950281">
        <w:t xml:space="preserve">xpenses </w:t>
      </w:r>
      <w:r>
        <w:t>incurred in relation to receipts retained under section 74 of the PGPA Act</w:t>
      </w:r>
      <w:r w:rsidRPr="006922DC">
        <w:t>.</w:t>
      </w:r>
    </w:p>
    <w:p w:rsidR="00E048ED" w:rsidRPr="00950281" w:rsidRDefault="00E048ED" w:rsidP="00E048ED">
      <w:pPr>
        <w:pStyle w:val="ChartandTableFootnoteAlpha"/>
      </w:pPr>
      <w:r w:rsidRPr="00950281">
        <w:t xml:space="preserve">Expenses not requiring appropriation in the Budget year are made up of depreciation expenses, amortisation expenses, make good expenses, </w:t>
      </w:r>
      <w:r>
        <w:t>and audit fees</w:t>
      </w:r>
      <w:r w:rsidRPr="00950281">
        <w:t>.</w:t>
      </w:r>
    </w:p>
    <w:p w:rsidR="00E048ED" w:rsidRPr="00446612" w:rsidRDefault="00E048ED" w:rsidP="00E048ED">
      <w:pPr>
        <w:pStyle w:val="ChartandTableFootnote"/>
      </w:pPr>
      <w:r w:rsidRPr="00446612">
        <w:t>Note: Departmental appropriation splits and totals are indicative estimates and may change in the course of the budget year as government priorities change.</w:t>
      </w:r>
    </w:p>
    <w:p w:rsidR="00E048ED" w:rsidRPr="00B464BE" w:rsidRDefault="00E048ED" w:rsidP="00E048ED">
      <w:pPr>
        <w:pStyle w:val="TableHeading"/>
        <w:rPr>
          <w:lang w:val="en-AU"/>
        </w:rPr>
      </w:pPr>
      <w:r>
        <w:rPr>
          <w:highlight w:val="yellow"/>
          <w:lang w:val="en-US"/>
        </w:rPr>
        <w:br w:type="page"/>
      </w:r>
      <w:r>
        <w:lastRenderedPageBreak/>
        <w:t>Table 2.</w:t>
      </w:r>
      <w:r>
        <w:rPr>
          <w:lang w:val="en-AU"/>
        </w:rPr>
        <w:t>2</w:t>
      </w:r>
      <w:r w:rsidRPr="00F71634">
        <w:t>.</w:t>
      </w:r>
      <w:r>
        <w:rPr>
          <w:lang w:val="en-AU"/>
        </w:rPr>
        <w:t>2</w:t>
      </w:r>
      <w:r w:rsidRPr="00F71634">
        <w:t>: Pe</w:t>
      </w:r>
      <w:r>
        <w:t xml:space="preserve">rformance criteria for Outcome </w:t>
      </w:r>
      <w:r>
        <w:rPr>
          <w:lang w:val="en-AU"/>
        </w:rPr>
        <w:t>2</w:t>
      </w:r>
    </w:p>
    <w:p w:rsidR="00E048ED" w:rsidRPr="00B166C6" w:rsidRDefault="00E048ED" w:rsidP="00300A6D">
      <w:pPr>
        <w:spacing w:after="120"/>
      </w:pPr>
      <w:r w:rsidRPr="00B166C6">
        <w:t>Table 2.</w:t>
      </w:r>
      <w:r>
        <w:t>2</w:t>
      </w:r>
      <w:r w:rsidRPr="00B166C6">
        <w:t>.</w:t>
      </w:r>
      <w:r>
        <w:t>2</w:t>
      </w:r>
      <w:r w:rsidRPr="00B166C6">
        <w:t xml:space="preserve"> below details the performance criteria for each program associated with Outcome </w:t>
      </w:r>
      <w:r>
        <w:t>2</w:t>
      </w:r>
      <w:r w:rsidRPr="00B166C6">
        <w:t>. It also summarises how each program is delivered and where 2018</w:t>
      </w:r>
      <w:r>
        <w:t>–</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835"/>
        <w:gridCol w:w="3630"/>
      </w:tblGrid>
      <w:tr w:rsidR="00E048ED" w:rsidRPr="00F71634" w:rsidTr="00E048ED">
        <w:trPr>
          <w:tblHeader/>
        </w:trPr>
        <w:tc>
          <w:tcPr>
            <w:tcW w:w="7741" w:type="dxa"/>
            <w:gridSpan w:val="3"/>
            <w:shd w:val="clear" w:color="auto" w:fill="F2F2F2"/>
          </w:tcPr>
          <w:p w:rsidR="00E048ED" w:rsidRPr="006906E4" w:rsidRDefault="00E048ED" w:rsidP="00E048ED">
            <w:pPr>
              <w:pStyle w:val="TableColumnHeadingLeft"/>
            </w:pPr>
            <w:r>
              <w:t>Outcome 2—Facilitate jobs growth through policies</w:t>
            </w:r>
            <w:r w:rsidR="00B40754">
              <w:t xml:space="preserve"> and programs</w:t>
            </w:r>
            <w:r>
              <w:t xml:space="preserve"> that promote fair, productive and safe workplaces, and facilitate the growth of small business. </w:t>
            </w:r>
          </w:p>
        </w:tc>
      </w:tr>
      <w:tr w:rsidR="00E048ED" w:rsidRPr="00F71634" w:rsidTr="00E048ED">
        <w:trPr>
          <w:tblHeader/>
        </w:trPr>
        <w:tc>
          <w:tcPr>
            <w:tcW w:w="7741" w:type="dxa"/>
            <w:gridSpan w:val="3"/>
            <w:shd w:val="clear" w:color="auto" w:fill="F2F2F2"/>
          </w:tcPr>
          <w:p w:rsidR="00E048ED" w:rsidRDefault="00E048ED" w:rsidP="00E048ED">
            <w:pPr>
              <w:tabs>
                <w:tab w:val="left" w:pos="709"/>
              </w:tabs>
              <w:spacing w:before="60" w:after="60" w:line="240" w:lineRule="auto"/>
              <w:rPr>
                <w:rFonts w:ascii="Arial" w:hAnsi="Arial" w:cs="Arial"/>
                <w:sz w:val="16"/>
                <w:szCs w:val="16"/>
              </w:rPr>
            </w:pPr>
            <w:r w:rsidRPr="006906E4">
              <w:rPr>
                <w:rFonts w:ascii="Arial" w:hAnsi="Arial" w:cs="Arial"/>
                <w:b/>
                <w:sz w:val="16"/>
                <w:szCs w:val="16"/>
              </w:rPr>
              <w:t xml:space="preserve">Program </w:t>
            </w:r>
            <w:r>
              <w:rPr>
                <w:rFonts w:ascii="Arial" w:hAnsi="Arial" w:cs="Arial"/>
                <w:b/>
                <w:sz w:val="16"/>
                <w:szCs w:val="16"/>
              </w:rPr>
              <w:t>2</w:t>
            </w:r>
            <w:r w:rsidRPr="006906E4">
              <w:rPr>
                <w:rFonts w:ascii="Arial" w:hAnsi="Arial" w:cs="Arial"/>
                <w:b/>
                <w:sz w:val="16"/>
                <w:szCs w:val="16"/>
              </w:rPr>
              <w:t>.1</w:t>
            </w:r>
            <w:r>
              <w:rPr>
                <w:rFonts w:ascii="Arial" w:hAnsi="Arial" w:cs="Arial"/>
                <w:sz w:val="16"/>
                <w:szCs w:val="16"/>
              </w:rPr>
              <w:t>—</w:t>
            </w:r>
            <w:r w:rsidRPr="005C4B26">
              <w:rPr>
                <w:rFonts w:ascii="Arial" w:hAnsi="Arial" w:cs="Arial"/>
                <w:b/>
                <w:sz w:val="16"/>
                <w:szCs w:val="16"/>
              </w:rPr>
              <w:t>Workplace Support</w:t>
            </w:r>
          </w:p>
          <w:p w:rsidR="00E048ED" w:rsidRPr="006912E6" w:rsidRDefault="00E048ED" w:rsidP="00E048ED">
            <w:pPr>
              <w:tabs>
                <w:tab w:val="left" w:pos="709"/>
              </w:tabs>
              <w:spacing w:before="60" w:after="60" w:line="240" w:lineRule="auto"/>
              <w:rPr>
                <w:rStyle w:val="TableTextLeftChar"/>
              </w:rPr>
            </w:pPr>
            <w:r w:rsidRPr="006912E6">
              <w:rPr>
                <w:rStyle w:val="TableTextLeftChar"/>
                <w:szCs w:val="17"/>
              </w:rPr>
              <w:t>Contributes to Outcome 2 through:</w:t>
            </w:r>
          </w:p>
          <w:p w:rsidR="00E048ED" w:rsidRPr="006912E6" w:rsidRDefault="00E048ED" w:rsidP="00E01B4E">
            <w:pPr>
              <w:pStyle w:val="TableTextBullet"/>
              <w:numPr>
                <w:ilvl w:val="0"/>
                <w:numId w:val="17"/>
              </w:numPr>
              <w:spacing w:before="40" w:after="40"/>
              <w:rPr>
                <w:rFonts w:cs="Arial"/>
                <w:sz w:val="16"/>
                <w:szCs w:val="16"/>
              </w:rPr>
            </w:pPr>
            <w:r>
              <w:rPr>
                <w:rFonts w:cs="Arial"/>
                <w:szCs w:val="17"/>
              </w:rPr>
              <w:t xml:space="preserve">the promotion of fair workplaces by ensuring the protection of employee entitlements in certain circumstances, and </w:t>
            </w:r>
          </w:p>
          <w:p w:rsidR="00E048ED" w:rsidRPr="006912E6" w:rsidRDefault="00E048ED" w:rsidP="00E01B4E">
            <w:pPr>
              <w:pStyle w:val="TableTextBullet"/>
              <w:numPr>
                <w:ilvl w:val="0"/>
                <w:numId w:val="17"/>
              </w:numPr>
              <w:spacing w:before="40" w:after="40"/>
              <w:rPr>
                <w:rFonts w:cs="Arial"/>
                <w:sz w:val="16"/>
                <w:szCs w:val="16"/>
              </w:rPr>
            </w:pPr>
            <w:r w:rsidRPr="006912E6">
              <w:rPr>
                <w:rFonts w:cs="Arial"/>
                <w:szCs w:val="17"/>
              </w:rPr>
              <w:t>ensuring the efficient operation of the workplace relations system through initiatives designed to encourage employers and employees to adopt fair, productive, flexible and safe workplace relations.</w:t>
            </w:r>
          </w:p>
        </w:tc>
      </w:tr>
      <w:tr w:rsidR="00E048ED" w:rsidRPr="00F71634" w:rsidTr="00E048ED">
        <w:tc>
          <w:tcPr>
            <w:tcW w:w="1276" w:type="dxa"/>
          </w:tcPr>
          <w:p w:rsidR="00E048ED" w:rsidRPr="006906E4" w:rsidRDefault="00E048ED" w:rsidP="00737870">
            <w:pPr>
              <w:tabs>
                <w:tab w:val="left" w:pos="709"/>
              </w:tabs>
              <w:spacing w:before="60" w:after="60" w:line="240" w:lineRule="auto"/>
              <w:rPr>
                <w:rFonts w:ascii="Arial" w:hAnsi="Arial" w:cs="Arial"/>
                <w:b/>
                <w:sz w:val="16"/>
                <w:szCs w:val="16"/>
              </w:rPr>
            </w:pPr>
            <w:r w:rsidRPr="006906E4">
              <w:rPr>
                <w:rFonts w:ascii="Arial" w:hAnsi="Arial" w:cs="Arial"/>
                <w:b/>
                <w:sz w:val="16"/>
                <w:szCs w:val="16"/>
              </w:rPr>
              <w:t xml:space="preserve">Purpose </w:t>
            </w:r>
          </w:p>
        </w:tc>
        <w:tc>
          <w:tcPr>
            <w:tcW w:w="6465" w:type="dxa"/>
            <w:gridSpan w:val="2"/>
          </w:tcPr>
          <w:p w:rsidR="00E048ED" w:rsidRPr="006912E6" w:rsidRDefault="008D52E2" w:rsidP="00E048ED">
            <w:pPr>
              <w:pStyle w:val="TableTextLeft"/>
              <w:rPr>
                <w:i/>
                <w:color w:val="FF0000"/>
                <w:szCs w:val="17"/>
              </w:rPr>
            </w:pPr>
            <w:r w:rsidRPr="00AF6662">
              <w:t xml:space="preserve">Our role is to </w:t>
            </w:r>
            <w:r>
              <w:t>deliver policies and programs that foster safe, fair and productive workplaces of all sizes, assisting job seekers to find work and small businesses to grow.</w:t>
            </w:r>
            <w:r>
              <w:rPr>
                <w:rStyle w:val="FootnoteReference"/>
              </w:rPr>
              <w:footnoteReference w:id="4"/>
            </w:r>
          </w:p>
        </w:tc>
      </w:tr>
      <w:tr w:rsidR="00E048ED" w:rsidRPr="00F71634" w:rsidTr="00300A6D">
        <w:trPr>
          <w:trHeight w:val="5207"/>
        </w:trPr>
        <w:tc>
          <w:tcPr>
            <w:tcW w:w="1276" w:type="dxa"/>
            <w:tcBorders>
              <w:bottom w:val="doub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E048ED" w:rsidRPr="006912E6" w:rsidRDefault="00E048ED" w:rsidP="00E048ED">
            <w:pPr>
              <w:pStyle w:val="TableTextLeft"/>
              <w:rPr>
                <w:rFonts w:eastAsia="Cambria"/>
                <w:szCs w:val="17"/>
              </w:rPr>
            </w:pPr>
            <w:r w:rsidRPr="006912E6">
              <w:rPr>
                <w:rFonts w:eastAsia="Cambria"/>
                <w:szCs w:val="17"/>
              </w:rPr>
              <w:t xml:space="preserve">Program 2.1 delivers two services to promote fair workplaces by ensuring the protection of employee entitlements in certain circumstances: </w:t>
            </w:r>
          </w:p>
          <w:p w:rsidR="00E048ED" w:rsidRDefault="00E048ED" w:rsidP="00E01B4E">
            <w:pPr>
              <w:pStyle w:val="TableTextBullet"/>
              <w:numPr>
                <w:ilvl w:val="0"/>
                <w:numId w:val="17"/>
              </w:numPr>
              <w:rPr>
                <w:rFonts w:eastAsia="Cambria" w:cs="Arial"/>
                <w:szCs w:val="17"/>
              </w:rPr>
            </w:pPr>
            <w:r>
              <w:rPr>
                <w:rFonts w:eastAsia="Cambria" w:cs="Arial"/>
                <w:szCs w:val="17"/>
              </w:rPr>
              <w:t xml:space="preserve">Fair Entitlements Guarantee—established under the </w:t>
            </w:r>
            <w:r>
              <w:rPr>
                <w:rFonts w:eastAsia="Cambria" w:cs="Arial"/>
                <w:i/>
                <w:szCs w:val="17"/>
              </w:rPr>
              <w:t>Fair Entitlements Guarantee Act 2012</w:t>
            </w:r>
            <w:r>
              <w:rPr>
                <w:rFonts w:eastAsia="Cambria" w:cs="Arial"/>
                <w:szCs w:val="17"/>
              </w:rPr>
              <w:t xml:space="preserve"> to provide financial assistance for certain unpaid employment entitlements when an employee loses their job through the liquidation or bankruptcy of their employer.</w:t>
            </w:r>
          </w:p>
          <w:p w:rsidR="00E048ED" w:rsidRDefault="00E048ED" w:rsidP="00E01B4E">
            <w:pPr>
              <w:pStyle w:val="TableTextBullet"/>
              <w:numPr>
                <w:ilvl w:val="0"/>
                <w:numId w:val="17"/>
              </w:numPr>
              <w:rPr>
                <w:rFonts w:eastAsia="Cambria" w:cs="Arial"/>
                <w:szCs w:val="17"/>
              </w:rPr>
            </w:pPr>
            <w:r>
              <w:rPr>
                <w:rFonts w:eastAsia="Cambria" w:cs="Arial"/>
                <w:i/>
                <w:szCs w:val="17"/>
              </w:rPr>
              <w:t>Coal Mining Industry (Long Service Leave) Administration Act 1992</w:t>
            </w:r>
            <w:r>
              <w:rPr>
                <w:rFonts w:eastAsia="Cambria" w:cs="Arial"/>
                <w:szCs w:val="17"/>
              </w:rPr>
              <w:t xml:space="preserve"> financing arrangements—under this Act the cost of portable long service leave entitlements is managed through a central fund administered by the Coal Mining Industry (Long Service Leave Funding) Corporation. Monthly levy collection transfers are made from the consolidated revenue fund to the central fund.</w:t>
            </w:r>
            <w:r>
              <w:rPr>
                <w:rStyle w:val="FootnoteReference"/>
                <w:rFonts w:eastAsia="Cambria" w:cs="Arial"/>
                <w:szCs w:val="17"/>
              </w:rPr>
              <w:footnoteReference w:id="5"/>
            </w:r>
          </w:p>
          <w:p w:rsidR="00E048ED" w:rsidRPr="006912E6" w:rsidRDefault="00E048ED" w:rsidP="00E048ED">
            <w:pPr>
              <w:pStyle w:val="TableTextLeft"/>
              <w:rPr>
                <w:rFonts w:eastAsia="Cambria"/>
                <w:szCs w:val="17"/>
              </w:rPr>
            </w:pPr>
            <w:r w:rsidRPr="006912E6">
              <w:rPr>
                <w:rFonts w:eastAsia="Cambria"/>
                <w:szCs w:val="17"/>
              </w:rPr>
              <w:t xml:space="preserve">The Program contributes to the </w:t>
            </w:r>
            <w:r w:rsidRPr="006912E6">
              <w:rPr>
                <w:szCs w:val="17"/>
              </w:rPr>
              <w:t>Government’s productivity agenda by ensuring the operation of the workplace relations system through initiatives designed to encourage employers and employees to adopt fair, productive, flexible and safe workplace relations</w:t>
            </w:r>
            <w:r w:rsidRPr="006912E6">
              <w:rPr>
                <w:rFonts w:eastAsia="Cambria"/>
                <w:szCs w:val="17"/>
              </w:rPr>
              <w:t>, including the:</w:t>
            </w:r>
          </w:p>
          <w:p w:rsidR="00E048ED" w:rsidRDefault="00E048ED" w:rsidP="00E01B4E">
            <w:pPr>
              <w:pStyle w:val="TableTextBullet"/>
              <w:numPr>
                <w:ilvl w:val="0"/>
                <w:numId w:val="17"/>
              </w:numPr>
              <w:rPr>
                <w:rFonts w:cs="Arial"/>
                <w:i/>
                <w:color w:val="FF0000"/>
                <w:sz w:val="16"/>
                <w:szCs w:val="16"/>
              </w:rPr>
            </w:pPr>
            <w:r>
              <w:rPr>
                <w:rFonts w:eastAsia="Cambria" w:cs="Arial"/>
                <w:szCs w:val="17"/>
              </w:rPr>
              <w:t>Protected Action Ballots Scheme—costs incurred by the Australian Electoral Commission in relation to protected action ballots. A protected action ballot is a statutory prerequisite to protected industrial action under the Fair Work Act.</w:t>
            </w:r>
            <w:r>
              <w:rPr>
                <w:rStyle w:val="FootnoteReference"/>
                <w:rFonts w:eastAsia="Cambria" w:cs="Arial"/>
                <w:szCs w:val="17"/>
              </w:rPr>
              <w:footnoteReference w:id="6"/>
            </w:r>
          </w:p>
          <w:p w:rsidR="00E048ED" w:rsidRPr="006912E6" w:rsidRDefault="00E048ED" w:rsidP="00206B18">
            <w:pPr>
              <w:pStyle w:val="TableTextLeft"/>
              <w:rPr>
                <w:i/>
                <w:color w:val="FF0000"/>
                <w:szCs w:val="17"/>
              </w:rPr>
            </w:pPr>
            <w:r w:rsidRPr="006912E6">
              <w:rPr>
                <w:rFonts w:eastAsia="Cambria"/>
                <w:szCs w:val="17"/>
              </w:rPr>
              <w:t>International Labour Organization (ILO)—the Australian Government’s annual membership subscription to the ILO. The government works with other member states and representatives from employer and employee organisations to: participate in international policy discussions on labo</w:t>
            </w:r>
            <w:r w:rsidR="00C152B0">
              <w:rPr>
                <w:rFonts w:eastAsia="Cambria"/>
                <w:szCs w:val="17"/>
              </w:rPr>
              <w:t>ur issues,</w:t>
            </w:r>
            <w:r w:rsidRPr="006912E6">
              <w:rPr>
                <w:rFonts w:eastAsia="Cambria"/>
                <w:szCs w:val="17"/>
              </w:rPr>
              <w:t xml:space="preserve"> contribute to technical coopera</w:t>
            </w:r>
            <w:r w:rsidR="00C152B0">
              <w:rPr>
                <w:rFonts w:eastAsia="Cambria"/>
                <w:szCs w:val="17"/>
              </w:rPr>
              <w:t>tion in the Asia-Pacific region,</w:t>
            </w:r>
            <w:r w:rsidRPr="006912E6">
              <w:rPr>
                <w:rFonts w:eastAsia="Cambria"/>
                <w:szCs w:val="17"/>
              </w:rPr>
              <w:t xml:space="preserve"> report on </w:t>
            </w:r>
            <w:r w:rsidR="00C152B0">
              <w:rPr>
                <w:rFonts w:eastAsia="Cambria"/>
                <w:szCs w:val="17"/>
              </w:rPr>
              <w:t>standards at the national level,</w:t>
            </w:r>
            <w:r w:rsidRPr="006912E6">
              <w:rPr>
                <w:rFonts w:eastAsia="Cambria"/>
                <w:szCs w:val="17"/>
              </w:rPr>
              <w:t xml:space="preserve"> and participate as a member of the ILO Governing Body.</w:t>
            </w:r>
            <w:r>
              <w:rPr>
                <w:rStyle w:val="FootnoteReference"/>
                <w:rFonts w:eastAsia="Cambria"/>
                <w:szCs w:val="17"/>
              </w:rPr>
              <w:footnoteReference w:id="7"/>
            </w:r>
          </w:p>
        </w:tc>
      </w:tr>
      <w:tr w:rsidR="00E048ED" w:rsidRPr="00F71634" w:rsidTr="00E048ED">
        <w:tc>
          <w:tcPr>
            <w:tcW w:w="7741" w:type="dxa"/>
            <w:gridSpan w:val="3"/>
            <w:tcBorders>
              <w:top w:val="double" w:sz="4" w:space="0" w:color="auto"/>
              <w:bottom w:val="doub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lastRenderedPageBreak/>
              <w:t>Performance information</w:t>
            </w:r>
          </w:p>
        </w:tc>
      </w:tr>
      <w:tr w:rsidR="00E048ED" w:rsidRPr="00F71634" w:rsidTr="00E048ED">
        <w:tc>
          <w:tcPr>
            <w:tcW w:w="1276" w:type="dxa"/>
            <w:tcBorders>
              <w:top w:val="double" w:sz="4" w:space="0" w:color="auto"/>
              <w:bottom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2835" w:type="dxa"/>
            <w:tcBorders>
              <w:top w:val="double" w:sz="4" w:space="0" w:color="auto"/>
              <w:left w:val="single" w:sz="4" w:space="0" w:color="auto"/>
              <w:bottom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p>
        </w:tc>
        <w:tc>
          <w:tcPr>
            <w:tcW w:w="3630" w:type="dxa"/>
            <w:tcBorders>
              <w:top w:val="double" w:sz="4" w:space="0" w:color="auto"/>
              <w:left w:val="single" w:sz="4" w:space="0" w:color="auto"/>
              <w:bottom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E048ED" w:rsidRPr="00F71634" w:rsidTr="00E048ED">
        <w:trPr>
          <w:trHeight w:val="60"/>
        </w:trPr>
        <w:tc>
          <w:tcPr>
            <w:tcW w:w="1276" w:type="dxa"/>
            <w:tcBorders>
              <w:top w:val="single" w:sz="4" w:space="0" w:color="auto"/>
              <w:bottom w:val="nil"/>
              <w:right w:val="single" w:sz="4" w:space="0" w:color="auto"/>
            </w:tcBorders>
          </w:tcPr>
          <w:p w:rsidR="00E048ED" w:rsidRPr="006906E4"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2835" w:type="dxa"/>
            <w:tcBorders>
              <w:top w:val="single" w:sz="4" w:space="0" w:color="auto"/>
              <w:left w:val="single" w:sz="4" w:space="0" w:color="auto"/>
              <w:bottom w:val="dotted" w:sz="4" w:space="0" w:color="auto"/>
              <w:right w:val="single" w:sz="4" w:space="0" w:color="auto"/>
            </w:tcBorders>
          </w:tcPr>
          <w:p w:rsidR="00E048ED" w:rsidRPr="006912E6" w:rsidRDefault="00E048ED" w:rsidP="00E048ED">
            <w:pPr>
              <w:pStyle w:val="TableTextLeft"/>
            </w:pPr>
            <w:r>
              <w:t>Fair Entitlements Guarantee program functions effectively</w:t>
            </w:r>
          </w:p>
        </w:tc>
        <w:tc>
          <w:tcPr>
            <w:tcW w:w="3630" w:type="dxa"/>
            <w:tcBorders>
              <w:top w:val="single" w:sz="4" w:space="0" w:color="auto"/>
              <w:left w:val="single" w:sz="4" w:space="0" w:color="auto"/>
              <w:bottom w:val="dotted" w:sz="4" w:space="0" w:color="auto"/>
            </w:tcBorders>
          </w:tcPr>
          <w:p w:rsidR="00E048ED" w:rsidRPr="008861F3" w:rsidRDefault="00E048ED" w:rsidP="00300A6D">
            <w:pPr>
              <w:pStyle w:val="TableTextBullet"/>
              <w:spacing w:after="40"/>
            </w:pPr>
            <w:r w:rsidRPr="008861F3">
              <w:t>Fair Entitlements Guarantee—percentage of claims processed within 16 weeks of receipt of an effective claim: 80%</w:t>
            </w:r>
            <w:r w:rsidRPr="008861F3">
              <w:br/>
            </w:r>
            <w:r w:rsidRPr="008861F3">
              <w:rPr>
                <w:b/>
              </w:rPr>
              <w:t>Assessment</w:t>
            </w:r>
            <w:r w:rsidRPr="008861F3">
              <w:t>: F</w:t>
            </w:r>
            <w:r w:rsidR="00081C68">
              <w:t>orecast Achievement is on track</w:t>
            </w:r>
          </w:p>
          <w:p w:rsidR="00E048ED" w:rsidRPr="008861F3" w:rsidRDefault="00E048ED" w:rsidP="00300A6D">
            <w:pPr>
              <w:pStyle w:val="TableTextBullet"/>
              <w:spacing w:before="40" w:after="40"/>
            </w:pPr>
            <w:r w:rsidRPr="008861F3">
              <w:t>Fair Entitlements Guarantee—average processing time for all claims: 14 weeks</w:t>
            </w:r>
            <w:r w:rsidRPr="008861F3">
              <w:br/>
            </w:r>
            <w:r w:rsidRPr="008861F3">
              <w:rPr>
                <w:b/>
              </w:rPr>
              <w:t>Assessment</w:t>
            </w:r>
            <w:r w:rsidRPr="008861F3">
              <w:t>: F</w:t>
            </w:r>
            <w:r w:rsidR="00081C68">
              <w:t>orecast Achievement is on track</w:t>
            </w:r>
          </w:p>
          <w:p w:rsidR="00E048ED" w:rsidRPr="008861F3" w:rsidRDefault="00E048ED" w:rsidP="00300A6D">
            <w:pPr>
              <w:pStyle w:val="TableTextBullet"/>
              <w:spacing w:before="40" w:after="40"/>
              <w:rPr>
                <w:rFonts w:cs="Arial"/>
                <w:sz w:val="16"/>
                <w:szCs w:val="16"/>
              </w:rPr>
            </w:pPr>
            <w:r w:rsidRPr="008861F3">
              <w:t xml:space="preserve">Fair Entitlements Guarantee—claim payments are correct: 95% </w:t>
            </w:r>
            <w:r w:rsidRPr="008861F3">
              <w:br/>
            </w:r>
            <w:r w:rsidRPr="008861F3">
              <w:rPr>
                <w:rFonts w:cs="Arial"/>
                <w:b/>
                <w:sz w:val="16"/>
                <w:szCs w:val="16"/>
              </w:rPr>
              <w:t>Assessment</w:t>
            </w:r>
            <w:r w:rsidRPr="008861F3">
              <w:rPr>
                <w:rFonts w:cs="Arial"/>
                <w:sz w:val="16"/>
                <w:szCs w:val="16"/>
              </w:rPr>
              <w:t>: Forecast A</w:t>
            </w:r>
            <w:r w:rsidR="00081C68">
              <w:rPr>
                <w:rFonts w:cs="Arial"/>
                <w:sz w:val="16"/>
                <w:szCs w:val="16"/>
              </w:rPr>
              <w:t>chievement is on track</w:t>
            </w:r>
          </w:p>
          <w:p w:rsidR="00E048ED" w:rsidRPr="008861F3" w:rsidRDefault="00E048ED" w:rsidP="00300A6D">
            <w:pPr>
              <w:pStyle w:val="TableTextBullet"/>
              <w:spacing w:before="40" w:after="40"/>
            </w:pPr>
            <w:r w:rsidRPr="008861F3">
              <w:t>Fair Entitlements Guarantee—claimants satisfied with the department’s administration of Fair Entitlements Guarantee: 80%</w:t>
            </w:r>
            <w:r w:rsidRPr="008861F3">
              <w:br/>
            </w:r>
            <w:r w:rsidRPr="008861F3">
              <w:rPr>
                <w:b/>
              </w:rPr>
              <w:t>Assessment</w:t>
            </w:r>
            <w:r w:rsidRPr="008861F3">
              <w:t>: F</w:t>
            </w:r>
            <w:r w:rsidR="00081C68">
              <w:t>orecast Achievement is on track</w:t>
            </w:r>
          </w:p>
          <w:p w:rsidR="00E048ED" w:rsidRPr="008861F3" w:rsidRDefault="00E048ED" w:rsidP="00300A6D">
            <w:pPr>
              <w:pStyle w:val="TableTextBullet"/>
              <w:spacing w:before="40"/>
              <w:rPr>
                <w:i/>
                <w:color w:val="FF0000"/>
              </w:rPr>
            </w:pPr>
            <w:r w:rsidRPr="008861F3">
              <w:t>Fair Entitlements Guarantee—insolvency Practitioners satisfied with the administration of Fair Entitlements Guarantee: 80%</w:t>
            </w:r>
            <w:r w:rsidRPr="008861F3">
              <w:br/>
            </w:r>
            <w:r w:rsidRPr="008861F3">
              <w:rPr>
                <w:b/>
              </w:rPr>
              <w:t xml:space="preserve">Assessment: </w:t>
            </w:r>
            <w:r w:rsidRPr="008861F3">
              <w:t>Forecast achievement is unknown be</w:t>
            </w:r>
            <w:r w:rsidR="00081C68">
              <w:t>cause data is not yet available</w:t>
            </w:r>
          </w:p>
        </w:tc>
      </w:tr>
      <w:tr w:rsidR="00E048ED" w:rsidRPr="00F71634" w:rsidTr="008861F3">
        <w:trPr>
          <w:trHeight w:val="3238"/>
        </w:trPr>
        <w:tc>
          <w:tcPr>
            <w:tcW w:w="1276" w:type="dxa"/>
            <w:tcBorders>
              <w:top w:val="nil"/>
              <w:bottom w:val="single" w:sz="4" w:space="0" w:color="auto"/>
              <w:right w:val="single" w:sz="4" w:space="0" w:color="auto"/>
            </w:tcBorders>
          </w:tcPr>
          <w:p w:rsidR="00E048ED"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 xml:space="preserve"> </w:t>
            </w:r>
          </w:p>
        </w:tc>
        <w:tc>
          <w:tcPr>
            <w:tcW w:w="2835" w:type="dxa"/>
            <w:tcBorders>
              <w:top w:val="dotted" w:sz="4" w:space="0" w:color="auto"/>
              <w:left w:val="single" w:sz="4" w:space="0" w:color="auto"/>
              <w:bottom w:val="single" w:sz="4" w:space="0" w:color="auto"/>
              <w:right w:val="single" w:sz="4" w:space="0" w:color="auto"/>
            </w:tcBorders>
          </w:tcPr>
          <w:p w:rsidR="00E048ED" w:rsidRDefault="00E048ED" w:rsidP="00E048ED">
            <w:pPr>
              <w:pStyle w:val="TableTextLeft"/>
            </w:pPr>
            <w:r>
              <w:rPr>
                <w:rFonts w:cs="Arial"/>
                <w:sz w:val="16"/>
                <w:szCs w:val="16"/>
              </w:rPr>
              <w:t>Commonwealth-funded projects are undertaken by builders accredited by the Office of the Federal Safety Commissioner</w:t>
            </w:r>
          </w:p>
        </w:tc>
        <w:tc>
          <w:tcPr>
            <w:tcW w:w="3630" w:type="dxa"/>
            <w:tcBorders>
              <w:top w:val="dotted" w:sz="4" w:space="0" w:color="auto"/>
              <w:left w:val="single" w:sz="4" w:space="0" w:color="auto"/>
              <w:bottom w:val="single" w:sz="4" w:space="0" w:color="auto"/>
            </w:tcBorders>
          </w:tcPr>
          <w:p w:rsidR="00E048ED" w:rsidRPr="008861F3" w:rsidRDefault="00E048ED" w:rsidP="00300A6D">
            <w:pPr>
              <w:pStyle w:val="TableTextBullet"/>
              <w:spacing w:after="40"/>
              <w:rPr>
                <w:rFonts w:eastAsia="Cambria"/>
              </w:rPr>
            </w:pPr>
            <w:r w:rsidRPr="008861F3">
              <w:rPr>
                <w:rFonts w:eastAsia="Cambria"/>
              </w:rPr>
              <w:t>Percentage of accreditation applications assessed and contact made with the applicant within 10 working days: 90%</w:t>
            </w:r>
            <w:r w:rsidRPr="008861F3">
              <w:rPr>
                <w:rFonts w:eastAsia="Cambria"/>
              </w:rPr>
              <w:br/>
            </w:r>
            <w:r w:rsidRPr="008861F3">
              <w:rPr>
                <w:rFonts w:cs="Arial"/>
                <w:b/>
                <w:szCs w:val="17"/>
              </w:rPr>
              <w:t xml:space="preserve">Assessment: </w:t>
            </w:r>
            <w:r w:rsidRPr="008861F3">
              <w:rPr>
                <w:rFonts w:cs="Arial"/>
                <w:szCs w:val="17"/>
              </w:rPr>
              <w:t xml:space="preserve">Forecast achievement is on track </w:t>
            </w:r>
          </w:p>
          <w:p w:rsidR="00E048ED" w:rsidRPr="008861F3" w:rsidRDefault="00E048ED" w:rsidP="00300A6D">
            <w:pPr>
              <w:pStyle w:val="TableTextBullet"/>
              <w:numPr>
                <w:ilvl w:val="0"/>
                <w:numId w:val="0"/>
              </w:numPr>
              <w:spacing w:before="40" w:after="40"/>
              <w:ind w:left="284"/>
              <w:rPr>
                <w:rFonts w:eastAsia="Cambria" w:cs="Arial"/>
                <w:szCs w:val="17"/>
              </w:rPr>
            </w:pPr>
            <w:r w:rsidRPr="008861F3">
              <w:rPr>
                <w:rFonts w:eastAsia="Cambria"/>
              </w:rPr>
              <w:t xml:space="preserve">Satisfaction of accredited companies with the service provided by the OFSC: majority rate the level of service as satisfactory or better </w:t>
            </w:r>
            <w:r w:rsidRPr="008861F3">
              <w:rPr>
                <w:rFonts w:eastAsia="Cambria"/>
              </w:rPr>
              <w:br/>
            </w:r>
            <w:r w:rsidRPr="008861F3">
              <w:rPr>
                <w:rFonts w:cs="Arial"/>
                <w:b/>
                <w:szCs w:val="17"/>
              </w:rPr>
              <w:t xml:space="preserve">Assessment: </w:t>
            </w:r>
            <w:r w:rsidRPr="008861F3">
              <w:rPr>
                <w:rFonts w:cs="Arial"/>
                <w:szCs w:val="17"/>
              </w:rPr>
              <w:t xml:space="preserve">Forecast achievement is on track </w:t>
            </w:r>
          </w:p>
          <w:p w:rsidR="00E048ED" w:rsidRPr="008861F3" w:rsidRDefault="00E048ED" w:rsidP="00300A6D">
            <w:pPr>
              <w:pStyle w:val="TableTextBullet"/>
              <w:spacing w:before="40"/>
            </w:pPr>
            <w:r w:rsidRPr="008861F3">
              <w:rPr>
                <w:rFonts w:eastAsia="Cambria" w:cs="Arial"/>
                <w:szCs w:val="17"/>
              </w:rPr>
              <w:t xml:space="preserve">Companies consider that workplace safety has </w:t>
            </w:r>
            <w:r w:rsidR="007620FB">
              <w:rPr>
                <w:rFonts w:eastAsia="Cambria" w:cs="Arial"/>
                <w:szCs w:val="17"/>
              </w:rPr>
              <w:t>improved due to accreditation: m</w:t>
            </w:r>
            <w:r w:rsidRPr="008861F3">
              <w:rPr>
                <w:rFonts w:eastAsia="Cambria" w:cs="Arial"/>
                <w:szCs w:val="17"/>
              </w:rPr>
              <w:t xml:space="preserve">ajority of companies say accreditation has improved their safety performance </w:t>
            </w:r>
            <w:r w:rsidRPr="008861F3">
              <w:rPr>
                <w:rFonts w:eastAsia="Cambria" w:cs="Arial"/>
                <w:szCs w:val="17"/>
              </w:rPr>
              <w:br/>
            </w:r>
            <w:r w:rsidRPr="008861F3">
              <w:rPr>
                <w:rFonts w:cs="Arial"/>
                <w:b/>
                <w:szCs w:val="17"/>
              </w:rPr>
              <w:t xml:space="preserve">Assessment: </w:t>
            </w:r>
            <w:r w:rsidRPr="008861F3">
              <w:rPr>
                <w:rFonts w:cs="Arial"/>
                <w:szCs w:val="17"/>
              </w:rPr>
              <w:t>Forecast achievement is on track</w:t>
            </w:r>
          </w:p>
        </w:tc>
      </w:tr>
      <w:tr w:rsidR="00E048ED" w:rsidRPr="00F71634" w:rsidTr="00E048ED">
        <w:trPr>
          <w:trHeight w:val="60"/>
        </w:trPr>
        <w:tc>
          <w:tcPr>
            <w:tcW w:w="1276" w:type="dxa"/>
            <w:tcBorders>
              <w:top w:val="single" w:sz="4" w:space="0" w:color="auto"/>
              <w:bottom w:val="nil"/>
              <w:right w:val="single" w:sz="4" w:space="0" w:color="auto"/>
            </w:tcBorders>
          </w:tcPr>
          <w:p w:rsidR="00E048ED"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lastRenderedPageBreak/>
              <w:t>2018–19</w:t>
            </w:r>
          </w:p>
        </w:tc>
        <w:tc>
          <w:tcPr>
            <w:tcW w:w="2835" w:type="dxa"/>
            <w:tcBorders>
              <w:top w:val="single" w:sz="4" w:space="0" w:color="auto"/>
              <w:left w:val="single" w:sz="4" w:space="0" w:color="auto"/>
              <w:bottom w:val="dotted" w:sz="4" w:space="0" w:color="auto"/>
              <w:right w:val="single" w:sz="4" w:space="0" w:color="auto"/>
            </w:tcBorders>
          </w:tcPr>
          <w:p w:rsidR="00E048ED" w:rsidRPr="00257F11" w:rsidRDefault="00E048ED" w:rsidP="00E048ED">
            <w:pPr>
              <w:pStyle w:val="TableTextLeft"/>
            </w:pPr>
            <w:r w:rsidRPr="00257F11">
              <w:t>Fair Entitlements Guarantee program functions effectively</w:t>
            </w:r>
          </w:p>
        </w:tc>
        <w:tc>
          <w:tcPr>
            <w:tcW w:w="3630" w:type="dxa"/>
            <w:tcBorders>
              <w:top w:val="single" w:sz="4" w:space="0" w:color="auto"/>
              <w:left w:val="single" w:sz="4" w:space="0" w:color="auto"/>
              <w:bottom w:val="dotted" w:sz="4" w:space="0" w:color="auto"/>
            </w:tcBorders>
          </w:tcPr>
          <w:p w:rsidR="00E048ED" w:rsidRDefault="00E048ED" w:rsidP="00E048ED">
            <w:pPr>
              <w:pStyle w:val="TableTextBullet"/>
            </w:pPr>
            <w:r>
              <w:t>Fair Entitlements Guarantee—percentage of claims processed within 16 weeks of receipt of an effective claim: 80%</w:t>
            </w:r>
          </w:p>
          <w:p w:rsidR="00E048ED" w:rsidRDefault="00E048ED" w:rsidP="00E048ED">
            <w:pPr>
              <w:pStyle w:val="TableTextBullet"/>
            </w:pPr>
            <w:r>
              <w:t>Fair Entitlements Guarantee—average processing time for all claims: 14 weeks</w:t>
            </w:r>
          </w:p>
          <w:p w:rsidR="00E048ED" w:rsidRDefault="00E048ED" w:rsidP="00E048ED">
            <w:pPr>
              <w:pStyle w:val="TableTextBullet"/>
            </w:pPr>
            <w:r>
              <w:t>Fair Entitlements Guarantee—claim payments are correct: 95%</w:t>
            </w:r>
          </w:p>
          <w:p w:rsidR="00E048ED" w:rsidRDefault="00E048ED" w:rsidP="00E048ED">
            <w:pPr>
              <w:pStyle w:val="TableTextBullet"/>
            </w:pPr>
            <w:r>
              <w:t>Fair Entitlements Guarantee—claimants satisfied with the department’s administration of Fair Entitlements Guarantee: 80%</w:t>
            </w:r>
          </w:p>
          <w:p w:rsidR="00E048ED" w:rsidRDefault="00E048ED" w:rsidP="00E048ED">
            <w:pPr>
              <w:pStyle w:val="TableTextBullet"/>
            </w:pPr>
            <w:r>
              <w:t>Fair Entitlements Guarantee—insolvency Practitioners satisfied with the administration of Fair Entitlements Guarantee: 80%</w:t>
            </w:r>
          </w:p>
        </w:tc>
      </w:tr>
      <w:tr w:rsidR="00E048ED" w:rsidRPr="00F71634" w:rsidTr="00E048ED">
        <w:tc>
          <w:tcPr>
            <w:tcW w:w="1276" w:type="dxa"/>
            <w:tcBorders>
              <w:top w:val="nil"/>
              <w:bottom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single" w:sz="4" w:space="0" w:color="auto"/>
              <w:right w:val="single" w:sz="4" w:space="0" w:color="auto"/>
            </w:tcBorders>
          </w:tcPr>
          <w:p w:rsidR="00E048ED" w:rsidRPr="006906E4" w:rsidRDefault="00E048ED" w:rsidP="00E048ED">
            <w:pPr>
              <w:pStyle w:val="TableTextLeft"/>
              <w:rPr>
                <w:rFonts w:cs="Arial"/>
                <w:i/>
                <w:color w:val="FF0000"/>
                <w:sz w:val="16"/>
                <w:szCs w:val="16"/>
              </w:rPr>
            </w:pPr>
            <w:r>
              <w:t xml:space="preserve">Commonwealth-funded projects are undertaken by builders accredited by </w:t>
            </w:r>
            <w:r w:rsidRPr="00257F11">
              <w:t>the Office of the Federal Safety Commissioner</w:t>
            </w:r>
          </w:p>
        </w:tc>
        <w:tc>
          <w:tcPr>
            <w:tcW w:w="3630" w:type="dxa"/>
            <w:tcBorders>
              <w:top w:val="dotted" w:sz="4" w:space="0" w:color="auto"/>
              <w:left w:val="single" w:sz="4" w:space="0" w:color="auto"/>
              <w:bottom w:val="single" w:sz="4" w:space="0" w:color="auto"/>
            </w:tcBorders>
          </w:tcPr>
          <w:p w:rsidR="00E048ED" w:rsidRDefault="00E048ED" w:rsidP="00E048ED">
            <w:pPr>
              <w:pStyle w:val="TableTextBullet"/>
              <w:rPr>
                <w:rFonts w:eastAsia="Cambria"/>
              </w:rPr>
            </w:pPr>
            <w:r>
              <w:rPr>
                <w:rFonts w:eastAsia="Cambria"/>
              </w:rPr>
              <w:t>Percentage of accreditation applications assessed and contact made with the applicant within 10 working days: 90%</w:t>
            </w:r>
          </w:p>
          <w:p w:rsidR="00E048ED" w:rsidRDefault="00E048ED" w:rsidP="00E048ED">
            <w:pPr>
              <w:pStyle w:val="TableTextBullet"/>
              <w:rPr>
                <w:rFonts w:eastAsia="Cambria"/>
              </w:rPr>
            </w:pPr>
            <w:r>
              <w:rPr>
                <w:rFonts w:eastAsia="Cambria"/>
              </w:rPr>
              <w:t>Satisfaction of accredited companies with the service provided by the OFSC: majority rate the level of service as satisfactory or better</w:t>
            </w:r>
          </w:p>
          <w:p w:rsidR="00E048ED" w:rsidRPr="006906E4" w:rsidRDefault="00E048ED" w:rsidP="007620FB">
            <w:pPr>
              <w:pStyle w:val="TableTextBullet"/>
              <w:rPr>
                <w:rFonts w:cs="Arial"/>
                <w:i/>
                <w:color w:val="FF0000"/>
                <w:sz w:val="16"/>
                <w:szCs w:val="16"/>
              </w:rPr>
            </w:pPr>
            <w:r>
              <w:rPr>
                <w:rFonts w:eastAsia="Cambria"/>
              </w:rPr>
              <w:t xml:space="preserve">Companies consider that workplace safety has improved due to accreditation: </w:t>
            </w:r>
            <w:r w:rsidR="007620FB">
              <w:rPr>
                <w:rFonts w:eastAsia="Cambria"/>
              </w:rPr>
              <w:t>m</w:t>
            </w:r>
            <w:r>
              <w:rPr>
                <w:rFonts w:eastAsia="Cambria"/>
              </w:rPr>
              <w:t>ajority of companies say accreditation has improved their safety performance</w:t>
            </w:r>
          </w:p>
        </w:tc>
      </w:tr>
      <w:tr w:rsidR="00E048ED" w:rsidRPr="00F71634" w:rsidTr="00E048ED">
        <w:tc>
          <w:tcPr>
            <w:tcW w:w="1276" w:type="dxa"/>
            <w:tcBorders>
              <w:top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2835" w:type="dxa"/>
            <w:tcBorders>
              <w:top w:val="single" w:sz="4" w:space="0" w:color="auto"/>
              <w:left w:val="single" w:sz="4" w:space="0" w:color="auto"/>
              <w:right w:val="single" w:sz="4" w:space="0" w:color="auto"/>
            </w:tcBorders>
          </w:tcPr>
          <w:p w:rsidR="00E048ED" w:rsidRDefault="00E048ED" w:rsidP="00E048ED">
            <w:pPr>
              <w:pStyle w:val="TableTextLeft"/>
              <w:rPr>
                <w:rFonts w:cs="Arial"/>
              </w:rPr>
            </w:pPr>
            <w:r>
              <w:rPr>
                <w:rFonts w:cs="Arial"/>
              </w:rPr>
              <w:t>As per 2018–19</w:t>
            </w:r>
          </w:p>
        </w:tc>
        <w:tc>
          <w:tcPr>
            <w:tcW w:w="3630" w:type="dxa"/>
            <w:tcBorders>
              <w:top w:val="single" w:sz="4" w:space="0" w:color="auto"/>
              <w:left w:val="single" w:sz="4" w:space="0" w:color="auto"/>
            </w:tcBorders>
          </w:tcPr>
          <w:p w:rsidR="00E048ED" w:rsidRDefault="00E048ED" w:rsidP="00E048ED">
            <w:pPr>
              <w:pStyle w:val="TableTextLeft"/>
              <w:rPr>
                <w:rFonts w:cs="Arial"/>
              </w:rPr>
            </w:pPr>
            <w:r>
              <w:rPr>
                <w:rFonts w:cs="Arial"/>
              </w:rPr>
              <w:t>As per 2018–19</w:t>
            </w:r>
          </w:p>
        </w:tc>
      </w:tr>
      <w:tr w:rsidR="00E048ED" w:rsidRPr="00F71634" w:rsidTr="00E048ED">
        <w:tc>
          <w:tcPr>
            <w:tcW w:w="7741" w:type="dxa"/>
            <w:gridSpan w:val="3"/>
          </w:tcPr>
          <w:p w:rsidR="00E048ED" w:rsidRDefault="00E048ED" w:rsidP="00E048ED">
            <w:pPr>
              <w:spacing w:after="120"/>
              <w:rPr>
                <w:rStyle w:val="BodyTextChar"/>
                <w:rFonts w:ascii="Arial" w:hAnsi="Arial" w:cs="Arial"/>
                <w:b/>
                <w:bCs/>
                <w:iCs/>
                <w:spacing w:val="-6"/>
                <w:sz w:val="16"/>
                <w:szCs w:val="16"/>
              </w:rPr>
            </w:pPr>
            <w:r w:rsidRPr="006906E4">
              <w:rPr>
                <w:rStyle w:val="BodyTextChar"/>
                <w:rFonts w:ascii="Arial" w:hAnsi="Arial" w:cs="Arial"/>
                <w:b/>
                <w:bCs/>
                <w:iCs/>
                <w:spacing w:val="-6"/>
                <w:sz w:val="16"/>
                <w:szCs w:val="16"/>
              </w:rPr>
              <w:t xml:space="preserve">Material changes to Program </w:t>
            </w:r>
            <w:r>
              <w:rPr>
                <w:rStyle w:val="BodyTextChar"/>
                <w:rFonts w:ascii="Arial" w:hAnsi="Arial" w:cs="Arial"/>
                <w:b/>
                <w:bCs/>
                <w:iCs/>
                <w:spacing w:val="-6"/>
                <w:sz w:val="16"/>
                <w:szCs w:val="16"/>
              </w:rPr>
              <w:t>2</w:t>
            </w:r>
            <w:r w:rsidRPr="006906E4">
              <w:rPr>
                <w:rStyle w:val="BodyTextChar"/>
                <w:rFonts w:ascii="Arial" w:hAnsi="Arial" w:cs="Arial"/>
                <w:b/>
                <w:bCs/>
                <w:iCs/>
                <w:spacing w:val="-6"/>
                <w:sz w:val="16"/>
                <w:szCs w:val="16"/>
              </w:rPr>
              <w:t>.1 resulting from the following measures:</w:t>
            </w:r>
          </w:p>
          <w:p w:rsidR="00E048ED" w:rsidRPr="0092525C" w:rsidRDefault="00E048ED" w:rsidP="00E048ED">
            <w:pPr>
              <w:pStyle w:val="TableTextLeft"/>
              <w:rPr>
                <w:rFonts w:eastAsia="Cambria"/>
              </w:rPr>
            </w:pPr>
            <w:r w:rsidRPr="0092525C">
              <w:rPr>
                <w:rStyle w:val="BodyTextChar"/>
                <w:rFonts w:ascii="Arial" w:hAnsi="Arial"/>
                <w:sz w:val="17"/>
                <w:szCs w:val="20"/>
                <w:lang w:eastAsia="en-AU"/>
              </w:rPr>
              <w:t>Nil</w:t>
            </w:r>
          </w:p>
        </w:tc>
      </w:tr>
    </w:tbl>
    <w:p w:rsidR="00E048ED" w:rsidRDefault="00E048ED" w:rsidP="00300A6D">
      <w:pPr>
        <w:spacing w:after="160"/>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2"/>
        <w:gridCol w:w="3260"/>
        <w:gridCol w:w="3063"/>
      </w:tblGrid>
      <w:tr w:rsidR="00E048ED" w:rsidRPr="00F71634" w:rsidTr="00E048ED">
        <w:trPr>
          <w:tblHeader/>
        </w:trPr>
        <w:tc>
          <w:tcPr>
            <w:tcW w:w="7741" w:type="dxa"/>
            <w:gridSpan w:val="4"/>
            <w:shd w:val="clear" w:color="auto" w:fill="F2F2F2"/>
          </w:tcPr>
          <w:p w:rsidR="00E048ED" w:rsidRPr="006906E4" w:rsidRDefault="00E048ED" w:rsidP="00E048ED">
            <w:pPr>
              <w:pStyle w:val="TableColumnHeadingLeft"/>
            </w:pPr>
            <w:r>
              <w:lastRenderedPageBreak/>
              <w:t xml:space="preserve">Outcome 2—Facilitate jobs growth through policies </w:t>
            </w:r>
            <w:r w:rsidR="00300A6D">
              <w:t xml:space="preserve">and programs </w:t>
            </w:r>
            <w:r>
              <w:t xml:space="preserve">that promote fair, productive and safe workplaces, and facilitate the growth of small business. </w:t>
            </w:r>
          </w:p>
        </w:tc>
      </w:tr>
      <w:tr w:rsidR="00E048ED" w:rsidRPr="00F71634" w:rsidTr="00E048ED">
        <w:trPr>
          <w:tblHeader/>
        </w:trPr>
        <w:tc>
          <w:tcPr>
            <w:tcW w:w="7741" w:type="dxa"/>
            <w:gridSpan w:val="4"/>
            <w:shd w:val="clear" w:color="auto" w:fill="F2F2F2"/>
          </w:tcPr>
          <w:p w:rsidR="00E048ED" w:rsidRDefault="00E048ED" w:rsidP="00E048ED">
            <w:pPr>
              <w:tabs>
                <w:tab w:val="left" w:pos="709"/>
              </w:tabs>
              <w:spacing w:before="60" w:after="60" w:line="240" w:lineRule="auto"/>
              <w:rPr>
                <w:rFonts w:ascii="Arial" w:hAnsi="Arial" w:cs="Arial"/>
                <w:sz w:val="16"/>
                <w:szCs w:val="16"/>
              </w:rPr>
            </w:pPr>
            <w:r>
              <w:rPr>
                <w:rFonts w:ascii="Arial" w:hAnsi="Arial" w:cs="Arial"/>
                <w:b/>
                <w:sz w:val="16"/>
                <w:szCs w:val="16"/>
              </w:rPr>
              <w:t>Program 2.2</w:t>
            </w:r>
            <w:r>
              <w:rPr>
                <w:rFonts w:ascii="Arial" w:hAnsi="Arial" w:cs="Arial"/>
                <w:sz w:val="16"/>
                <w:szCs w:val="16"/>
              </w:rPr>
              <w:t>—</w:t>
            </w:r>
            <w:r>
              <w:rPr>
                <w:rFonts w:ascii="Arial" w:hAnsi="Arial" w:cs="Arial"/>
                <w:b/>
                <w:sz w:val="16"/>
                <w:szCs w:val="16"/>
              </w:rPr>
              <w:t>Workers’ compensation payments</w:t>
            </w:r>
          </w:p>
          <w:p w:rsidR="00E048ED" w:rsidRDefault="00E048ED" w:rsidP="00E048ED">
            <w:pPr>
              <w:pStyle w:val="TableTextLeft"/>
              <w:rPr>
                <w:rFonts w:cs="Arial"/>
              </w:rPr>
            </w:pPr>
            <w:r>
              <w:rPr>
                <w:rFonts w:cs="Arial"/>
              </w:rPr>
              <w:t>Managed by Comcare and contributes to Outcome 2 by managing the Comcare Workers’ Compensation Scheme.</w:t>
            </w:r>
          </w:p>
          <w:p w:rsidR="00E048ED" w:rsidRPr="005C4B26" w:rsidRDefault="00E048ED" w:rsidP="00E048ED">
            <w:pPr>
              <w:pStyle w:val="TableTextLeft"/>
            </w:pPr>
            <w:r>
              <w:t>Further information can be found in the Comcare, the Safety, Rehabilitation and Compensation Commission and the Seafarers Safety, Rehabilitation and Compensation Authority section of this document.</w:t>
            </w:r>
          </w:p>
        </w:tc>
      </w:tr>
      <w:tr w:rsidR="00E048ED" w:rsidRPr="00F71634" w:rsidTr="00E048ED">
        <w:trPr>
          <w:tblHeader/>
        </w:trPr>
        <w:tc>
          <w:tcPr>
            <w:tcW w:w="7741" w:type="dxa"/>
            <w:gridSpan w:val="4"/>
            <w:shd w:val="clear" w:color="auto" w:fill="F2F2F2"/>
          </w:tcPr>
          <w:p w:rsidR="00E048ED" w:rsidRPr="006906E4" w:rsidRDefault="00E048ED" w:rsidP="00E048ED">
            <w:pPr>
              <w:pStyle w:val="TableColumnHeadingLeft"/>
            </w:pPr>
            <w:r>
              <w:t xml:space="preserve">Outcome 2—Facilitate jobs growth through policies </w:t>
            </w:r>
            <w:r w:rsidR="00300A6D">
              <w:t xml:space="preserve">and programs </w:t>
            </w:r>
            <w:r>
              <w:t xml:space="preserve">that promote fair, productive and safe workplaces, and facilitate the growth of small business. </w:t>
            </w:r>
          </w:p>
        </w:tc>
      </w:tr>
      <w:tr w:rsidR="00E048ED" w:rsidRPr="00F71634" w:rsidTr="00E048ED">
        <w:trPr>
          <w:tblHeader/>
        </w:trPr>
        <w:tc>
          <w:tcPr>
            <w:tcW w:w="7741" w:type="dxa"/>
            <w:gridSpan w:val="4"/>
            <w:tcBorders>
              <w:top w:val="single" w:sz="4" w:space="0" w:color="auto"/>
              <w:left w:val="single" w:sz="4" w:space="0" w:color="auto"/>
              <w:bottom w:val="single" w:sz="4" w:space="0" w:color="auto"/>
              <w:right w:val="single" w:sz="4" w:space="0" w:color="auto"/>
            </w:tcBorders>
            <w:shd w:val="clear" w:color="auto" w:fill="F2F2F2"/>
          </w:tcPr>
          <w:p w:rsidR="00E048ED" w:rsidRDefault="00E048ED" w:rsidP="00E048ED">
            <w:pPr>
              <w:pStyle w:val="TableTextLeft"/>
            </w:pPr>
            <w:r>
              <w:rPr>
                <w:b/>
              </w:rPr>
              <w:t>Program 2.3</w:t>
            </w:r>
            <w:r>
              <w:t>—</w:t>
            </w:r>
            <w:r w:rsidRPr="005C4B26">
              <w:rPr>
                <w:b/>
              </w:rPr>
              <w:t xml:space="preserve">Small Business </w:t>
            </w:r>
            <w:r>
              <w:rPr>
                <w:b/>
              </w:rPr>
              <w:t>Support</w:t>
            </w:r>
            <w:r w:rsidRPr="005C4B26">
              <w:rPr>
                <w:b/>
              </w:rPr>
              <w:t xml:space="preserve"> </w:t>
            </w:r>
          </w:p>
          <w:p w:rsidR="00E048ED" w:rsidRPr="005C4B26" w:rsidRDefault="00E048ED" w:rsidP="00E048ED">
            <w:pPr>
              <w:pStyle w:val="TableTextLeft"/>
            </w:pPr>
            <w:r>
              <w:t>The Australian Small Business Advisory Services (ASBAS) program aims to enhance the capabilities of business advisory service providers to provide low cost, high quality advice to small businesses to build sustainable and productive businesses. The objectives of Program 2.3 contribute to Outcome 2 by facilitating job growth and contributing to the Australian economy.</w:t>
            </w:r>
          </w:p>
        </w:tc>
      </w:tr>
      <w:tr w:rsidR="00E048ED" w:rsidRPr="00F71634" w:rsidTr="00E048ED">
        <w:tc>
          <w:tcPr>
            <w:tcW w:w="1276" w:type="dxa"/>
          </w:tcPr>
          <w:p w:rsidR="00E048ED" w:rsidRPr="006906E4" w:rsidRDefault="00E048ED" w:rsidP="00300D89">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3"/>
          </w:tcPr>
          <w:p w:rsidR="00E048ED" w:rsidRPr="006912E6" w:rsidRDefault="00300D89" w:rsidP="00E048ED">
            <w:pPr>
              <w:pStyle w:val="TableTextLeft"/>
              <w:rPr>
                <w:i/>
                <w:color w:val="FF0000"/>
                <w:szCs w:val="17"/>
              </w:rPr>
            </w:pPr>
            <w:r w:rsidRPr="00AF6662">
              <w:t xml:space="preserve">Our role is to </w:t>
            </w:r>
            <w:r>
              <w:t>deliver policies and programs that foster safe, fair and productive workplaces of all sizes, assisting job seekers to find work and small businesses to grow.</w:t>
            </w:r>
            <w:r>
              <w:rPr>
                <w:rStyle w:val="FootnoteReference"/>
              </w:rPr>
              <w:footnoteReference w:id="8"/>
            </w:r>
          </w:p>
        </w:tc>
      </w:tr>
      <w:tr w:rsidR="00E048ED" w:rsidRPr="00F71634" w:rsidTr="00E048ED">
        <w:trPr>
          <w:trHeight w:val="2998"/>
        </w:trPr>
        <w:tc>
          <w:tcPr>
            <w:tcW w:w="1276" w:type="dxa"/>
            <w:tcBorders>
              <w:bottom w:val="doub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3"/>
            <w:tcBorders>
              <w:bottom w:val="double" w:sz="4" w:space="0" w:color="auto"/>
            </w:tcBorders>
          </w:tcPr>
          <w:p w:rsidR="00E048ED" w:rsidRDefault="00E048ED" w:rsidP="00E048ED">
            <w:pPr>
              <w:pStyle w:val="TableTextLeft"/>
            </w:pPr>
            <w:r>
              <w:t xml:space="preserve">The ASBAS Digital Solutions 2018 program provides grants to business advisory service providers to enhance their capabilities to deliver low cost, high quality digital advisory services to Australian small businesses in metropolitan and regional areas across four priority digital capabilities: </w:t>
            </w:r>
          </w:p>
          <w:p w:rsidR="00E048ED" w:rsidRDefault="00E048ED" w:rsidP="00E048ED">
            <w:pPr>
              <w:pStyle w:val="TableTextBullet"/>
            </w:pPr>
            <w:r>
              <w:t>Websites and selling online</w:t>
            </w:r>
            <w:r w:rsidR="00206B18">
              <w:t>.</w:t>
            </w:r>
          </w:p>
          <w:p w:rsidR="00E048ED" w:rsidRDefault="00E048ED" w:rsidP="00E048ED">
            <w:pPr>
              <w:pStyle w:val="TableTextBullet"/>
            </w:pPr>
            <w:r>
              <w:t>Social media and digital marketing</w:t>
            </w:r>
            <w:r w:rsidR="00206B18">
              <w:t>.</w:t>
            </w:r>
          </w:p>
          <w:p w:rsidR="00E048ED" w:rsidRDefault="00E048ED" w:rsidP="00E048ED">
            <w:pPr>
              <w:pStyle w:val="TableTextBullet"/>
            </w:pPr>
            <w:r>
              <w:t>Us</w:t>
            </w:r>
            <w:r w:rsidR="00206B18">
              <w:t>ing small business software.</w:t>
            </w:r>
          </w:p>
          <w:p w:rsidR="00E048ED" w:rsidRDefault="00E048ED" w:rsidP="00E048ED">
            <w:pPr>
              <w:pStyle w:val="TableTextBullet"/>
            </w:pPr>
            <w:r>
              <w:t>Online security and data privacy.</w:t>
            </w:r>
          </w:p>
          <w:p w:rsidR="00E048ED" w:rsidRPr="00B009A9" w:rsidRDefault="00E048ED" w:rsidP="00E048ED">
            <w:pPr>
              <w:pStyle w:val="TableTextLeft"/>
              <w:rPr>
                <w:rFonts w:ascii="Calibri" w:hAnsi="Calibri"/>
                <w:color w:val="1F497D"/>
                <w:sz w:val="20"/>
                <w:lang w:eastAsia="en-US"/>
              </w:rPr>
            </w:pPr>
            <w:r>
              <w:t>Service delivery will run from 2 July 2018 until 30 June 2021. Services will be delivered through a combination of delivery formats, including face to face, video calls online, web-chats, interactive webinars and phone calls. Providers are required to offer services proportionately to the number of small businesses across the metropolitan and regional areas of the states/territories in their coverage areas.</w:t>
            </w:r>
            <w:r>
              <w:rPr>
                <w:rFonts w:ascii="Calibri" w:hAnsi="Calibri"/>
                <w:color w:val="1F497D"/>
                <w:lang w:eastAsia="en-US"/>
              </w:rPr>
              <w:t xml:space="preserve"> </w:t>
            </w:r>
          </w:p>
        </w:tc>
      </w:tr>
      <w:tr w:rsidR="00E048ED" w:rsidRPr="00F71634" w:rsidTr="00E048ED">
        <w:tc>
          <w:tcPr>
            <w:tcW w:w="7741" w:type="dxa"/>
            <w:gridSpan w:val="4"/>
            <w:tcBorders>
              <w:top w:val="double" w:sz="4" w:space="0" w:color="auto"/>
              <w:bottom w:val="doub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E048ED" w:rsidRPr="00F71634" w:rsidTr="00E048ED">
        <w:tc>
          <w:tcPr>
            <w:tcW w:w="1418" w:type="dxa"/>
            <w:gridSpan w:val="2"/>
            <w:tcBorders>
              <w:top w:val="double" w:sz="4" w:space="0" w:color="auto"/>
              <w:bottom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260" w:type="dxa"/>
            <w:tcBorders>
              <w:top w:val="double" w:sz="4" w:space="0" w:color="auto"/>
              <w:left w:val="single" w:sz="4" w:space="0" w:color="auto"/>
              <w:bottom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p>
        </w:tc>
        <w:tc>
          <w:tcPr>
            <w:tcW w:w="3063" w:type="dxa"/>
            <w:tcBorders>
              <w:top w:val="double" w:sz="4" w:space="0" w:color="auto"/>
              <w:left w:val="single" w:sz="4" w:space="0" w:color="auto"/>
              <w:bottom w:val="single" w:sz="4" w:space="0" w:color="auto"/>
            </w:tcBorders>
          </w:tcPr>
          <w:p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E048ED" w:rsidRPr="00F71634" w:rsidTr="00E048ED">
        <w:trPr>
          <w:trHeight w:val="60"/>
        </w:trPr>
        <w:tc>
          <w:tcPr>
            <w:tcW w:w="1418" w:type="dxa"/>
            <w:gridSpan w:val="2"/>
            <w:tcBorders>
              <w:top w:val="single" w:sz="4" w:space="0" w:color="auto"/>
              <w:bottom w:val="nil"/>
              <w:right w:val="single" w:sz="4" w:space="0" w:color="auto"/>
            </w:tcBorders>
          </w:tcPr>
          <w:p w:rsidR="00E048ED" w:rsidRPr="006906E4"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260" w:type="dxa"/>
            <w:tcBorders>
              <w:top w:val="single" w:sz="4" w:space="0" w:color="auto"/>
              <w:left w:val="single" w:sz="4" w:space="0" w:color="auto"/>
              <w:bottom w:val="dotted" w:sz="4" w:space="0" w:color="auto"/>
              <w:right w:val="single" w:sz="4" w:space="0" w:color="auto"/>
            </w:tcBorders>
          </w:tcPr>
          <w:p w:rsidR="00E048ED" w:rsidRPr="006912E6" w:rsidRDefault="00E048ED" w:rsidP="00E048ED">
            <w:pPr>
              <w:pStyle w:val="TableTextLeft"/>
            </w:pPr>
            <w:r>
              <w:t>N/A</w:t>
            </w:r>
          </w:p>
        </w:tc>
        <w:tc>
          <w:tcPr>
            <w:tcW w:w="3063" w:type="dxa"/>
            <w:tcBorders>
              <w:top w:val="single" w:sz="4" w:space="0" w:color="auto"/>
              <w:left w:val="single" w:sz="4" w:space="0" w:color="auto"/>
              <w:bottom w:val="dotted" w:sz="4" w:space="0" w:color="auto"/>
            </w:tcBorders>
          </w:tcPr>
          <w:p w:rsidR="00E048ED" w:rsidRPr="00974E25" w:rsidRDefault="00E048ED" w:rsidP="00E048ED">
            <w:pPr>
              <w:pStyle w:val="TableTextLeft"/>
            </w:pPr>
            <w:r>
              <w:t>N/A</w:t>
            </w:r>
          </w:p>
        </w:tc>
      </w:tr>
      <w:tr w:rsidR="00E048ED" w:rsidRPr="00F71634" w:rsidTr="00E048ED">
        <w:trPr>
          <w:trHeight w:val="60"/>
        </w:trPr>
        <w:tc>
          <w:tcPr>
            <w:tcW w:w="1418" w:type="dxa"/>
            <w:gridSpan w:val="2"/>
            <w:tcBorders>
              <w:top w:val="single" w:sz="4" w:space="0" w:color="auto"/>
              <w:bottom w:val="nil"/>
              <w:right w:val="single" w:sz="4" w:space="0" w:color="auto"/>
            </w:tcBorders>
          </w:tcPr>
          <w:p w:rsidR="00E048ED"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260" w:type="dxa"/>
            <w:tcBorders>
              <w:top w:val="single" w:sz="4" w:space="0" w:color="auto"/>
              <w:left w:val="single" w:sz="4" w:space="0" w:color="auto"/>
              <w:bottom w:val="dotted" w:sz="4" w:space="0" w:color="auto"/>
              <w:right w:val="single" w:sz="4" w:space="0" w:color="auto"/>
            </w:tcBorders>
          </w:tcPr>
          <w:p w:rsidR="00E048ED" w:rsidRPr="00257F11" w:rsidRDefault="00E048ED" w:rsidP="00E048ED">
            <w:pPr>
              <w:pStyle w:val="TableTextLeft"/>
            </w:pPr>
            <w:r>
              <w:t>Increased access by small businesses to advisory services that support and enhance their digital capabilities</w:t>
            </w:r>
          </w:p>
        </w:tc>
        <w:tc>
          <w:tcPr>
            <w:tcW w:w="3063" w:type="dxa"/>
            <w:tcBorders>
              <w:top w:val="single" w:sz="4" w:space="0" w:color="auto"/>
              <w:left w:val="single" w:sz="4" w:space="0" w:color="auto"/>
              <w:bottom w:val="dotted" w:sz="4" w:space="0" w:color="auto"/>
            </w:tcBorders>
          </w:tcPr>
          <w:p w:rsidR="00E048ED" w:rsidRDefault="00E048ED" w:rsidP="00E048ED">
            <w:pPr>
              <w:pStyle w:val="TableTextLeft"/>
            </w:pPr>
            <w:r>
              <w:t>N/A</w:t>
            </w:r>
          </w:p>
        </w:tc>
      </w:tr>
      <w:tr w:rsidR="00E048ED" w:rsidRPr="00F71634" w:rsidTr="00E048ED">
        <w:tc>
          <w:tcPr>
            <w:tcW w:w="1418" w:type="dxa"/>
            <w:gridSpan w:val="2"/>
            <w:tcBorders>
              <w:top w:val="single" w:sz="4" w:space="0" w:color="auto"/>
              <w:right w:val="single" w:sz="4" w:space="0" w:color="auto"/>
            </w:tcBorders>
          </w:tcPr>
          <w:p w:rsidR="00E048ED" w:rsidRPr="006906E4"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260" w:type="dxa"/>
            <w:tcBorders>
              <w:top w:val="single" w:sz="4" w:space="0" w:color="auto"/>
              <w:left w:val="single" w:sz="4" w:space="0" w:color="auto"/>
              <w:right w:val="single" w:sz="4" w:space="0" w:color="auto"/>
            </w:tcBorders>
          </w:tcPr>
          <w:p w:rsidR="00E048ED" w:rsidRDefault="00E048ED" w:rsidP="00E048ED">
            <w:pPr>
              <w:pStyle w:val="TableTextLeft"/>
              <w:rPr>
                <w:rFonts w:cs="Arial"/>
              </w:rPr>
            </w:pPr>
            <w:r>
              <w:rPr>
                <w:rFonts w:cs="Arial"/>
              </w:rPr>
              <w:t>As per 2018–19</w:t>
            </w:r>
          </w:p>
        </w:tc>
        <w:tc>
          <w:tcPr>
            <w:tcW w:w="3063" w:type="dxa"/>
            <w:tcBorders>
              <w:top w:val="single" w:sz="4" w:space="0" w:color="auto"/>
              <w:left w:val="single" w:sz="4" w:space="0" w:color="auto"/>
            </w:tcBorders>
          </w:tcPr>
          <w:p w:rsidR="00E048ED" w:rsidRDefault="00E048ED" w:rsidP="00E048ED">
            <w:pPr>
              <w:pStyle w:val="TableTextLeft"/>
              <w:rPr>
                <w:rFonts w:cs="Arial"/>
              </w:rPr>
            </w:pPr>
            <w:r>
              <w:rPr>
                <w:rFonts w:cs="Arial"/>
              </w:rPr>
              <w:t>As per 2018–19</w:t>
            </w:r>
          </w:p>
        </w:tc>
      </w:tr>
      <w:tr w:rsidR="00E048ED" w:rsidRPr="00F71634" w:rsidTr="00E048ED">
        <w:tc>
          <w:tcPr>
            <w:tcW w:w="7741" w:type="dxa"/>
            <w:gridSpan w:val="4"/>
          </w:tcPr>
          <w:p w:rsidR="00E048ED" w:rsidRDefault="00E048ED" w:rsidP="00E048ED">
            <w:pPr>
              <w:spacing w:after="120"/>
              <w:rPr>
                <w:rStyle w:val="BodyTextChar"/>
                <w:rFonts w:ascii="Arial" w:hAnsi="Arial" w:cs="Arial"/>
                <w:b/>
                <w:bCs/>
                <w:iCs/>
                <w:spacing w:val="-6"/>
                <w:sz w:val="16"/>
                <w:szCs w:val="16"/>
              </w:rPr>
            </w:pPr>
            <w:r w:rsidRPr="006906E4">
              <w:rPr>
                <w:rStyle w:val="BodyTextChar"/>
                <w:rFonts w:ascii="Arial" w:hAnsi="Arial" w:cs="Arial"/>
                <w:b/>
                <w:bCs/>
                <w:iCs/>
                <w:spacing w:val="-6"/>
                <w:sz w:val="16"/>
                <w:szCs w:val="16"/>
              </w:rPr>
              <w:t xml:space="preserve">Material changes to Program </w:t>
            </w:r>
            <w:r>
              <w:rPr>
                <w:rStyle w:val="BodyTextChar"/>
                <w:rFonts w:ascii="Arial" w:hAnsi="Arial" w:cs="Arial"/>
                <w:b/>
                <w:bCs/>
                <w:iCs/>
                <w:spacing w:val="-6"/>
                <w:sz w:val="16"/>
                <w:szCs w:val="16"/>
              </w:rPr>
              <w:t>2.3</w:t>
            </w:r>
            <w:r w:rsidRPr="006906E4">
              <w:rPr>
                <w:rStyle w:val="BodyTextChar"/>
                <w:rFonts w:ascii="Arial" w:hAnsi="Arial" w:cs="Arial"/>
                <w:b/>
                <w:bCs/>
                <w:iCs/>
                <w:spacing w:val="-6"/>
                <w:sz w:val="16"/>
                <w:szCs w:val="16"/>
              </w:rPr>
              <w:t xml:space="preserve"> resulting from the following measures:</w:t>
            </w:r>
          </w:p>
          <w:p w:rsidR="00E048ED" w:rsidRPr="0092525C" w:rsidRDefault="00E048ED" w:rsidP="00E048ED">
            <w:pPr>
              <w:pStyle w:val="TableTextLeft"/>
              <w:rPr>
                <w:rFonts w:eastAsia="Cambria"/>
              </w:rPr>
            </w:pPr>
            <w:r w:rsidRPr="0092525C">
              <w:rPr>
                <w:rStyle w:val="BodyTextChar"/>
                <w:rFonts w:ascii="Arial" w:hAnsi="Arial"/>
                <w:sz w:val="17"/>
                <w:szCs w:val="20"/>
                <w:lang w:eastAsia="en-AU"/>
              </w:rPr>
              <w:t>Nil</w:t>
            </w:r>
          </w:p>
        </w:tc>
      </w:tr>
    </w:tbl>
    <w:p w:rsidR="00E048ED" w:rsidRPr="00AD42E2" w:rsidRDefault="00E048ED" w:rsidP="00E048ED">
      <w:pPr>
        <w:pStyle w:val="Heading2"/>
      </w:pPr>
      <w:r w:rsidRPr="00C3303C">
        <w:rPr>
          <w:rFonts w:ascii="Book Antiqua" w:hAnsi="Book Antiqua"/>
          <w:i/>
          <w:color w:val="FF0000"/>
          <w:sz w:val="20"/>
        </w:rPr>
        <w:br w:type="page"/>
      </w:r>
      <w:bookmarkStart w:id="100" w:name="_Toc511656251"/>
      <w:bookmarkStart w:id="101" w:name="_Toc511722624"/>
      <w:bookmarkStart w:id="102" w:name="_Toc511736955"/>
      <w:bookmarkStart w:id="103" w:name="_Toc511747217"/>
      <w:bookmarkStart w:id="104" w:name="_Toc511765620"/>
      <w:bookmarkStart w:id="105" w:name="_Toc511828676"/>
      <w:bookmarkStart w:id="106" w:name="_Toc511836815"/>
      <w:bookmarkStart w:id="107" w:name="_Toc511902521"/>
      <w:r w:rsidRPr="00AD42E2">
        <w:lastRenderedPageBreak/>
        <w:t>Section 3: Budgeted financial statements</w:t>
      </w:r>
      <w:bookmarkEnd w:id="91"/>
      <w:bookmarkEnd w:id="100"/>
      <w:bookmarkEnd w:id="101"/>
      <w:bookmarkEnd w:id="102"/>
      <w:bookmarkEnd w:id="103"/>
      <w:bookmarkEnd w:id="104"/>
      <w:bookmarkEnd w:id="105"/>
      <w:bookmarkEnd w:id="106"/>
      <w:bookmarkEnd w:id="107"/>
    </w:p>
    <w:p w:rsidR="00E048ED" w:rsidRDefault="00E048ED" w:rsidP="00E048ED">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rsidR="00E048ED" w:rsidRDefault="00E048ED" w:rsidP="00E048ED">
      <w:pPr>
        <w:pStyle w:val="Heading3"/>
      </w:pPr>
      <w:bookmarkStart w:id="108" w:name="_Toc190682317"/>
      <w:bookmarkStart w:id="109" w:name="_Toc444523517"/>
      <w:bookmarkStart w:id="110" w:name="_Toc511656252"/>
      <w:bookmarkStart w:id="111" w:name="_Toc511722625"/>
      <w:bookmarkStart w:id="112" w:name="_Toc511736956"/>
      <w:bookmarkStart w:id="113" w:name="_Toc511747218"/>
      <w:bookmarkStart w:id="114" w:name="_Toc511765621"/>
      <w:bookmarkStart w:id="115" w:name="_Toc511828677"/>
      <w:bookmarkStart w:id="116" w:name="_Toc511836816"/>
      <w:bookmarkStart w:id="117" w:name="_Toc511902522"/>
      <w:r>
        <w:t>3.1</w:t>
      </w:r>
      <w:r>
        <w:tab/>
        <w:t>Budgeted financial statements</w:t>
      </w:r>
      <w:bookmarkEnd w:id="108"/>
      <w:bookmarkEnd w:id="109"/>
      <w:bookmarkEnd w:id="110"/>
      <w:bookmarkEnd w:id="111"/>
      <w:bookmarkEnd w:id="112"/>
      <w:bookmarkEnd w:id="113"/>
      <w:bookmarkEnd w:id="114"/>
      <w:bookmarkEnd w:id="115"/>
      <w:bookmarkEnd w:id="116"/>
      <w:bookmarkEnd w:id="117"/>
    </w:p>
    <w:p w:rsidR="00E048ED" w:rsidRDefault="00E048ED" w:rsidP="00E048ED">
      <w:pPr>
        <w:pStyle w:val="Heading4"/>
      </w:pPr>
      <w:r>
        <w:t>3.1.</w:t>
      </w:r>
      <w:r w:rsidR="00FE40C1">
        <w:t>1</w:t>
      </w:r>
      <w:r>
        <w:tab/>
        <w:t>Explanatory notes and analysis of budgeted financial statements</w:t>
      </w:r>
    </w:p>
    <w:p w:rsidR="000473D8" w:rsidRDefault="000473D8" w:rsidP="000473D8">
      <w:pPr>
        <w:pStyle w:val="Heading5"/>
      </w:pPr>
      <w:r>
        <w:t xml:space="preserve">Departmental </w:t>
      </w:r>
    </w:p>
    <w:p w:rsidR="000473D8" w:rsidRDefault="000473D8" w:rsidP="000473D8">
      <w:pPr>
        <w:rPr>
          <w:rFonts w:cs="Calibri"/>
        </w:rPr>
      </w:pPr>
      <w:r>
        <w:t>The Department of Jobs and Small Business is budgeting for an operating loss equal to the unappropriated depreciation and amortisation expense of $</w:t>
      </w:r>
      <w:r w:rsidR="00FE40C1">
        <w:t>41.0</w:t>
      </w:r>
      <w:r>
        <w:t xml:space="preserve"> million for the 2018</w:t>
      </w:r>
      <w:r w:rsidR="00C152B0">
        <w:t>–</w:t>
      </w:r>
      <w:r>
        <w:t>19 financial year.</w:t>
      </w:r>
    </w:p>
    <w:p w:rsidR="000473D8" w:rsidRDefault="000473D8" w:rsidP="000473D8">
      <w:r>
        <w:t>Total revenues are estimated to be $</w:t>
      </w:r>
      <w:r w:rsidR="0062385F">
        <w:t>371.5</w:t>
      </w:r>
      <w:r>
        <w:t xml:space="preserve"> million and total expenses $</w:t>
      </w:r>
      <w:r w:rsidR="00FE40C1">
        <w:t>412.9</w:t>
      </w:r>
      <w:r>
        <w:t xml:space="preserve"> million.</w:t>
      </w:r>
    </w:p>
    <w:p w:rsidR="000473D8" w:rsidRDefault="000473D8" w:rsidP="000473D8">
      <w:r>
        <w:t>Total assets at the end of the 2018–19 year are estimated to be $</w:t>
      </w:r>
      <w:r w:rsidR="0062385F">
        <w:t>3</w:t>
      </w:r>
      <w:r w:rsidR="00AD0664">
        <w:t>57.7</w:t>
      </w:r>
      <w:r>
        <w:t xml:space="preserve"> million.</w:t>
      </w:r>
    </w:p>
    <w:p w:rsidR="000473D8" w:rsidRDefault="000473D8" w:rsidP="000473D8">
      <w:r>
        <w:t>Total liabilities for 2018–19 are estimated at $</w:t>
      </w:r>
      <w:r w:rsidR="0062385F">
        <w:t>141.1</w:t>
      </w:r>
      <w:r>
        <w:t xml:space="preserve"> million. The largest liability item is accrued employee entitlements.</w:t>
      </w:r>
    </w:p>
    <w:p w:rsidR="000473D8" w:rsidRDefault="000473D8" w:rsidP="000473D8">
      <w:r>
        <w:t xml:space="preserve">Movements from 2017–18 to 2018–19 are predominately related to </w:t>
      </w:r>
      <w:r w:rsidR="0062385F">
        <w:t>measures</w:t>
      </w:r>
      <w:r w:rsidR="00AD0664">
        <w:t xml:space="preserve"> and the full year impact of the Machinery of Government changes.</w:t>
      </w:r>
    </w:p>
    <w:p w:rsidR="000473D8" w:rsidRDefault="000473D8" w:rsidP="000473D8">
      <w:pPr>
        <w:pStyle w:val="Heading5"/>
      </w:pPr>
      <w:r>
        <w:t>Administered</w:t>
      </w:r>
    </w:p>
    <w:p w:rsidR="000473D8" w:rsidRDefault="000473D8" w:rsidP="000473D8">
      <w:pPr>
        <w:rPr>
          <w:rFonts w:cs="Calibri"/>
        </w:rPr>
      </w:pPr>
      <w:r>
        <w:t>Administered revenues for the 2018–19 budget year are estimated to be $</w:t>
      </w:r>
      <w:r w:rsidR="0062385F">
        <w:t>190.5</w:t>
      </w:r>
      <w:r>
        <w:t> million, consistent with the 2017–18 estimated actual.</w:t>
      </w:r>
    </w:p>
    <w:p w:rsidR="000473D8" w:rsidRDefault="000473D8" w:rsidP="000473D8">
      <w:r>
        <w:t xml:space="preserve">Administered expenses in 2018–19 are estimated to </w:t>
      </w:r>
      <w:r w:rsidRPr="0062385F">
        <w:t>be $2.1</w:t>
      </w:r>
      <w:r>
        <w:t> billion, a decrease of $</w:t>
      </w:r>
      <w:r w:rsidR="0062385F">
        <w:t>70.1</w:t>
      </w:r>
      <w:r>
        <w:t> million from the 2017–18 estimated actual. This decrease is attributable</w:t>
      </w:r>
      <w:r w:rsidR="00AD0664">
        <w:t xml:space="preserve"> to revised program</w:t>
      </w:r>
      <w:r w:rsidR="00984CA5">
        <w:t xml:space="preserve"> parameters and impacts from measures.</w:t>
      </w:r>
    </w:p>
    <w:p w:rsidR="00E048ED" w:rsidRDefault="00E048ED" w:rsidP="00E048ED">
      <w:pPr>
        <w:pStyle w:val="Heading3"/>
      </w:pPr>
      <w:r>
        <w:br w:type="page"/>
      </w:r>
      <w:bookmarkStart w:id="118" w:name="_Toc444523518"/>
      <w:bookmarkStart w:id="119" w:name="_Toc511656253"/>
      <w:bookmarkStart w:id="120" w:name="_Toc511722626"/>
      <w:bookmarkStart w:id="121" w:name="_Toc511736957"/>
      <w:bookmarkStart w:id="122" w:name="_Toc511747219"/>
      <w:bookmarkStart w:id="123" w:name="_Toc511765622"/>
      <w:bookmarkStart w:id="124" w:name="_Toc511828678"/>
      <w:bookmarkStart w:id="125" w:name="_Toc511836817"/>
      <w:bookmarkStart w:id="126" w:name="_Toc511902523"/>
      <w:r>
        <w:lastRenderedPageBreak/>
        <w:t>3.2.</w:t>
      </w:r>
      <w:r>
        <w:tab/>
        <w:t>Budgeted financial statements tables</w:t>
      </w:r>
      <w:bookmarkEnd w:id="118"/>
      <w:bookmarkEnd w:id="119"/>
      <w:bookmarkEnd w:id="120"/>
      <w:bookmarkEnd w:id="121"/>
      <w:bookmarkEnd w:id="122"/>
      <w:bookmarkEnd w:id="123"/>
      <w:bookmarkEnd w:id="124"/>
      <w:bookmarkEnd w:id="125"/>
      <w:bookmarkEnd w:id="126"/>
    </w:p>
    <w:p w:rsidR="00E048ED" w:rsidRDefault="00E048ED" w:rsidP="00E048ED">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16" w:type="dxa"/>
        <w:tblInd w:w="93" w:type="dxa"/>
        <w:tblLook w:val="04A0" w:firstRow="1" w:lastRow="0" w:firstColumn="1" w:lastColumn="0" w:noHBand="0" w:noVBand="1"/>
      </w:tblPr>
      <w:tblGrid>
        <w:gridCol w:w="3160"/>
        <w:gridCol w:w="928"/>
        <w:gridCol w:w="907"/>
        <w:gridCol w:w="907"/>
        <w:gridCol w:w="907"/>
        <w:gridCol w:w="907"/>
      </w:tblGrid>
      <w:tr w:rsidR="00E048ED" w:rsidRPr="00257632" w:rsidTr="000473D8">
        <w:trPr>
          <w:trHeight w:val="794"/>
        </w:trPr>
        <w:tc>
          <w:tcPr>
            <w:tcW w:w="3160" w:type="dxa"/>
            <w:tcBorders>
              <w:top w:val="single" w:sz="4" w:space="0" w:color="auto"/>
              <w:left w:val="nil"/>
              <w:bottom w:val="nil"/>
              <w:right w:val="nil"/>
            </w:tcBorders>
            <w:shd w:val="clear" w:color="auto" w:fill="auto"/>
            <w:noWrap/>
            <w:vAlign w:val="center"/>
            <w:hideMark/>
          </w:tcPr>
          <w:p w:rsidR="00E048ED" w:rsidRPr="00257632" w:rsidRDefault="00E048ED" w:rsidP="00E048ED">
            <w:pPr>
              <w:spacing w:after="0" w:line="240" w:lineRule="auto"/>
              <w:rPr>
                <w:rFonts w:ascii="Arial" w:hAnsi="Arial" w:cs="Arial"/>
                <w:b/>
                <w:bCs/>
                <w:sz w:val="16"/>
                <w:szCs w:val="16"/>
              </w:rPr>
            </w:pPr>
            <w:r w:rsidRPr="00257632">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2017–18 Estimated actual</w:t>
            </w:r>
            <w:r w:rsidRPr="0025763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2018–19</w:t>
            </w:r>
            <w:r w:rsidRPr="00257632">
              <w:rPr>
                <w:rFonts w:ascii="Arial" w:hAnsi="Arial" w:cs="Arial"/>
                <w:sz w:val="16"/>
                <w:szCs w:val="16"/>
              </w:rPr>
              <w:br/>
              <w:t>Budget</w:t>
            </w:r>
            <w:r w:rsidRPr="00257632">
              <w:rPr>
                <w:rFonts w:ascii="Arial" w:hAnsi="Arial" w:cs="Arial"/>
                <w:sz w:val="16"/>
                <w:szCs w:val="16"/>
              </w:rPr>
              <w:br/>
            </w:r>
            <w:r w:rsidRPr="0025763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2019–20 Forward estimate</w:t>
            </w:r>
            <w:r w:rsidRPr="0025763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2020–21 Forward estimate</w:t>
            </w:r>
            <w:r w:rsidRPr="0025763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2021–22</w:t>
            </w:r>
            <w:r w:rsidRPr="00257632">
              <w:rPr>
                <w:rFonts w:ascii="Arial" w:hAnsi="Arial" w:cs="Arial"/>
                <w:sz w:val="16"/>
                <w:szCs w:val="16"/>
              </w:rPr>
              <w:br/>
              <w:t>Forward estimate</w:t>
            </w:r>
            <w:r w:rsidRPr="00257632">
              <w:rPr>
                <w:rFonts w:ascii="Arial" w:hAnsi="Arial" w:cs="Arial"/>
                <w:sz w:val="16"/>
                <w:szCs w:val="16"/>
              </w:rPr>
              <w:br/>
              <w:t>$'000</w:t>
            </w:r>
          </w:p>
        </w:tc>
      </w:tr>
      <w:tr w:rsidR="000473D8" w:rsidRPr="00257632" w:rsidTr="000473D8">
        <w:trPr>
          <w:trHeight w:val="225"/>
        </w:trPr>
        <w:tc>
          <w:tcPr>
            <w:tcW w:w="3160" w:type="dxa"/>
            <w:tcBorders>
              <w:top w:val="nil"/>
              <w:left w:val="nil"/>
              <w:bottom w:val="nil"/>
              <w:right w:val="nil"/>
            </w:tcBorders>
            <w:shd w:val="clear" w:color="auto" w:fill="auto"/>
            <w:noWrap/>
            <w:vAlign w:val="center"/>
            <w:hideMark/>
          </w:tcPr>
          <w:p w:rsidR="000473D8" w:rsidRPr="00257632" w:rsidRDefault="000473D8" w:rsidP="00E048ED">
            <w:pPr>
              <w:spacing w:after="0" w:line="240" w:lineRule="auto"/>
              <w:rPr>
                <w:rFonts w:ascii="Arial" w:hAnsi="Arial" w:cs="Arial"/>
                <w:b/>
                <w:bCs/>
                <w:sz w:val="16"/>
                <w:szCs w:val="16"/>
              </w:rPr>
            </w:pPr>
            <w:r w:rsidRPr="00257632">
              <w:rPr>
                <w:rFonts w:ascii="Arial" w:hAnsi="Arial" w:cs="Arial"/>
                <w:b/>
                <w:bCs/>
                <w:sz w:val="16"/>
                <w:szCs w:val="16"/>
              </w:rPr>
              <w:t>EXPENSES</w:t>
            </w:r>
          </w:p>
        </w:tc>
        <w:tc>
          <w:tcPr>
            <w:tcW w:w="928" w:type="dxa"/>
            <w:tcBorders>
              <w:top w:val="nil"/>
              <w:left w:val="nil"/>
              <w:bottom w:val="nil"/>
              <w:right w:val="nil"/>
            </w:tcBorders>
            <w:shd w:val="clear" w:color="auto" w:fill="auto"/>
            <w:noWrap/>
            <w:vAlign w:val="center"/>
            <w:hideMark/>
          </w:tcPr>
          <w:p w:rsidR="000473D8" w:rsidRDefault="000473D8" w:rsidP="000473D8">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0473D8" w:rsidRDefault="000473D8" w:rsidP="000473D8">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0473D8" w:rsidRDefault="000473D8" w:rsidP="000473D8">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0473D8" w:rsidRDefault="000473D8" w:rsidP="000473D8">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0473D8" w:rsidRDefault="000473D8" w:rsidP="000473D8">
            <w:pPr>
              <w:spacing w:after="0" w:line="240" w:lineRule="auto"/>
              <w:jc w:val="right"/>
              <w:rPr>
                <w:rFonts w:ascii="Arial" w:hAnsi="Arial" w:cs="Arial"/>
                <w:b/>
                <w:bCs/>
                <w:sz w:val="16"/>
                <w:szCs w:val="16"/>
              </w:rPr>
            </w:pP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Employee benefits</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226,843 </w:t>
            </w: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231,766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227,473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227,703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226,950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137,074 </w:t>
            </w: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140,188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126,005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121,880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121,780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Depreciation and amortisation (a)</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37,177 </w:t>
            </w: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40,991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39,568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37,372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35,918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401,094 </w:t>
            </w:r>
          </w:p>
        </w:tc>
        <w:tc>
          <w:tcPr>
            <w:tcW w:w="907" w:type="dxa"/>
            <w:tcBorders>
              <w:top w:val="single" w:sz="4" w:space="0" w:color="auto"/>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412,945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393,046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386,955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384,648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 xml:space="preserve">LESS: </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OWN-SOURCE INCOME</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Own-source revenue</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r>
      <w:tr w:rsidR="008D52E2" w:rsidRPr="00257632" w:rsidTr="00921473">
        <w:trPr>
          <w:trHeight w:val="240"/>
        </w:trPr>
        <w:tc>
          <w:tcPr>
            <w:tcW w:w="3160" w:type="dxa"/>
            <w:tcBorders>
              <w:top w:val="nil"/>
              <w:left w:val="nil"/>
              <w:bottom w:val="nil"/>
              <w:right w:val="nil"/>
            </w:tcBorders>
            <w:shd w:val="clear" w:color="auto" w:fill="auto"/>
            <w:vAlign w:val="center"/>
            <w:hideMark/>
          </w:tcPr>
          <w:p w:rsidR="008D52E2" w:rsidRPr="00257632" w:rsidRDefault="008D52E2" w:rsidP="00731266">
            <w:pPr>
              <w:spacing w:after="0" w:line="240" w:lineRule="auto"/>
              <w:ind w:leftChars="80" w:left="333" w:hangingChars="108" w:hanging="173"/>
              <w:rPr>
                <w:rFonts w:ascii="Arial" w:hAnsi="Arial" w:cs="Arial"/>
                <w:sz w:val="16"/>
                <w:szCs w:val="16"/>
              </w:rPr>
            </w:pPr>
            <w:r w:rsidRPr="00257632">
              <w:rPr>
                <w:rFonts w:ascii="Arial" w:hAnsi="Arial" w:cs="Arial"/>
                <w:sz w:val="16"/>
                <w:szCs w:val="16"/>
              </w:rPr>
              <w:t>Sale of goods and rendering of services</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52,677 </w:t>
            </w: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53,329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45,942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45,607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45,607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External Audit</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53,087 </w:t>
            </w:r>
          </w:p>
        </w:tc>
        <w:tc>
          <w:tcPr>
            <w:tcW w:w="907" w:type="dxa"/>
            <w:tcBorders>
              <w:top w:val="single" w:sz="4" w:space="0" w:color="auto"/>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53,739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46,352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46,017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46,017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Gains</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Other</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gains</w:t>
            </w:r>
          </w:p>
        </w:tc>
        <w:tc>
          <w:tcPr>
            <w:tcW w:w="928"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53,087 </w:t>
            </w:r>
          </w:p>
        </w:tc>
        <w:tc>
          <w:tcPr>
            <w:tcW w:w="907" w:type="dxa"/>
            <w:tcBorders>
              <w:top w:val="nil"/>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53,739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46,352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46,017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46,017 </w:t>
            </w:r>
          </w:p>
        </w:tc>
      </w:tr>
      <w:tr w:rsidR="008D52E2" w:rsidRPr="00257632" w:rsidTr="00921473">
        <w:trPr>
          <w:trHeight w:val="270"/>
        </w:trPr>
        <w:tc>
          <w:tcPr>
            <w:tcW w:w="3160" w:type="dxa"/>
            <w:tcBorders>
              <w:top w:val="nil"/>
              <w:left w:val="nil"/>
              <w:bottom w:val="nil"/>
              <w:right w:val="nil"/>
            </w:tcBorders>
            <w:shd w:val="clear" w:color="auto" w:fill="auto"/>
            <w:vAlign w:val="center"/>
            <w:hideMark/>
          </w:tcPr>
          <w:p w:rsidR="008D52E2" w:rsidRPr="00257632" w:rsidRDefault="008D52E2" w:rsidP="00E048ED">
            <w:pPr>
              <w:spacing w:after="0" w:line="240" w:lineRule="auto"/>
              <w:rPr>
                <w:rFonts w:ascii="Arial" w:hAnsi="Arial" w:cs="Arial"/>
                <w:b/>
                <w:bCs/>
                <w:color w:val="000000"/>
                <w:sz w:val="16"/>
                <w:szCs w:val="16"/>
              </w:rPr>
            </w:pPr>
            <w:r w:rsidRPr="00257632">
              <w:rPr>
                <w:rFonts w:ascii="Arial" w:hAnsi="Arial" w:cs="Arial"/>
                <w:b/>
                <w:bCs/>
                <w:color w:val="000000"/>
                <w:sz w:val="16"/>
                <w:szCs w:val="16"/>
              </w:rPr>
              <w:t>Net (cost of)/contribution by services</w:t>
            </w:r>
          </w:p>
        </w:tc>
        <w:tc>
          <w:tcPr>
            <w:tcW w:w="928"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(348,007)</w:t>
            </w:r>
          </w:p>
        </w:tc>
        <w:tc>
          <w:tcPr>
            <w:tcW w:w="907" w:type="dxa"/>
            <w:tcBorders>
              <w:top w:val="nil"/>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(359,206)</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(346,694)</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(340,938)</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(338,631)</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310,830 </w:t>
            </w:r>
          </w:p>
        </w:tc>
        <w:tc>
          <w:tcPr>
            <w:tcW w:w="907" w:type="dxa"/>
            <w:tcBorders>
              <w:top w:val="nil"/>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318,215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307,126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303,566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302,713 </w:t>
            </w:r>
          </w:p>
        </w:tc>
      </w:tr>
      <w:tr w:rsidR="008D52E2" w:rsidRPr="00257632" w:rsidTr="00921473">
        <w:trPr>
          <w:trHeight w:val="450"/>
        </w:trPr>
        <w:tc>
          <w:tcPr>
            <w:tcW w:w="3160" w:type="dxa"/>
            <w:tcBorders>
              <w:top w:val="nil"/>
              <w:left w:val="nil"/>
              <w:bottom w:val="nil"/>
              <w:right w:val="nil"/>
            </w:tcBorders>
            <w:shd w:val="clear" w:color="auto" w:fill="auto"/>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Surplus/(deficit) attributable to the</w:t>
            </w:r>
            <w:r w:rsidRPr="00257632">
              <w:rPr>
                <w:rFonts w:ascii="Arial" w:hAnsi="Arial" w:cs="Arial"/>
                <w:b/>
                <w:bCs/>
                <w:sz w:val="16"/>
                <w:szCs w:val="16"/>
              </w:rPr>
              <w:br/>
              <w:t xml:space="preserve">  Australian Government</w:t>
            </w:r>
          </w:p>
        </w:tc>
        <w:tc>
          <w:tcPr>
            <w:tcW w:w="928"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(37,177)</w:t>
            </w:r>
          </w:p>
        </w:tc>
        <w:tc>
          <w:tcPr>
            <w:tcW w:w="907" w:type="dxa"/>
            <w:tcBorders>
              <w:top w:val="nil"/>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(40,991)</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(39,568)</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(37,372)</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(35,918)</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OTHER COMPREHENSIVE INCOME</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Changes in asset revaluation surplus</w:t>
            </w:r>
          </w:p>
        </w:tc>
        <w:tc>
          <w:tcPr>
            <w:tcW w:w="928"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nil"/>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nil"/>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8D52E2" w:rsidRPr="00257632" w:rsidTr="00921473">
        <w:trPr>
          <w:trHeight w:val="225"/>
        </w:trPr>
        <w:tc>
          <w:tcPr>
            <w:tcW w:w="3160" w:type="dxa"/>
            <w:tcBorders>
              <w:top w:val="nil"/>
              <w:left w:val="nil"/>
              <w:bottom w:val="nil"/>
              <w:right w:val="nil"/>
            </w:tcBorders>
            <w:shd w:val="clear" w:color="auto" w:fill="auto"/>
            <w:noWrap/>
            <w:vAlign w:val="center"/>
            <w:hideMark/>
          </w:tcPr>
          <w:p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(37,177)</w:t>
            </w:r>
          </w:p>
        </w:tc>
        <w:tc>
          <w:tcPr>
            <w:tcW w:w="907" w:type="dxa"/>
            <w:tcBorders>
              <w:top w:val="single" w:sz="4" w:space="0" w:color="auto"/>
              <w:left w:val="nil"/>
              <w:bottom w:val="single" w:sz="4" w:space="0" w:color="auto"/>
              <w:right w:val="nil"/>
            </w:tcBorders>
            <w:shd w:val="clear" w:color="000000" w:fill="E6E6E6"/>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(40,991)</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(39,568)</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(37,372)</w:t>
            </w:r>
          </w:p>
        </w:tc>
        <w:tc>
          <w:tcPr>
            <w:tcW w:w="907" w:type="dxa"/>
            <w:tcBorders>
              <w:top w:val="single" w:sz="4" w:space="0" w:color="auto"/>
              <w:left w:val="nil"/>
              <w:bottom w:val="single" w:sz="4" w:space="0" w:color="auto"/>
              <w:right w:val="nil"/>
            </w:tcBorders>
            <w:shd w:val="clear" w:color="auto" w:fill="auto"/>
            <w:noWrap/>
            <w:vAlign w:val="center"/>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(35,918)</w:t>
            </w:r>
          </w:p>
        </w:tc>
      </w:tr>
      <w:tr w:rsidR="008D52E2" w:rsidRPr="00257632" w:rsidTr="000473D8">
        <w:trPr>
          <w:trHeight w:val="439"/>
        </w:trPr>
        <w:tc>
          <w:tcPr>
            <w:tcW w:w="3160" w:type="dxa"/>
            <w:tcBorders>
              <w:top w:val="nil"/>
              <w:left w:val="nil"/>
              <w:bottom w:val="single" w:sz="4" w:space="0" w:color="auto"/>
              <w:right w:val="nil"/>
            </w:tcBorders>
            <w:shd w:val="clear" w:color="auto" w:fill="auto"/>
            <w:vAlign w:val="bottom"/>
            <w:hideMark/>
          </w:tcPr>
          <w:p w:rsidR="008D52E2" w:rsidRPr="00257632" w:rsidRDefault="008D52E2" w:rsidP="00931196">
            <w:pPr>
              <w:spacing w:after="0" w:line="240" w:lineRule="auto"/>
              <w:ind w:left="191" w:hanging="191"/>
              <w:rPr>
                <w:rFonts w:ascii="Arial" w:hAnsi="Arial" w:cs="Arial"/>
                <w:b/>
                <w:bCs/>
                <w:sz w:val="16"/>
                <w:szCs w:val="16"/>
              </w:rPr>
            </w:pPr>
            <w:r w:rsidRPr="00257632">
              <w:rPr>
                <w:rFonts w:ascii="Arial" w:hAnsi="Arial" w:cs="Arial"/>
                <w:b/>
                <w:bCs/>
                <w:sz w:val="16"/>
                <w:szCs w:val="16"/>
              </w:rPr>
              <w:t>To</w:t>
            </w:r>
            <w:r>
              <w:rPr>
                <w:rFonts w:ascii="Arial" w:hAnsi="Arial" w:cs="Arial"/>
                <w:b/>
                <w:bCs/>
                <w:sz w:val="16"/>
                <w:szCs w:val="16"/>
              </w:rPr>
              <w:t>tal comprehensive income/(loss)</w:t>
            </w:r>
            <w:r w:rsidRPr="00257632">
              <w:rPr>
                <w:rFonts w:ascii="Arial" w:hAnsi="Arial" w:cs="Arial"/>
                <w:b/>
                <w:bCs/>
                <w:sz w:val="16"/>
                <w:szCs w:val="16"/>
              </w:rPr>
              <w:t xml:space="preserve"> </w:t>
            </w:r>
            <w:r>
              <w:rPr>
                <w:rFonts w:ascii="Arial" w:hAnsi="Arial" w:cs="Arial"/>
                <w:b/>
                <w:bCs/>
                <w:sz w:val="16"/>
                <w:szCs w:val="16"/>
              </w:rPr>
              <w:t xml:space="preserve"> attributable to the Australian </w:t>
            </w:r>
            <w:r w:rsidRPr="00257632">
              <w:rPr>
                <w:rFonts w:ascii="Arial" w:hAnsi="Arial" w:cs="Arial"/>
                <w:b/>
                <w:bCs/>
                <w:sz w:val="16"/>
                <w:szCs w:val="16"/>
              </w:rPr>
              <w:t>Government</w:t>
            </w:r>
          </w:p>
        </w:tc>
        <w:tc>
          <w:tcPr>
            <w:tcW w:w="928" w:type="dxa"/>
            <w:tcBorders>
              <w:top w:val="nil"/>
              <w:left w:val="nil"/>
              <w:bottom w:val="single" w:sz="4" w:space="0" w:color="auto"/>
              <w:right w:val="nil"/>
            </w:tcBorders>
            <w:shd w:val="clear" w:color="auto" w:fill="auto"/>
            <w:noWrap/>
            <w:vAlign w:val="bottom"/>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(37,177)</w:t>
            </w:r>
          </w:p>
        </w:tc>
        <w:tc>
          <w:tcPr>
            <w:tcW w:w="907" w:type="dxa"/>
            <w:tcBorders>
              <w:top w:val="nil"/>
              <w:left w:val="nil"/>
              <w:bottom w:val="single" w:sz="4" w:space="0" w:color="auto"/>
              <w:right w:val="nil"/>
            </w:tcBorders>
            <w:shd w:val="clear" w:color="000000" w:fill="E6E6E6"/>
            <w:noWrap/>
            <w:vAlign w:val="bottom"/>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(40,991)</w:t>
            </w:r>
          </w:p>
        </w:tc>
        <w:tc>
          <w:tcPr>
            <w:tcW w:w="907" w:type="dxa"/>
            <w:tcBorders>
              <w:top w:val="nil"/>
              <w:left w:val="nil"/>
              <w:bottom w:val="single" w:sz="4" w:space="0" w:color="auto"/>
              <w:right w:val="nil"/>
            </w:tcBorders>
            <w:shd w:val="clear" w:color="auto" w:fill="auto"/>
            <w:noWrap/>
            <w:vAlign w:val="bottom"/>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(39,568)</w:t>
            </w:r>
          </w:p>
        </w:tc>
        <w:tc>
          <w:tcPr>
            <w:tcW w:w="907" w:type="dxa"/>
            <w:tcBorders>
              <w:top w:val="nil"/>
              <w:left w:val="nil"/>
              <w:bottom w:val="single" w:sz="4" w:space="0" w:color="auto"/>
              <w:right w:val="nil"/>
            </w:tcBorders>
            <w:shd w:val="clear" w:color="auto" w:fill="auto"/>
            <w:noWrap/>
            <w:vAlign w:val="bottom"/>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(37,372)</w:t>
            </w:r>
          </w:p>
        </w:tc>
        <w:tc>
          <w:tcPr>
            <w:tcW w:w="907" w:type="dxa"/>
            <w:tcBorders>
              <w:top w:val="nil"/>
              <w:left w:val="nil"/>
              <w:bottom w:val="single" w:sz="4" w:space="0" w:color="auto"/>
              <w:right w:val="nil"/>
            </w:tcBorders>
            <w:shd w:val="clear" w:color="auto" w:fill="auto"/>
            <w:noWrap/>
            <w:vAlign w:val="bottom"/>
            <w:hideMark/>
          </w:tcPr>
          <w:p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(35,918)</w:t>
            </w:r>
          </w:p>
        </w:tc>
      </w:tr>
    </w:tbl>
    <w:p w:rsidR="00E048ED" w:rsidRPr="003819E1" w:rsidRDefault="00E048ED" w:rsidP="00E048ED">
      <w:pPr>
        <w:spacing w:after="0" w:line="240" w:lineRule="auto"/>
        <w:rPr>
          <w:rFonts w:ascii="Arial" w:hAnsi="Arial" w:cs="Arial"/>
        </w:rPr>
      </w:pPr>
    </w:p>
    <w:tbl>
      <w:tblPr>
        <w:tblW w:w="7716" w:type="dxa"/>
        <w:tblInd w:w="93" w:type="dxa"/>
        <w:tblLook w:val="04A0" w:firstRow="1" w:lastRow="0" w:firstColumn="1" w:lastColumn="0" w:noHBand="0" w:noVBand="1"/>
      </w:tblPr>
      <w:tblGrid>
        <w:gridCol w:w="3158"/>
        <w:gridCol w:w="930"/>
        <w:gridCol w:w="712"/>
        <w:gridCol w:w="195"/>
        <w:gridCol w:w="625"/>
        <w:gridCol w:w="282"/>
        <w:gridCol w:w="538"/>
        <w:gridCol w:w="369"/>
        <w:gridCol w:w="451"/>
        <w:gridCol w:w="456"/>
      </w:tblGrid>
      <w:tr w:rsidR="00E048ED" w:rsidRPr="00257632" w:rsidTr="00931196">
        <w:trPr>
          <w:gridAfter w:val="1"/>
          <w:wAfter w:w="456" w:type="dxa"/>
          <w:trHeight w:val="225"/>
        </w:trPr>
        <w:tc>
          <w:tcPr>
            <w:tcW w:w="4800" w:type="dxa"/>
            <w:gridSpan w:val="3"/>
            <w:tcBorders>
              <w:top w:val="nil"/>
              <w:left w:val="nil"/>
              <w:bottom w:val="nil"/>
              <w:right w:val="nil"/>
            </w:tcBorders>
            <w:shd w:val="clear" w:color="auto" w:fill="auto"/>
            <w:noWrap/>
            <w:vAlign w:val="center"/>
            <w:hideMark/>
          </w:tcPr>
          <w:p w:rsidR="00E048ED" w:rsidRPr="00257632" w:rsidRDefault="00E048ED" w:rsidP="00E048ED">
            <w:pPr>
              <w:spacing w:after="0" w:line="240" w:lineRule="auto"/>
              <w:rPr>
                <w:rFonts w:ascii="Arial" w:hAnsi="Arial" w:cs="Arial"/>
                <w:b/>
                <w:bCs/>
                <w:color w:val="000000"/>
                <w:sz w:val="16"/>
                <w:szCs w:val="16"/>
              </w:rPr>
            </w:pPr>
            <w:r w:rsidRPr="00257632">
              <w:rPr>
                <w:rFonts w:ascii="Arial" w:hAnsi="Arial" w:cs="Arial"/>
                <w:b/>
                <w:bCs/>
                <w:color w:val="000000"/>
                <w:sz w:val="16"/>
                <w:szCs w:val="16"/>
              </w:rPr>
              <w:t>Note: Impact of net cash appropriation arrangements</w:t>
            </w:r>
          </w:p>
        </w:tc>
        <w:tc>
          <w:tcPr>
            <w:tcW w:w="820" w:type="dxa"/>
            <w:gridSpan w:val="2"/>
            <w:tcBorders>
              <w:top w:val="nil"/>
              <w:left w:val="nil"/>
              <w:bottom w:val="nil"/>
              <w:right w:val="nil"/>
            </w:tcBorders>
            <w:shd w:val="clear" w:color="auto" w:fill="auto"/>
            <w:noWrap/>
            <w:vAlign w:val="bottom"/>
            <w:hideMark/>
          </w:tcPr>
          <w:p w:rsidR="00E048ED" w:rsidRPr="00257632" w:rsidRDefault="00E048ED" w:rsidP="00E048ED">
            <w:pPr>
              <w:spacing w:after="0" w:line="240" w:lineRule="auto"/>
              <w:jc w:val="right"/>
              <w:rPr>
                <w:rFonts w:ascii="Arial" w:hAnsi="Arial" w:cs="Arial"/>
                <w:sz w:val="16"/>
                <w:szCs w:val="16"/>
              </w:rPr>
            </w:pPr>
          </w:p>
        </w:tc>
        <w:tc>
          <w:tcPr>
            <w:tcW w:w="820" w:type="dxa"/>
            <w:gridSpan w:val="2"/>
            <w:tcBorders>
              <w:top w:val="nil"/>
              <w:left w:val="nil"/>
              <w:bottom w:val="nil"/>
              <w:right w:val="nil"/>
            </w:tcBorders>
            <w:shd w:val="clear" w:color="auto" w:fill="auto"/>
            <w:noWrap/>
            <w:vAlign w:val="bottom"/>
            <w:hideMark/>
          </w:tcPr>
          <w:p w:rsidR="00E048ED" w:rsidRPr="00257632" w:rsidRDefault="00E048ED" w:rsidP="00E048ED">
            <w:pPr>
              <w:spacing w:after="0" w:line="240" w:lineRule="auto"/>
              <w:jc w:val="right"/>
              <w:rPr>
                <w:rFonts w:ascii="Arial" w:hAnsi="Arial" w:cs="Arial"/>
                <w:sz w:val="16"/>
                <w:szCs w:val="16"/>
              </w:rPr>
            </w:pPr>
          </w:p>
        </w:tc>
        <w:tc>
          <w:tcPr>
            <w:tcW w:w="820" w:type="dxa"/>
            <w:gridSpan w:val="2"/>
            <w:tcBorders>
              <w:top w:val="nil"/>
              <w:left w:val="nil"/>
              <w:bottom w:val="nil"/>
              <w:right w:val="nil"/>
            </w:tcBorders>
            <w:shd w:val="clear" w:color="auto" w:fill="auto"/>
            <w:noWrap/>
            <w:vAlign w:val="bottom"/>
            <w:hideMark/>
          </w:tcPr>
          <w:p w:rsidR="00E048ED" w:rsidRPr="00257632" w:rsidRDefault="00E048ED" w:rsidP="00E048ED">
            <w:pPr>
              <w:spacing w:after="0" w:line="240" w:lineRule="auto"/>
              <w:jc w:val="right"/>
              <w:rPr>
                <w:rFonts w:ascii="Arial" w:hAnsi="Arial" w:cs="Arial"/>
                <w:sz w:val="16"/>
                <w:szCs w:val="16"/>
              </w:rPr>
            </w:pPr>
          </w:p>
        </w:tc>
      </w:tr>
      <w:tr w:rsidR="00E048ED" w:rsidRPr="00257632" w:rsidTr="00931196">
        <w:trPr>
          <w:trHeight w:val="450"/>
        </w:trPr>
        <w:tc>
          <w:tcPr>
            <w:tcW w:w="3158" w:type="dxa"/>
            <w:tcBorders>
              <w:top w:val="single" w:sz="4" w:space="0" w:color="auto"/>
              <w:left w:val="nil"/>
              <w:bottom w:val="nil"/>
              <w:right w:val="nil"/>
            </w:tcBorders>
            <w:shd w:val="clear" w:color="auto" w:fill="auto"/>
            <w:vAlign w:val="bottom"/>
            <w:hideMark/>
          </w:tcPr>
          <w:p w:rsidR="00E048ED" w:rsidRPr="00257632" w:rsidRDefault="00E048ED" w:rsidP="00E048ED">
            <w:pPr>
              <w:spacing w:after="0" w:line="240" w:lineRule="auto"/>
              <w:rPr>
                <w:rFonts w:ascii="Arial" w:hAnsi="Arial" w:cs="Arial"/>
                <w:sz w:val="16"/>
                <w:szCs w:val="16"/>
              </w:rPr>
            </w:pPr>
            <w:r w:rsidRPr="00257632">
              <w:rPr>
                <w:rFonts w:ascii="Arial" w:hAnsi="Arial" w:cs="Arial"/>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2017–18</w:t>
            </w:r>
            <w:r w:rsidRPr="00257632">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000000" w:fill="E6E6E6"/>
            <w:vAlign w:val="center"/>
            <w:hideMark/>
          </w:tcPr>
          <w:p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2018–19</w:t>
            </w:r>
            <w:r w:rsidRPr="00257632">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2019–20</w:t>
            </w:r>
            <w:r w:rsidRPr="00257632">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2020–21</w:t>
            </w:r>
            <w:r w:rsidRPr="00257632">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2021–22</w:t>
            </w:r>
            <w:r w:rsidRPr="00257632">
              <w:rPr>
                <w:rFonts w:ascii="Arial" w:hAnsi="Arial" w:cs="Arial"/>
                <w:color w:val="000000"/>
                <w:sz w:val="16"/>
                <w:szCs w:val="16"/>
              </w:rPr>
              <w:br/>
              <w:t>$'000</w:t>
            </w:r>
          </w:p>
        </w:tc>
      </w:tr>
      <w:tr w:rsidR="00992448" w:rsidRPr="00257632" w:rsidTr="00931196">
        <w:trPr>
          <w:trHeight w:val="770"/>
        </w:trPr>
        <w:tc>
          <w:tcPr>
            <w:tcW w:w="3158" w:type="dxa"/>
            <w:tcBorders>
              <w:top w:val="nil"/>
              <w:left w:val="nil"/>
              <w:bottom w:val="nil"/>
              <w:right w:val="nil"/>
            </w:tcBorders>
            <w:shd w:val="clear" w:color="auto" w:fill="auto"/>
            <w:hideMark/>
          </w:tcPr>
          <w:p w:rsidR="00992448" w:rsidRPr="00257632" w:rsidRDefault="00992448" w:rsidP="00921473">
            <w:pPr>
              <w:spacing w:after="0" w:line="240" w:lineRule="auto"/>
              <w:ind w:left="191" w:hanging="191"/>
              <w:rPr>
                <w:rFonts w:ascii="Arial" w:hAnsi="Arial" w:cs="Arial"/>
                <w:b/>
                <w:bCs/>
                <w:color w:val="000000"/>
                <w:sz w:val="16"/>
                <w:szCs w:val="16"/>
              </w:rPr>
            </w:pPr>
            <w:r w:rsidRPr="00257632">
              <w:rPr>
                <w:rFonts w:ascii="Arial" w:hAnsi="Arial" w:cs="Arial"/>
                <w:b/>
                <w:bCs/>
                <w:color w:val="000000"/>
                <w:sz w:val="16"/>
                <w:szCs w:val="16"/>
              </w:rPr>
              <w:t>Total comprehensive income/(loss) excluding depreciation/amortisation expenses previously funded through revenue appropriations</w:t>
            </w:r>
          </w:p>
        </w:tc>
        <w:tc>
          <w:tcPr>
            <w:tcW w:w="930"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gridSpan w:val="2"/>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gridSpan w:val="2"/>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gridSpan w:val="2"/>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gridSpan w:val="2"/>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992448" w:rsidRPr="00257632" w:rsidTr="00931196">
        <w:trPr>
          <w:trHeight w:val="510"/>
        </w:trPr>
        <w:tc>
          <w:tcPr>
            <w:tcW w:w="3158" w:type="dxa"/>
            <w:tcBorders>
              <w:top w:val="nil"/>
              <w:left w:val="nil"/>
              <w:bottom w:val="nil"/>
              <w:right w:val="nil"/>
            </w:tcBorders>
            <w:shd w:val="clear" w:color="auto" w:fill="auto"/>
            <w:hideMark/>
          </w:tcPr>
          <w:p w:rsidR="00992448" w:rsidRPr="00257632" w:rsidRDefault="00992448" w:rsidP="00E048ED">
            <w:pPr>
              <w:spacing w:after="0" w:line="240" w:lineRule="auto"/>
              <w:ind w:leftChars="80" w:left="333" w:hangingChars="108" w:hanging="173"/>
              <w:rPr>
                <w:rFonts w:ascii="Arial" w:hAnsi="Arial" w:cs="Arial"/>
                <w:color w:val="000000"/>
                <w:sz w:val="16"/>
                <w:szCs w:val="16"/>
              </w:rPr>
            </w:pPr>
            <w:r w:rsidRPr="00257632">
              <w:rPr>
                <w:rFonts w:ascii="Arial" w:hAnsi="Arial" w:cs="Arial"/>
                <w:color w:val="000000"/>
                <w:sz w:val="16"/>
                <w:szCs w:val="16"/>
              </w:rPr>
              <w:t>less depreciation/amortisation</w:t>
            </w:r>
            <w:r>
              <w:rPr>
                <w:rFonts w:ascii="Arial" w:hAnsi="Arial" w:cs="Arial"/>
                <w:color w:val="000000"/>
                <w:sz w:val="16"/>
                <w:szCs w:val="16"/>
              </w:rPr>
              <w:t xml:space="preserve"> </w:t>
            </w:r>
            <w:r w:rsidRPr="00257632">
              <w:rPr>
                <w:rFonts w:ascii="Arial" w:hAnsi="Arial" w:cs="Arial"/>
                <w:color w:val="000000"/>
                <w:sz w:val="16"/>
                <w:szCs w:val="16"/>
              </w:rPr>
              <w:t>expenses previously funded through</w:t>
            </w:r>
            <w:r>
              <w:rPr>
                <w:rFonts w:ascii="Arial" w:hAnsi="Arial" w:cs="Arial"/>
                <w:color w:val="000000"/>
                <w:sz w:val="16"/>
                <w:szCs w:val="16"/>
              </w:rPr>
              <w:t xml:space="preserve"> </w:t>
            </w:r>
            <w:r w:rsidRPr="00257632">
              <w:rPr>
                <w:rFonts w:ascii="Arial" w:hAnsi="Arial" w:cs="Arial"/>
                <w:color w:val="000000"/>
                <w:sz w:val="16"/>
                <w:szCs w:val="16"/>
              </w:rPr>
              <w:t>revenue appropriations (a)</w:t>
            </w:r>
          </w:p>
        </w:tc>
        <w:tc>
          <w:tcPr>
            <w:tcW w:w="930"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37,177 </w:t>
            </w:r>
          </w:p>
        </w:tc>
        <w:tc>
          <w:tcPr>
            <w:tcW w:w="907" w:type="dxa"/>
            <w:gridSpan w:val="2"/>
            <w:tcBorders>
              <w:top w:val="nil"/>
              <w:left w:val="nil"/>
              <w:bottom w:val="nil"/>
              <w:right w:val="nil"/>
            </w:tcBorders>
            <w:shd w:val="clear" w:color="000000" w:fill="E6E6E6"/>
            <w:noWrap/>
            <w:vAlign w:val="center"/>
            <w:hideMark/>
          </w:tcPr>
          <w:p w:rsidR="00992448" w:rsidRPr="00992448" w:rsidRDefault="00992448" w:rsidP="00992448">
            <w:pPr>
              <w:spacing w:after="0" w:line="240" w:lineRule="auto"/>
              <w:jc w:val="right"/>
              <w:rPr>
                <w:rFonts w:ascii="Arial" w:hAnsi="Arial" w:cs="Arial"/>
                <w:bCs/>
                <w:color w:val="000000"/>
                <w:sz w:val="16"/>
                <w:szCs w:val="16"/>
              </w:rPr>
            </w:pPr>
            <w:r w:rsidRPr="00992448">
              <w:rPr>
                <w:rFonts w:ascii="Arial" w:hAnsi="Arial" w:cs="Arial"/>
                <w:bCs/>
                <w:color w:val="000000"/>
                <w:sz w:val="16"/>
                <w:szCs w:val="16"/>
              </w:rPr>
              <w:t xml:space="preserve">40,991 </w:t>
            </w:r>
          </w:p>
        </w:tc>
        <w:tc>
          <w:tcPr>
            <w:tcW w:w="907" w:type="dxa"/>
            <w:gridSpan w:val="2"/>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39,568 </w:t>
            </w:r>
          </w:p>
        </w:tc>
        <w:tc>
          <w:tcPr>
            <w:tcW w:w="907" w:type="dxa"/>
            <w:gridSpan w:val="2"/>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37,372 </w:t>
            </w:r>
          </w:p>
        </w:tc>
        <w:tc>
          <w:tcPr>
            <w:tcW w:w="907" w:type="dxa"/>
            <w:gridSpan w:val="2"/>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35,918 </w:t>
            </w:r>
          </w:p>
        </w:tc>
      </w:tr>
      <w:tr w:rsidR="00992448" w:rsidRPr="00257632" w:rsidTr="009F0659">
        <w:trPr>
          <w:trHeight w:val="567"/>
        </w:trPr>
        <w:tc>
          <w:tcPr>
            <w:tcW w:w="3158" w:type="dxa"/>
            <w:tcBorders>
              <w:top w:val="nil"/>
              <w:left w:val="nil"/>
              <w:bottom w:val="single" w:sz="4" w:space="0" w:color="auto"/>
              <w:right w:val="nil"/>
            </w:tcBorders>
            <w:shd w:val="clear" w:color="auto" w:fill="auto"/>
            <w:vAlign w:val="center"/>
            <w:hideMark/>
          </w:tcPr>
          <w:p w:rsidR="00992448" w:rsidRPr="00257632" w:rsidRDefault="00992448" w:rsidP="00921473">
            <w:pPr>
              <w:spacing w:after="0" w:line="240" w:lineRule="auto"/>
              <w:ind w:left="191" w:hanging="191"/>
              <w:rPr>
                <w:rFonts w:ascii="Arial" w:hAnsi="Arial" w:cs="Arial"/>
                <w:b/>
                <w:bCs/>
                <w:color w:val="000000"/>
                <w:sz w:val="16"/>
                <w:szCs w:val="16"/>
              </w:rPr>
            </w:pPr>
            <w:r w:rsidRPr="00257632">
              <w:rPr>
                <w:rFonts w:ascii="Arial" w:hAnsi="Arial" w:cs="Arial"/>
                <w:b/>
                <w:bCs/>
                <w:color w:val="000000"/>
                <w:sz w:val="16"/>
                <w:szCs w:val="16"/>
              </w:rPr>
              <w:t>Total comprehensive income/(loss)—as per the statement of comprehensive income</w:t>
            </w:r>
          </w:p>
        </w:tc>
        <w:tc>
          <w:tcPr>
            <w:tcW w:w="930" w:type="dxa"/>
            <w:tcBorders>
              <w:top w:val="single" w:sz="4" w:space="0" w:color="auto"/>
              <w:left w:val="nil"/>
              <w:bottom w:val="single" w:sz="4" w:space="0" w:color="auto"/>
              <w:right w:val="nil"/>
            </w:tcBorders>
            <w:shd w:val="clear" w:color="auto" w:fill="auto"/>
            <w:vAlign w:val="bottom"/>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(37,177)</w:t>
            </w:r>
          </w:p>
        </w:tc>
        <w:tc>
          <w:tcPr>
            <w:tcW w:w="907" w:type="dxa"/>
            <w:gridSpan w:val="2"/>
            <w:tcBorders>
              <w:top w:val="single" w:sz="4" w:space="0" w:color="auto"/>
              <w:left w:val="nil"/>
              <w:bottom w:val="single" w:sz="4" w:space="0" w:color="auto"/>
              <w:right w:val="nil"/>
            </w:tcBorders>
            <w:shd w:val="clear" w:color="000000" w:fill="E6E6E6"/>
            <w:vAlign w:val="bottom"/>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(40,991)</w:t>
            </w:r>
          </w:p>
        </w:tc>
        <w:tc>
          <w:tcPr>
            <w:tcW w:w="907" w:type="dxa"/>
            <w:gridSpan w:val="2"/>
            <w:tcBorders>
              <w:top w:val="single" w:sz="4" w:space="0" w:color="auto"/>
              <w:left w:val="nil"/>
              <w:bottom w:val="single" w:sz="4" w:space="0" w:color="auto"/>
              <w:right w:val="nil"/>
            </w:tcBorders>
            <w:shd w:val="clear" w:color="auto" w:fill="auto"/>
            <w:vAlign w:val="bottom"/>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(39,568)</w:t>
            </w:r>
          </w:p>
        </w:tc>
        <w:tc>
          <w:tcPr>
            <w:tcW w:w="907" w:type="dxa"/>
            <w:gridSpan w:val="2"/>
            <w:tcBorders>
              <w:top w:val="single" w:sz="4" w:space="0" w:color="auto"/>
              <w:left w:val="nil"/>
              <w:bottom w:val="single" w:sz="4" w:space="0" w:color="auto"/>
              <w:right w:val="nil"/>
            </w:tcBorders>
            <w:shd w:val="clear" w:color="auto" w:fill="auto"/>
            <w:vAlign w:val="bottom"/>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(37,372)</w:t>
            </w:r>
          </w:p>
        </w:tc>
        <w:tc>
          <w:tcPr>
            <w:tcW w:w="907" w:type="dxa"/>
            <w:gridSpan w:val="2"/>
            <w:tcBorders>
              <w:top w:val="single" w:sz="4" w:space="0" w:color="auto"/>
              <w:left w:val="nil"/>
              <w:bottom w:val="single" w:sz="4" w:space="0" w:color="auto"/>
              <w:right w:val="nil"/>
            </w:tcBorders>
            <w:shd w:val="clear" w:color="auto" w:fill="auto"/>
            <w:vAlign w:val="bottom"/>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(35,918)</w:t>
            </w:r>
          </w:p>
        </w:tc>
      </w:tr>
    </w:tbl>
    <w:p w:rsidR="00E048ED" w:rsidRPr="00150D90" w:rsidRDefault="00E048ED" w:rsidP="00E01B4E">
      <w:pPr>
        <w:pStyle w:val="ChartandTableFootnoteAlpha"/>
        <w:numPr>
          <w:ilvl w:val="0"/>
          <w:numId w:val="12"/>
        </w:numPr>
        <w:rPr>
          <w:rFonts w:cs="Arial"/>
        </w:rPr>
      </w:pPr>
      <w:r w:rsidRPr="00150D90">
        <w:rPr>
          <w:rFonts w:cs="Arial"/>
        </w:rPr>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E048ED" w:rsidRPr="009D54F3" w:rsidRDefault="00E048ED" w:rsidP="00E048ED">
      <w:pPr>
        <w:pStyle w:val="ChartandTableFootnote"/>
      </w:pPr>
      <w:r w:rsidRPr="009D54F3">
        <w:t>Prepared on Australian Accounting Standards basis.</w:t>
      </w:r>
    </w:p>
    <w:p w:rsidR="00E048ED" w:rsidRDefault="00E048ED" w:rsidP="00E048ED">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635" w:type="dxa"/>
        <w:tblInd w:w="93" w:type="dxa"/>
        <w:tblCellMar>
          <w:left w:w="28" w:type="dxa"/>
          <w:right w:w="28" w:type="dxa"/>
        </w:tblCellMar>
        <w:tblLook w:val="04A0" w:firstRow="1" w:lastRow="0" w:firstColumn="1" w:lastColumn="0" w:noHBand="0" w:noVBand="1"/>
      </w:tblPr>
      <w:tblGrid>
        <w:gridCol w:w="2960"/>
        <w:gridCol w:w="935"/>
        <w:gridCol w:w="935"/>
        <w:gridCol w:w="935"/>
        <w:gridCol w:w="935"/>
        <w:gridCol w:w="935"/>
      </w:tblGrid>
      <w:tr w:rsidR="00E048ED" w:rsidRPr="00C560C8" w:rsidTr="00E048ED">
        <w:trPr>
          <w:trHeight w:val="794"/>
        </w:trPr>
        <w:tc>
          <w:tcPr>
            <w:tcW w:w="2960" w:type="dxa"/>
            <w:tcBorders>
              <w:top w:val="single" w:sz="4" w:space="0" w:color="auto"/>
              <w:left w:val="nil"/>
              <w:bottom w:val="nil"/>
              <w:right w:val="nil"/>
            </w:tcBorders>
            <w:shd w:val="clear" w:color="auto" w:fill="auto"/>
            <w:noWrap/>
            <w:hideMark/>
          </w:tcPr>
          <w:p w:rsidR="00E048ED" w:rsidRPr="00C560C8" w:rsidRDefault="00E048ED" w:rsidP="00E048ED">
            <w:pPr>
              <w:spacing w:after="0" w:line="240" w:lineRule="auto"/>
              <w:rPr>
                <w:rFonts w:ascii="Arial" w:hAnsi="Arial" w:cs="Arial"/>
                <w:b/>
                <w:bCs/>
                <w:sz w:val="16"/>
                <w:szCs w:val="16"/>
              </w:rPr>
            </w:pPr>
            <w:r w:rsidRPr="00C560C8">
              <w:rPr>
                <w:rFonts w:ascii="Arial" w:hAnsi="Arial" w:cs="Arial"/>
                <w:b/>
                <w:bCs/>
                <w:sz w:val="16"/>
                <w:szCs w:val="16"/>
              </w:rPr>
              <w:t> </w:t>
            </w:r>
          </w:p>
        </w:tc>
        <w:tc>
          <w:tcPr>
            <w:tcW w:w="935" w:type="dxa"/>
            <w:tcBorders>
              <w:top w:val="single" w:sz="4" w:space="0" w:color="auto"/>
              <w:left w:val="nil"/>
              <w:bottom w:val="single" w:sz="4" w:space="0" w:color="auto"/>
              <w:right w:val="nil"/>
            </w:tcBorders>
            <w:shd w:val="clear" w:color="auto" w:fill="auto"/>
            <w:vAlign w:val="center"/>
            <w:hideMark/>
          </w:tcPr>
          <w:p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2017–18 Estimated actual</w:t>
            </w:r>
            <w:r w:rsidRPr="00C560C8">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000000" w:fill="E6E6E6"/>
            <w:vAlign w:val="center"/>
            <w:hideMark/>
          </w:tcPr>
          <w:p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2018–19</w:t>
            </w:r>
            <w:r w:rsidRPr="00C560C8">
              <w:rPr>
                <w:rFonts w:ascii="Arial" w:hAnsi="Arial" w:cs="Arial"/>
                <w:sz w:val="16"/>
                <w:szCs w:val="16"/>
              </w:rPr>
              <w:br/>
              <w:t>Budget</w:t>
            </w:r>
            <w:r w:rsidRPr="00C560C8">
              <w:rPr>
                <w:rFonts w:ascii="Arial" w:hAnsi="Arial" w:cs="Arial"/>
                <w:sz w:val="16"/>
                <w:szCs w:val="16"/>
              </w:rPr>
              <w:br/>
            </w:r>
            <w:r w:rsidRPr="00C560C8">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2019–20 Forward estimate</w:t>
            </w:r>
            <w:r w:rsidRPr="00C560C8">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2020–21 Forward estimate</w:t>
            </w:r>
            <w:r w:rsidRPr="00C560C8">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2021–22</w:t>
            </w:r>
            <w:r w:rsidRPr="00C560C8">
              <w:rPr>
                <w:rFonts w:ascii="Arial" w:hAnsi="Arial" w:cs="Arial"/>
                <w:sz w:val="16"/>
                <w:szCs w:val="16"/>
              </w:rPr>
              <w:br/>
              <w:t>Forward estimate</w:t>
            </w:r>
            <w:r w:rsidRPr="00C560C8">
              <w:rPr>
                <w:rFonts w:ascii="Arial" w:hAnsi="Arial" w:cs="Arial"/>
                <w:sz w:val="16"/>
                <w:szCs w:val="16"/>
              </w:rPr>
              <w:br/>
              <w:t>$'000</w:t>
            </w:r>
          </w:p>
        </w:tc>
      </w:tr>
      <w:tr w:rsidR="00E048ED" w:rsidRPr="00C560C8" w:rsidTr="00E048ED">
        <w:trPr>
          <w:trHeight w:val="225"/>
        </w:trPr>
        <w:tc>
          <w:tcPr>
            <w:tcW w:w="2960"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ASSETS</w:t>
            </w:r>
          </w:p>
        </w:tc>
        <w:tc>
          <w:tcPr>
            <w:tcW w:w="935"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E048ED" w:rsidRPr="00C560C8" w:rsidRDefault="00E048ED" w:rsidP="00E048ED">
            <w:pPr>
              <w:spacing w:after="0" w:line="240" w:lineRule="auto"/>
              <w:rPr>
                <w:rFonts w:ascii="Arial" w:hAnsi="Arial" w:cs="Arial"/>
                <w:color w:val="000000"/>
                <w:sz w:val="16"/>
                <w:szCs w:val="16"/>
              </w:rPr>
            </w:pPr>
            <w:r w:rsidRPr="00C560C8">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rPr>
                <w:rFonts w:ascii="Arial" w:hAnsi="Arial" w:cs="Arial"/>
                <w:color w:val="000000"/>
                <w:sz w:val="16"/>
                <w:szCs w:val="16"/>
              </w:rPr>
            </w:pPr>
          </w:p>
        </w:tc>
      </w:tr>
      <w:tr w:rsidR="00E048ED" w:rsidRPr="00C560C8" w:rsidTr="00E048ED">
        <w:trPr>
          <w:trHeight w:val="225"/>
        </w:trPr>
        <w:tc>
          <w:tcPr>
            <w:tcW w:w="2960"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Financial assets</w:t>
            </w:r>
          </w:p>
        </w:tc>
        <w:tc>
          <w:tcPr>
            <w:tcW w:w="935"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E048ED" w:rsidRPr="00C560C8" w:rsidRDefault="00E048ED" w:rsidP="00E048ED">
            <w:pPr>
              <w:spacing w:after="0" w:line="240" w:lineRule="auto"/>
              <w:jc w:val="right"/>
              <w:rPr>
                <w:rFonts w:ascii="Arial" w:hAnsi="Arial" w:cs="Arial"/>
                <w:color w:val="000000"/>
                <w:sz w:val="16"/>
                <w:szCs w:val="16"/>
              </w:rPr>
            </w:pPr>
            <w:r w:rsidRPr="00C560C8">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E048ED" w:rsidRPr="00C560C8" w:rsidRDefault="00E048ED" w:rsidP="00E048ED">
            <w:pPr>
              <w:spacing w:after="0" w:line="240" w:lineRule="auto"/>
              <w:jc w:val="right"/>
              <w:rPr>
                <w:rFonts w:ascii="Arial" w:hAnsi="Arial" w:cs="Arial"/>
                <w:color w:val="000000"/>
                <w:sz w:val="16"/>
                <w:szCs w:val="16"/>
              </w:rPr>
            </w:pP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 xml:space="preserve">Cash </w:t>
            </w:r>
            <w:r w:rsidRPr="00C560C8">
              <w:rPr>
                <w:rFonts w:ascii="Arial" w:hAnsi="Arial" w:cs="Arial"/>
                <w:sz w:val="16"/>
                <w:szCs w:val="16"/>
              </w:rPr>
              <w:t>and cash equivalents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sz w:val="16"/>
                <w:szCs w:val="16"/>
              </w:rPr>
            </w:pPr>
            <w:r w:rsidRPr="00C560C8">
              <w:rPr>
                <w:rFonts w:ascii="Arial" w:hAnsi="Arial" w:cs="Arial"/>
                <w:sz w:val="16"/>
                <w:szCs w:val="16"/>
              </w:rPr>
              <w:t>Trade and other receivables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154,384</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153,209</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150,878</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150,936</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150,939</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financial assets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r>
      <w:tr w:rsidR="00992448" w:rsidRPr="00C560C8" w:rsidTr="00921473">
        <w:trPr>
          <w:trHeight w:val="210"/>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financial assets</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157,282 </w:t>
            </w:r>
          </w:p>
        </w:tc>
        <w:tc>
          <w:tcPr>
            <w:tcW w:w="935"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156,107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153,776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153,834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153,837 </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Non-financial assets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Leasehold improvements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24,098</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23,640</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23,275</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22,987</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22,710</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Property, plant and equipment</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31,991</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28,856</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26,799</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27,411</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27,840</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Intangibles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128,445</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131,887</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121,651</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114,247</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108,125</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non-financial assets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r>
      <w:tr w:rsidR="00992448" w:rsidRPr="00C560C8" w:rsidTr="00921473">
        <w:trPr>
          <w:trHeight w:val="210"/>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non-financial assets</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201,696 </w:t>
            </w:r>
          </w:p>
        </w:tc>
        <w:tc>
          <w:tcPr>
            <w:tcW w:w="935"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201,545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188,887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181,807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175,837 </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Total assets</w:t>
            </w:r>
          </w:p>
        </w:tc>
        <w:tc>
          <w:tcPr>
            <w:tcW w:w="935" w:type="dxa"/>
            <w:tcBorders>
              <w:top w:val="nil"/>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358,978 </w:t>
            </w:r>
          </w:p>
        </w:tc>
        <w:tc>
          <w:tcPr>
            <w:tcW w:w="935" w:type="dxa"/>
            <w:tcBorders>
              <w:top w:val="nil"/>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357,652 </w:t>
            </w:r>
          </w:p>
        </w:tc>
        <w:tc>
          <w:tcPr>
            <w:tcW w:w="935" w:type="dxa"/>
            <w:tcBorders>
              <w:top w:val="nil"/>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342,663 </w:t>
            </w:r>
          </w:p>
        </w:tc>
        <w:tc>
          <w:tcPr>
            <w:tcW w:w="935" w:type="dxa"/>
            <w:tcBorders>
              <w:top w:val="nil"/>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335,641 </w:t>
            </w:r>
          </w:p>
        </w:tc>
        <w:tc>
          <w:tcPr>
            <w:tcW w:w="935" w:type="dxa"/>
            <w:tcBorders>
              <w:top w:val="nil"/>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329,674 </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LIABILITIES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Payables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Suppliers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44,601</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45,041</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45,075</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45,075</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45,075</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payables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24,490</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22,175</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19,765</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19,766</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19,766</w:t>
            </w:r>
          </w:p>
        </w:tc>
      </w:tr>
      <w:tr w:rsidR="00992448" w:rsidRPr="00C560C8" w:rsidTr="00921473">
        <w:trPr>
          <w:trHeight w:val="210"/>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payables</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69,091 </w:t>
            </w:r>
          </w:p>
        </w:tc>
        <w:tc>
          <w:tcPr>
            <w:tcW w:w="935"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67,216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64,840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64,841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64,841 </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Provisions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Employee provisions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73,099</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73,799</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73,844</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73,901</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73,904</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provisions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r>
      <w:tr w:rsidR="00992448" w:rsidRPr="00C560C8" w:rsidTr="00921473">
        <w:trPr>
          <w:trHeight w:val="210"/>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provisions</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73,151 </w:t>
            </w:r>
          </w:p>
        </w:tc>
        <w:tc>
          <w:tcPr>
            <w:tcW w:w="935"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73,851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73,896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73,953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73,956 </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Total liabilities</w:t>
            </w:r>
          </w:p>
        </w:tc>
        <w:tc>
          <w:tcPr>
            <w:tcW w:w="935" w:type="dxa"/>
            <w:tcBorders>
              <w:top w:val="nil"/>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142,242 </w:t>
            </w:r>
          </w:p>
        </w:tc>
        <w:tc>
          <w:tcPr>
            <w:tcW w:w="935" w:type="dxa"/>
            <w:tcBorders>
              <w:top w:val="nil"/>
              <w:left w:val="nil"/>
              <w:bottom w:val="single" w:sz="4" w:space="0" w:color="auto"/>
              <w:right w:val="nil"/>
            </w:tcBorders>
            <w:shd w:val="clear" w:color="000000" w:fill="E6E6E6"/>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141,067 </w:t>
            </w:r>
          </w:p>
        </w:tc>
        <w:tc>
          <w:tcPr>
            <w:tcW w:w="935" w:type="dxa"/>
            <w:tcBorders>
              <w:top w:val="nil"/>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138,736 </w:t>
            </w:r>
          </w:p>
        </w:tc>
        <w:tc>
          <w:tcPr>
            <w:tcW w:w="935" w:type="dxa"/>
            <w:tcBorders>
              <w:top w:val="nil"/>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138,794 </w:t>
            </w:r>
          </w:p>
        </w:tc>
        <w:tc>
          <w:tcPr>
            <w:tcW w:w="935" w:type="dxa"/>
            <w:tcBorders>
              <w:top w:val="nil"/>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138,797 </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sz w:val="16"/>
                <w:szCs w:val="16"/>
              </w:rPr>
            </w:pPr>
            <w:r w:rsidRPr="00C560C8">
              <w:rPr>
                <w:rFonts w:ascii="Arial" w:hAnsi="Arial" w:cs="Arial"/>
                <w:b/>
                <w:bCs/>
                <w:sz w:val="16"/>
                <w:szCs w:val="16"/>
              </w:rPr>
              <w:t>Net assets</w:t>
            </w:r>
          </w:p>
        </w:tc>
        <w:tc>
          <w:tcPr>
            <w:tcW w:w="935" w:type="dxa"/>
            <w:tcBorders>
              <w:top w:val="nil"/>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216,736 </w:t>
            </w:r>
          </w:p>
        </w:tc>
        <w:tc>
          <w:tcPr>
            <w:tcW w:w="935" w:type="dxa"/>
            <w:tcBorders>
              <w:top w:val="nil"/>
              <w:left w:val="nil"/>
              <w:bottom w:val="single" w:sz="4" w:space="0" w:color="auto"/>
              <w:right w:val="nil"/>
            </w:tcBorders>
            <w:shd w:val="clear" w:color="000000" w:fill="E6E6E6"/>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216,585 </w:t>
            </w:r>
          </w:p>
        </w:tc>
        <w:tc>
          <w:tcPr>
            <w:tcW w:w="935" w:type="dxa"/>
            <w:tcBorders>
              <w:top w:val="nil"/>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203,927 </w:t>
            </w:r>
          </w:p>
        </w:tc>
        <w:tc>
          <w:tcPr>
            <w:tcW w:w="935" w:type="dxa"/>
            <w:tcBorders>
              <w:top w:val="nil"/>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196,847 </w:t>
            </w:r>
          </w:p>
        </w:tc>
        <w:tc>
          <w:tcPr>
            <w:tcW w:w="935" w:type="dxa"/>
            <w:tcBorders>
              <w:top w:val="nil"/>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190,877 </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EQUITY*</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Parent entity interest</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Contributed equity</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334,139 </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374,979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401,889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432,181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462,129 </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Reserves</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r>
      <w:tr w:rsidR="00992448" w:rsidRPr="00C560C8" w:rsidTr="00921473">
        <w:trPr>
          <w:trHeight w:val="227"/>
        </w:trPr>
        <w:tc>
          <w:tcPr>
            <w:tcW w:w="2960" w:type="dxa"/>
            <w:tcBorders>
              <w:top w:val="nil"/>
              <w:left w:val="nil"/>
              <w:bottom w:val="nil"/>
              <w:right w:val="nil"/>
            </w:tcBorders>
            <w:shd w:val="clear" w:color="auto" w:fill="auto"/>
            <w:vAlign w:val="center"/>
            <w:hideMark/>
          </w:tcPr>
          <w:p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Retained surplus (accumulated deficit)</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(124,976)</w:t>
            </w:r>
          </w:p>
        </w:tc>
        <w:tc>
          <w:tcPr>
            <w:tcW w:w="935"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(165,967)</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(205,535)</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(242,907)</w:t>
            </w:r>
          </w:p>
        </w:tc>
        <w:tc>
          <w:tcPr>
            <w:tcW w:w="935"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(278,825)</w:t>
            </w:r>
          </w:p>
        </w:tc>
      </w:tr>
      <w:tr w:rsidR="00992448" w:rsidRPr="00C560C8" w:rsidTr="00921473">
        <w:trPr>
          <w:trHeight w:val="225"/>
        </w:trPr>
        <w:tc>
          <w:tcPr>
            <w:tcW w:w="2960" w:type="dxa"/>
            <w:tcBorders>
              <w:top w:val="nil"/>
              <w:left w:val="nil"/>
              <w:bottom w:val="nil"/>
              <w:right w:val="nil"/>
            </w:tcBorders>
            <w:shd w:val="clear" w:color="auto" w:fill="auto"/>
            <w:noWrap/>
            <w:vAlign w:val="center"/>
            <w:hideMark/>
          </w:tcPr>
          <w:p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parent entity interest</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219,415 </w:t>
            </w:r>
          </w:p>
        </w:tc>
        <w:tc>
          <w:tcPr>
            <w:tcW w:w="935"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219,264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206,606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199,526 </w:t>
            </w:r>
          </w:p>
        </w:tc>
        <w:tc>
          <w:tcPr>
            <w:tcW w:w="935"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193,556 </w:t>
            </w:r>
          </w:p>
        </w:tc>
      </w:tr>
      <w:tr w:rsidR="00992448" w:rsidRPr="00C560C8" w:rsidTr="00921473">
        <w:trPr>
          <w:trHeight w:val="225"/>
        </w:trPr>
        <w:tc>
          <w:tcPr>
            <w:tcW w:w="2960" w:type="dxa"/>
            <w:tcBorders>
              <w:top w:val="nil"/>
              <w:left w:val="nil"/>
              <w:bottom w:val="single" w:sz="4" w:space="0" w:color="000000"/>
              <w:right w:val="nil"/>
            </w:tcBorders>
            <w:shd w:val="clear" w:color="auto" w:fill="auto"/>
            <w:noWrap/>
            <w:vAlign w:val="bottom"/>
            <w:hideMark/>
          </w:tcPr>
          <w:p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Total equity</w:t>
            </w:r>
          </w:p>
        </w:tc>
        <w:tc>
          <w:tcPr>
            <w:tcW w:w="935"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219,415 </w:t>
            </w:r>
          </w:p>
        </w:tc>
        <w:tc>
          <w:tcPr>
            <w:tcW w:w="935" w:type="dxa"/>
            <w:tcBorders>
              <w:top w:val="nil"/>
              <w:left w:val="nil"/>
              <w:bottom w:val="single" w:sz="4" w:space="0" w:color="000000"/>
              <w:right w:val="nil"/>
            </w:tcBorders>
            <w:shd w:val="clear" w:color="000000" w:fill="E6E6E6"/>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219,264 </w:t>
            </w:r>
          </w:p>
        </w:tc>
        <w:tc>
          <w:tcPr>
            <w:tcW w:w="935"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206,606 </w:t>
            </w:r>
          </w:p>
        </w:tc>
        <w:tc>
          <w:tcPr>
            <w:tcW w:w="935"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199,526 </w:t>
            </w:r>
          </w:p>
        </w:tc>
        <w:tc>
          <w:tcPr>
            <w:tcW w:w="935"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193,556 </w:t>
            </w:r>
          </w:p>
        </w:tc>
      </w:tr>
    </w:tbl>
    <w:p w:rsidR="00E048ED" w:rsidRPr="00132F9E" w:rsidRDefault="00E048ED" w:rsidP="00E048ED">
      <w:pPr>
        <w:pStyle w:val="ChartandTableFootnote"/>
      </w:pPr>
      <w:r w:rsidRPr="00132F9E">
        <w:t>*</w:t>
      </w:r>
      <w:r w:rsidR="009B3707">
        <w:t>Equity</w:t>
      </w:r>
      <w:r w:rsidRPr="00132F9E">
        <w:t xml:space="preserve"> is the residual interest in assets after deduction of liabilities.</w:t>
      </w:r>
    </w:p>
    <w:p w:rsidR="00E048ED" w:rsidRPr="00132F9E" w:rsidRDefault="00E048ED" w:rsidP="00E048ED">
      <w:pPr>
        <w:pStyle w:val="ChartandTableFootnote"/>
      </w:pPr>
      <w:r w:rsidRPr="00132F9E">
        <w:t>Prepared on Australian Accounting Standards basis.</w:t>
      </w:r>
    </w:p>
    <w:p w:rsidR="00E048ED" w:rsidRDefault="00E048ED" w:rsidP="00E048ED">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38" w:type="dxa"/>
        <w:tblInd w:w="93" w:type="dxa"/>
        <w:tblLook w:val="04A0" w:firstRow="1" w:lastRow="0" w:firstColumn="1" w:lastColumn="0" w:noHBand="0" w:noVBand="1"/>
      </w:tblPr>
      <w:tblGrid>
        <w:gridCol w:w="3600"/>
        <w:gridCol w:w="1020"/>
        <w:gridCol w:w="1077"/>
        <w:gridCol w:w="1077"/>
        <w:gridCol w:w="964"/>
      </w:tblGrid>
      <w:tr w:rsidR="00F47A11" w:rsidRPr="00C560C8" w:rsidTr="00F47A11">
        <w:trPr>
          <w:trHeight w:val="794"/>
        </w:trPr>
        <w:tc>
          <w:tcPr>
            <w:tcW w:w="3600" w:type="dxa"/>
            <w:tcBorders>
              <w:top w:val="single" w:sz="4" w:space="0" w:color="auto"/>
              <w:left w:val="nil"/>
              <w:bottom w:val="nil"/>
              <w:right w:val="nil"/>
            </w:tcBorders>
            <w:shd w:val="clear" w:color="auto" w:fill="auto"/>
            <w:noWrap/>
            <w:vAlign w:val="center"/>
            <w:hideMark/>
          </w:tcPr>
          <w:p w:rsidR="00F47A11" w:rsidRPr="00C560C8" w:rsidRDefault="00F47A11" w:rsidP="00F47A11">
            <w:pPr>
              <w:spacing w:after="0" w:line="240" w:lineRule="auto"/>
              <w:rPr>
                <w:rFonts w:ascii="Arial" w:hAnsi="Arial" w:cs="Arial"/>
                <w:color w:val="000000"/>
                <w:sz w:val="16"/>
                <w:szCs w:val="16"/>
              </w:rPr>
            </w:pPr>
            <w:r w:rsidRPr="00C560C8">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rsidR="00F47A11" w:rsidRPr="00C560C8" w:rsidRDefault="00F47A11" w:rsidP="00F47A11">
            <w:pPr>
              <w:spacing w:after="0" w:line="240" w:lineRule="auto"/>
              <w:jc w:val="right"/>
              <w:rPr>
                <w:rFonts w:ascii="Arial" w:hAnsi="Arial" w:cs="Arial"/>
                <w:color w:val="000000"/>
                <w:sz w:val="16"/>
                <w:szCs w:val="16"/>
              </w:rPr>
            </w:pPr>
            <w:r w:rsidRPr="00C560C8">
              <w:rPr>
                <w:rFonts w:ascii="Arial" w:hAnsi="Arial" w:cs="Arial"/>
                <w:color w:val="000000"/>
                <w:sz w:val="16"/>
                <w:szCs w:val="16"/>
              </w:rPr>
              <w:t>Retained</w:t>
            </w:r>
            <w:r w:rsidRPr="00C560C8">
              <w:rPr>
                <w:rFonts w:ascii="Arial" w:hAnsi="Arial" w:cs="Arial"/>
                <w:color w:val="000000"/>
                <w:sz w:val="16"/>
                <w:szCs w:val="16"/>
              </w:rPr>
              <w:br/>
              <w:t>earnings</w:t>
            </w:r>
            <w:r w:rsidRPr="00C560C8">
              <w:rPr>
                <w:rFonts w:ascii="Arial" w:hAnsi="Arial" w:cs="Arial"/>
                <w:color w:val="000000"/>
                <w:sz w:val="16"/>
                <w:szCs w:val="16"/>
              </w:rPr>
              <w:br/>
            </w:r>
            <w:r w:rsidRPr="00C560C8">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rsidR="00F47A11" w:rsidRPr="00C560C8" w:rsidRDefault="00F47A11" w:rsidP="00F47A11">
            <w:pPr>
              <w:spacing w:after="0" w:line="240" w:lineRule="auto"/>
              <w:jc w:val="right"/>
              <w:rPr>
                <w:rFonts w:ascii="Arial" w:hAnsi="Arial" w:cs="Arial"/>
                <w:color w:val="000000"/>
                <w:sz w:val="16"/>
                <w:szCs w:val="16"/>
              </w:rPr>
            </w:pPr>
            <w:r w:rsidRPr="00C560C8">
              <w:rPr>
                <w:rFonts w:ascii="Arial" w:hAnsi="Arial" w:cs="Arial"/>
                <w:color w:val="000000"/>
                <w:sz w:val="16"/>
                <w:szCs w:val="16"/>
              </w:rPr>
              <w:t>Asset</w:t>
            </w:r>
            <w:r w:rsidRPr="00C560C8">
              <w:rPr>
                <w:rFonts w:ascii="Arial" w:hAnsi="Arial" w:cs="Arial"/>
                <w:color w:val="000000"/>
                <w:sz w:val="16"/>
                <w:szCs w:val="16"/>
              </w:rPr>
              <w:br/>
              <w:t>revaluation</w:t>
            </w:r>
            <w:r w:rsidRPr="00C560C8">
              <w:rPr>
                <w:rFonts w:ascii="Arial" w:hAnsi="Arial" w:cs="Arial"/>
                <w:color w:val="000000"/>
                <w:sz w:val="16"/>
                <w:szCs w:val="16"/>
              </w:rPr>
              <w:br/>
              <w:t>reserve</w:t>
            </w:r>
            <w:r w:rsidRPr="00C560C8">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rsidR="00F47A11" w:rsidRPr="00C560C8" w:rsidRDefault="00F47A11" w:rsidP="00F47A11">
            <w:pPr>
              <w:spacing w:after="0" w:line="240" w:lineRule="auto"/>
              <w:jc w:val="right"/>
              <w:rPr>
                <w:rFonts w:ascii="Arial" w:hAnsi="Arial" w:cs="Arial"/>
                <w:color w:val="000000"/>
                <w:sz w:val="16"/>
                <w:szCs w:val="16"/>
              </w:rPr>
            </w:pPr>
            <w:r w:rsidRPr="00C560C8">
              <w:rPr>
                <w:rFonts w:ascii="Arial" w:hAnsi="Arial" w:cs="Arial"/>
                <w:color w:val="000000"/>
                <w:sz w:val="16"/>
                <w:szCs w:val="16"/>
              </w:rPr>
              <w:t>Contributed</w:t>
            </w:r>
            <w:r w:rsidRPr="00C560C8">
              <w:rPr>
                <w:rFonts w:ascii="Arial" w:hAnsi="Arial" w:cs="Arial"/>
                <w:color w:val="000000"/>
                <w:sz w:val="16"/>
                <w:szCs w:val="16"/>
              </w:rPr>
              <w:br/>
              <w:t>equity/</w:t>
            </w:r>
            <w:r w:rsidRPr="00C560C8">
              <w:rPr>
                <w:rFonts w:ascii="Arial" w:hAnsi="Arial" w:cs="Arial"/>
                <w:color w:val="000000"/>
                <w:sz w:val="16"/>
                <w:szCs w:val="16"/>
              </w:rPr>
              <w:br/>
              <w:t>capital</w:t>
            </w:r>
            <w:r w:rsidRPr="00C560C8">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rsidR="00F47A11" w:rsidRPr="00C560C8" w:rsidRDefault="00F47A11" w:rsidP="00F47A11">
            <w:pPr>
              <w:spacing w:after="0" w:line="240" w:lineRule="auto"/>
              <w:jc w:val="right"/>
              <w:rPr>
                <w:rFonts w:ascii="Arial" w:hAnsi="Arial" w:cs="Arial"/>
                <w:color w:val="000000"/>
                <w:sz w:val="16"/>
                <w:szCs w:val="16"/>
              </w:rPr>
            </w:pPr>
            <w:r w:rsidRPr="00C560C8">
              <w:rPr>
                <w:rFonts w:ascii="Arial" w:hAnsi="Arial" w:cs="Arial"/>
                <w:color w:val="000000"/>
                <w:sz w:val="16"/>
                <w:szCs w:val="16"/>
              </w:rPr>
              <w:t>Total</w:t>
            </w:r>
            <w:r w:rsidRPr="00C560C8">
              <w:rPr>
                <w:rFonts w:ascii="Arial" w:hAnsi="Arial" w:cs="Arial"/>
                <w:color w:val="000000"/>
                <w:sz w:val="16"/>
                <w:szCs w:val="16"/>
              </w:rPr>
              <w:br/>
              <w:t xml:space="preserve">equity </w:t>
            </w:r>
            <w:r w:rsidRPr="00C560C8">
              <w:rPr>
                <w:rFonts w:ascii="Arial" w:hAnsi="Arial" w:cs="Arial"/>
                <w:color w:val="000000"/>
                <w:sz w:val="16"/>
                <w:szCs w:val="16"/>
              </w:rPr>
              <w:br/>
            </w:r>
            <w:r w:rsidRPr="00C560C8">
              <w:rPr>
                <w:rFonts w:ascii="Arial" w:hAnsi="Arial" w:cs="Arial"/>
                <w:color w:val="000000"/>
                <w:sz w:val="16"/>
                <w:szCs w:val="16"/>
              </w:rPr>
              <w:br/>
              <w:t>$'000</w:t>
            </w:r>
          </w:p>
        </w:tc>
      </w:tr>
      <w:tr w:rsidR="00F47A11" w:rsidRPr="00C560C8" w:rsidTr="00F47A11">
        <w:trPr>
          <w:trHeight w:val="225"/>
        </w:trPr>
        <w:tc>
          <w:tcPr>
            <w:tcW w:w="3600" w:type="dxa"/>
            <w:tcBorders>
              <w:top w:val="nil"/>
              <w:left w:val="nil"/>
              <w:bottom w:val="nil"/>
              <w:right w:val="nil"/>
            </w:tcBorders>
            <w:shd w:val="clear" w:color="auto" w:fill="auto"/>
            <w:vAlign w:val="center"/>
            <w:hideMark/>
          </w:tcPr>
          <w:p w:rsidR="00F47A11" w:rsidRPr="00C560C8" w:rsidRDefault="00F47A11" w:rsidP="00F47A11">
            <w:pPr>
              <w:spacing w:after="0" w:line="240" w:lineRule="auto"/>
              <w:rPr>
                <w:rFonts w:ascii="Arial" w:hAnsi="Arial" w:cs="Arial"/>
                <w:b/>
                <w:bCs/>
                <w:color w:val="000000"/>
                <w:sz w:val="16"/>
                <w:szCs w:val="16"/>
              </w:rPr>
            </w:pPr>
            <w:r w:rsidRPr="00C560C8">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color w:val="000000"/>
                <w:sz w:val="16"/>
                <w:szCs w:val="16"/>
              </w:rPr>
            </w:pPr>
          </w:p>
        </w:tc>
      </w:tr>
      <w:tr w:rsidR="009F0659" w:rsidRPr="00C560C8" w:rsidTr="00F47A11">
        <w:trPr>
          <w:trHeight w:val="227"/>
        </w:trPr>
        <w:tc>
          <w:tcPr>
            <w:tcW w:w="3600" w:type="dxa"/>
            <w:tcBorders>
              <w:top w:val="nil"/>
              <w:left w:val="nil"/>
              <w:bottom w:val="nil"/>
              <w:right w:val="nil"/>
            </w:tcBorders>
            <w:shd w:val="clear" w:color="auto" w:fill="auto"/>
            <w:vAlign w:val="center"/>
            <w:hideMark/>
          </w:tcPr>
          <w:p w:rsidR="009F0659" w:rsidRPr="00C560C8" w:rsidRDefault="009F0659" w:rsidP="00F47A11">
            <w:pPr>
              <w:spacing w:after="0" w:line="240" w:lineRule="auto"/>
              <w:ind w:leftChars="80" w:left="306" w:hangingChars="91" w:hanging="146"/>
              <w:rPr>
                <w:rFonts w:ascii="Arial" w:hAnsi="Arial" w:cs="Arial"/>
                <w:color w:val="000000"/>
                <w:sz w:val="16"/>
                <w:szCs w:val="16"/>
              </w:rPr>
            </w:pPr>
            <w:r w:rsidRPr="00C560C8">
              <w:rPr>
                <w:rFonts w:ascii="Arial" w:hAnsi="Arial" w:cs="Arial"/>
                <w:color w:val="000000"/>
                <w:sz w:val="16"/>
                <w:szCs w:val="16"/>
              </w:rPr>
              <w:t>Balance carried forward from</w:t>
            </w:r>
            <w:r>
              <w:rPr>
                <w:rFonts w:ascii="Arial" w:hAnsi="Arial" w:cs="Arial"/>
                <w:color w:val="000000"/>
                <w:sz w:val="16"/>
                <w:szCs w:val="16"/>
              </w:rPr>
              <w:t xml:space="preserve"> </w:t>
            </w:r>
            <w:r w:rsidRPr="00C560C8">
              <w:rPr>
                <w:rFonts w:ascii="Arial" w:hAnsi="Arial" w:cs="Arial"/>
                <w:color w:val="000000"/>
                <w:sz w:val="16"/>
                <w:szCs w:val="16"/>
              </w:rPr>
              <w:t>previous period</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(124,976)</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334,139 </w:t>
            </w: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219,415 </w:t>
            </w:r>
          </w:p>
        </w:tc>
      </w:tr>
      <w:tr w:rsidR="009F0659" w:rsidRPr="00C560C8" w:rsidTr="00F47A11">
        <w:trPr>
          <w:trHeight w:val="397"/>
        </w:trPr>
        <w:tc>
          <w:tcPr>
            <w:tcW w:w="3600" w:type="dxa"/>
            <w:tcBorders>
              <w:top w:val="nil"/>
              <w:left w:val="nil"/>
              <w:bottom w:val="nil"/>
              <w:right w:val="nil"/>
            </w:tcBorders>
            <w:shd w:val="clear" w:color="auto" w:fill="auto"/>
            <w:vAlign w:val="center"/>
            <w:hideMark/>
          </w:tcPr>
          <w:p w:rsidR="009F0659" w:rsidRPr="00C560C8" w:rsidRDefault="009F0659" w:rsidP="00F47A11">
            <w:pPr>
              <w:spacing w:after="0" w:line="240" w:lineRule="auto"/>
              <w:ind w:leftChars="80" w:left="306" w:hangingChars="91" w:hanging="146"/>
              <w:rPr>
                <w:rFonts w:ascii="Arial" w:hAnsi="Arial" w:cs="Arial"/>
                <w:color w:val="000000"/>
                <w:sz w:val="16"/>
                <w:szCs w:val="16"/>
              </w:rPr>
            </w:pPr>
            <w:r w:rsidRPr="00C560C8">
              <w:rPr>
                <w:rFonts w:ascii="Arial" w:hAnsi="Arial" w:cs="Arial"/>
                <w:color w:val="000000"/>
                <w:sz w:val="16"/>
                <w:szCs w:val="16"/>
              </w:rPr>
              <w:t>Adjustment for changes in</w:t>
            </w:r>
            <w:r>
              <w:rPr>
                <w:rFonts w:ascii="Arial" w:hAnsi="Arial" w:cs="Arial"/>
                <w:color w:val="000000"/>
                <w:sz w:val="16"/>
                <w:szCs w:val="16"/>
              </w:rPr>
              <w:t xml:space="preserve"> </w:t>
            </w:r>
            <w:r w:rsidRPr="00C560C8">
              <w:rPr>
                <w:rFonts w:ascii="Arial" w:hAnsi="Arial" w:cs="Arial"/>
                <w:color w:val="000000"/>
                <w:sz w:val="16"/>
                <w:szCs w:val="16"/>
              </w:rPr>
              <w:t>accounting policies</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F0659" w:rsidRPr="00C560C8" w:rsidTr="00F47A11">
        <w:trPr>
          <w:trHeight w:val="227"/>
        </w:trPr>
        <w:tc>
          <w:tcPr>
            <w:tcW w:w="3600" w:type="dxa"/>
            <w:tcBorders>
              <w:top w:val="nil"/>
              <w:left w:val="nil"/>
              <w:bottom w:val="nil"/>
              <w:right w:val="nil"/>
            </w:tcBorders>
            <w:shd w:val="clear" w:color="auto" w:fill="auto"/>
            <w:vAlign w:val="center"/>
            <w:hideMark/>
          </w:tcPr>
          <w:p w:rsidR="009F0659" w:rsidRPr="00C560C8" w:rsidRDefault="009F0659" w:rsidP="00F47A11">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(124,976)</w:t>
            </w:r>
          </w:p>
        </w:tc>
        <w:tc>
          <w:tcPr>
            <w:tcW w:w="1077" w:type="dxa"/>
            <w:tcBorders>
              <w:top w:val="single" w:sz="4" w:space="0" w:color="000000"/>
              <w:left w:val="nil"/>
              <w:bottom w:val="single" w:sz="4" w:space="0" w:color="000000"/>
              <w:right w:val="nil"/>
            </w:tcBorders>
            <w:shd w:val="clear" w:color="auto" w:fill="auto"/>
            <w:noWrap/>
            <w:vAlign w:val="center"/>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10,252 </w:t>
            </w:r>
          </w:p>
        </w:tc>
        <w:tc>
          <w:tcPr>
            <w:tcW w:w="1077" w:type="dxa"/>
            <w:tcBorders>
              <w:top w:val="single" w:sz="4" w:space="0" w:color="000000"/>
              <w:left w:val="nil"/>
              <w:bottom w:val="single" w:sz="4" w:space="0" w:color="000000"/>
              <w:right w:val="nil"/>
            </w:tcBorders>
            <w:shd w:val="clear" w:color="auto" w:fill="auto"/>
            <w:noWrap/>
            <w:vAlign w:val="center"/>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334,139 </w:t>
            </w:r>
          </w:p>
        </w:tc>
        <w:tc>
          <w:tcPr>
            <w:tcW w:w="964" w:type="dxa"/>
            <w:tcBorders>
              <w:top w:val="single" w:sz="4" w:space="0" w:color="000000"/>
              <w:left w:val="nil"/>
              <w:bottom w:val="single" w:sz="4" w:space="0" w:color="000000"/>
              <w:right w:val="nil"/>
            </w:tcBorders>
            <w:shd w:val="clear" w:color="auto" w:fill="auto"/>
            <w:noWrap/>
            <w:vAlign w:val="center"/>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219,415 </w:t>
            </w: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rPr>
                <w:rFonts w:ascii="Arial" w:hAnsi="Arial" w:cs="Arial"/>
                <w:b/>
                <w:bCs/>
                <w:color w:val="000000"/>
                <w:sz w:val="16"/>
                <w:szCs w:val="16"/>
              </w:rPr>
            </w:pPr>
            <w:r w:rsidRPr="00C560C8">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comprehensive income</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ind w:firstLineChars="100" w:firstLine="160"/>
              <w:rPr>
                <w:rFonts w:ascii="Arial" w:hAnsi="Arial" w:cs="Arial"/>
                <w:sz w:val="16"/>
                <w:szCs w:val="16"/>
              </w:rPr>
            </w:pPr>
            <w:r w:rsidRPr="00C560C8">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(40,991)</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(40,991)</w:t>
            </w:r>
          </w:p>
        </w:tc>
      </w:tr>
      <w:tr w:rsidR="009F0659" w:rsidRPr="00C560C8" w:rsidTr="00F47A11">
        <w:trPr>
          <w:trHeight w:val="227"/>
        </w:trPr>
        <w:tc>
          <w:tcPr>
            <w:tcW w:w="3600" w:type="dxa"/>
            <w:tcBorders>
              <w:top w:val="nil"/>
              <w:left w:val="nil"/>
              <w:bottom w:val="nil"/>
              <w:right w:val="nil"/>
            </w:tcBorders>
            <w:shd w:val="clear" w:color="auto" w:fill="auto"/>
            <w:vAlign w:val="center"/>
            <w:hideMark/>
          </w:tcPr>
          <w:p w:rsidR="009F0659" w:rsidRPr="00C560C8" w:rsidRDefault="009F0659" w:rsidP="00F47A11">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(40,991)</w:t>
            </w:r>
          </w:p>
        </w:tc>
        <w:tc>
          <w:tcPr>
            <w:tcW w:w="1077" w:type="dxa"/>
            <w:tcBorders>
              <w:top w:val="single" w:sz="4" w:space="0" w:color="000000"/>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77" w:type="dxa"/>
            <w:tcBorders>
              <w:top w:val="single" w:sz="4" w:space="0" w:color="000000"/>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64" w:type="dxa"/>
            <w:tcBorders>
              <w:top w:val="single" w:sz="4" w:space="0" w:color="000000"/>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(40,991)</w:t>
            </w: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r>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r>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r>
              <w:rPr>
                <w:rFonts w:ascii="Arial" w:hAnsi="Arial" w:cs="Arial"/>
                <w:color w:val="000000"/>
                <w:sz w:val="16"/>
                <w:szCs w:val="16"/>
              </w:rPr>
              <w:t> </w:t>
            </w:r>
          </w:p>
        </w:tc>
        <w:tc>
          <w:tcPr>
            <w:tcW w:w="964" w:type="dxa"/>
            <w:tcBorders>
              <w:top w:val="single" w:sz="4" w:space="0" w:color="000000"/>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r>
              <w:rPr>
                <w:rFonts w:ascii="Arial" w:hAnsi="Arial" w:cs="Arial"/>
                <w:color w:val="000000"/>
                <w:sz w:val="16"/>
                <w:szCs w:val="16"/>
              </w:rPr>
              <w:t> </w:t>
            </w:r>
          </w:p>
        </w:tc>
      </w:tr>
      <w:tr w:rsidR="009F0659" w:rsidRPr="00C560C8" w:rsidTr="00F47A11">
        <w:trPr>
          <w:trHeight w:val="227"/>
        </w:trPr>
        <w:tc>
          <w:tcPr>
            <w:tcW w:w="3600" w:type="dxa"/>
            <w:tcBorders>
              <w:top w:val="nil"/>
              <w:left w:val="nil"/>
              <w:bottom w:val="nil"/>
              <w:right w:val="nil"/>
            </w:tcBorders>
            <w:shd w:val="clear" w:color="auto" w:fill="auto"/>
            <w:vAlign w:val="center"/>
            <w:hideMark/>
          </w:tcPr>
          <w:p w:rsidR="009F0659" w:rsidRPr="00C560C8" w:rsidRDefault="009F0659" w:rsidP="00F47A11">
            <w:pPr>
              <w:spacing w:after="0" w:line="240" w:lineRule="auto"/>
              <w:ind w:leftChars="160" w:left="474" w:hangingChars="96" w:hanging="154"/>
              <w:rPr>
                <w:rFonts w:ascii="Arial" w:hAnsi="Arial" w:cs="Arial"/>
                <w:color w:val="000000"/>
                <w:sz w:val="16"/>
                <w:szCs w:val="16"/>
              </w:rPr>
            </w:pPr>
            <w:r>
              <w:rPr>
                <w:rFonts w:ascii="Arial" w:hAnsi="Arial" w:cs="Arial"/>
                <w:color w:val="000000"/>
                <w:sz w:val="16"/>
                <w:szCs w:val="16"/>
              </w:rPr>
              <w:t>Attributable to the Australian</w:t>
            </w:r>
            <w:r w:rsidRPr="00C560C8">
              <w:rPr>
                <w:rFonts w:ascii="Arial" w:hAnsi="Arial" w:cs="Arial"/>
                <w:color w:val="000000"/>
                <w:sz w:val="16"/>
                <w:szCs w:val="16"/>
              </w:rPr>
              <w:t xml:space="preserve"> Government</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(40,991)</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(40,991)</w:t>
            </w: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rPr>
                <w:rFonts w:ascii="Arial" w:hAnsi="Arial" w:cs="Arial"/>
                <w:b/>
                <w:bCs/>
                <w:color w:val="000000"/>
                <w:sz w:val="16"/>
                <w:szCs w:val="16"/>
              </w:rPr>
            </w:pPr>
            <w:r w:rsidRPr="00C560C8">
              <w:rPr>
                <w:rFonts w:ascii="Arial" w:hAnsi="Arial" w:cs="Arial"/>
                <w:b/>
                <w:bCs/>
                <w:color w:val="000000"/>
                <w:sz w:val="16"/>
                <w:szCs w:val="16"/>
              </w:rPr>
              <w:t>Transactions with owners</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rPr>
                <w:rFonts w:ascii="Arial" w:hAnsi="Arial" w:cs="Arial"/>
                <w:color w:val="000000"/>
                <w:sz w:val="16"/>
                <w:szCs w:val="16"/>
              </w:rPr>
            </w:pP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ind w:firstLineChars="200" w:firstLine="320"/>
              <w:rPr>
                <w:rFonts w:ascii="Arial" w:hAnsi="Arial" w:cs="Arial"/>
                <w:color w:val="000000"/>
                <w:sz w:val="16"/>
                <w:szCs w:val="16"/>
              </w:rPr>
            </w:pPr>
            <w:r w:rsidRPr="00C560C8">
              <w:rPr>
                <w:rFonts w:ascii="Arial" w:hAnsi="Arial" w:cs="Arial"/>
                <w:color w:val="000000"/>
                <w:sz w:val="16"/>
                <w:szCs w:val="16"/>
              </w:rPr>
              <w:t>Equity injection—Appropriation</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16,390 </w:t>
            </w: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16,390 </w:t>
            </w: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ind w:firstLineChars="200" w:firstLine="320"/>
              <w:rPr>
                <w:rFonts w:ascii="Arial" w:hAnsi="Arial" w:cs="Arial"/>
                <w:color w:val="000000"/>
                <w:sz w:val="16"/>
                <w:szCs w:val="16"/>
              </w:rPr>
            </w:pPr>
            <w:r w:rsidRPr="00C560C8">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24,450 </w:t>
            </w: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24,450 </w:t>
            </w:r>
          </w:p>
        </w:tc>
      </w:tr>
      <w:tr w:rsidR="009F0659" w:rsidRPr="00C560C8" w:rsidTr="009F0659">
        <w:trPr>
          <w:trHeight w:val="227"/>
        </w:trPr>
        <w:tc>
          <w:tcPr>
            <w:tcW w:w="3600" w:type="dxa"/>
            <w:tcBorders>
              <w:top w:val="nil"/>
              <w:left w:val="nil"/>
              <w:bottom w:val="nil"/>
              <w:right w:val="nil"/>
            </w:tcBorders>
            <w:shd w:val="clear" w:color="auto" w:fill="auto"/>
            <w:vAlign w:val="center"/>
            <w:hideMark/>
          </w:tcPr>
          <w:p w:rsidR="009F0659" w:rsidRPr="00C560C8" w:rsidRDefault="009F0659" w:rsidP="00F47A11">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bottom"/>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bottom"/>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bottom"/>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40,840 </w:t>
            </w:r>
          </w:p>
        </w:tc>
        <w:tc>
          <w:tcPr>
            <w:tcW w:w="964" w:type="dxa"/>
            <w:tcBorders>
              <w:top w:val="single" w:sz="4" w:space="0" w:color="000000"/>
              <w:left w:val="nil"/>
              <w:bottom w:val="single" w:sz="4" w:space="0" w:color="000000"/>
              <w:right w:val="nil"/>
            </w:tcBorders>
            <w:shd w:val="clear" w:color="auto" w:fill="auto"/>
            <w:noWrap/>
            <w:vAlign w:val="bottom"/>
            <w:hideMark/>
          </w:tcPr>
          <w:p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40,840 </w:t>
            </w:r>
          </w:p>
        </w:tc>
      </w:tr>
      <w:tr w:rsidR="009F0659" w:rsidRPr="00C560C8" w:rsidTr="00F47A11">
        <w:trPr>
          <w:trHeight w:val="227"/>
        </w:trPr>
        <w:tc>
          <w:tcPr>
            <w:tcW w:w="3600" w:type="dxa"/>
            <w:tcBorders>
              <w:top w:val="nil"/>
              <w:left w:val="nil"/>
              <w:bottom w:val="nil"/>
              <w:right w:val="nil"/>
            </w:tcBorders>
            <w:shd w:val="clear" w:color="auto" w:fill="auto"/>
            <w:vAlign w:val="center"/>
            <w:hideMark/>
          </w:tcPr>
          <w:p w:rsidR="009F0659" w:rsidRPr="00C560C8" w:rsidRDefault="009F0659" w:rsidP="00F47A11">
            <w:pPr>
              <w:spacing w:after="0" w:line="240" w:lineRule="auto"/>
              <w:ind w:firstLineChars="200" w:firstLine="320"/>
              <w:rPr>
                <w:rFonts w:ascii="Arial" w:hAnsi="Arial" w:cs="Arial"/>
                <w:color w:val="000000"/>
                <w:sz w:val="16"/>
                <w:szCs w:val="16"/>
              </w:rPr>
            </w:pPr>
            <w:r w:rsidRPr="00C560C8">
              <w:rPr>
                <w:rFonts w:ascii="Arial" w:hAnsi="Arial" w:cs="Arial"/>
                <w:color w:val="000000"/>
                <w:sz w:val="16"/>
                <w:szCs w:val="16"/>
              </w:rPr>
              <w:t>Transfers between equity components</w:t>
            </w:r>
          </w:p>
        </w:tc>
        <w:tc>
          <w:tcPr>
            <w:tcW w:w="1020"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F0659" w:rsidRPr="00C560C8" w:rsidTr="009F0659">
        <w:trPr>
          <w:trHeight w:val="397"/>
        </w:trPr>
        <w:tc>
          <w:tcPr>
            <w:tcW w:w="3600" w:type="dxa"/>
            <w:tcBorders>
              <w:top w:val="nil"/>
              <w:left w:val="nil"/>
              <w:bottom w:val="nil"/>
              <w:right w:val="nil"/>
            </w:tcBorders>
            <w:shd w:val="clear" w:color="auto" w:fill="auto"/>
            <w:vAlign w:val="center"/>
            <w:hideMark/>
          </w:tcPr>
          <w:p w:rsidR="009F0659" w:rsidRPr="00C560C8" w:rsidRDefault="009F0659" w:rsidP="00F47A11">
            <w:pPr>
              <w:spacing w:after="0" w:line="240" w:lineRule="auto"/>
              <w:ind w:left="207" w:hanging="207"/>
              <w:rPr>
                <w:rFonts w:ascii="Arial" w:hAnsi="Arial" w:cs="Arial"/>
                <w:b/>
                <w:bCs/>
                <w:color w:val="000000"/>
                <w:sz w:val="16"/>
                <w:szCs w:val="16"/>
              </w:rPr>
            </w:pPr>
            <w:r w:rsidRPr="00C560C8">
              <w:rPr>
                <w:rFonts w:ascii="Arial" w:hAnsi="Arial" w:cs="Arial"/>
                <w:b/>
                <w:bCs/>
                <w:color w:val="000000"/>
                <w:sz w:val="16"/>
                <w:szCs w:val="16"/>
              </w:rPr>
              <w:t>Estimated closing balance as at 30</w:t>
            </w:r>
            <w:r>
              <w:rPr>
                <w:rFonts w:ascii="Arial" w:hAnsi="Arial" w:cs="Arial"/>
                <w:b/>
                <w:bCs/>
                <w:color w:val="000000"/>
                <w:sz w:val="16"/>
                <w:szCs w:val="16"/>
              </w:rPr>
              <w:t> </w:t>
            </w:r>
            <w:r w:rsidRPr="00C560C8">
              <w:rPr>
                <w:rFonts w:ascii="Arial" w:hAnsi="Arial" w:cs="Arial"/>
                <w:b/>
                <w:bCs/>
                <w:color w:val="000000"/>
                <w:sz w:val="16"/>
                <w:szCs w:val="16"/>
              </w:rPr>
              <w:t>June</w:t>
            </w:r>
            <w:r>
              <w:rPr>
                <w:rFonts w:ascii="Arial" w:hAnsi="Arial" w:cs="Arial"/>
                <w:b/>
                <w:bCs/>
                <w:color w:val="000000"/>
                <w:sz w:val="16"/>
                <w:szCs w:val="16"/>
              </w:rPr>
              <w:t> </w:t>
            </w:r>
            <w:r w:rsidRPr="00C560C8">
              <w:rPr>
                <w:rFonts w:ascii="Arial" w:hAnsi="Arial" w:cs="Arial"/>
                <w:b/>
                <w:bCs/>
                <w:color w:val="000000"/>
                <w:sz w:val="16"/>
                <w:szCs w:val="16"/>
              </w:rPr>
              <w:t>2019</w:t>
            </w:r>
          </w:p>
        </w:tc>
        <w:tc>
          <w:tcPr>
            <w:tcW w:w="1020" w:type="dxa"/>
            <w:tcBorders>
              <w:top w:val="single" w:sz="4" w:space="0" w:color="auto"/>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(165,967)</w:t>
            </w:r>
          </w:p>
        </w:tc>
        <w:tc>
          <w:tcPr>
            <w:tcW w:w="1077" w:type="dxa"/>
            <w:tcBorders>
              <w:top w:val="single" w:sz="4" w:space="0" w:color="auto"/>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10,252 </w:t>
            </w:r>
          </w:p>
        </w:tc>
        <w:tc>
          <w:tcPr>
            <w:tcW w:w="1077" w:type="dxa"/>
            <w:tcBorders>
              <w:top w:val="single" w:sz="4" w:space="0" w:color="auto"/>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374,979 </w:t>
            </w:r>
          </w:p>
        </w:tc>
        <w:tc>
          <w:tcPr>
            <w:tcW w:w="964" w:type="dxa"/>
            <w:tcBorders>
              <w:top w:val="single" w:sz="4" w:space="0" w:color="auto"/>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219,264 </w:t>
            </w:r>
          </w:p>
        </w:tc>
      </w:tr>
      <w:tr w:rsidR="009F0659" w:rsidRPr="00C560C8" w:rsidTr="00F47A11">
        <w:trPr>
          <w:trHeight w:val="225"/>
        </w:trPr>
        <w:tc>
          <w:tcPr>
            <w:tcW w:w="3600" w:type="dxa"/>
            <w:tcBorders>
              <w:top w:val="nil"/>
              <w:left w:val="nil"/>
              <w:bottom w:val="nil"/>
              <w:right w:val="nil"/>
            </w:tcBorders>
            <w:shd w:val="clear" w:color="auto" w:fill="auto"/>
            <w:noWrap/>
            <w:vAlign w:val="center"/>
            <w:hideMark/>
          </w:tcPr>
          <w:p w:rsidR="009F0659" w:rsidRPr="00C560C8" w:rsidRDefault="009F0659" w:rsidP="00F47A11">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Less: non-controlling interests</w:t>
            </w:r>
          </w:p>
        </w:tc>
        <w:tc>
          <w:tcPr>
            <w:tcW w:w="1020" w:type="dxa"/>
            <w:tcBorders>
              <w:top w:val="nil"/>
              <w:left w:val="nil"/>
              <w:bottom w:val="single" w:sz="4" w:space="0" w:color="auto"/>
              <w:right w:val="nil"/>
            </w:tcBorders>
            <w:shd w:val="clear" w:color="auto" w:fill="auto"/>
            <w:noWrap/>
            <w:vAlign w:val="center"/>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single" w:sz="4" w:space="0" w:color="auto"/>
              <w:right w:val="nil"/>
            </w:tcBorders>
            <w:shd w:val="clear" w:color="auto" w:fill="auto"/>
            <w:noWrap/>
            <w:vAlign w:val="center"/>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single" w:sz="4" w:space="0" w:color="auto"/>
              <w:right w:val="nil"/>
            </w:tcBorders>
            <w:shd w:val="clear" w:color="auto" w:fill="auto"/>
            <w:noWrap/>
            <w:vAlign w:val="center"/>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single" w:sz="4" w:space="0" w:color="auto"/>
              <w:right w:val="nil"/>
            </w:tcBorders>
            <w:shd w:val="clear" w:color="auto" w:fill="auto"/>
            <w:noWrap/>
            <w:vAlign w:val="center"/>
            <w:hideMark/>
          </w:tcPr>
          <w:p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F0659" w:rsidRPr="00C560C8" w:rsidTr="00F47A11">
        <w:trPr>
          <w:trHeight w:val="397"/>
        </w:trPr>
        <w:tc>
          <w:tcPr>
            <w:tcW w:w="3600" w:type="dxa"/>
            <w:tcBorders>
              <w:top w:val="nil"/>
              <w:left w:val="nil"/>
              <w:bottom w:val="single" w:sz="4" w:space="0" w:color="000000"/>
              <w:right w:val="nil"/>
            </w:tcBorders>
            <w:shd w:val="clear" w:color="auto" w:fill="auto"/>
            <w:vAlign w:val="bottom"/>
            <w:hideMark/>
          </w:tcPr>
          <w:p w:rsidR="009F0659" w:rsidRPr="00C560C8" w:rsidRDefault="009F0659" w:rsidP="00F47A11">
            <w:pPr>
              <w:spacing w:after="0" w:line="240" w:lineRule="auto"/>
              <w:ind w:left="207" w:hanging="207"/>
              <w:rPr>
                <w:rFonts w:ascii="Arial" w:hAnsi="Arial" w:cs="Arial"/>
                <w:b/>
                <w:bCs/>
                <w:color w:val="000000"/>
                <w:sz w:val="16"/>
                <w:szCs w:val="16"/>
              </w:rPr>
            </w:pPr>
            <w:r w:rsidRPr="00C560C8">
              <w:rPr>
                <w:rFonts w:ascii="Arial" w:hAnsi="Arial" w:cs="Arial"/>
                <w:b/>
                <w:bCs/>
                <w:color w:val="000000"/>
                <w:sz w:val="16"/>
                <w:szCs w:val="16"/>
              </w:rPr>
              <w:t>Closing balance attributable to the Australian Government</w:t>
            </w:r>
          </w:p>
        </w:tc>
        <w:tc>
          <w:tcPr>
            <w:tcW w:w="1020" w:type="dxa"/>
            <w:tcBorders>
              <w:top w:val="nil"/>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(165,967)</w:t>
            </w:r>
          </w:p>
        </w:tc>
        <w:tc>
          <w:tcPr>
            <w:tcW w:w="1077" w:type="dxa"/>
            <w:tcBorders>
              <w:top w:val="nil"/>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10,252 </w:t>
            </w:r>
          </w:p>
        </w:tc>
        <w:tc>
          <w:tcPr>
            <w:tcW w:w="1077" w:type="dxa"/>
            <w:tcBorders>
              <w:top w:val="nil"/>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374,979 </w:t>
            </w:r>
          </w:p>
        </w:tc>
        <w:tc>
          <w:tcPr>
            <w:tcW w:w="964" w:type="dxa"/>
            <w:tcBorders>
              <w:top w:val="nil"/>
              <w:left w:val="nil"/>
              <w:bottom w:val="single" w:sz="4" w:space="0" w:color="auto"/>
              <w:right w:val="nil"/>
            </w:tcBorders>
            <w:shd w:val="clear" w:color="auto" w:fill="auto"/>
            <w:noWrap/>
            <w:vAlign w:val="bottom"/>
            <w:hideMark/>
          </w:tcPr>
          <w:p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219,264 </w:t>
            </w:r>
          </w:p>
        </w:tc>
      </w:tr>
    </w:tbl>
    <w:p w:rsidR="00E048ED" w:rsidRDefault="00E048ED" w:rsidP="00E048ED">
      <w:pPr>
        <w:pStyle w:val="ChartandTableFootnote"/>
      </w:pPr>
      <w:r>
        <w:t>Prepared on Australian Accounting Standards basis.</w:t>
      </w:r>
    </w:p>
    <w:p w:rsidR="00E048ED" w:rsidRDefault="00E048ED" w:rsidP="00E048ED">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31" w:type="dxa"/>
        <w:tblInd w:w="93" w:type="dxa"/>
        <w:tblCellMar>
          <w:left w:w="85" w:type="dxa"/>
          <w:right w:w="85" w:type="dxa"/>
        </w:tblCellMar>
        <w:tblLook w:val="04A0" w:firstRow="1" w:lastRow="0" w:firstColumn="1" w:lastColumn="0" w:noHBand="0" w:noVBand="1"/>
      </w:tblPr>
      <w:tblGrid>
        <w:gridCol w:w="3175"/>
        <w:gridCol w:w="928"/>
        <w:gridCol w:w="907"/>
        <w:gridCol w:w="907"/>
        <w:gridCol w:w="907"/>
        <w:gridCol w:w="907"/>
      </w:tblGrid>
      <w:tr w:rsidR="00E048ED" w:rsidRPr="00451678" w:rsidTr="00E048ED">
        <w:trPr>
          <w:trHeight w:val="794"/>
        </w:trPr>
        <w:tc>
          <w:tcPr>
            <w:tcW w:w="3175" w:type="dxa"/>
            <w:tcBorders>
              <w:top w:val="single" w:sz="4" w:space="0" w:color="auto"/>
              <w:left w:val="nil"/>
              <w:bottom w:val="nil"/>
              <w:right w:val="nil"/>
            </w:tcBorders>
            <w:shd w:val="clear" w:color="auto" w:fill="auto"/>
            <w:noWrap/>
            <w:hideMark/>
          </w:tcPr>
          <w:p w:rsidR="00E048ED" w:rsidRPr="00451678" w:rsidRDefault="00E048ED" w:rsidP="00E048ED">
            <w:pPr>
              <w:spacing w:after="0" w:line="240" w:lineRule="auto"/>
              <w:rPr>
                <w:rFonts w:ascii="Arial" w:hAnsi="Arial" w:cs="Arial"/>
                <w:b/>
                <w:bCs/>
                <w:sz w:val="16"/>
                <w:szCs w:val="16"/>
              </w:rPr>
            </w:pPr>
            <w:r w:rsidRPr="00451678">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2017–18 Estimated actual</w:t>
            </w:r>
            <w:r w:rsidRPr="00451678">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2018–19</w:t>
            </w:r>
            <w:r w:rsidRPr="00451678">
              <w:rPr>
                <w:rFonts w:ascii="Arial" w:hAnsi="Arial" w:cs="Arial"/>
                <w:sz w:val="16"/>
                <w:szCs w:val="16"/>
              </w:rPr>
              <w:br/>
              <w:t>Budget</w:t>
            </w:r>
            <w:r w:rsidRPr="00451678">
              <w:rPr>
                <w:rFonts w:ascii="Arial" w:hAnsi="Arial" w:cs="Arial"/>
                <w:sz w:val="16"/>
                <w:szCs w:val="16"/>
              </w:rPr>
              <w:br/>
            </w:r>
            <w:r w:rsidRPr="00451678">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2019–20 Forward estimate</w:t>
            </w:r>
            <w:r w:rsidRPr="00451678">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2020–21 Forward estimate</w:t>
            </w:r>
            <w:r w:rsidRPr="00451678">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2021–22</w:t>
            </w:r>
            <w:r w:rsidRPr="00451678">
              <w:rPr>
                <w:rFonts w:ascii="Arial" w:hAnsi="Arial" w:cs="Arial"/>
                <w:sz w:val="16"/>
                <w:szCs w:val="16"/>
              </w:rPr>
              <w:br/>
              <w:t>Forward estimate</w:t>
            </w:r>
            <w:r w:rsidRPr="00451678">
              <w:rPr>
                <w:rFonts w:ascii="Arial" w:hAnsi="Arial" w:cs="Arial"/>
                <w:sz w:val="16"/>
                <w:szCs w:val="16"/>
              </w:rPr>
              <w:br/>
              <w:t>$'000</w:t>
            </w:r>
          </w:p>
        </w:tc>
      </w:tr>
      <w:tr w:rsidR="00F47A11" w:rsidRPr="00451678" w:rsidTr="005A3E93">
        <w:trPr>
          <w:trHeight w:val="225"/>
        </w:trPr>
        <w:tc>
          <w:tcPr>
            <w:tcW w:w="3175" w:type="dxa"/>
            <w:tcBorders>
              <w:top w:val="nil"/>
              <w:left w:val="nil"/>
              <w:bottom w:val="nil"/>
              <w:right w:val="nil"/>
            </w:tcBorders>
            <w:shd w:val="clear" w:color="auto" w:fill="auto"/>
            <w:noWrap/>
            <w:vAlign w:val="center"/>
            <w:hideMark/>
          </w:tcPr>
          <w:p w:rsidR="00F47A11" w:rsidRPr="00451678" w:rsidRDefault="00F47A11"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47A11" w:rsidRDefault="00F47A11" w:rsidP="005A3E93">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47A11" w:rsidRDefault="00F47A11" w:rsidP="005A3E93">
            <w:pPr>
              <w:spacing w:after="0" w:line="240" w:lineRule="auto"/>
              <w:jc w:val="right"/>
              <w:rPr>
                <w:rFonts w:ascii="Arial" w:hAnsi="Arial" w:cs="Arial"/>
                <w:color w:val="000000"/>
                <w:sz w:val="16"/>
                <w:szCs w:val="16"/>
              </w:rPr>
            </w:pPr>
          </w:p>
        </w:tc>
      </w:tr>
      <w:tr w:rsidR="00F47A11" w:rsidRPr="00451678" w:rsidTr="005A3E93">
        <w:trPr>
          <w:trHeight w:val="225"/>
        </w:trPr>
        <w:tc>
          <w:tcPr>
            <w:tcW w:w="3175" w:type="dxa"/>
            <w:tcBorders>
              <w:top w:val="nil"/>
              <w:left w:val="nil"/>
              <w:bottom w:val="nil"/>
              <w:right w:val="nil"/>
            </w:tcBorders>
            <w:shd w:val="clear" w:color="auto" w:fill="auto"/>
            <w:noWrap/>
            <w:vAlign w:val="center"/>
            <w:hideMark/>
          </w:tcPr>
          <w:p w:rsidR="00F47A11" w:rsidRPr="00451678" w:rsidRDefault="00F47A11"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47A11" w:rsidRDefault="00F47A11" w:rsidP="005A3E93">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47A11" w:rsidRDefault="00F47A11" w:rsidP="005A3E93">
            <w:pPr>
              <w:spacing w:after="0" w:line="240" w:lineRule="auto"/>
              <w:jc w:val="right"/>
              <w:rPr>
                <w:rFonts w:ascii="Arial" w:hAnsi="Arial" w:cs="Arial"/>
                <w:color w:val="000000"/>
                <w:sz w:val="16"/>
                <w:szCs w:val="16"/>
              </w:rPr>
            </w:pPr>
          </w:p>
        </w:tc>
      </w:tr>
      <w:tr w:rsidR="00992448" w:rsidRPr="00451678" w:rsidTr="005A3E93">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Appropriations</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310,598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318,574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308,642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303,508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302,710 </w:t>
            </w:r>
          </w:p>
        </w:tc>
      </w:tr>
      <w:tr w:rsidR="00992448" w:rsidRPr="00451678" w:rsidTr="005A3E93">
        <w:trPr>
          <w:trHeight w:val="22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Sale of goods and rendering of services</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52,744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54,145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46,757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45,607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45,607 </w:t>
            </w:r>
          </w:p>
        </w:tc>
      </w:tr>
      <w:tr w:rsidR="00992448" w:rsidRPr="00451678" w:rsidTr="005A3E93">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Net GST received</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13,707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14,019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12,601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12,189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12,178 </w:t>
            </w:r>
          </w:p>
        </w:tc>
      </w:tr>
      <w:tr w:rsidR="00992448" w:rsidRPr="00451678" w:rsidTr="005A3E93">
        <w:trPr>
          <w:trHeight w:val="210"/>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377,049 </w:t>
            </w:r>
          </w:p>
        </w:tc>
        <w:tc>
          <w:tcPr>
            <w:tcW w:w="907"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386,738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368,000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361,304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360,495 </w:t>
            </w:r>
          </w:p>
        </w:tc>
      </w:tr>
      <w:tr w:rsidR="00992448" w:rsidRPr="00451678" w:rsidTr="005A3E93">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451678" w:rsidTr="005A3E93">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Employees</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226,853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230,987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227,445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227,645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226,947 </w:t>
            </w:r>
          </w:p>
        </w:tc>
      </w:tr>
      <w:tr w:rsidR="00992448" w:rsidRPr="00451678" w:rsidTr="005A3E93">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100,508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105,068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95,941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89,380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89,269 </w:t>
            </w:r>
          </w:p>
        </w:tc>
      </w:tr>
      <w:tr w:rsidR="00992448" w:rsidRPr="00451678" w:rsidTr="005A3E93">
        <w:trPr>
          <w:trHeight w:val="39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ind w:leftChars="80" w:left="333" w:hangingChars="108" w:hanging="173"/>
              <w:rPr>
                <w:rFonts w:ascii="Arial" w:hAnsi="Arial" w:cs="Arial"/>
                <w:sz w:val="16"/>
                <w:szCs w:val="16"/>
              </w:rPr>
            </w:pPr>
            <w:r w:rsidRPr="00451678">
              <w:rPr>
                <w:rFonts w:ascii="Arial" w:hAnsi="Arial" w:cs="Arial"/>
                <w:sz w:val="16"/>
                <w:szCs w:val="16"/>
              </w:rPr>
              <w:t>s74 Retained revenue receipts transferred to OPA</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51,349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50,683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44,614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44,279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44,279 </w:t>
            </w:r>
          </w:p>
        </w:tc>
      </w:tr>
      <w:tr w:rsidR="00992448" w:rsidRPr="00451678" w:rsidTr="005A3E93">
        <w:trPr>
          <w:trHeight w:val="210"/>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used</w:t>
            </w:r>
          </w:p>
        </w:tc>
        <w:tc>
          <w:tcPr>
            <w:tcW w:w="928" w:type="dxa"/>
            <w:tcBorders>
              <w:top w:val="single" w:sz="4" w:space="0" w:color="000000"/>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378,710 </w:t>
            </w:r>
          </w:p>
        </w:tc>
        <w:tc>
          <w:tcPr>
            <w:tcW w:w="907" w:type="dxa"/>
            <w:tcBorders>
              <w:top w:val="single" w:sz="4" w:space="0" w:color="000000"/>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386,738 </w:t>
            </w:r>
          </w:p>
        </w:tc>
        <w:tc>
          <w:tcPr>
            <w:tcW w:w="907" w:type="dxa"/>
            <w:tcBorders>
              <w:top w:val="single" w:sz="4" w:space="0" w:color="000000"/>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368,000 </w:t>
            </w:r>
          </w:p>
        </w:tc>
        <w:tc>
          <w:tcPr>
            <w:tcW w:w="907" w:type="dxa"/>
            <w:tcBorders>
              <w:top w:val="single" w:sz="4" w:space="0" w:color="000000"/>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361,304 </w:t>
            </w:r>
          </w:p>
        </w:tc>
        <w:tc>
          <w:tcPr>
            <w:tcW w:w="907" w:type="dxa"/>
            <w:tcBorders>
              <w:top w:val="single" w:sz="4" w:space="0" w:color="000000"/>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360,495 </w:t>
            </w:r>
          </w:p>
        </w:tc>
      </w:tr>
      <w:tr w:rsidR="00992448" w:rsidRPr="00451678" w:rsidTr="009F0659">
        <w:trPr>
          <w:trHeight w:val="39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ind w:left="191" w:hanging="191"/>
              <w:rPr>
                <w:rFonts w:ascii="Arial" w:hAnsi="Arial" w:cs="Arial"/>
                <w:b/>
                <w:bCs/>
                <w:color w:val="000000"/>
                <w:sz w:val="16"/>
                <w:szCs w:val="16"/>
              </w:rPr>
            </w:pPr>
            <w:r w:rsidRPr="00451678">
              <w:rPr>
                <w:rFonts w:ascii="Arial" w:hAnsi="Arial" w:cs="Arial"/>
                <w:b/>
                <w:bCs/>
                <w:color w:val="000000"/>
                <w:sz w:val="16"/>
                <w:szCs w:val="16"/>
              </w:rPr>
              <w:t>Net cash from/(used by) operating activities</w:t>
            </w:r>
          </w:p>
        </w:tc>
        <w:tc>
          <w:tcPr>
            <w:tcW w:w="928" w:type="dxa"/>
            <w:tcBorders>
              <w:top w:val="single" w:sz="4" w:space="0" w:color="auto"/>
              <w:left w:val="nil"/>
              <w:bottom w:val="single" w:sz="4" w:space="0" w:color="auto"/>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(1,661)</w:t>
            </w:r>
          </w:p>
        </w:tc>
        <w:tc>
          <w:tcPr>
            <w:tcW w:w="907" w:type="dxa"/>
            <w:tcBorders>
              <w:top w:val="single" w:sz="4" w:space="0" w:color="auto"/>
              <w:left w:val="nil"/>
              <w:bottom w:val="single" w:sz="4" w:space="0" w:color="auto"/>
              <w:right w:val="nil"/>
            </w:tcBorders>
            <w:shd w:val="clear" w:color="000000" w:fill="E6E6E6"/>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992448" w:rsidRPr="00451678" w:rsidTr="00F47A11">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INVESTING ACTIVITIES</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451678" w:rsidTr="00F47A11">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451678" w:rsidTr="00F47A11">
        <w:trPr>
          <w:trHeight w:val="39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ind w:leftChars="80" w:left="333" w:hangingChars="108" w:hanging="173"/>
              <w:rPr>
                <w:rFonts w:ascii="Arial" w:hAnsi="Arial" w:cs="Arial"/>
                <w:color w:val="000000"/>
                <w:sz w:val="16"/>
                <w:szCs w:val="16"/>
              </w:rPr>
            </w:pPr>
            <w:r w:rsidRPr="00451678">
              <w:rPr>
                <w:rFonts w:ascii="Arial" w:hAnsi="Arial" w:cs="Arial"/>
                <w:color w:val="000000"/>
                <w:sz w:val="16"/>
                <w:szCs w:val="16"/>
              </w:rPr>
              <w:t>Proceeds from sales of property,</w:t>
            </w:r>
            <w:r>
              <w:rPr>
                <w:rFonts w:ascii="Arial" w:hAnsi="Arial" w:cs="Arial"/>
                <w:color w:val="000000"/>
                <w:sz w:val="16"/>
                <w:szCs w:val="16"/>
              </w:rPr>
              <w:t xml:space="preserve"> </w:t>
            </w:r>
            <w:r w:rsidRPr="00451678">
              <w:rPr>
                <w:rFonts w:ascii="Arial" w:hAnsi="Arial" w:cs="Arial"/>
                <w:color w:val="000000"/>
                <w:sz w:val="16"/>
                <w:szCs w:val="16"/>
              </w:rPr>
              <w:t>plant and equipment</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92448" w:rsidRPr="00451678" w:rsidTr="00F47A11">
        <w:trPr>
          <w:trHeight w:val="210"/>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r>
      <w:tr w:rsidR="00992448" w:rsidRPr="00451678" w:rsidTr="00F47A11">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451678" w:rsidTr="00F47A11">
        <w:trPr>
          <w:trHeight w:val="39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ind w:leftChars="80" w:left="333" w:hangingChars="108" w:hanging="173"/>
              <w:rPr>
                <w:rFonts w:ascii="Arial" w:hAnsi="Arial" w:cs="Arial"/>
                <w:color w:val="000000"/>
                <w:sz w:val="16"/>
                <w:szCs w:val="16"/>
              </w:rPr>
            </w:pPr>
            <w:r w:rsidRPr="00451678">
              <w:rPr>
                <w:rFonts w:ascii="Arial" w:hAnsi="Arial" w:cs="Arial"/>
                <w:color w:val="000000"/>
                <w:sz w:val="16"/>
                <w:szCs w:val="16"/>
              </w:rPr>
              <w:t>Purchase of property, plant and equipment and intangibles</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71,655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40,840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26,910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30,292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29,948 </w:t>
            </w:r>
          </w:p>
        </w:tc>
      </w:tr>
      <w:tr w:rsidR="00992448" w:rsidRPr="00451678" w:rsidTr="00F47A11">
        <w:trPr>
          <w:trHeight w:val="210"/>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71,655 </w:t>
            </w:r>
          </w:p>
        </w:tc>
        <w:tc>
          <w:tcPr>
            <w:tcW w:w="907"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40,840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26,910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30,292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29,948 </w:t>
            </w:r>
          </w:p>
        </w:tc>
      </w:tr>
      <w:tr w:rsidR="00992448" w:rsidRPr="00451678" w:rsidTr="009F0659">
        <w:trPr>
          <w:trHeight w:val="39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ind w:left="191" w:hanging="191"/>
              <w:rPr>
                <w:rFonts w:ascii="Arial" w:hAnsi="Arial" w:cs="Arial"/>
                <w:b/>
                <w:bCs/>
                <w:color w:val="000000"/>
                <w:sz w:val="16"/>
                <w:szCs w:val="16"/>
              </w:rPr>
            </w:pPr>
            <w:r w:rsidRPr="00451678">
              <w:rPr>
                <w:rFonts w:ascii="Arial" w:hAnsi="Arial" w:cs="Arial"/>
                <w:b/>
                <w:bCs/>
                <w:color w:val="000000"/>
                <w:sz w:val="16"/>
                <w:szCs w:val="16"/>
              </w:rPr>
              <w:t>Net cash from/(used by) investing activities</w:t>
            </w:r>
          </w:p>
        </w:tc>
        <w:tc>
          <w:tcPr>
            <w:tcW w:w="928" w:type="dxa"/>
            <w:tcBorders>
              <w:top w:val="nil"/>
              <w:left w:val="nil"/>
              <w:bottom w:val="single" w:sz="4" w:space="0" w:color="auto"/>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(71,655)</w:t>
            </w:r>
          </w:p>
        </w:tc>
        <w:tc>
          <w:tcPr>
            <w:tcW w:w="907" w:type="dxa"/>
            <w:tcBorders>
              <w:top w:val="nil"/>
              <w:left w:val="nil"/>
              <w:bottom w:val="single" w:sz="4" w:space="0" w:color="auto"/>
              <w:right w:val="nil"/>
            </w:tcBorders>
            <w:shd w:val="clear" w:color="000000" w:fill="E6E6E6"/>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(40,840)</w:t>
            </w:r>
          </w:p>
        </w:tc>
        <w:tc>
          <w:tcPr>
            <w:tcW w:w="907" w:type="dxa"/>
            <w:tcBorders>
              <w:top w:val="nil"/>
              <w:left w:val="nil"/>
              <w:bottom w:val="single" w:sz="4" w:space="0" w:color="auto"/>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(26,910)</w:t>
            </w:r>
          </w:p>
        </w:tc>
        <w:tc>
          <w:tcPr>
            <w:tcW w:w="907" w:type="dxa"/>
            <w:tcBorders>
              <w:top w:val="nil"/>
              <w:left w:val="nil"/>
              <w:bottom w:val="single" w:sz="4" w:space="0" w:color="auto"/>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(30,292)</w:t>
            </w:r>
          </w:p>
        </w:tc>
        <w:tc>
          <w:tcPr>
            <w:tcW w:w="907" w:type="dxa"/>
            <w:tcBorders>
              <w:top w:val="nil"/>
              <w:left w:val="nil"/>
              <w:bottom w:val="single" w:sz="4" w:space="0" w:color="auto"/>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(29,948)</w:t>
            </w:r>
          </w:p>
        </w:tc>
      </w:tr>
      <w:tr w:rsidR="00992448" w:rsidRPr="00451678" w:rsidTr="00F47A11">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FINANCING ACTIVITIES</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451678" w:rsidTr="00F47A11">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451678" w:rsidTr="00F47A11">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71,655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40,840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26,910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30,292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29,948 </w:t>
            </w:r>
          </w:p>
        </w:tc>
      </w:tr>
      <w:tr w:rsidR="00992448" w:rsidRPr="00451678" w:rsidTr="00F47A11">
        <w:trPr>
          <w:trHeight w:val="227"/>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71,655 </w:t>
            </w:r>
          </w:p>
        </w:tc>
        <w:tc>
          <w:tcPr>
            <w:tcW w:w="907"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40,840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26,910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30,292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29,948 </w:t>
            </w:r>
          </w:p>
        </w:tc>
      </w:tr>
      <w:tr w:rsidR="00992448" w:rsidRPr="00451678" w:rsidTr="00F47A11">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p>
        </w:tc>
      </w:tr>
      <w:tr w:rsidR="00992448" w:rsidRPr="00451678" w:rsidTr="00F47A11">
        <w:trPr>
          <w:trHeight w:val="225"/>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92448" w:rsidRPr="00451678" w:rsidTr="00F47A11">
        <w:trPr>
          <w:trHeight w:val="227"/>
        </w:trPr>
        <w:tc>
          <w:tcPr>
            <w:tcW w:w="3175" w:type="dxa"/>
            <w:tcBorders>
              <w:top w:val="nil"/>
              <w:left w:val="nil"/>
              <w:bottom w:val="nil"/>
              <w:right w:val="nil"/>
            </w:tcBorders>
            <w:shd w:val="clear" w:color="auto" w:fill="auto"/>
            <w:noWrap/>
            <w:vAlign w:val="center"/>
            <w:hideMark/>
          </w:tcPr>
          <w:p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r>
      <w:tr w:rsidR="00992448" w:rsidRPr="00451678" w:rsidTr="009F0659">
        <w:trPr>
          <w:trHeight w:val="39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ind w:left="191" w:hanging="191"/>
              <w:rPr>
                <w:rFonts w:ascii="Arial" w:hAnsi="Arial" w:cs="Arial"/>
                <w:b/>
                <w:bCs/>
                <w:color w:val="000000"/>
                <w:sz w:val="16"/>
                <w:szCs w:val="16"/>
              </w:rPr>
            </w:pPr>
            <w:r w:rsidRPr="00451678">
              <w:rPr>
                <w:rFonts w:ascii="Arial" w:hAnsi="Arial" w:cs="Arial"/>
                <w:b/>
                <w:bCs/>
                <w:color w:val="000000"/>
                <w:sz w:val="16"/>
                <w:szCs w:val="16"/>
              </w:rPr>
              <w:t>Net cash from/(used by) financing activities</w:t>
            </w:r>
          </w:p>
        </w:tc>
        <w:tc>
          <w:tcPr>
            <w:tcW w:w="928"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71,655 </w:t>
            </w:r>
          </w:p>
        </w:tc>
        <w:tc>
          <w:tcPr>
            <w:tcW w:w="907" w:type="dxa"/>
            <w:tcBorders>
              <w:top w:val="nil"/>
              <w:left w:val="nil"/>
              <w:bottom w:val="single" w:sz="4" w:space="0" w:color="000000"/>
              <w:right w:val="nil"/>
            </w:tcBorders>
            <w:shd w:val="clear" w:color="000000" w:fill="E6E6E6"/>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40,840 </w:t>
            </w:r>
          </w:p>
        </w:tc>
        <w:tc>
          <w:tcPr>
            <w:tcW w:w="907"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26,910 </w:t>
            </w:r>
          </w:p>
        </w:tc>
        <w:tc>
          <w:tcPr>
            <w:tcW w:w="907"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30,292 </w:t>
            </w:r>
          </w:p>
        </w:tc>
        <w:tc>
          <w:tcPr>
            <w:tcW w:w="907"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29,948 </w:t>
            </w:r>
          </w:p>
        </w:tc>
      </w:tr>
      <w:tr w:rsidR="00992448" w:rsidRPr="00451678" w:rsidTr="009F0659">
        <w:trPr>
          <w:trHeight w:val="22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Net increase/(decrease) in cash held</w:t>
            </w:r>
          </w:p>
        </w:tc>
        <w:tc>
          <w:tcPr>
            <w:tcW w:w="928"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(1,661)</w:t>
            </w:r>
          </w:p>
        </w:tc>
        <w:tc>
          <w:tcPr>
            <w:tcW w:w="907" w:type="dxa"/>
            <w:tcBorders>
              <w:top w:val="nil"/>
              <w:left w:val="nil"/>
              <w:bottom w:val="single" w:sz="4" w:space="0" w:color="000000"/>
              <w:right w:val="nil"/>
            </w:tcBorders>
            <w:shd w:val="clear" w:color="000000" w:fill="E6E6E6"/>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bottom"/>
            <w:hideMark/>
          </w:tcPr>
          <w:p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992448" w:rsidRPr="00451678" w:rsidTr="00E048ED">
        <w:trPr>
          <w:trHeight w:val="397"/>
        </w:trPr>
        <w:tc>
          <w:tcPr>
            <w:tcW w:w="3175" w:type="dxa"/>
            <w:tcBorders>
              <w:top w:val="nil"/>
              <w:left w:val="nil"/>
              <w:bottom w:val="nil"/>
              <w:right w:val="nil"/>
            </w:tcBorders>
            <w:shd w:val="clear" w:color="auto" w:fill="auto"/>
            <w:vAlign w:val="center"/>
            <w:hideMark/>
          </w:tcPr>
          <w:p w:rsidR="00992448" w:rsidRPr="00451678" w:rsidRDefault="00992448" w:rsidP="00E048ED">
            <w:pPr>
              <w:spacing w:after="0" w:line="240" w:lineRule="auto"/>
              <w:ind w:leftChars="80" w:left="333" w:hangingChars="108" w:hanging="173"/>
              <w:rPr>
                <w:rFonts w:ascii="Arial" w:hAnsi="Arial" w:cs="Arial"/>
                <w:color w:val="000000"/>
                <w:sz w:val="16"/>
                <w:szCs w:val="16"/>
              </w:rPr>
            </w:pPr>
            <w:r w:rsidRPr="00451678">
              <w:rPr>
                <w:rFonts w:ascii="Arial" w:hAnsi="Arial" w:cs="Arial"/>
                <w:color w:val="000000"/>
                <w:sz w:val="16"/>
                <w:szCs w:val="16"/>
              </w:rPr>
              <w:t>Cash and cash equivalents at the beginning of the reporting period</w:t>
            </w:r>
          </w:p>
        </w:tc>
        <w:tc>
          <w:tcPr>
            <w:tcW w:w="928"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3,661 </w:t>
            </w:r>
          </w:p>
        </w:tc>
        <w:tc>
          <w:tcPr>
            <w:tcW w:w="907"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r>
      <w:tr w:rsidR="009F0659" w:rsidRPr="00451678" w:rsidTr="00E048ED">
        <w:trPr>
          <w:trHeight w:val="397"/>
        </w:trPr>
        <w:tc>
          <w:tcPr>
            <w:tcW w:w="3175" w:type="dxa"/>
            <w:tcBorders>
              <w:top w:val="nil"/>
              <w:left w:val="nil"/>
              <w:bottom w:val="single" w:sz="4" w:space="0" w:color="auto"/>
              <w:right w:val="nil"/>
            </w:tcBorders>
            <w:shd w:val="clear" w:color="auto" w:fill="auto"/>
            <w:vAlign w:val="bottom"/>
            <w:hideMark/>
          </w:tcPr>
          <w:p w:rsidR="009F0659" w:rsidRPr="00451678" w:rsidRDefault="009F0659" w:rsidP="00E048ED">
            <w:pPr>
              <w:spacing w:after="0" w:line="240" w:lineRule="auto"/>
              <w:ind w:left="191" w:hanging="191"/>
              <w:rPr>
                <w:rFonts w:ascii="Arial" w:hAnsi="Arial" w:cs="Arial"/>
                <w:b/>
                <w:bCs/>
                <w:color w:val="000000"/>
                <w:sz w:val="16"/>
                <w:szCs w:val="16"/>
              </w:rPr>
            </w:pPr>
            <w:r w:rsidRPr="00451678">
              <w:rPr>
                <w:rFonts w:ascii="Arial" w:hAnsi="Arial" w:cs="Arial"/>
                <w:b/>
                <w:bCs/>
                <w:color w:val="000000"/>
                <w:sz w:val="16"/>
                <w:szCs w:val="16"/>
              </w:rPr>
              <w:t>Cash and cash equivalents at the end of the reporting period</w:t>
            </w:r>
          </w:p>
        </w:tc>
        <w:tc>
          <w:tcPr>
            <w:tcW w:w="928" w:type="dxa"/>
            <w:tcBorders>
              <w:top w:val="single" w:sz="4" w:space="0" w:color="000000"/>
              <w:left w:val="nil"/>
              <w:bottom w:val="single" w:sz="4" w:space="0" w:color="auto"/>
              <w:right w:val="nil"/>
            </w:tcBorders>
            <w:shd w:val="clear" w:color="auto" w:fill="auto"/>
            <w:noWrap/>
            <w:vAlign w:val="bottom"/>
            <w:hideMark/>
          </w:tcPr>
          <w:p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c>
          <w:tcPr>
            <w:tcW w:w="907" w:type="dxa"/>
            <w:tcBorders>
              <w:top w:val="single" w:sz="4" w:space="0" w:color="000000"/>
              <w:left w:val="nil"/>
              <w:bottom w:val="single" w:sz="4" w:space="0" w:color="auto"/>
              <w:right w:val="nil"/>
            </w:tcBorders>
            <w:shd w:val="clear" w:color="000000" w:fill="E6E6E6"/>
            <w:noWrap/>
            <w:vAlign w:val="bottom"/>
            <w:hideMark/>
          </w:tcPr>
          <w:p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c>
          <w:tcPr>
            <w:tcW w:w="907" w:type="dxa"/>
            <w:tcBorders>
              <w:top w:val="single" w:sz="4" w:space="0" w:color="000000"/>
              <w:left w:val="nil"/>
              <w:bottom w:val="single" w:sz="4" w:space="0" w:color="auto"/>
              <w:right w:val="nil"/>
            </w:tcBorders>
            <w:shd w:val="clear" w:color="auto" w:fill="auto"/>
            <w:noWrap/>
            <w:vAlign w:val="bottom"/>
            <w:hideMark/>
          </w:tcPr>
          <w:p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c>
          <w:tcPr>
            <w:tcW w:w="907" w:type="dxa"/>
            <w:tcBorders>
              <w:top w:val="single" w:sz="4" w:space="0" w:color="000000"/>
              <w:left w:val="nil"/>
              <w:bottom w:val="single" w:sz="4" w:space="0" w:color="auto"/>
              <w:right w:val="nil"/>
            </w:tcBorders>
            <w:shd w:val="clear" w:color="auto" w:fill="auto"/>
            <w:noWrap/>
            <w:vAlign w:val="bottom"/>
            <w:hideMark/>
          </w:tcPr>
          <w:p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c>
          <w:tcPr>
            <w:tcW w:w="907" w:type="dxa"/>
            <w:tcBorders>
              <w:top w:val="single" w:sz="4" w:space="0" w:color="000000"/>
              <w:left w:val="nil"/>
              <w:bottom w:val="single" w:sz="4" w:space="0" w:color="auto"/>
              <w:right w:val="nil"/>
            </w:tcBorders>
            <w:shd w:val="clear" w:color="auto" w:fill="auto"/>
            <w:noWrap/>
            <w:vAlign w:val="bottom"/>
            <w:hideMark/>
          </w:tcPr>
          <w:p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r>
    </w:tbl>
    <w:p w:rsidR="00E048ED" w:rsidRPr="00132F9E" w:rsidRDefault="00E048ED" w:rsidP="00E048ED">
      <w:pPr>
        <w:pStyle w:val="ChartandTableFootnote"/>
      </w:pPr>
      <w:r w:rsidRPr="00132F9E">
        <w:t>Prepared on Australian Accounting Standards basis.</w:t>
      </w:r>
    </w:p>
    <w:p w:rsidR="00E048ED" w:rsidRPr="0041404E" w:rsidRDefault="00E048ED" w:rsidP="00E048ED">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654" w:type="dxa"/>
        <w:tblInd w:w="93" w:type="dxa"/>
        <w:tblCellMar>
          <w:left w:w="28" w:type="dxa"/>
          <w:right w:w="28" w:type="dxa"/>
        </w:tblCellMar>
        <w:tblLook w:val="04A0" w:firstRow="1" w:lastRow="0" w:firstColumn="1" w:lastColumn="0" w:noHBand="0" w:noVBand="1"/>
      </w:tblPr>
      <w:tblGrid>
        <w:gridCol w:w="3231"/>
        <w:gridCol w:w="907"/>
        <w:gridCol w:w="879"/>
        <w:gridCol w:w="879"/>
        <w:gridCol w:w="879"/>
        <w:gridCol w:w="879"/>
      </w:tblGrid>
      <w:tr w:rsidR="00E048ED" w:rsidRPr="000F01A7" w:rsidTr="00E048ED">
        <w:trPr>
          <w:trHeight w:val="794"/>
        </w:trPr>
        <w:tc>
          <w:tcPr>
            <w:tcW w:w="3231" w:type="dxa"/>
            <w:tcBorders>
              <w:top w:val="single" w:sz="4" w:space="0" w:color="auto"/>
              <w:left w:val="nil"/>
              <w:bottom w:val="nil"/>
              <w:right w:val="nil"/>
            </w:tcBorders>
            <w:shd w:val="clear" w:color="auto" w:fill="auto"/>
            <w:noWrap/>
            <w:hideMark/>
          </w:tcPr>
          <w:p w:rsidR="00E048ED" w:rsidRPr="000F01A7" w:rsidRDefault="00E048ED" w:rsidP="00E048ED">
            <w:pPr>
              <w:spacing w:after="0" w:line="240" w:lineRule="auto"/>
              <w:rPr>
                <w:rFonts w:ascii="Arial" w:hAnsi="Arial" w:cs="Arial"/>
                <w:b/>
                <w:bCs/>
                <w:sz w:val="16"/>
                <w:szCs w:val="16"/>
              </w:rPr>
            </w:pPr>
            <w:r w:rsidRPr="000F01A7">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2017–18 Estimated actual</w:t>
            </w:r>
            <w:r w:rsidRPr="000F01A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2018–19</w:t>
            </w:r>
            <w:r w:rsidRPr="000F01A7">
              <w:rPr>
                <w:rFonts w:ascii="Arial" w:hAnsi="Arial" w:cs="Arial"/>
                <w:sz w:val="16"/>
                <w:szCs w:val="16"/>
              </w:rPr>
              <w:br/>
              <w:t>Budget</w:t>
            </w:r>
            <w:r w:rsidRPr="000F01A7">
              <w:rPr>
                <w:rFonts w:ascii="Arial" w:hAnsi="Arial" w:cs="Arial"/>
                <w:sz w:val="16"/>
                <w:szCs w:val="16"/>
              </w:rPr>
              <w:br/>
            </w:r>
            <w:r w:rsidRPr="000F01A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2019–20 Forward estimate</w:t>
            </w:r>
            <w:r w:rsidRPr="000F01A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2020–21 Forward estimate</w:t>
            </w:r>
            <w:r w:rsidRPr="000F01A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2021–22</w:t>
            </w:r>
            <w:r w:rsidRPr="000F01A7">
              <w:rPr>
                <w:rFonts w:ascii="Arial" w:hAnsi="Arial" w:cs="Arial"/>
                <w:sz w:val="16"/>
                <w:szCs w:val="16"/>
              </w:rPr>
              <w:br/>
              <w:t>Forward estimate</w:t>
            </w:r>
            <w:r w:rsidRPr="000F01A7">
              <w:rPr>
                <w:rFonts w:ascii="Arial" w:hAnsi="Arial" w:cs="Arial"/>
                <w:sz w:val="16"/>
                <w:szCs w:val="16"/>
              </w:rPr>
              <w:br/>
              <w:t>$'000</w:t>
            </w:r>
          </w:p>
        </w:tc>
      </w:tr>
      <w:tr w:rsidR="00F47A11" w:rsidRPr="000F01A7" w:rsidTr="00F47A11">
        <w:trPr>
          <w:trHeight w:val="225"/>
        </w:trPr>
        <w:tc>
          <w:tcPr>
            <w:tcW w:w="3231" w:type="dxa"/>
            <w:tcBorders>
              <w:top w:val="nil"/>
              <w:left w:val="nil"/>
              <w:bottom w:val="nil"/>
              <w:right w:val="nil"/>
            </w:tcBorders>
            <w:shd w:val="clear" w:color="auto" w:fill="auto"/>
            <w:noWrap/>
            <w:vAlign w:val="bottom"/>
            <w:hideMark/>
          </w:tcPr>
          <w:p w:rsidR="00F47A11" w:rsidRPr="000F01A7" w:rsidRDefault="00F47A11" w:rsidP="00E048ED">
            <w:pPr>
              <w:spacing w:after="0" w:line="240" w:lineRule="auto"/>
              <w:rPr>
                <w:rFonts w:ascii="Arial" w:hAnsi="Arial" w:cs="Arial"/>
                <w:b/>
                <w:bCs/>
                <w:sz w:val="16"/>
                <w:szCs w:val="16"/>
              </w:rPr>
            </w:pPr>
            <w:r w:rsidRPr="000F01A7">
              <w:rPr>
                <w:rFonts w:ascii="Arial" w:hAnsi="Arial" w:cs="Arial"/>
                <w:b/>
                <w:bCs/>
                <w:sz w:val="16"/>
                <w:szCs w:val="16"/>
              </w:rPr>
              <w:t>NEW CAPITAL APPROPRIATIONS</w:t>
            </w:r>
          </w:p>
        </w:tc>
        <w:tc>
          <w:tcPr>
            <w:tcW w:w="907"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F47A11" w:rsidRDefault="00F47A11" w:rsidP="00F47A11">
            <w:pPr>
              <w:spacing w:after="0" w:line="240" w:lineRule="auto"/>
              <w:jc w:val="right"/>
              <w:rPr>
                <w:rFonts w:ascii="Arial" w:hAnsi="Arial" w:cs="Arial"/>
                <w:sz w:val="16"/>
                <w:szCs w:val="16"/>
              </w:rPr>
            </w:pPr>
            <w:r>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sz w:val="16"/>
                <w:szCs w:val="16"/>
              </w:rPr>
            </w:pP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Capital budget—Bill 1 (DCB)</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31,306 </w:t>
            </w:r>
          </w:p>
        </w:tc>
        <w:tc>
          <w:tcPr>
            <w:tcW w:w="879"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24,450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26,396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29,774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29,948 </w:t>
            </w: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Equity injections—Bill 2</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40,349 </w:t>
            </w:r>
          </w:p>
        </w:tc>
        <w:tc>
          <w:tcPr>
            <w:tcW w:w="879"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16,390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514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518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 </w:t>
            </w: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rPr>
                <w:rFonts w:ascii="Arial" w:hAnsi="Arial" w:cs="Arial"/>
                <w:b/>
                <w:bCs/>
                <w:sz w:val="16"/>
                <w:szCs w:val="16"/>
              </w:rPr>
            </w:pPr>
            <w:r w:rsidRPr="000F01A7">
              <w:rPr>
                <w:rFonts w:ascii="Arial" w:hAnsi="Arial" w:cs="Arial"/>
                <w:b/>
                <w:bCs/>
                <w:sz w:val="16"/>
                <w:szCs w:val="16"/>
              </w:rPr>
              <w:t>Total new capital appropriations</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71,655 </w:t>
            </w:r>
          </w:p>
        </w:tc>
        <w:tc>
          <w:tcPr>
            <w:tcW w:w="879" w:type="dxa"/>
            <w:tcBorders>
              <w:top w:val="single" w:sz="4" w:space="0" w:color="auto"/>
              <w:left w:val="nil"/>
              <w:bottom w:val="single" w:sz="4" w:space="0" w:color="auto"/>
              <w:right w:val="nil"/>
            </w:tcBorders>
            <w:shd w:val="clear" w:color="000000" w:fill="E6E6E6"/>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40,840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26,910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30,292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29,948 </w:t>
            </w: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rPr>
                <w:rFonts w:ascii="Arial" w:hAnsi="Arial" w:cs="Arial"/>
                <w:b/>
                <w:bCs/>
                <w:i/>
                <w:iCs/>
                <w:sz w:val="16"/>
                <w:szCs w:val="16"/>
              </w:rPr>
            </w:pPr>
            <w:r w:rsidRPr="000F01A7">
              <w:rPr>
                <w:rFonts w:ascii="Arial" w:hAnsi="Arial" w:cs="Arial"/>
                <w:b/>
                <w:bCs/>
                <w:i/>
                <w:iCs/>
                <w:sz w:val="16"/>
                <w:szCs w:val="16"/>
              </w:rPr>
              <w:t>Provided for:</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i/>
                <w:iCs/>
                <w:sz w:val="16"/>
                <w:szCs w:val="16"/>
              </w:rPr>
            </w:pP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ind w:firstLineChars="100" w:firstLine="160"/>
              <w:rPr>
                <w:rFonts w:ascii="Arial" w:hAnsi="Arial" w:cs="Arial"/>
                <w:i/>
                <w:iCs/>
                <w:sz w:val="16"/>
                <w:szCs w:val="16"/>
              </w:rPr>
            </w:pPr>
            <w:r w:rsidRPr="000F01A7">
              <w:rPr>
                <w:rFonts w:ascii="Arial" w:hAnsi="Arial" w:cs="Arial"/>
                <w:i/>
                <w:iCs/>
                <w:sz w:val="16"/>
                <w:szCs w:val="16"/>
              </w:rPr>
              <w:t>Purchase of non-financial assets</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71,655 </w:t>
            </w:r>
          </w:p>
        </w:tc>
        <w:tc>
          <w:tcPr>
            <w:tcW w:w="879"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40,840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26,910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30,292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29,948 </w:t>
            </w: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rPr>
                <w:rFonts w:ascii="Arial" w:hAnsi="Arial" w:cs="Arial"/>
                <w:b/>
                <w:bCs/>
                <w:i/>
                <w:iCs/>
                <w:sz w:val="16"/>
                <w:szCs w:val="16"/>
              </w:rPr>
            </w:pPr>
            <w:r w:rsidRPr="000F01A7">
              <w:rPr>
                <w:rFonts w:ascii="Arial" w:hAnsi="Arial" w:cs="Arial"/>
                <w:b/>
                <w:bCs/>
                <w:i/>
                <w:iCs/>
                <w:sz w:val="16"/>
                <w:szCs w:val="16"/>
              </w:rPr>
              <w:t>Total items</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71,655 </w:t>
            </w:r>
          </w:p>
        </w:tc>
        <w:tc>
          <w:tcPr>
            <w:tcW w:w="879" w:type="dxa"/>
            <w:tcBorders>
              <w:top w:val="single" w:sz="4" w:space="0" w:color="auto"/>
              <w:left w:val="nil"/>
              <w:bottom w:val="single" w:sz="4" w:space="0" w:color="auto"/>
              <w:right w:val="nil"/>
            </w:tcBorders>
            <w:shd w:val="clear" w:color="000000" w:fill="E6E6E6"/>
            <w:noWrap/>
            <w:vAlign w:val="center"/>
            <w:hideMark/>
          </w:tcPr>
          <w:p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40,840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26,910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30,292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29,948 </w:t>
            </w:r>
          </w:p>
        </w:tc>
      </w:tr>
      <w:tr w:rsidR="00992448" w:rsidRPr="000F01A7" w:rsidTr="00992448">
        <w:trPr>
          <w:trHeight w:val="227"/>
        </w:trPr>
        <w:tc>
          <w:tcPr>
            <w:tcW w:w="3231" w:type="dxa"/>
            <w:tcBorders>
              <w:top w:val="nil"/>
              <w:left w:val="nil"/>
              <w:bottom w:val="nil"/>
              <w:right w:val="nil"/>
            </w:tcBorders>
            <w:shd w:val="clear" w:color="auto" w:fill="auto"/>
            <w:vAlign w:val="center"/>
            <w:hideMark/>
          </w:tcPr>
          <w:p w:rsidR="00992448" w:rsidRPr="000F01A7" w:rsidRDefault="00992448" w:rsidP="00E048ED">
            <w:pPr>
              <w:spacing w:after="0" w:line="240" w:lineRule="auto"/>
              <w:rPr>
                <w:rFonts w:ascii="Arial" w:hAnsi="Arial" w:cs="Arial"/>
                <w:b/>
                <w:bCs/>
                <w:sz w:val="16"/>
                <w:szCs w:val="16"/>
              </w:rPr>
            </w:pPr>
            <w:r w:rsidRPr="000F01A7">
              <w:rPr>
                <w:rFonts w:ascii="Arial" w:hAnsi="Arial" w:cs="Arial"/>
                <w:b/>
                <w:bCs/>
                <w:sz w:val="16"/>
                <w:szCs w:val="16"/>
              </w:rPr>
              <w:t>PURCHASE OF NON-FINANCIAL ASSETS</w:t>
            </w:r>
          </w:p>
        </w:tc>
        <w:tc>
          <w:tcPr>
            <w:tcW w:w="907" w:type="dxa"/>
            <w:tcBorders>
              <w:top w:val="nil"/>
              <w:left w:val="nil"/>
              <w:bottom w:val="nil"/>
              <w:right w:val="nil"/>
            </w:tcBorders>
            <w:shd w:val="clear" w:color="auto" w:fill="auto"/>
            <w:vAlign w:val="center"/>
            <w:hideMark/>
          </w:tcPr>
          <w:p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w:t>
            </w:r>
          </w:p>
        </w:tc>
        <w:tc>
          <w:tcPr>
            <w:tcW w:w="879" w:type="dxa"/>
            <w:tcBorders>
              <w:top w:val="nil"/>
              <w:left w:val="nil"/>
              <w:bottom w:val="nil"/>
              <w:right w:val="nil"/>
            </w:tcBorders>
            <w:shd w:val="clear" w:color="auto" w:fill="auto"/>
            <w:vAlign w:val="center"/>
            <w:hideMark/>
          </w:tcPr>
          <w:p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992448" w:rsidRDefault="00992448" w:rsidP="00992448">
            <w:pPr>
              <w:spacing w:after="0" w:line="240" w:lineRule="auto"/>
              <w:jc w:val="right"/>
              <w:rPr>
                <w:rFonts w:ascii="Arial" w:hAnsi="Arial" w:cs="Arial"/>
                <w:sz w:val="16"/>
                <w:szCs w:val="16"/>
              </w:rPr>
            </w:pP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Funded by capital appropriations (a)</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40,349 </w:t>
            </w:r>
          </w:p>
        </w:tc>
        <w:tc>
          <w:tcPr>
            <w:tcW w:w="879"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16,390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514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518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 </w:t>
            </w:r>
          </w:p>
        </w:tc>
      </w:tr>
      <w:tr w:rsidR="00992448" w:rsidRPr="000F01A7" w:rsidTr="00992448">
        <w:trPr>
          <w:trHeight w:val="227"/>
        </w:trPr>
        <w:tc>
          <w:tcPr>
            <w:tcW w:w="3231" w:type="dxa"/>
            <w:tcBorders>
              <w:top w:val="nil"/>
              <w:left w:val="nil"/>
              <w:bottom w:val="nil"/>
              <w:right w:val="nil"/>
            </w:tcBorders>
            <w:shd w:val="clear" w:color="auto" w:fill="auto"/>
            <w:vAlign w:val="center"/>
            <w:hideMark/>
          </w:tcPr>
          <w:p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Funded by capital appropriation—DCB</w:t>
            </w:r>
            <w:r>
              <w:rPr>
                <w:rFonts w:ascii="Arial" w:hAnsi="Arial" w:cs="Arial"/>
                <w:sz w:val="16"/>
                <w:szCs w:val="16"/>
              </w:rPr>
              <w:t> </w:t>
            </w:r>
            <w:r w:rsidRPr="000F01A7">
              <w:rPr>
                <w:rFonts w:ascii="Arial" w:hAnsi="Arial" w:cs="Arial"/>
                <w:sz w:val="16"/>
                <w:szCs w:val="16"/>
              </w:rPr>
              <w:t>(b)</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31,306 </w:t>
            </w:r>
          </w:p>
        </w:tc>
        <w:tc>
          <w:tcPr>
            <w:tcW w:w="879"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24,450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26,396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29,774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29,948 </w:t>
            </w: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rPr>
                <w:rFonts w:ascii="Arial" w:hAnsi="Arial" w:cs="Arial"/>
                <w:b/>
                <w:bCs/>
                <w:sz w:val="16"/>
                <w:szCs w:val="16"/>
              </w:rPr>
            </w:pPr>
            <w:r w:rsidRPr="000F01A7">
              <w:rPr>
                <w:rFonts w:ascii="Arial" w:hAnsi="Arial" w:cs="Arial"/>
                <w:b/>
                <w:bCs/>
                <w:sz w:val="16"/>
                <w:szCs w:val="16"/>
              </w:rPr>
              <w:t>TOTAL</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71,655 </w:t>
            </w:r>
          </w:p>
        </w:tc>
        <w:tc>
          <w:tcPr>
            <w:tcW w:w="879" w:type="dxa"/>
            <w:tcBorders>
              <w:top w:val="single" w:sz="4" w:space="0" w:color="auto"/>
              <w:left w:val="nil"/>
              <w:bottom w:val="single" w:sz="4" w:space="0" w:color="auto"/>
              <w:right w:val="nil"/>
            </w:tcBorders>
            <w:shd w:val="clear" w:color="000000" w:fill="E6E6E6"/>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40,840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26,910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30,292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29,948 </w:t>
            </w:r>
          </w:p>
        </w:tc>
      </w:tr>
      <w:tr w:rsidR="00992448" w:rsidRPr="000F01A7" w:rsidTr="00992448">
        <w:trPr>
          <w:trHeight w:val="567"/>
        </w:trPr>
        <w:tc>
          <w:tcPr>
            <w:tcW w:w="3231" w:type="dxa"/>
            <w:tcBorders>
              <w:top w:val="nil"/>
              <w:left w:val="nil"/>
              <w:bottom w:val="nil"/>
              <w:right w:val="nil"/>
            </w:tcBorders>
            <w:shd w:val="clear" w:color="auto" w:fill="auto"/>
            <w:vAlign w:val="center"/>
            <w:hideMark/>
          </w:tcPr>
          <w:p w:rsidR="00992448" w:rsidRPr="000F01A7" w:rsidRDefault="00992448" w:rsidP="00E048ED">
            <w:pPr>
              <w:spacing w:after="0" w:line="240" w:lineRule="auto"/>
              <w:ind w:left="191" w:hanging="191"/>
              <w:rPr>
                <w:rFonts w:ascii="Arial" w:hAnsi="Arial" w:cs="Arial"/>
                <w:b/>
                <w:bCs/>
                <w:sz w:val="16"/>
                <w:szCs w:val="16"/>
              </w:rPr>
            </w:pPr>
            <w:r w:rsidRPr="000F01A7">
              <w:rPr>
                <w:rFonts w:ascii="Arial" w:hAnsi="Arial" w:cs="Arial"/>
                <w:b/>
                <w:bCs/>
                <w:sz w:val="16"/>
                <w:szCs w:val="16"/>
              </w:rPr>
              <w:t>RECONCILIATION OF CASH USED TO ACQUIRE ASSETS TO ASSET MOVEMENT TABLE</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p>
        </w:tc>
      </w:tr>
      <w:tr w:rsidR="00992448" w:rsidRPr="000F01A7" w:rsidTr="00992448">
        <w:trPr>
          <w:trHeight w:val="225"/>
        </w:trPr>
        <w:tc>
          <w:tcPr>
            <w:tcW w:w="3231" w:type="dxa"/>
            <w:tcBorders>
              <w:top w:val="nil"/>
              <w:left w:val="nil"/>
              <w:bottom w:val="nil"/>
              <w:right w:val="nil"/>
            </w:tcBorders>
            <w:shd w:val="clear" w:color="auto" w:fill="auto"/>
            <w:noWrap/>
            <w:vAlign w:val="center"/>
            <w:hideMark/>
          </w:tcPr>
          <w:p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Total purchases</w:t>
            </w:r>
          </w:p>
        </w:tc>
        <w:tc>
          <w:tcPr>
            <w:tcW w:w="907"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71,655 </w:t>
            </w:r>
          </w:p>
        </w:tc>
        <w:tc>
          <w:tcPr>
            <w:tcW w:w="879" w:type="dxa"/>
            <w:tcBorders>
              <w:top w:val="nil"/>
              <w:left w:val="nil"/>
              <w:bottom w:val="nil"/>
              <w:right w:val="nil"/>
            </w:tcBorders>
            <w:shd w:val="clear" w:color="000000" w:fill="E6E6E6"/>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40,840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26,910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30,292 </w:t>
            </w:r>
          </w:p>
        </w:tc>
        <w:tc>
          <w:tcPr>
            <w:tcW w:w="879" w:type="dxa"/>
            <w:tcBorders>
              <w:top w:val="nil"/>
              <w:left w:val="nil"/>
              <w:bottom w:val="nil"/>
              <w:right w:val="nil"/>
            </w:tcBorders>
            <w:shd w:val="clear" w:color="auto" w:fill="auto"/>
            <w:noWrap/>
            <w:vAlign w:val="center"/>
            <w:hideMark/>
          </w:tcPr>
          <w:p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29,948 </w:t>
            </w:r>
          </w:p>
        </w:tc>
      </w:tr>
      <w:tr w:rsidR="00992448" w:rsidRPr="000F01A7" w:rsidTr="00F47A11">
        <w:trPr>
          <w:trHeight w:val="225"/>
        </w:trPr>
        <w:tc>
          <w:tcPr>
            <w:tcW w:w="3231" w:type="dxa"/>
            <w:tcBorders>
              <w:top w:val="nil"/>
              <w:left w:val="nil"/>
              <w:bottom w:val="single" w:sz="4" w:space="0" w:color="auto"/>
              <w:right w:val="nil"/>
            </w:tcBorders>
            <w:shd w:val="clear" w:color="auto" w:fill="auto"/>
            <w:vAlign w:val="bottom"/>
            <w:hideMark/>
          </w:tcPr>
          <w:p w:rsidR="00992448" w:rsidRPr="000F01A7" w:rsidRDefault="00992448" w:rsidP="00E048ED">
            <w:pPr>
              <w:spacing w:after="0" w:line="240" w:lineRule="auto"/>
              <w:rPr>
                <w:rFonts w:ascii="Arial" w:hAnsi="Arial" w:cs="Arial"/>
                <w:b/>
                <w:bCs/>
                <w:sz w:val="16"/>
                <w:szCs w:val="16"/>
              </w:rPr>
            </w:pPr>
            <w:r w:rsidRPr="000F01A7">
              <w:rPr>
                <w:rFonts w:ascii="Arial" w:hAnsi="Arial" w:cs="Arial"/>
                <w:b/>
                <w:bCs/>
                <w:sz w:val="16"/>
                <w:szCs w:val="16"/>
              </w:rPr>
              <w:t>Total cash used to acquire assets</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71,655 </w:t>
            </w:r>
          </w:p>
        </w:tc>
        <w:tc>
          <w:tcPr>
            <w:tcW w:w="879" w:type="dxa"/>
            <w:tcBorders>
              <w:top w:val="single" w:sz="4" w:space="0" w:color="auto"/>
              <w:left w:val="nil"/>
              <w:bottom w:val="single" w:sz="4" w:space="0" w:color="auto"/>
              <w:right w:val="nil"/>
            </w:tcBorders>
            <w:shd w:val="clear" w:color="000000" w:fill="E6E6E6"/>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40,840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26,910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30,292 </w:t>
            </w:r>
          </w:p>
        </w:tc>
        <w:tc>
          <w:tcPr>
            <w:tcW w:w="879" w:type="dxa"/>
            <w:tcBorders>
              <w:top w:val="single" w:sz="4" w:space="0" w:color="auto"/>
              <w:left w:val="nil"/>
              <w:bottom w:val="single" w:sz="4" w:space="0" w:color="auto"/>
              <w:right w:val="nil"/>
            </w:tcBorders>
            <w:shd w:val="clear" w:color="auto" w:fill="auto"/>
            <w:noWrap/>
            <w:vAlign w:val="center"/>
            <w:hideMark/>
          </w:tcPr>
          <w:p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29,948 </w:t>
            </w:r>
          </w:p>
        </w:tc>
      </w:tr>
    </w:tbl>
    <w:p w:rsidR="00E048ED" w:rsidRPr="00132F9E" w:rsidRDefault="00E048ED" w:rsidP="00E048ED">
      <w:pPr>
        <w:pStyle w:val="ChartandTableFootnoteAlpha"/>
        <w:numPr>
          <w:ilvl w:val="0"/>
          <w:numId w:val="8"/>
        </w:numPr>
        <w:rPr>
          <w:rFonts w:cs="Arial"/>
          <w:szCs w:val="16"/>
        </w:rPr>
      </w:pPr>
      <w:r w:rsidRPr="00132F9E">
        <w:rPr>
          <w:rFonts w:cs="Arial"/>
          <w:szCs w:val="16"/>
        </w:rPr>
        <w:t>Includes both current Bill 2 and prior Act 2/4/6 appropriations.</w:t>
      </w:r>
    </w:p>
    <w:p w:rsidR="00E048ED" w:rsidRPr="00132F9E" w:rsidRDefault="00E048ED" w:rsidP="00E048ED">
      <w:pPr>
        <w:pStyle w:val="ChartandTableFootnoteAlpha"/>
        <w:numPr>
          <w:ilvl w:val="0"/>
          <w:numId w:val="8"/>
        </w:numPr>
        <w:rPr>
          <w:rFonts w:cs="Arial"/>
          <w:szCs w:val="16"/>
        </w:rPr>
      </w:pPr>
      <w:r w:rsidRPr="00132F9E">
        <w:rPr>
          <w:rFonts w:cs="Arial"/>
          <w:szCs w:val="16"/>
        </w:rPr>
        <w:t xml:space="preserve">Does not include annual finance lease costs. Includes purchases from current and previous years’ Departmental </w:t>
      </w:r>
      <w:r w:rsidR="007620FB">
        <w:rPr>
          <w:rFonts w:cs="Arial"/>
          <w:szCs w:val="16"/>
          <w:lang w:val="en-AU"/>
        </w:rPr>
        <w:t>Capital</w:t>
      </w:r>
      <w:r w:rsidRPr="00132F9E">
        <w:rPr>
          <w:rFonts w:cs="Arial"/>
          <w:szCs w:val="16"/>
        </w:rPr>
        <w:t xml:space="preserve"> </w:t>
      </w:r>
      <w:r w:rsidR="007620FB">
        <w:rPr>
          <w:rFonts w:cs="Arial"/>
          <w:szCs w:val="16"/>
          <w:lang w:val="en-AU"/>
        </w:rPr>
        <w:t>Budgets</w:t>
      </w:r>
      <w:r w:rsidRPr="00132F9E">
        <w:rPr>
          <w:rFonts w:cs="Arial"/>
          <w:szCs w:val="16"/>
        </w:rPr>
        <w:t xml:space="preserve"> (DCBs).</w:t>
      </w:r>
    </w:p>
    <w:p w:rsidR="00E048ED" w:rsidRDefault="00E048ED" w:rsidP="00E048ED">
      <w:pPr>
        <w:pStyle w:val="ChartandTableFootnote"/>
      </w:pPr>
      <w:r w:rsidRPr="00132F9E">
        <w:t>Prepared on Australian Accounting Standards basis.</w:t>
      </w:r>
    </w:p>
    <w:p w:rsidR="008F797E" w:rsidRDefault="008F797E" w:rsidP="008F797E"/>
    <w:p w:rsidR="00E048ED" w:rsidRDefault="00E048ED" w:rsidP="00F73E25">
      <w:pPr>
        <w:pStyle w:val="TableHeading"/>
      </w:pPr>
      <w:r w:rsidRPr="00D30CBA">
        <w:t>Table</w:t>
      </w:r>
      <w:r>
        <w:t xml:space="preserve"> 3.6</w:t>
      </w:r>
      <w:r w:rsidRPr="00D30CBA">
        <w:t xml:space="preserve">: </w:t>
      </w:r>
      <w:r>
        <w:t>Statement of asset movements (Budget year 2018</w:t>
      </w:r>
      <w:r>
        <w:rPr>
          <w:lang w:val="en-AU"/>
        </w:rPr>
        <w:t>–</w:t>
      </w:r>
      <w:r>
        <w:t>19)</w:t>
      </w:r>
    </w:p>
    <w:tbl>
      <w:tblPr>
        <w:tblW w:w="7769" w:type="dxa"/>
        <w:tblInd w:w="93" w:type="dxa"/>
        <w:tblLook w:val="04A0" w:firstRow="1" w:lastRow="0" w:firstColumn="1" w:lastColumn="0" w:noHBand="0" w:noVBand="1"/>
      </w:tblPr>
      <w:tblGrid>
        <w:gridCol w:w="3146"/>
        <w:gridCol w:w="1221"/>
        <w:gridCol w:w="1134"/>
        <w:gridCol w:w="1134"/>
        <w:gridCol w:w="1134"/>
      </w:tblGrid>
      <w:tr w:rsidR="00E048ED" w:rsidRPr="00E23A6E" w:rsidTr="00E048ED">
        <w:trPr>
          <w:trHeight w:val="964"/>
        </w:trPr>
        <w:tc>
          <w:tcPr>
            <w:tcW w:w="3146" w:type="dxa"/>
            <w:tcBorders>
              <w:top w:val="single" w:sz="4" w:space="0" w:color="auto"/>
              <w:left w:val="nil"/>
              <w:bottom w:val="nil"/>
              <w:right w:val="nil"/>
            </w:tcBorders>
            <w:shd w:val="clear" w:color="auto" w:fill="auto"/>
            <w:noWrap/>
            <w:vAlign w:val="center"/>
            <w:hideMark/>
          </w:tcPr>
          <w:p w:rsidR="00E048ED" w:rsidRPr="00E23A6E" w:rsidRDefault="00E048ED" w:rsidP="00E048ED">
            <w:pPr>
              <w:spacing w:after="0" w:line="240" w:lineRule="auto"/>
              <w:rPr>
                <w:rFonts w:ascii="Arial" w:hAnsi="Arial" w:cs="Arial"/>
                <w:sz w:val="16"/>
                <w:szCs w:val="16"/>
              </w:rPr>
            </w:pPr>
            <w:r w:rsidRPr="00E23A6E">
              <w:rPr>
                <w:rFonts w:ascii="Arial" w:hAnsi="Arial" w:cs="Arial"/>
                <w:sz w:val="16"/>
                <w:szCs w:val="16"/>
              </w:rPr>
              <w:t> </w:t>
            </w:r>
          </w:p>
        </w:tc>
        <w:tc>
          <w:tcPr>
            <w:tcW w:w="1221" w:type="dxa"/>
            <w:tcBorders>
              <w:top w:val="single" w:sz="4" w:space="0" w:color="auto"/>
              <w:left w:val="nil"/>
              <w:bottom w:val="single" w:sz="4" w:space="0" w:color="auto"/>
              <w:right w:val="nil"/>
            </w:tcBorders>
            <w:shd w:val="clear" w:color="auto" w:fill="auto"/>
            <w:vAlign w:val="center"/>
            <w:hideMark/>
          </w:tcPr>
          <w:p w:rsidR="00E048ED" w:rsidRPr="00E23A6E" w:rsidRDefault="00E048ED" w:rsidP="00E048ED">
            <w:pPr>
              <w:spacing w:after="0" w:line="240" w:lineRule="auto"/>
              <w:jc w:val="right"/>
              <w:rPr>
                <w:rFonts w:ascii="Arial" w:hAnsi="Arial" w:cs="Arial"/>
                <w:sz w:val="16"/>
                <w:szCs w:val="16"/>
              </w:rPr>
            </w:pPr>
            <w:r w:rsidRPr="00E23A6E">
              <w:rPr>
                <w:rFonts w:ascii="Arial" w:hAnsi="Arial" w:cs="Arial"/>
                <w:sz w:val="16"/>
                <w:szCs w:val="16"/>
              </w:rPr>
              <w:t>Leasehold improvements</w:t>
            </w:r>
            <w:r w:rsidRPr="00E23A6E">
              <w:rPr>
                <w:rFonts w:ascii="Arial" w:hAnsi="Arial" w:cs="Arial"/>
                <w:sz w:val="16"/>
                <w:szCs w:val="16"/>
              </w:rPr>
              <w:br/>
            </w:r>
            <w:r w:rsidRPr="00E23A6E">
              <w:rPr>
                <w:rFonts w:ascii="Arial" w:hAnsi="Arial" w:cs="Arial"/>
                <w:sz w:val="16"/>
                <w:szCs w:val="16"/>
              </w:rPr>
              <w:br/>
            </w:r>
            <w:r w:rsidRPr="00E23A6E">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rsidR="00E048ED" w:rsidRPr="00E23A6E" w:rsidRDefault="00E048ED" w:rsidP="00E048ED">
            <w:pPr>
              <w:spacing w:after="0" w:line="240" w:lineRule="auto"/>
              <w:jc w:val="right"/>
              <w:rPr>
                <w:rFonts w:ascii="Arial" w:hAnsi="Arial" w:cs="Arial"/>
                <w:sz w:val="16"/>
                <w:szCs w:val="16"/>
              </w:rPr>
            </w:pPr>
            <w:r w:rsidRPr="00E23A6E">
              <w:rPr>
                <w:rFonts w:ascii="Arial" w:hAnsi="Arial" w:cs="Arial"/>
                <w:sz w:val="16"/>
                <w:szCs w:val="16"/>
              </w:rPr>
              <w:t>Other</w:t>
            </w:r>
            <w:r w:rsidRPr="00E23A6E">
              <w:rPr>
                <w:rFonts w:ascii="Arial" w:hAnsi="Arial" w:cs="Arial"/>
                <w:sz w:val="16"/>
                <w:szCs w:val="16"/>
              </w:rPr>
              <w:br/>
              <w:t>property,</w:t>
            </w:r>
            <w:r w:rsidRPr="00E23A6E">
              <w:rPr>
                <w:rFonts w:ascii="Arial" w:hAnsi="Arial" w:cs="Arial"/>
                <w:sz w:val="16"/>
                <w:szCs w:val="16"/>
              </w:rPr>
              <w:br/>
              <w:t>plant and</w:t>
            </w:r>
            <w:r w:rsidRPr="00E23A6E">
              <w:rPr>
                <w:rFonts w:ascii="Arial" w:hAnsi="Arial" w:cs="Arial"/>
                <w:sz w:val="16"/>
                <w:szCs w:val="16"/>
              </w:rPr>
              <w:br/>
              <w:t>equipment</w:t>
            </w:r>
            <w:r w:rsidRPr="00E23A6E">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rsidR="00E048ED" w:rsidRPr="00E23A6E" w:rsidRDefault="00E048ED" w:rsidP="00E048ED">
            <w:pPr>
              <w:spacing w:after="0" w:line="240" w:lineRule="auto"/>
              <w:jc w:val="right"/>
              <w:rPr>
                <w:rFonts w:ascii="Arial" w:hAnsi="Arial" w:cs="Arial"/>
                <w:sz w:val="16"/>
                <w:szCs w:val="16"/>
              </w:rPr>
            </w:pPr>
            <w:r w:rsidRPr="00E23A6E">
              <w:rPr>
                <w:rFonts w:ascii="Arial" w:hAnsi="Arial" w:cs="Arial"/>
                <w:sz w:val="16"/>
                <w:szCs w:val="16"/>
              </w:rPr>
              <w:t>Computer</w:t>
            </w:r>
            <w:r w:rsidRPr="00E23A6E">
              <w:rPr>
                <w:rFonts w:ascii="Arial" w:hAnsi="Arial" w:cs="Arial"/>
                <w:sz w:val="16"/>
                <w:szCs w:val="16"/>
              </w:rPr>
              <w:br/>
              <w:t>software and</w:t>
            </w:r>
            <w:r w:rsidRPr="00E23A6E">
              <w:rPr>
                <w:rFonts w:ascii="Arial" w:hAnsi="Arial" w:cs="Arial"/>
                <w:sz w:val="16"/>
                <w:szCs w:val="16"/>
              </w:rPr>
              <w:br/>
              <w:t>intangibles</w:t>
            </w:r>
            <w:r w:rsidRPr="00E23A6E">
              <w:rPr>
                <w:rFonts w:ascii="Arial" w:hAnsi="Arial" w:cs="Arial"/>
                <w:sz w:val="16"/>
                <w:szCs w:val="16"/>
              </w:rPr>
              <w:br/>
            </w:r>
            <w:r w:rsidRPr="00E23A6E">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rsidR="00E048ED" w:rsidRPr="00E23A6E" w:rsidRDefault="00E048ED" w:rsidP="00E048ED">
            <w:pPr>
              <w:spacing w:after="0" w:line="240" w:lineRule="auto"/>
              <w:jc w:val="right"/>
              <w:rPr>
                <w:rFonts w:ascii="Arial" w:hAnsi="Arial" w:cs="Arial"/>
                <w:sz w:val="16"/>
                <w:szCs w:val="16"/>
              </w:rPr>
            </w:pPr>
            <w:r w:rsidRPr="00E23A6E">
              <w:rPr>
                <w:rFonts w:ascii="Arial" w:hAnsi="Arial" w:cs="Arial"/>
                <w:sz w:val="16"/>
                <w:szCs w:val="16"/>
              </w:rPr>
              <w:t>Total</w:t>
            </w:r>
            <w:r w:rsidRPr="00E23A6E">
              <w:rPr>
                <w:rFonts w:ascii="Arial" w:hAnsi="Arial" w:cs="Arial"/>
                <w:sz w:val="16"/>
                <w:szCs w:val="16"/>
              </w:rPr>
              <w:br/>
            </w:r>
            <w:r w:rsidRPr="00E23A6E">
              <w:rPr>
                <w:rFonts w:ascii="Arial" w:hAnsi="Arial" w:cs="Arial"/>
                <w:sz w:val="16"/>
                <w:szCs w:val="16"/>
              </w:rPr>
              <w:br/>
            </w:r>
            <w:r w:rsidRPr="00E23A6E">
              <w:rPr>
                <w:rFonts w:ascii="Arial" w:hAnsi="Arial" w:cs="Arial"/>
                <w:sz w:val="16"/>
                <w:szCs w:val="16"/>
              </w:rPr>
              <w:br/>
            </w:r>
            <w:r w:rsidRPr="00E23A6E">
              <w:rPr>
                <w:rFonts w:ascii="Arial" w:hAnsi="Arial" w:cs="Arial"/>
                <w:sz w:val="16"/>
                <w:szCs w:val="16"/>
              </w:rPr>
              <w:br/>
              <w:t>$'000</w:t>
            </w:r>
          </w:p>
        </w:tc>
      </w:tr>
      <w:tr w:rsidR="00F47A11" w:rsidRPr="00E23A6E" w:rsidTr="00F47A11">
        <w:trPr>
          <w:trHeight w:val="225"/>
        </w:trPr>
        <w:tc>
          <w:tcPr>
            <w:tcW w:w="3146" w:type="dxa"/>
            <w:tcBorders>
              <w:top w:val="nil"/>
              <w:left w:val="nil"/>
              <w:bottom w:val="nil"/>
              <w:right w:val="nil"/>
            </w:tcBorders>
            <w:shd w:val="clear" w:color="auto" w:fill="auto"/>
            <w:vAlign w:val="center"/>
            <w:hideMark/>
          </w:tcPr>
          <w:p w:rsidR="00F47A11" w:rsidRPr="00E23A6E" w:rsidRDefault="00F47A11" w:rsidP="00E048ED">
            <w:pPr>
              <w:spacing w:after="0" w:line="240" w:lineRule="auto"/>
              <w:rPr>
                <w:rFonts w:ascii="Arial" w:hAnsi="Arial" w:cs="Arial"/>
                <w:b/>
                <w:bCs/>
                <w:sz w:val="16"/>
                <w:szCs w:val="16"/>
              </w:rPr>
            </w:pPr>
            <w:r w:rsidRPr="00E23A6E">
              <w:rPr>
                <w:rFonts w:ascii="Arial" w:hAnsi="Arial" w:cs="Arial"/>
                <w:b/>
                <w:bCs/>
                <w:sz w:val="16"/>
                <w:szCs w:val="16"/>
              </w:rPr>
              <w:t>As at 1 July 2018</w:t>
            </w:r>
          </w:p>
        </w:tc>
        <w:tc>
          <w:tcPr>
            <w:tcW w:w="1221"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47A11" w:rsidRDefault="00F47A11" w:rsidP="00F47A11">
            <w:pPr>
              <w:spacing w:after="0" w:line="240" w:lineRule="auto"/>
              <w:jc w:val="right"/>
              <w:rPr>
                <w:rFonts w:ascii="Arial" w:hAnsi="Arial" w:cs="Arial"/>
                <w:sz w:val="16"/>
                <w:szCs w:val="16"/>
              </w:rPr>
            </w:pPr>
          </w:p>
        </w:tc>
      </w:tr>
      <w:tr w:rsidR="00FE0499" w:rsidRPr="00E23A6E" w:rsidTr="00F47A11">
        <w:trPr>
          <w:trHeight w:val="225"/>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ind w:firstLineChars="100" w:firstLine="160"/>
              <w:rPr>
                <w:rFonts w:ascii="Arial" w:hAnsi="Arial" w:cs="Arial"/>
                <w:sz w:val="16"/>
                <w:szCs w:val="16"/>
              </w:rPr>
            </w:pPr>
            <w:r w:rsidRPr="00E23A6E">
              <w:rPr>
                <w:rFonts w:ascii="Arial" w:hAnsi="Arial" w:cs="Arial"/>
                <w:sz w:val="16"/>
                <w:szCs w:val="16"/>
              </w:rPr>
              <w:t xml:space="preserve">Gross book value </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33,259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46,944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205,008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285,211 </w:t>
            </w:r>
          </w:p>
        </w:tc>
      </w:tr>
      <w:tr w:rsidR="00FE0499" w:rsidRPr="00E23A6E" w:rsidTr="00F47A11">
        <w:trPr>
          <w:trHeight w:val="397"/>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ind w:leftChars="80" w:left="333" w:hangingChars="108" w:hanging="173"/>
              <w:rPr>
                <w:rFonts w:ascii="Arial" w:hAnsi="Arial" w:cs="Arial"/>
                <w:sz w:val="16"/>
                <w:szCs w:val="16"/>
              </w:rPr>
            </w:pPr>
            <w:r w:rsidRPr="00E23A6E">
              <w:rPr>
                <w:rFonts w:ascii="Arial" w:hAnsi="Arial" w:cs="Arial"/>
                <w:sz w:val="16"/>
                <w:szCs w:val="16"/>
              </w:rPr>
              <w:t>Accumulated depreciation/amortisation and impairment</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(9,161)</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(14,953)</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(76,563)</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(100,677)</w:t>
            </w:r>
          </w:p>
        </w:tc>
      </w:tr>
      <w:tr w:rsidR="00FE0499" w:rsidRPr="00E23A6E" w:rsidTr="00F47A11">
        <w:trPr>
          <w:trHeight w:val="225"/>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rPr>
                <w:rFonts w:ascii="Arial" w:hAnsi="Arial" w:cs="Arial"/>
                <w:b/>
                <w:bCs/>
                <w:sz w:val="16"/>
                <w:szCs w:val="16"/>
              </w:rPr>
            </w:pPr>
            <w:r w:rsidRPr="00E23A6E">
              <w:rPr>
                <w:rFonts w:ascii="Arial" w:hAnsi="Arial" w:cs="Arial"/>
                <w:b/>
                <w:bCs/>
                <w:sz w:val="16"/>
                <w:szCs w:val="16"/>
              </w:rPr>
              <w:t>Opening net book balance</w:t>
            </w:r>
          </w:p>
        </w:tc>
        <w:tc>
          <w:tcPr>
            <w:tcW w:w="1221" w:type="dxa"/>
            <w:tcBorders>
              <w:top w:val="single" w:sz="4" w:space="0" w:color="auto"/>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24,098 </w:t>
            </w:r>
          </w:p>
        </w:tc>
        <w:tc>
          <w:tcPr>
            <w:tcW w:w="1134" w:type="dxa"/>
            <w:tcBorders>
              <w:top w:val="single" w:sz="4" w:space="0" w:color="auto"/>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31,991 </w:t>
            </w:r>
          </w:p>
        </w:tc>
        <w:tc>
          <w:tcPr>
            <w:tcW w:w="1134" w:type="dxa"/>
            <w:tcBorders>
              <w:top w:val="single" w:sz="4" w:space="0" w:color="auto"/>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128,445 </w:t>
            </w:r>
          </w:p>
        </w:tc>
        <w:tc>
          <w:tcPr>
            <w:tcW w:w="1134" w:type="dxa"/>
            <w:tcBorders>
              <w:top w:val="single" w:sz="4" w:space="0" w:color="auto"/>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184,534 </w:t>
            </w:r>
          </w:p>
        </w:tc>
      </w:tr>
      <w:tr w:rsidR="00FE0499" w:rsidRPr="00E23A6E" w:rsidTr="00F47A11">
        <w:trPr>
          <w:trHeight w:val="225"/>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rPr>
                <w:rFonts w:ascii="Arial" w:hAnsi="Arial" w:cs="Arial"/>
                <w:b/>
                <w:bCs/>
                <w:sz w:val="16"/>
                <w:szCs w:val="16"/>
              </w:rPr>
            </w:pPr>
            <w:r w:rsidRPr="00E23A6E">
              <w:rPr>
                <w:rFonts w:ascii="Arial" w:hAnsi="Arial" w:cs="Arial"/>
                <w:b/>
                <w:bCs/>
                <w:sz w:val="16"/>
                <w:szCs w:val="16"/>
              </w:rPr>
              <w:t>Capital asset additions</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r>
      <w:tr w:rsidR="00FE0499" w:rsidRPr="00E23A6E" w:rsidTr="00F47A11">
        <w:trPr>
          <w:trHeight w:val="397"/>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ind w:leftChars="81" w:left="332" w:hangingChars="106" w:hanging="170"/>
              <w:rPr>
                <w:rFonts w:ascii="Arial" w:hAnsi="Arial" w:cs="Arial"/>
                <w:b/>
                <w:bCs/>
                <w:sz w:val="16"/>
                <w:szCs w:val="16"/>
              </w:rPr>
            </w:pPr>
            <w:r w:rsidRPr="00E23A6E">
              <w:rPr>
                <w:rFonts w:ascii="Arial" w:hAnsi="Arial" w:cs="Arial"/>
                <w:b/>
                <w:bCs/>
                <w:sz w:val="16"/>
                <w:szCs w:val="16"/>
              </w:rPr>
              <w:t>Estimated expenditure on new or replacement assets</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r>
      <w:tr w:rsidR="00FE0499" w:rsidRPr="00E23A6E" w:rsidTr="00F47A11">
        <w:trPr>
          <w:trHeight w:val="225"/>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ind w:firstLineChars="100" w:firstLine="160"/>
              <w:rPr>
                <w:rFonts w:ascii="Arial" w:hAnsi="Arial" w:cs="Arial"/>
                <w:sz w:val="16"/>
                <w:szCs w:val="16"/>
              </w:rPr>
            </w:pPr>
            <w:r w:rsidRPr="00E23A6E">
              <w:rPr>
                <w:rFonts w:ascii="Arial" w:hAnsi="Arial" w:cs="Arial"/>
                <w:sz w:val="16"/>
                <w:szCs w:val="16"/>
              </w:rPr>
              <w:t>By purchase—appropriation equity (a)</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4,846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3,626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32,368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40,840 </w:t>
            </w:r>
          </w:p>
        </w:tc>
      </w:tr>
      <w:tr w:rsidR="00FE0499" w:rsidRPr="00E23A6E" w:rsidTr="00F47A11">
        <w:trPr>
          <w:trHeight w:val="225"/>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ind w:firstLineChars="100" w:firstLine="160"/>
              <w:rPr>
                <w:rFonts w:ascii="Arial" w:hAnsi="Arial" w:cs="Arial"/>
                <w:b/>
                <w:bCs/>
                <w:sz w:val="16"/>
                <w:szCs w:val="16"/>
              </w:rPr>
            </w:pPr>
            <w:r w:rsidRPr="00E23A6E">
              <w:rPr>
                <w:rFonts w:ascii="Arial" w:hAnsi="Arial" w:cs="Arial"/>
                <w:b/>
                <w:bCs/>
                <w:sz w:val="16"/>
                <w:szCs w:val="16"/>
              </w:rPr>
              <w:t>Total additions</w:t>
            </w:r>
          </w:p>
        </w:tc>
        <w:tc>
          <w:tcPr>
            <w:tcW w:w="1221"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4,846 </w:t>
            </w:r>
          </w:p>
        </w:tc>
        <w:tc>
          <w:tcPr>
            <w:tcW w:w="1134"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3,626 </w:t>
            </w:r>
          </w:p>
        </w:tc>
        <w:tc>
          <w:tcPr>
            <w:tcW w:w="1134"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32,368 </w:t>
            </w:r>
          </w:p>
        </w:tc>
        <w:tc>
          <w:tcPr>
            <w:tcW w:w="1134"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40,840 </w:t>
            </w:r>
          </w:p>
        </w:tc>
      </w:tr>
      <w:tr w:rsidR="00FE0499" w:rsidRPr="00E23A6E" w:rsidTr="00F47A11">
        <w:trPr>
          <w:trHeight w:val="225"/>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ind w:firstLineChars="100" w:firstLine="160"/>
              <w:rPr>
                <w:rFonts w:ascii="Arial" w:hAnsi="Arial" w:cs="Arial"/>
                <w:b/>
                <w:bCs/>
                <w:sz w:val="16"/>
                <w:szCs w:val="16"/>
              </w:rPr>
            </w:pPr>
            <w:r w:rsidRPr="00E23A6E">
              <w:rPr>
                <w:rFonts w:ascii="Arial" w:hAnsi="Arial" w:cs="Arial"/>
                <w:b/>
                <w:bCs/>
                <w:sz w:val="16"/>
                <w:szCs w:val="16"/>
              </w:rPr>
              <w:t>Other movements</w:t>
            </w:r>
          </w:p>
        </w:tc>
        <w:tc>
          <w:tcPr>
            <w:tcW w:w="1221"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w:t>
            </w:r>
          </w:p>
        </w:tc>
      </w:tr>
      <w:tr w:rsidR="00FE0499" w:rsidRPr="00E23A6E" w:rsidTr="00F47A11">
        <w:trPr>
          <w:trHeight w:val="225"/>
        </w:trPr>
        <w:tc>
          <w:tcPr>
            <w:tcW w:w="3146" w:type="dxa"/>
            <w:tcBorders>
              <w:top w:val="nil"/>
              <w:left w:val="nil"/>
              <w:right w:val="nil"/>
            </w:tcBorders>
            <w:shd w:val="clear" w:color="auto" w:fill="auto"/>
            <w:vAlign w:val="center"/>
            <w:hideMark/>
          </w:tcPr>
          <w:p w:rsidR="00FE0499" w:rsidRPr="00E23A6E" w:rsidRDefault="00FE0499" w:rsidP="00E048ED">
            <w:pPr>
              <w:spacing w:after="0" w:line="240" w:lineRule="auto"/>
              <w:ind w:firstLineChars="100" w:firstLine="160"/>
              <w:rPr>
                <w:rFonts w:ascii="Arial" w:hAnsi="Arial" w:cs="Arial"/>
                <w:sz w:val="16"/>
                <w:szCs w:val="16"/>
              </w:rPr>
            </w:pPr>
            <w:r w:rsidRPr="00E23A6E">
              <w:rPr>
                <w:rFonts w:ascii="Arial" w:hAnsi="Arial" w:cs="Arial"/>
                <w:sz w:val="16"/>
                <w:szCs w:val="16"/>
              </w:rPr>
              <w:t>Depreciation/amortisation expense</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(5,304)</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(6,761)</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(28,926)</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(40,991)</w:t>
            </w:r>
          </w:p>
        </w:tc>
      </w:tr>
      <w:tr w:rsidR="00FE0499" w:rsidRPr="00E23A6E" w:rsidTr="00F47A11">
        <w:trPr>
          <w:trHeight w:val="225"/>
        </w:trPr>
        <w:tc>
          <w:tcPr>
            <w:tcW w:w="3146" w:type="dxa"/>
            <w:tcBorders>
              <w:top w:val="nil"/>
              <w:left w:val="nil"/>
              <w:right w:val="nil"/>
            </w:tcBorders>
            <w:shd w:val="clear" w:color="auto" w:fill="auto"/>
            <w:vAlign w:val="center"/>
            <w:hideMark/>
          </w:tcPr>
          <w:p w:rsidR="00FE0499" w:rsidRPr="00E23A6E" w:rsidRDefault="00FE0499" w:rsidP="00E048ED">
            <w:pPr>
              <w:spacing w:after="0" w:line="240" w:lineRule="auto"/>
              <w:ind w:firstLineChars="100" w:firstLine="160"/>
              <w:rPr>
                <w:rFonts w:ascii="Arial" w:hAnsi="Arial" w:cs="Arial"/>
                <w:b/>
                <w:bCs/>
                <w:sz w:val="16"/>
                <w:szCs w:val="16"/>
              </w:rPr>
            </w:pPr>
            <w:r w:rsidRPr="00E23A6E">
              <w:rPr>
                <w:rFonts w:ascii="Arial" w:hAnsi="Arial" w:cs="Arial"/>
                <w:b/>
                <w:bCs/>
                <w:sz w:val="16"/>
                <w:szCs w:val="16"/>
              </w:rPr>
              <w:t>Total other movements</w:t>
            </w:r>
          </w:p>
        </w:tc>
        <w:tc>
          <w:tcPr>
            <w:tcW w:w="1221" w:type="dxa"/>
            <w:tcBorders>
              <w:top w:val="single" w:sz="4" w:space="0" w:color="auto"/>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(5,304)</w:t>
            </w:r>
          </w:p>
        </w:tc>
        <w:tc>
          <w:tcPr>
            <w:tcW w:w="1134" w:type="dxa"/>
            <w:tcBorders>
              <w:top w:val="single" w:sz="4" w:space="0" w:color="auto"/>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(6,761)</w:t>
            </w:r>
          </w:p>
        </w:tc>
        <w:tc>
          <w:tcPr>
            <w:tcW w:w="1134" w:type="dxa"/>
            <w:tcBorders>
              <w:top w:val="single" w:sz="4" w:space="0" w:color="auto"/>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(28,926)</w:t>
            </w:r>
          </w:p>
        </w:tc>
        <w:tc>
          <w:tcPr>
            <w:tcW w:w="1134" w:type="dxa"/>
            <w:tcBorders>
              <w:top w:val="single" w:sz="4" w:space="0" w:color="auto"/>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(40,991)</w:t>
            </w:r>
          </w:p>
        </w:tc>
      </w:tr>
      <w:tr w:rsidR="00FE0499" w:rsidRPr="00E23A6E" w:rsidTr="00F47A11">
        <w:trPr>
          <w:trHeight w:val="225"/>
        </w:trPr>
        <w:tc>
          <w:tcPr>
            <w:tcW w:w="3146" w:type="dxa"/>
            <w:tcBorders>
              <w:left w:val="nil"/>
              <w:bottom w:val="nil"/>
              <w:right w:val="nil"/>
            </w:tcBorders>
            <w:shd w:val="clear" w:color="auto" w:fill="auto"/>
            <w:vAlign w:val="center"/>
            <w:hideMark/>
          </w:tcPr>
          <w:p w:rsidR="00FE0499" w:rsidRPr="00E23A6E" w:rsidRDefault="00FE0499" w:rsidP="00E048ED">
            <w:pPr>
              <w:spacing w:after="0" w:line="240" w:lineRule="auto"/>
              <w:rPr>
                <w:rFonts w:ascii="Arial" w:hAnsi="Arial" w:cs="Arial"/>
                <w:b/>
                <w:bCs/>
                <w:sz w:val="16"/>
                <w:szCs w:val="16"/>
              </w:rPr>
            </w:pPr>
            <w:r w:rsidRPr="00E23A6E">
              <w:rPr>
                <w:rFonts w:ascii="Arial" w:hAnsi="Arial" w:cs="Arial"/>
                <w:b/>
                <w:bCs/>
                <w:sz w:val="16"/>
                <w:szCs w:val="16"/>
              </w:rPr>
              <w:t>As at 30 June 2019</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p>
        </w:tc>
      </w:tr>
      <w:tr w:rsidR="00FE0499" w:rsidRPr="00E23A6E" w:rsidTr="00F47A11">
        <w:trPr>
          <w:trHeight w:val="225"/>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ind w:firstLineChars="100" w:firstLine="160"/>
              <w:rPr>
                <w:rFonts w:ascii="Arial" w:hAnsi="Arial" w:cs="Arial"/>
                <w:sz w:val="16"/>
                <w:szCs w:val="16"/>
              </w:rPr>
            </w:pPr>
            <w:r w:rsidRPr="00E23A6E">
              <w:rPr>
                <w:rFonts w:ascii="Arial" w:hAnsi="Arial" w:cs="Arial"/>
                <w:sz w:val="16"/>
                <w:szCs w:val="16"/>
              </w:rPr>
              <w:t>Gross book value</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38,105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50,570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237,376 </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326,051 </w:t>
            </w:r>
          </w:p>
        </w:tc>
      </w:tr>
      <w:tr w:rsidR="00FE0499" w:rsidRPr="00E23A6E" w:rsidTr="00F47A11">
        <w:trPr>
          <w:trHeight w:val="397"/>
        </w:trPr>
        <w:tc>
          <w:tcPr>
            <w:tcW w:w="3146" w:type="dxa"/>
            <w:tcBorders>
              <w:top w:val="nil"/>
              <w:left w:val="nil"/>
              <w:bottom w:val="nil"/>
              <w:right w:val="nil"/>
            </w:tcBorders>
            <w:shd w:val="clear" w:color="auto" w:fill="auto"/>
            <w:vAlign w:val="center"/>
            <w:hideMark/>
          </w:tcPr>
          <w:p w:rsidR="00FE0499" w:rsidRPr="00E23A6E" w:rsidRDefault="00FE0499" w:rsidP="00E048ED">
            <w:pPr>
              <w:spacing w:after="0" w:line="240" w:lineRule="auto"/>
              <w:ind w:leftChars="80" w:left="333" w:hangingChars="108" w:hanging="173"/>
              <w:rPr>
                <w:rFonts w:ascii="Arial" w:hAnsi="Arial" w:cs="Arial"/>
                <w:sz w:val="16"/>
                <w:szCs w:val="16"/>
              </w:rPr>
            </w:pPr>
            <w:r w:rsidRPr="00E23A6E">
              <w:rPr>
                <w:rFonts w:ascii="Arial" w:hAnsi="Arial" w:cs="Arial"/>
                <w:sz w:val="16"/>
                <w:szCs w:val="16"/>
              </w:rPr>
              <w:t>Accumulated depreciation/amortisation and impairment</w:t>
            </w:r>
          </w:p>
        </w:tc>
        <w:tc>
          <w:tcPr>
            <w:tcW w:w="1221"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(14,465)</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(21,714)</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(105,489)</w:t>
            </w:r>
          </w:p>
        </w:tc>
        <w:tc>
          <w:tcPr>
            <w:tcW w:w="1134"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sz w:val="16"/>
                <w:szCs w:val="16"/>
              </w:rPr>
            </w:pPr>
            <w:r>
              <w:rPr>
                <w:rFonts w:ascii="Arial" w:hAnsi="Arial" w:cs="Arial"/>
                <w:sz w:val="16"/>
                <w:szCs w:val="16"/>
              </w:rPr>
              <w:t>(141,668)</w:t>
            </w:r>
          </w:p>
        </w:tc>
      </w:tr>
      <w:tr w:rsidR="00FE0499" w:rsidRPr="00E23A6E" w:rsidTr="00036CD7">
        <w:trPr>
          <w:trHeight w:val="225"/>
        </w:trPr>
        <w:tc>
          <w:tcPr>
            <w:tcW w:w="3146" w:type="dxa"/>
            <w:tcBorders>
              <w:top w:val="nil"/>
              <w:left w:val="nil"/>
              <w:bottom w:val="single" w:sz="4" w:space="0" w:color="auto"/>
              <w:right w:val="nil"/>
            </w:tcBorders>
            <w:shd w:val="clear" w:color="auto" w:fill="auto"/>
            <w:noWrap/>
            <w:vAlign w:val="bottom"/>
            <w:hideMark/>
          </w:tcPr>
          <w:p w:rsidR="00FE0499" w:rsidRPr="00E23A6E" w:rsidRDefault="00FE0499" w:rsidP="00E048ED">
            <w:pPr>
              <w:spacing w:after="0" w:line="240" w:lineRule="auto"/>
              <w:rPr>
                <w:rFonts w:ascii="Arial" w:hAnsi="Arial" w:cs="Arial"/>
                <w:b/>
                <w:bCs/>
                <w:sz w:val="16"/>
                <w:szCs w:val="16"/>
              </w:rPr>
            </w:pPr>
            <w:r w:rsidRPr="00E23A6E">
              <w:rPr>
                <w:rFonts w:ascii="Arial" w:hAnsi="Arial" w:cs="Arial"/>
                <w:b/>
                <w:bCs/>
                <w:sz w:val="16"/>
                <w:szCs w:val="16"/>
              </w:rPr>
              <w:t>Closing net book balance</w:t>
            </w:r>
          </w:p>
        </w:tc>
        <w:tc>
          <w:tcPr>
            <w:tcW w:w="1221" w:type="dxa"/>
            <w:tcBorders>
              <w:top w:val="single" w:sz="4" w:space="0" w:color="auto"/>
              <w:left w:val="nil"/>
              <w:bottom w:val="single" w:sz="4" w:space="0" w:color="auto"/>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23,640 </w:t>
            </w:r>
          </w:p>
        </w:tc>
        <w:tc>
          <w:tcPr>
            <w:tcW w:w="1134" w:type="dxa"/>
            <w:tcBorders>
              <w:top w:val="single" w:sz="4" w:space="0" w:color="auto"/>
              <w:left w:val="nil"/>
              <w:bottom w:val="single" w:sz="4" w:space="0" w:color="auto"/>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28,856 </w:t>
            </w:r>
          </w:p>
        </w:tc>
        <w:tc>
          <w:tcPr>
            <w:tcW w:w="1134" w:type="dxa"/>
            <w:tcBorders>
              <w:top w:val="single" w:sz="4" w:space="0" w:color="auto"/>
              <w:left w:val="nil"/>
              <w:bottom w:val="single" w:sz="4" w:space="0" w:color="auto"/>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131,887 </w:t>
            </w:r>
          </w:p>
        </w:tc>
        <w:tc>
          <w:tcPr>
            <w:tcW w:w="1134" w:type="dxa"/>
            <w:tcBorders>
              <w:top w:val="single" w:sz="4" w:space="0" w:color="auto"/>
              <w:left w:val="nil"/>
              <w:bottom w:val="single" w:sz="4" w:space="0" w:color="auto"/>
              <w:right w:val="nil"/>
            </w:tcBorders>
            <w:shd w:val="clear" w:color="auto" w:fill="auto"/>
            <w:noWrap/>
            <w:vAlign w:val="bottom"/>
            <w:hideMark/>
          </w:tcPr>
          <w:p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184,383 </w:t>
            </w:r>
          </w:p>
        </w:tc>
      </w:tr>
    </w:tbl>
    <w:p w:rsidR="00E048ED" w:rsidRPr="009A05AD" w:rsidRDefault="00E048ED" w:rsidP="00E048ED">
      <w:pPr>
        <w:pStyle w:val="ChartandTableFootnoteAlpha"/>
        <w:numPr>
          <w:ilvl w:val="0"/>
          <w:numId w:val="9"/>
        </w:numPr>
        <w:rPr>
          <w:rFonts w:cs="Arial"/>
          <w:szCs w:val="16"/>
        </w:rPr>
      </w:pPr>
      <w:r w:rsidRPr="00132F9E">
        <w:rPr>
          <w:rFonts w:cs="Arial"/>
          <w:szCs w:val="16"/>
        </w:rPr>
        <w:t>‘Appropriation equity’ refers to equity injections appropriations provided through App</w:t>
      </w:r>
      <w:r w:rsidR="009A4CA7">
        <w:rPr>
          <w:rFonts w:cs="Arial"/>
          <w:szCs w:val="16"/>
        </w:rPr>
        <w:t>ropriation Bill (No. 2) 2018–19</w:t>
      </w:r>
      <w:r w:rsidRPr="00132F9E">
        <w:rPr>
          <w:rFonts w:cs="Arial"/>
          <w:szCs w:val="16"/>
        </w:rPr>
        <w:t>.</w:t>
      </w:r>
    </w:p>
    <w:p w:rsidR="00E048ED" w:rsidRDefault="00E048ED" w:rsidP="00E048ED">
      <w:pPr>
        <w:pStyle w:val="ChartandTableFootnote"/>
      </w:pPr>
      <w:r w:rsidRPr="00132F9E">
        <w:t>Prepared on Australian Accounting Standards basis.</w:t>
      </w:r>
    </w:p>
    <w:p w:rsidR="00E048ED" w:rsidRDefault="00E048ED" w:rsidP="00E048ED">
      <w:pPr>
        <w:pStyle w:val="TableHeading"/>
      </w:pPr>
      <w:r>
        <w:rPr>
          <w:rFonts w:cs="Arial"/>
          <w:szCs w:val="16"/>
        </w:rPr>
        <w:br w:type="page"/>
      </w: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681" w:type="dxa"/>
        <w:tblInd w:w="93" w:type="dxa"/>
        <w:tblCellMar>
          <w:left w:w="28" w:type="dxa"/>
          <w:right w:w="28" w:type="dxa"/>
        </w:tblCellMar>
        <w:tblLook w:val="04A0" w:firstRow="1" w:lastRow="0" w:firstColumn="1" w:lastColumn="0" w:noHBand="0" w:noVBand="1"/>
      </w:tblPr>
      <w:tblGrid>
        <w:gridCol w:w="3146"/>
        <w:gridCol w:w="907"/>
        <w:gridCol w:w="907"/>
        <w:gridCol w:w="907"/>
        <w:gridCol w:w="907"/>
        <w:gridCol w:w="907"/>
      </w:tblGrid>
      <w:tr w:rsidR="00E048ED" w:rsidRPr="00395036" w:rsidTr="00300D89">
        <w:trPr>
          <w:trHeight w:val="794"/>
        </w:trPr>
        <w:tc>
          <w:tcPr>
            <w:tcW w:w="3146" w:type="dxa"/>
            <w:tcBorders>
              <w:top w:val="single" w:sz="4" w:space="0" w:color="auto"/>
              <w:left w:val="nil"/>
              <w:bottom w:val="nil"/>
              <w:right w:val="nil"/>
            </w:tcBorders>
            <w:shd w:val="clear" w:color="auto" w:fill="auto"/>
            <w:noWrap/>
            <w:vAlign w:val="center"/>
            <w:hideMark/>
          </w:tcPr>
          <w:p w:rsidR="00E048ED" w:rsidRPr="00395036" w:rsidRDefault="00E048ED" w:rsidP="00300D89">
            <w:pPr>
              <w:spacing w:after="0" w:line="240" w:lineRule="auto"/>
              <w:rPr>
                <w:rFonts w:ascii="Arial" w:hAnsi="Arial" w:cs="Arial"/>
                <w:b/>
                <w:bCs/>
                <w:sz w:val="16"/>
                <w:szCs w:val="16"/>
              </w:rPr>
            </w:pPr>
            <w:r w:rsidRPr="00395036">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2017–18 Estimated actual</w:t>
            </w:r>
            <w:r w:rsidRPr="0039503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2018–19</w:t>
            </w:r>
            <w:r w:rsidRPr="00395036">
              <w:rPr>
                <w:rFonts w:ascii="Arial" w:hAnsi="Arial" w:cs="Arial"/>
                <w:sz w:val="16"/>
                <w:szCs w:val="16"/>
              </w:rPr>
              <w:br/>
              <w:t>Budget</w:t>
            </w:r>
            <w:r w:rsidRPr="00395036">
              <w:rPr>
                <w:rFonts w:ascii="Arial" w:hAnsi="Arial" w:cs="Arial"/>
                <w:sz w:val="16"/>
                <w:szCs w:val="16"/>
              </w:rPr>
              <w:br/>
            </w:r>
            <w:r w:rsidRPr="0039503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2019–20 Forward estimate</w:t>
            </w:r>
            <w:r w:rsidRPr="0039503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2020–21 Forward estimate</w:t>
            </w:r>
            <w:r w:rsidRPr="0039503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2021–22</w:t>
            </w:r>
            <w:r w:rsidRPr="00395036">
              <w:rPr>
                <w:rFonts w:ascii="Arial" w:hAnsi="Arial" w:cs="Arial"/>
                <w:sz w:val="16"/>
                <w:szCs w:val="16"/>
              </w:rPr>
              <w:br/>
              <w:t>Forward estimate</w:t>
            </w:r>
            <w:r w:rsidRPr="00395036">
              <w:rPr>
                <w:rFonts w:ascii="Arial" w:hAnsi="Arial" w:cs="Arial"/>
                <w:sz w:val="16"/>
                <w:szCs w:val="16"/>
              </w:rPr>
              <w:br/>
              <w:t>$'000</w:t>
            </w:r>
          </w:p>
        </w:tc>
      </w:tr>
      <w:tr w:rsidR="00036CD7" w:rsidRPr="00395036" w:rsidTr="00300D89">
        <w:trPr>
          <w:trHeight w:val="225"/>
        </w:trPr>
        <w:tc>
          <w:tcPr>
            <w:tcW w:w="3146" w:type="dxa"/>
            <w:tcBorders>
              <w:top w:val="nil"/>
              <w:left w:val="nil"/>
              <w:bottom w:val="nil"/>
              <w:right w:val="nil"/>
            </w:tcBorders>
            <w:shd w:val="clear" w:color="auto" w:fill="auto"/>
            <w:noWrap/>
            <w:vAlign w:val="center"/>
            <w:hideMark/>
          </w:tcPr>
          <w:p w:rsidR="00036CD7" w:rsidRPr="00395036" w:rsidRDefault="00036CD7"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EXPENSES</w:t>
            </w:r>
          </w:p>
        </w:tc>
        <w:tc>
          <w:tcPr>
            <w:tcW w:w="907" w:type="dxa"/>
            <w:tcBorders>
              <w:top w:val="nil"/>
              <w:left w:val="nil"/>
              <w:bottom w:val="nil"/>
              <w:right w:val="nil"/>
            </w:tcBorders>
            <w:shd w:val="clear" w:color="auto" w:fill="auto"/>
            <w:noWrap/>
            <w:vAlign w:val="center"/>
            <w:hideMark/>
          </w:tcPr>
          <w:p w:rsidR="00036CD7" w:rsidRDefault="00036CD7" w:rsidP="00036CD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036CD7" w:rsidRDefault="00036CD7" w:rsidP="00036CD7">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036CD7" w:rsidRDefault="00036CD7" w:rsidP="00036CD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036CD7" w:rsidRDefault="00036CD7" w:rsidP="00036CD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036CD7" w:rsidRDefault="00036CD7" w:rsidP="00036CD7">
            <w:pPr>
              <w:spacing w:after="0" w:line="240" w:lineRule="auto"/>
              <w:jc w:val="right"/>
              <w:rPr>
                <w:rFonts w:ascii="Arial" w:hAnsi="Arial" w:cs="Arial"/>
                <w:color w:val="000000"/>
                <w:sz w:val="16"/>
                <w:szCs w:val="16"/>
              </w:rPr>
            </w:pP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Suppliers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1,382,784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1,407,129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1,352,665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1,322,901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1,304,843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Subsidies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341,782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257,058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254,603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257,118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284,289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Personal benefits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302,983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321,255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320,707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318,049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319,808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Grants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99,642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71,673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63,391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62,670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62,411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Write-down and impairment of assets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Payments to corporate entities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6,020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5,995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r>
      <w:tr w:rsidR="00992448" w:rsidRPr="00395036" w:rsidTr="00300D89">
        <w:trPr>
          <w:trHeight w:val="397"/>
        </w:trPr>
        <w:tc>
          <w:tcPr>
            <w:tcW w:w="3146" w:type="dxa"/>
            <w:tcBorders>
              <w:top w:val="nil"/>
              <w:left w:val="nil"/>
              <w:bottom w:val="nil"/>
              <w:right w:val="nil"/>
            </w:tcBorders>
            <w:shd w:val="clear" w:color="auto" w:fill="auto"/>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 xml:space="preserve">Total </w:t>
            </w:r>
            <w:r>
              <w:rPr>
                <w:rFonts w:ascii="Arial" w:hAnsi="Arial" w:cs="Arial"/>
                <w:b/>
                <w:bCs/>
                <w:color w:val="000000"/>
                <w:sz w:val="16"/>
                <w:szCs w:val="16"/>
              </w:rPr>
              <w:t>expenses</w:t>
            </w:r>
            <w:r w:rsidRPr="00395036">
              <w:rPr>
                <w:rFonts w:ascii="Arial" w:hAnsi="Arial" w:cs="Arial"/>
                <w:b/>
                <w:bCs/>
                <w:color w:val="000000"/>
                <w:sz w:val="16"/>
                <w:szCs w:val="16"/>
              </w:rPr>
              <w:t xml:space="preserve"> administered on behalf </w:t>
            </w:r>
            <w:r w:rsidRPr="00395036">
              <w:rPr>
                <w:rFonts w:ascii="Arial" w:hAnsi="Arial" w:cs="Arial"/>
                <w:b/>
                <w:bCs/>
                <w:color w:val="000000"/>
                <w:sz w:val="16"/>
                <w:szCs w:val="16"/>
              </w:rPr>
              <w:br/>
              <w:t xml:space="preserve">  of Government</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2,133,853 </w:t>
            </w:r>
          </w:p>
        </w:tc>
        <w:tc>
          <w:tcPr>
            <w:tcW w:w="907" w:type="dxa"/>
            <w:tcBorders>
              <w:top w:val="single" w:sz="4" w:space="0" w:color="auto"/>
              <w:left w:val="nil"/>
              <w:bottom w:val="single" w:sz="4" w:space="0" w:color="auto"/>
              <w:right w:val="nil"/>
            </w:tcBorders>
            <w:shd w:val="clear" w:color="000000" w:fill="E6E6E6"/>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2,063,746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1,998,003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1,967,414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1,978,062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LESS: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OWN-SOURCE INCOME</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Own-source revenue</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Taxation revenue</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Other taxes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143,670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113,150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r>
      <w:tr w:rsidR="00992448" w:rsidRPr="00395036" w:rsidTr="00300D89">
        <w:trPr>
          <w:trHeight w:val="227"/>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i/>
                <w:iCs/>
                <w:color w:val="000000"/>
                <w:sz w:val="16"/>
                <w:szCs w:val="16"/>
              </w:rPr>
            </w:pPr>
            <w:r w:rsidRPr="00395036">
              <w:rPr>
                <w:rFonts w:ascii="Arial" w:hAnsi="Arial" w:cs="Arial"/>
                <w:b/>
                <w:bCs/>
                <w:i/>
                <w:iCs/>
                <w:color w:val="000000"/>
                <w:sz w:val="16"/>
                <w:szCs w:val="16"/>
              </w:rPr>
              <w:t>Total taxation revenue</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143,670 </w:t>
            </w:r>
          </w:p>
        </w:tc>
        <w:tc>
          <w:tcPr>
            <w:tcW w:w="907" w:type="dxa"/>
            <w:tcBorders>
              <w:top w:val="single" w:sz="4" w:space="0" w:color="auto"/>
              <w:left w:val="nil"/>
              <w:bottom w:val="single" w:sz="4" w:space="0" w:color="auto"/>
              <w:right w:val="nil"/>
            </w:tcBorders>
            <w:shd w:val="clear" w:color="000000" w:fill="E6E6E6"/>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113,150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154,618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154,618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154,618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Non-taxation revenue</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r>
      <w:tr w:rsidR="00992448" w:rsidRPr="00395036" w:rsidTr="00300D89">
        <w:trPr>
          <w:trHeight w:val="225"/>
        </w:trPr>
        <w:tc>
          <w:tcPr>
            <w:tcW w:w="3146" w:type="dxa"/>
            <w:tcBorders>
              <w:top w:val="nil"/>
              <w:left w:val="nil"/>
              <w:bottom w:val="nil"/>
              <w:right w:val="nil"/>
            </w:tcBorders>
            <w:shd w:val="clear" w:color="auto" w:fill="auto"/>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Recoveries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70,612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74,126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76,100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Other revenue</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r>
      <w:tr w:rsidR="00992448" w:rsidRPr="00395036" w:rsidTr="00300D89">
        <w:trPr>
          <w:trHeight w:val="227"/>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i/>
                <w:iCs/>
                <w:color w:val="000000"/>
                <w:sz w:val="16"/>
                <w:szCs w:val="16"/>
              </w:rPr>
            </w:pPr>
            <w:r w:rsidRPr="00395036">
              <w:rPr>
                <w:rFonts w:ascii="Arial" w:hAnsi="Arial" w:cs="Arial"/>
                <w:b/>
                <w:bCs/>
                <w:i/>
                <w:iCs/>
                <w:color w:val="000000"/>
                <w:sz w:val="16"/>
                <w:szCs w:val="16"/>
              </w:rPr>
              <w:t>Total non-taxation revenue</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73,802 </w:t>
            </w:r>
          </w:p>
        </w:tc>
        <w:tc>
          <w:tcPr>
            <w:tcW w:w="907" w:type="dxa"/>
            <w:tcBorders>
              <w:top w:val="single" w:sz="4" w:space="0" w:color="auto"/>
              <w:left w:val="nil"/>
              <w:bottom w:val="single" w:sz="4" w:space="0" w:color="auto"/>
              <w:right w:val="nil"/>
            </w:tcBorders>
            <w:shd w:val="clear" w:color="000000" w:fill="E6E6E6"/>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77,316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79,290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r>
      <w:tr w:rsidR="00992448" w:rsidRPr="00395036" w:rsidTr="00300D89">
        <w:trPr>
          <w:trHeight w:val="397"/>
        </w:trPr>
        <w:tc>
          <w:tcPr>
            <w:tcW w:w="3146" w:type="dxa"/>
            <w:tcBorders>
              <w:top w:val="nil"/>
              <w:left w:val="nil"/>
              <w:bottom w:val="nil"/>
              <w:right w:val="nil"/>
            </w:tcBorders>
            <w:shd w:val="clear" w:color="auto" w:fill="auto"/>
            <w:vAlign w:val="center"/>
            <w:hideMark/>
          </w:tcPr>
          <w:p w:rsidR="00992448" w:rsidRPr="00395036" w:rsidRDefault="00992448" w:rsidP="00300D89">
            <w:pPr>
              <w:spacing w:after="0" w:line="240" w:lineRule="auto"/>
              <w:ind w:left="191" w:hanging="191"/>
              <w:rPr>
                <w:rFonts w:ascii="Arial" w:hAnsi="Arial" w:cs="Arial"/>
                <w:b/>
                <w:bCs/>
                <w:color w:val="000000"/>
                <w:sz w:val="16"/>
                <w:szCs w:val="16"/>
              </w:rPr>
            </w:pPr>
            <w:r w:rsidRPr="00395036">
              <w:rPr>
                <w:rFonts w:ascii="Arial" w:hAnsi="Arial" w:cs="Arial"/>
                <w:b/>
                <w:bCs/>
                <w:color w:val="000000"/>
                <w:sz w:val="16"/>
                <w:szCs w:val="16"/>
              </w:rPr>
              <w:t>Total own-source revenue administered on behalf of Government</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217,472 </w:t>
            </w:r>
          </w:p>
        </w:tc>
        <w:tc>
          <w:tcPr>
            <w:tcW w:w="907" w:type="dxa"/>
            <w:tcBorders>
              <w:top w:val="nil"/>
              <w:left w:val="nil"/>
              <w:bottom w:val="single" w:sz="4" w:space="0" w:color="auto"/>
              <w:right w:val="nil"/>
            </w:tcBorders>
            <w:shd w:val="clear" w:color="000000" w:fill="E6E6E6"/>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190,466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233,908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235,964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235,964 </w:t>
            </w:r>
          </w:p>
        </w:tc>
      </w:tr>
      <w:tr w:rsidR="00992448" w:rsidRPr="00395036" w:rsidTr="00300D89">
        <w:trPr>
          <w:trHeight w:val="397"/>
        </w:trPr>
        <w:tc>
          <w:tcPr>
            <w:tcW w:w="3146" w:type="dxa"/>
            <w:tcBorders>
              <w:top w:val="nil"/>
              <w:left w:val="nil"/>
              <w:right w:val="nil"/>
            </w:tcBorders>
            <w:shd w:val="clear" w:color="auto" w:fill="auto"/>
            <w:vAlign w:val="center"/>
            <w:hideMark/>
          </w:tcPr>
          <w:p w:rsidR="00992448" w:rsidRPr="00395036" w:rsidRDefault="00992448" w:rsidP="00300D89">
            <w:pPr>
              <w:spacing w:after="0" w:line="240" w:lineRule="auto"/>
              <w:ind w:left="191" w:hanging="191"/>
              <w:rPr>
                <w:rFonts w:ascii="Arial" w:hAnsi="Arial" w:cs="Arial"/>
                <w:b/>
                <w:bCs/>
                <w:color w:val="000000"/>
                <w:sz w:val="16"/>
                <w:szCs w:val="16"/>
              </w:rPr>
            </w:pPr>
            <w:r w:rsidRPr="00395036">
              <w:rPr>
                <w:rFonts w:ascii="Arial" w:hAnsi="Arial" w:cs="Arial"/>
                <w:b/>
                <w:bCs/>
                <w:color w:val="000000"/>
                <w:sz w:val="16"/>
                <w:szCs w:val="16"/>
              </w:rPr>
              <w:t>Total own-sourced income administered on behalf of Government</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217,472 </w:t>
            </w:r>
          </w:p>
        </w:tc>
        <w:tc>
          <w:tcPr>
            <w:tcW w:w="907" w:type="dxa"/>
            <w:tcBorders>
              <w:top w:val="nil"/>
              <w:left w:val="nil"/>
              <w:bottom w:val="single" w:sz="4" w:space="0" w:color="auto"/>
              <w:right w:val="nil"/>
            </w:tcBorders>
            <w:shd w:val="clear" w:color="000000" w:fill="E6E6E6"/>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190,466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233,908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235,964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235,964 </w:t>
            </w:r>
          </w:p>
        </w:tc>
      </w:tr>
      <w:tr w:rsidR="00992448" w:rsidRPr="00395036" w:rsidTr="00300D89">
        <w:trPr>
          <w:trHeight w:val="227"/>
        </w:trPr>
        <w:tc>
          <w:tcPr>
            <w:tcW w:w="3146" w:type="dxa"/>
            <w:tcBorders>
              <w:top w:val="nil"/>
              <w:left w:val="nil"/>
              <w:right w:val="nil"/>
            </w:tcBorders>
            <w:shd w:val="clear" w:color="auto" w:fill="auto"/>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Net cost of/contribution by services</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1,916,381 </w:t>
            </w:r>
          </w:p>
        </w:tc>
        <w:tc>
          <w:tcPr>
            <w:tcW w:w="907" w:type="dxa"/>
            <w:tcBorders>
              <w:top w:val="nil"/>
              <w:left w:val="nil"/>
              <w:bottom w:val="single" w:sz="4" w:space="0" w:color="auto"/>
              <w:right w:val="nil"/>
            </w:tcBorders>
            <w:shd w:val="clear" w:color="000000" w:fill="E6E6E6"/>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1,873,280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1,764,095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1,731,450 </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1,742,098 </w:t>
            </w:r>
          </w:p>
        </w:tc>
      </w:tr>
      <w:tr w:rsidR="00992448" w:rsidRPr="00395036" w:rsidTr="00300D89">
        <w:trPr>
          <w:trHeight w:val="225"/>
        </w:trPr>
        <w:tc>
          <w:tcPr>
            <w:tcW w:w="3146" w:type="dxa"/>
            <w:tcBorders>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Surplus/(deficit) before income tax</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(1,916,381)</w:t>
            </w:r>
          </w:p>
        </w:tc>
        <w:tc>
          <w:tcPr>
            <w:tcW w:w="907" w:type="dxa"/>
            <w:tcBorders>
              <w:top w:val="nil"/>
              <w:left w:val="nil"/>
              <w:bottom w:val="single" w:sz="4" w:space="0" w:color="auto"/>
              <w:right w:val="nil"/>
            </w:tcBorders>
            <w:shd w:val="clear" w:color="000000" w:fill="E6E6E6"/>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(1,873,280)</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(1,764,095)</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(1,731,450)</w:t>
            </w:r>
          </w:p>
        </w:tc>
        <w:tc>
          <w:tcPr>
            <w:tcW w:w="907" w:type="dxa"/>
            <w:tcBorders>
              <w:top w:val="nil"/>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(1,742,098)</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Income tax expense</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Surplus/(deficit) after income tax</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(1,916,381)</w:t>
            </w:r>
          </w:p>
        </w:tc>
        <w:tc>
          <w:tcPr>
            <w:tcW w:w="907" w:type="dxa"/>
            <w:tcBorders>
              <w:top w:val="single" w:sz="4" w:space="0" w:color="auto"/>
              <w:left w:val="nil"/>
              <w:bottom w:val="single" w:sz="4" w:space="0" w:color="auto"/>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(1,873,280)</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(1,764,095)</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(1,731,450)</w:t>
            </w:r>
          </w:p>
        </w:tc>
        <w:tc>
          <w:tcPr>
            <w:tcW w:w="907" w:type="dxa"/>
            <w:tcBorders>
              <w:top w:val="single" w:sz="4" w:space="0" w:color="auto"/>
              <w:left w:val="nil"/>
              <w:bottom w:val="single" w:sz="4" w:space="0" w:color="auto"/>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(1,742,098)</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OTHER COMPREHENSIVE INCOME</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r>
      <w:tr w:rsidR="00992448" w:rsidRPr="00395036" w:rsidTr="00300D89">
        <w:trPr>
          <w:trHeight w:val="397"/>
        </w:trPr>
        <w:tc>
          <w:tcPr>
            <w:tcW w:w="3146" w:type="dxa"/>
            <w:tcBorders>
              <w:top w:val="nil"/>
              <w:left w:val="nil"/>
              <w:bottom w:val="nil"/>
              <w:right w:val="nil"/>
            </w:tcBorders>
            <w:shd w:val="clear" w:color="auto" w:fill="auto"/>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Items not subject of subsequent</w:t>
            </w:r>
            <w:r w:rsidRPr="00395036">
              <w:rPr>
                <w:rFonts w:ascii="Arial" w:hAnsi="Arial" w:cs="Arial"/>
                <w:b/>
                <w:bCs/>
                <w:color w:val="000000"/>
                <w:sz w:val="16"/>
                <w:szCs w:val="16"/>
              </w:rPr>
              <w:br/>
              <w:t xml:space="preserve">  reclassification to net cost of services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ind w:firstLineChars="100" w:firstLine="160"/>
              <w:rPr>
                <w:rFonts w:ascii="Arial" w:hAnsi="Arial" w:cs="Arial"/>
                <w:sz w:val="16"/>
                <w:szCs w:val="16"/>
              </w:rPr>
            </w:pPr>
            <w:r w:rsidRPr="00395036">
              <w:rPr>
                <w:rFonts w:ascii="Arial" w:hAnsi="Arial" w:cs="Arial"/>
                <w:sz w:val="16"/>
                <w:szCs w:val="16"/>
              </w:rPr>
              <w:t>Changes in asset revaluation surplus</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92448" w:rsidRPr="00395036" w:rsidTr="00300D89">
        <w:trPr>
          <w:trHeight w:val="225"/>
        </w:trPr>
        <w:tc>
          <w:tcPr>
            <w:tcW w:w="3146" w:type="dxa"/>
            <w:tcBorders>
              <w:top w:val="nil"/>
              <w:left w:val="nil"/>
              <w:bottom w:val="nil"/>
              <w:right w:val="nil"/>
            </w:tcBorders>
            <w:shd w:val="clear" w:color="auto" w:fill="auto"/>
            <w:noWrap/>
            <w:vAlign w:val="center"/>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Total other comprehensive income</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992448" w:rsidRPr="00395036" w:rsidTr="00300D89">
        <w:trPr>
          <w:trHeight w:val="225"/>
        </w:trPr>
        <w:tc>
          <w:tcPr>
            <w:tcW w:w="3146" w:type="dxa"/>
            <w:tcBorders>
              <w:top w:val="nil"/>
              <w:left w:val="nil"/>
              <w:bottom w:val="single" w:sz="4" w:space="0" w:color="000000"/>
              <w:right w:val="nil"/>
            </w:tcBorders>
            <w:shd w:val="clear" w:color="auto" w:fill="auto"/>
            <w:noWrap/>
            <w:vAlign w:val="bottom"/>
            <w:hideMark/>
          </w:tcPr>
          <w:p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Total comprehensive income/(loss)</w:t>
            </w:r>
          </w:p>
        </w:tc>
        <w:tc>
          <w:tcPr>
            <w:tcW w:w="907" w:type="dxa"/>
            <w:tcBorders>
              <w:top w:val="nil"/>
              <w:left w:val="nil"/>
              <w:bottom w:val="single" w:sz="4" w:space="0" w:color="000000"/>
              <w:right w:val="nil"/>
            </w:tcBorders>
            <w:shd w:val="clear" w:color="auto" w:fill="auto"/>
            <w:noWrap/>
            <w:vAlign w:val="bottom"/>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(1,916,381)</w:t>
            </w:r>
          </w:p>
        </w:tc>
        <w:tc>
          <w:tcPr>
            <w:tcW w:w="907" w:type="dxa"/>
            <w:tcBorders>
              <w:top w:val="nil"/>
              <w:left w:val="nil"/>
              <w:bottom w:val="single" w:sz="4" w:space="0" w:color="000000"/>
              <w:right w:val="nil"/>
            </w:tcBorders>
            <w:shd w:val="clear" w:color="000000" w:fill="E6E6E6"/>
            <w:noWrap/>
            <w:vAlign w:val="bottom"/>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(1,873,280)</w:t>
            </w:r>
          </w:p>
        </w:tc>
        <w:tc>
          <w:tcPr>
            <w:tcW w:w="907" w:type="dxa"/>
            <w:tcBorders>
              <w:top w:val="nil"/>
              <w:left w:val="nil"/>
              <w:bottom w:val="single" w:sz="4" w:space="0" w:color="000000"/>
              <w:right w:val="nil"/>
            </w:tcBorders>
            <w:shd w:val="clear" w:color="auto" w:fill="auto"/>
            <w:noWrap/>
            <w:vAlign w:val="bottom"/>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(1,764,095)</w:t>
            </w:r>
          </w:p>
        </w:tc>
        <w:tc>
          <w:tcPr>
            <w:tcW w:w="907" w:type="dxa"/>
            <w:tcBorders>
              <w:top w:val="nil"/>
              <w:left w:val="nil"/>
              <w:bottom w:val="single" w:sz="4" w:space="0" w:color="000000"/>
              <w:right w:val="nil"/>
            </w:tcBorders>
            <w:shd w:val="clear" w:color="auto" w:fill="auto"/>
            <w:noWrap/>
            <w:vAlign w:val="bottom"/>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(1,731,450)</w:t>
            </w:r>
          </w:p>
        </w:tc>
        <w:tc>
          <w:tcPr>
            <w:tcW w:w="907" w:type="dxa"/>
            <w:tcBorders>
              <w:top w:val="nil"/>
              <w:left w:val="nil"/>
              <w:bottom w:val="single" w:sz="4" w:space="0" w:color="000000"/>
              <w:right w:val="nil"/>
            </w:tcBorders>
            <w:shd w:val="clear" w:color="auto" w:fill="auto"/>
            <w:noWrap/>
            <w:vAlign w:val="bottom"/>
            <w:hideMark/>
          </w:tcPr>
          <w:p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(1,742,098)</w:t>
            </w:r>
          </w:p>
        </w:tc>
      </w:tr>
    </w:tbl>
    <w:p w:rsidR="00E048ED" w:rsidRDefault="00E048ED" w:rsidP="00E048ED">
      <w:pPr>
        <w:pStyle w:val="ChartandTableFootnote"/>
      </w:pPr>
      <w:r w:rsidRPr="00E4582E">
        <w:t>Prepared on Australian Accounting Standards basis</w:t>
      </w:r>
      <w:r>
        <w:t>.</w:t>
      </w:r>
    </w:p>
    <w:p w:rsidR="00E048ED" w:rsidRDefault="00E048ED" w:rsidP="00E048ED">
      <w:pPr>
        <w:pStyle w:val="TableHeading"/>
      </w:pPr>
      <w:r>
        <w:br w:type="page"/>
      </w:r>
      <w:r w:rsidRPr="00D30CBA">
        <w:lastRenderedPageBreak/>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711" w:type="dxa"/>
        <w:tblInd w:w="93" w:type="dxa"/>
        <w:tblCellMar>
          <w:left w:w="57" w:type="dxa"/>
          <w:right w:w="57" w:type="dxa"/>
        </w:tblCellMar>
        <w:tblLook w:val="04A0" w:firstRow="1" w:lastRow="0" w:firstColumn="1" w:lastColumn="0" w:noHBand="0" w:noVBand="1"/>
      </w:tblPr>
      <w:tblGrid>
        <w:gridCol w:w="2891"/>
        <w:gridCol w:w="964"/>
        <w:gridCol w:w="964"/>
        <w:gridCol w:w="964"/>
        <w:gridCol w:w="964"/>
        <w:gridCol w:w="964"/>
      </w:tblGrid>
      <w:tr w:rsidR="00E048ED" w:rsidRPr="00CE33FB" w:rsidTr="00E048ED">
        <w:trPr>
          <w:trHeight w:val="794"/>
        </w:trPr>
        <w:tc>
          <w:tcPr>
            <w:tcW w:w="2891" w:type="dxa"/>
            <w:tcBorders>
              <w:top w:val="single" w:sz="4" w:space="0" w:color="auto"/>
              <w:left w:val="nil"/>
              <w:bottom w:val="nil"/>
              <w:right w:val="nil"/>
            </w:tcBorders>
            <w:shd w:val="clear" w:color="auto" w:fill="auto"/>
            <w:noWrap/>
            <w:hideMark/>
          </w:tcPr>
          <w:p w:rsidR="00E048ED" w:rsidRPr="00CE33FB" w:rsidRDefault="00E048ED" w:rsidP="00E048ED">
            <w:pPr>
              <w:spacing w:after="0" w:line="240" w:lineRule="auto"/>
              <w:rPr>
                <w:rFonts w:ascii="Arial" w:hAnsi="Arial" w:cs="Arial"/>
                <w:b/>
                <w:bCs/>
                <w:sz w:val="16"/>
                <w:szCs w:val="16"/>
              </w:rPr>
            </w:pPr>
            <w:r w:rsidRPr="00CE33FB">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2017–18 Estimated actual</w:t>
            </w:r>
            <w:r w:rsidRPr="00CE33FB">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000000" w:fill="E6E6E6"/>
            <w:vAlign w:val="center"/>
            <w:hideMark/>
          </w:tcPr>
          <w:p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2018–19</w:t>
            </w:r>
            <w:r w:rsidRPr="00CE33FB">
              <w:rPr>
                <w:rFonts w:ascii="Arial" w:hAnsi="Arial" w:cs="Arial"/>
                <w:sz w:val="16"/>
                <w:szCs w:val="16"/>
              </w:rPr>
              <w:br/>
              <w:t>Budget</w:t>
            </w:r>
            <w:r w:rsidRPr="00CE33FB">
              <w:rPr>
                <w:rFonts w:ascii="Arial" w:hAnsi="Arial" w:cs="Arial"/>
                <w:sz w:val="16"/>
                <w:szCs w:val="16"/>
              </w:rPr>
              <w:br/>
            </w:r>
            <w:r w:rsidRPr="00CE33FB">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2019–20 Forward estimate</w:t>
            </w:r>
            <w:r w:rsidRPr="00CE33FB">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2020–21 Forward estimate</w:t>
            </w:r>
            <w:r w:rsidRPr="00CE33FB">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2021–22</w:t>
            </w:r>
            <w:r w:rsidRPr="00CE33FB">
              <w:rPr>
                <w:rFonts w:ascii="Arial" w:hAnsi="Arial" w:cs="Arial"/>
                <w:sz w:val="16"/>
                <w:szCs w:val="16"/>
              </w:rPr>
              <w:br/>
              <w:t>Forward estimate</w:t>
            </w:r>
            <w:r w:rsidRPr="00CE33FB">
              <w:rPr>
                <w:rFonts w:ascii="Arial" w:hAnsi="Arial" w:cs="Arial"/>
                <w:sz w:val="16"/>
                <w:szCs w:val="16"/>
              </w:rPr>
              <w:br/>
              <w:t>$'000</w:t>
            </w:r>
          </w:p>
        </w:tc>
      </w:tr>
      <w:tr w:rsidR="00E048ED" w:rsidRPr="00CE33FB" w:rsidTr="00E048ED">
        <w:trPr>
          <w:trHeight w:val="225"/>
        </w:trPr>
        <w:tc>
          <w:tcPr>
            <w:tcW w:w="2891"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 xml:space="preserve">ASSETS </w:t>
            </w:r>
          </w:p>
        </w:tc>
        <w:tc>
          <w:tcPr>
            <w:tcW w:w="964"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E048ED" w:rsidRPr="00CE33FB" w:rsidRDefault="00E048ED" w:rsidP="00E048ED">
            <w:pPr>
              <w:spacing w:after="0" w:line="240" w:lineRule="auto"/>
              <w:jc w:val="right"/>
              <w:rPr>
                <w:rFonts w:ascii="Arial" w:hAnsi="Arial" w:cs="Arial"/>
                <w:color w:val="000000"/>
                <w:sz w:val="16"/>
                <w:szCs w:val="16"/>
              </w:rPr>
            </w:pPr>
            <w:r w:rsidRPr="00CE33FB">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jc w:val="right"/>
              <w:rPr>
                <w:rFonts w:ascii="Arial" w:hAnsi="Arial" w:cs="Arial"/>
                <w:color w:val="000000"/>
                <w:sz w:val="16"/>
                <w:szCs w:val="16"/>
              </w:rPr>
            </w:pPr>
          </w:p>
        </w:tc>
      </w:tr>
      <w:tr w:rsidR="00E048ED" w:rsidRPr="00CE33FB" w:rsidTr="00E048ED">
        <w:trPr>
          <w:trHeight w:val="225"/>
        </w:trPr>
        <w:tc>
          <w:tcPr>
            <w:tcW w:w="2891"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E048ED" w:rsidRPr="00CE33FB" w:rsidRDefault="00E048ED" w:rsidP="00E048ED">
            <w:pPr>
              <w:spacing w:after="0" w:line="240" w:lineRule="auto"/>
              <w:jc w:val="right"/>
              <w:rPr>
                <w:rFonts w:ascii="Arial" w:hAnsi="Arial" w:cs="Arial"/>
                <w:color w:val="000000"/>
                <w:sz w:val="16"/>
                <w:szCs w:val="16"/>
              </w:rPr>
            </w:pPr>
            <w:r w:rsidRPr="00CE33FB">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E048ED" w:rsidRPr="00CE33FB" w:rsidRDefault="00E048ED" w:rsidP="00E048ED">
            <w:pPr>
              <w:spacing w:after="0" w:line="240" w:lineRule="auto"/>
              <w:jc w:val="right"/>
              <w:rPr>
                <w:rFonts w:ascii="Arial" w:hAnsi="Arial" w:cs="Arial"/>
                <w:color w:val="000000"/>
                <w:sz w:val="16"/>
                <w:szCs w:val="16"/>
              </w:rPr>
            </w:pP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sz w:val="16"/>
                <w:szCs w:val="16"/>
              </w:rPr>
            </w:pPr>
            <w:r w:rsidRPr="00CE33FB">
              <w:rPr>
                <w:rFonts w:ascii="Arial" w:hAnsi="Arial" w:cs="Arial"/>
                <w:sz w:val="16"/>
                <w:szCs w:val="16"/>
              </w:rPr>
              <w:t>Taxation receivables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Trade and other receivables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27,547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27,547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27,547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27,547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26,905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Other investments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r>
      <w:tr w:rsidR="007803BB" w:rsidRPr="00CE33FB" w:rsidTr="007803BB">
        <w:trPr>
          <w:trHeight w:val="210"/>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rPr>
                <w:rFonts w:ascii="Arial" w:hAnsi="Arial" w:cs="Arial"/>
                <w:b/>
                <w:bCs/>
                <w:i/>
                <w:iCs/>
                <w:color w:val="000000"/>
                <w:sz w:val="16"/>
                <w:szCs w:val="16"/>
              </w:rPr>
            </w:pPr>
            <w:r w:rsidRPr="00CE33FB">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384,246 </w:t>
            </w:r>
          </w:p>
        </w:tc>
        <w:tc>
          <w:tcPr>
            <w:tcW w:w="964" w:type="dxa"/>
            <w:tcBorders>
              <w:top w:val="single" w:sz="4" w:space="0" w:color="000000"/>
              <w:left w:val="nil"/>
              <w:bottom w:val="single" w:sz="4" w:space="0" w:color="000000"/>
              <w:right w:val="nil"/>
            </w:tcBorders>
            <w:shd w:val="clear" w:color="000000" w:fill="E6E6E6"/>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384,246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384,246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384,246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383,604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5,921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6,219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6,410 </w:t>
            </w:r>
          </w:p>
        </w:tc>
      </w:tr>
      <w:tr w:rsidR="007803BB" w:rsidRPr="00CE33FB" w:rsidTr="007803BB">
        <w:trPr>
          <w:trHeight w:val="227"/>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rPr>
                <w:rFonts w:ascii="Arial" w:hAnsi="Arial" w:cs="Arial"/>
                <w:b/>
                <w:bCs/>
                <w:i/>
                <w:iCs/>
                <w:color w:val="000000"/>
                <w:sz w:val="16"/>
                <w:szCs w:val="16"/>
              </w:rPr>
            </w:pPr>
            <w:r w:rsidRPr="00CE33FB">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000000" w:fill="FFFFFF"/>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5,921 </w:t>
            </w:r>
          </w:p>
        </w:tc>
        <w:tc>
          <w:tcPr>
            <w:tcW w:w="964" w:type="dxa"/>
            <w:tcBorders>
              <w:top w:val="single" w:sz="4" w:space="0" w:color="000000"/>
              <w:left w:val="nil"/>
              <w:bottom w:val="single" w:sz="4" w:space="0" w:color="000000"/>
              <w:right w:val="nil"/>
            </w:tcBorders>
            <w:shd w:val="clear" w:color="000000" w:fill="E6E6E6"/>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6,034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6,034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6,219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6,410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Assets held for sale</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803BB" w:rsidRPr="00CE33FB" w:rsidTr="007803BB">
        <w:trPr>
          <w:trHeight w:val="397"/>
        </w:trPr>
        <w:tc>
          <w:tcPr>
            <w:tcW w:w="2891" w:type="dxa"/>
            <w:tcBorders>
              <w:top w:val="nil"/>
              <w:left w:val="nil"/>
              <w:bottom w:val="nil"/>
              <w:right w:val="nil"/>
            </w:tcBorders>
            <w:shd w:val="clear" w:color="auto" w:fill="auto"/>
            <w:vAlign w:val="center"/>
            <w:hideMark/>
          </w:tcPr>
          <w:p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Total assets administered on</w:t>
            </w:r>
            <w:r w:rsidRPr="00CE33FB">
              <w:rPr>
                <w:rFonts w:ascii="Arial" w:hAnsi="Arial" w:cs="Arial"/>
                <w:b/>
                <w:bCs/>
                <w:color w:val="000000"/>
                <w:sz w:val="16"/>
                <w:szCs w:val="16"/>
              </w:rPr>
              <w:br/>
              <w:t xml:space="preserve">  behalf of Government</w:t>
            </w:r>
          </w:p>
        </w:tc>
        <w:tc>
          <w:tcPr>
            <w:tcW w:w="964" w:type="dxa"/>
            <w:tcBorders>
              <w:top w:val="single" w:sz="4" w:space="0" w:color="auto"/>
              <w:left w:val="nil"/>
              <w:bottom w:val="single" w:sz="4" w:space="0" w:color="auto"/>
              <w:right w:val="nil"/>
            </w:tcBorders>
            <w:shd w:val="clear" w:color="auto" w:fill="auto"/>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390,167 </w:t>
            </w:r>
          </w:p>
        </w:tc>
        <w:tc>
          <w:tcPr>
            <w:tcW w:w="964" w:type="dxa"/>
            <w:tcBorders>
              <w:top w:val="single" w:sz="4" w:space="0" w:color="auto"/>
              <w:left w:val="nil"/>
              <w:bottom w:val="single" w:sz="4" w:space="0" w:color="auto"/>
              <w:right w:val="nil"/>
            </w:tcBorders>
            <w:shd w:val="clear" w:color="000000" w:fill="E6E6E6"/>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390,280 </w:t>
            </w:r>
          </w:p>
        </w:tc>
        <w:tc>
          <w:tcPr>
            <w:tcW w:w="964" w:type="dxa"/>
            <w:tcBorders>
              <w:top w:val="single" w:sz="4" w:space="0" w:color="auto"/>
              <w:left w:val="nil"/>
              <w:bottom w:val="single" w:sz="4" w:space="0" w:color="auto"/>
              <w:right w:val="nil"/>
            </w:tcBorders>
            <w:shd w:val="clear" w:color="auto" w:fill="auto"/>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390,280 </w:t>
            </w:r>
          </w:p>
        </w:tc>
        <w:tc>
          <w:tcPr>
            <w:tcW w:w="964" w:type="dxa"/>
            <w:tcBorders>
              <w:top w:val="single" w:sz="4" w:space="0" w:color="auto"/>
              <w:left w:val="nil"/>
              <w:bottom w:val="single" w:sz="4" w:space="0" w:color="auto"/>
              <w:right w:val="nil"/>
            </w:tcBorders>
            <w:shd w:val="clear" w:color="auto" w:fill="auto"/>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390,465 </w:t>
            </w:r>
          </w:p>
        </w:tc>
        <w:tc>
          <w:tcPr>
            <w:tcW w:w="964" w:type="dxa"/>
            <w:tcBorders>
              <w:top w:val="single" w:sz="4" w:space="0" w:color="auto"/>
              <w:left w:val="nil"/>
              <w:bottom w:val="single" w:sz="4" w:space="0" w:color="auto"/>
              <w:right w:val="nil"/>
            </w:tcBorders>
            <w:shd w:val="clear" w:color="auto" w:fill="auto"/>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390,014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Subsidies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Personal benefits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Grants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r>
      <w:tr w:rsidR="007803BB" w:rsidRPr="00CE33FB" w:rsidTr="007803BB">
        <w:trPr>
          <w:trHeight w:val="225"/>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2,507,259 </w:t>
            </w:r>
          </w:p>
        </w:tc>
        <w:tc>
          <w:tcPr>
            <w:tcW w:w="964" w:type="dxa"/>
            <w:tcBorders>
              <w:top w:val="nil"/>
              <w:left w:val="nil"/>
              <w:bottom w:val="nil"/>
              <w:right w:val="nil"/>
            </w:tcBorders>
            <w:shd w:val="clear" w:color="000000" w:fill="E6E6E6"/>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2,424,122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2,374,661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2,331,941 </w:t>
            </w:r>
          </w:p>
        </w:tc>
        <w:tc>
          <w:tcPr>
            <w:tcW w:w="964" w:type="dxa"/>
            <w:tcBorders>
              <w:top w:val="nil"/>
              <w:left w:val="nil"/>
              <w:bottom w:val="nil"/>
              <w:right w:val="nil"/>
            </w:tcBorders>
            <w:shd w:val="clear" w:color="auto" w:fill="auto"/>
            <w:noWrap/>
            <w:vAlign w:val="center"/>
            <w:hideMark/>
          </w:tcPr>
          <w:p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2,298,371 </w:t>
            </w:r>
          </w:p>
        </w:tc>
      </w:tr>
      <w:tr w:rsidR="007803BB" w:rsidRPr="00CE33FB" w:rsidTr="007803BB">
        <w:trPr>
          <w:trHeight w:val="227"/>
        </w:trPr>
        <w:tc>
          <w:tcPr>
            <w:tcW w:w="2891" w:type="dxa"/>
            <w:tcBorders>
              <w:top w:val="nil"/>
              <w:left w:val="nil"/>
              <w:bottom w:val="nil"/>
              <w:right w:val="nil"/>
            </w:tcBorders>
            <w:shd w:val="clear" w:color="auto" w:fill="auto"/>
            <w:noWrap/>
            <w:vAlign w:val="center"/>
            <w:hideMark/>
          </w:tcPr>
          <w:p w:rsidR="007803BB" w:rsidRPr="00CE33FB" w:rsidRDefault="007803BB" w:rsidP="00E048ED">
            <w:pPr>
              <w:spacing w:after="0" w:line="240" w:lineRule="auto"/>
              <w:rPr>
                <w:rFonts w:ascii="Arial" w:hAnsi="Arial" w:cs="Arial"/>
                <w:b/>
                <w:bCs/>
                <w:i/>
                <w:iCs/>
                <w:color w:val="000000"/>
                <w:sz w:val="16"/>
                <w:szCs w:val="16"/>
              </w:rPr>
            </w:pPr>
            <w:r w:rsidRPr="00CE33FB">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2,630,827 </w:t>
            </w:r>
          </w:p>
        </w:tc>
        <w:tc>
          <w:tcPr>
            <w:tcW w:w="964" w:type="dxa"/>
            <w:tcBorders>
              <w:top w:val="single" w:sz="4" w:space="0" w:color="000000"/>
              <w:left w:val="nil"/>
              <w:bottom w:val="single" w:sz="4" w:space="0" w:color="000000"/>
              <w:right w:val="nil"/>
            </w:tcBorders>
            <w:shd w:val="clear" w:color="000000" w:fill="E6E6E6"/>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2,547,690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2,498,229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2,455,509 </w:t>
            </w:r>
          </w:p>
        </w:tc>
        <w:tc>
          <w:tcPr>
            <w:tcW w:w="964" w:type="dxa"/>
            <w:tcBorders>
              <w:top w:val="single" w:sz="4" w:space="0" w:color="000000"/>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2,421,939 </w:t>
            </w:r>
          </w:p>
        </w:tc>
      </w:tr>
      <w:tr w:rsidR="007803BB" w:rsidRPr="00CE33FB" w:rsidTr="007803BB">
        <w:trPr>
          <w:trHeight w:val="397"/>
        </w:trPr>
        <w:tc>
          <w:tcPr>
            <w:tcW w:w="2891" w:type="dxa"/>
            <w:tcBorders>
              <w:top w:val="nil"/>
              <w:left w:val="nil"/>
              <w:bottom w:val="nil"/>
              <w:right w:val="nil"/>
            </w:tcBorders>
            <w:shd w:val="clear" w:color="auto" w:fill="auto"/>
            <w:vAlign w:val="center"/>
            <w:hideMark/>
          </w:tcPr>
          <w:p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Total liabilities administered on</w:t>
            </w:r>
            <w:r w:rsidRPr="00CE33FB">
              <w:rPr>
                <w:rFonts w:ascii="Arial" w:hAnsi="Arial" w:cs="Arial"/>
                <w:b/>
                <w:bCs/>
                <w:color w:val="000000"/>
                <w:sz w:val="16"/>
                <w:szCs w:val="16"/>
              </w:rPr>
              <w:br/>
              <w:t xml:space="preserve">  behalf of Government</w:t>
            </w:r>
          </w:p>
        </w:tc>
        <w:tc>
          <w:tcPr>
            <w:tcW w:w="964" w:type="dxa"/>
            <w:tcBorders>
              <w:top w:val="nil"/>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2,630,827 </w:t>
            </w:r>
          </w:p>
        </w:tc>
        <w:tc>
          <w:tcPr>
            <w:tcW w:w="964" w:type="dxa"/>
            <w:tcBorders>
              <w:top w:val="nil"/>
              <w:left w:val="nil"/>
              <w:bottom w:val="single" w:sz="4" w:space="0" w:color="000000"/>
              <w:right w:val="nil"/>
            </w:tcBorders>
            <w:shd w:val="clear" w:color="000000" w:fill="E6E6E6"/>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2,547,690 </w:t>
            </w:r>
          </w:p>
        </w:tc>
        <w:tc>
          <w:tcPr>
            <w:tcW w:w="964" w:type="dxa"/>
            <w:tcBorders>
              <w:top w:val="nil"/>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2,498,229 </w:t>
            </w:r>
          </w:p>
        </w:tc>
        <w:tc>
          <w:tcPr>
            <w:tcW w:w="964" w:type="dxa"/>
            <w:tcBorders>
              <w:top w:val="nil"/>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2,455,509 </w:t>
            </w:r>
          </w:p>
        </w:tc>
        <w:tc>
          <w:tcPr>
            <w:tcW w:w="964" w:type="dxa"/>
            <w:tcBorders>
              <w:top w:val="nil"/>
              <w:left w:val="nil"/>
              <w:bottom w:val="single" w:sz="4" w:space="0" w:color="000000"/>
              <w:right w:val="nil"/>
            </w:tcBorders>
            <w:shd w:val="clear" w:color="auto" w:fill="auto"/>
            <w:noWrap/>
            <w:vAlign w:val="center"/>
            <w:hideMark/>
          </w:tcPr>
          <w:p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2,421,939 </w:t>
            </w:r>
          </w:p>
        </w:tc>
      </w:tr>
      <w:tr w:rsidR="00FE0499" w:rsidRPr="00CE33FB" w:rsidTr="00FC4A5D">
        <w:trPr>
          <w:trHeight w:val="225"/>
        </w:trPr>
        <w:tc>
          <w:tcPr>
            <w:tcW w:w="2891" w:type="dxa"/>
            <w:tcBorders>
              <w:top w:val="nil"/>
              <w:left w:val="nil"/>
              <w:bottom w:val="single" w:sz="4" w:space="0" w:color="000000"/>
              <w:right w:val="nil"/>
            </w:tcBorders>
            <w:shd w:val="clear" w:color="auto" w:fill="auto"/>
            <w:noWrap/>
            <w:vAlign w:val="bottom"/>
            <w:hideMark/>
          </w:tcPr>
          <w:p w:rsidR="00FE0499" w:rsidRPr="00CE33FB" w:rsidRDefault="00FE0499"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Net assets/(liabilities)</w:t>
            </w:r>
          </w:p>
        </w:tc>
        <w:tc>
          <w:tcPr>
            <w:tcW w:w="964" w:type="dxa"/>
            <w:tcBorders>
              <w:top w:val="nil"/>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(2,240,660)</w:t>
            </w:r>
          </w:p>
        </w:tc>
        <w:tc>
          <w:tcPr>
            <w:tcW w:w="964" w:type="dxa"/>
            <w:tcBorders>
              <w:top w:val="single" w:sz="4" w:space="0" w:color="000000"/>
              <w:left w:val="nil"/>
              <w:bottom w:val="single" w:sz="4" w:space="0" w:color="auto"/>
              <w:right w:val="nil"/>
            </w:tcBorders>
            <w:shd w:val="clear" w:color="000000" w:fill="E6E6E6"/>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(2,157,410)</w:t>
            </w:r>
          </w:p>
        </w:tc>
        <w:tc>
          <w:tcPr>
            <w:tcW w:w="964" w:type="dxa"/>
            <w:tcBorders>
              <w:top w:val="nil"/>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(2,107,949)</w:t>
            </w:r>
          </w:p>
        </w:tc>
        <w:tc>
          <w:tcPr>
            <w:tcW w:w="964" w:type="dxa"/>
            <w:tcBorders>
              <w:top w:val="nil"/>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(2,065,044)</w:t>
            </w:r>
          </w:p>
        </w:tc>
        <w:tc>
          <w:tcPr>
            <w:tcW w:w="964" w:type="dxa"/>
            <w:tcBorders>
              <w:top w:val="nil"/>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(2,031,925)</w:t>
            </w:r>
          </w:p>
        </w:tc>
      </w:tr>
    </w:tbl>
    <w:p w:rsidR="00E048ED" w:rsidRPr="00B7521F" w:rsidRDefault="00E048ED" w:rsidP="00E048ED">
      <w:pPr>
        <w:pStyle w:val="ChartandTableFootnote"/>
      </w:pPr>
      <w:r w:rsidRPr="00B7521F">
        <w:t>Prepared on Australian Accounting Standards basis.</w:t>
      </w:r>
    </w:p>
    <w:p w:rsidR="00E048ED" w:rsidRDefault="00E048ED" w:rsidP="00E048ED">
      <w:pPr>
        <w:pStyle w:val="TableHeading"/>
      </w:pPr>
      <w:bookmarkStart w:id="127" w:name="OLE_LINK1"/>
      <w:r>
        <w:br w:type="page"/>
      </w:r>
      <w:r>
        <w:lastRenderedPageBreak/>
        <w:t xml:space="preserve">Table 3.9: </w:t>
      </w:r>
      <w:r w:rsidRPr="00C41D55">
        <w:t xml:space="preserve">Schedule of </w:t>
      </w:r>
      <w:r>
        <w:t xml:space="preserve">budgeted administered cash flows </w:t>
      </w:r>
      <w:r w:rsidRPr="00C41D55">
        <w:t>(for</w:t>
      </w:r>
      <w:r>
        <w:t> the </w:t>
      </w:r>
      <w:r w:rsidRPr="00C41D55">
        <w:t>period ended 30 June)</w:t>
      </w:r>
    </w:p>
    <w:tbl>
      <w:tblPr>
        <w:tblW w:w="7705" w:type="dxa"/>
        <w:tblInd w:w="93" w:type="dxa"/>
        <w:tblCellMar>
          <w:left w:w="57" w:type="dxa"/>
          <w:right w:w="57" w:type="dxa"/>
        </w:tblCellMar>
        <w:tblLook w:val="04A0" w:firstRow="1" w:lastRow="0" w:firstColumn="1" w:lastColumn="0" w:noHBand="0" w:noVBand="1"/>
      </w:tblPr>
      <w:tblGrid>
        <w:gridCol w:w="3005"/>
        <w:gridCol w:w="940"/>
        <w:gridCol w:w="940"/>
        <w:gridCol w:w="940"/>
        <w:gridCol w:w="940"/>
        <w:gridCol w:w="940"/>
      </w:tblGrid>
      <w:tr w:rsidR="00E048ED" w:rsidRPr="007046C7" w:rsidTr="00E048ED">
        <w:trPr>
          <w:trHeight w:val="794"/>
        </w:trPr>
        <w:tc>
          <w:tcPr>
            <w:tcW w:w="3005" w:type="dxa"/>
            <w:tcBorders>
              <w:top w:val="single" w:sz="4" w:space="0" w:color="auto"/>
              <w:left w:val="nil"/>
              <w:bottom w:val="nil"/>
              <w:right w:val="nil"/>
            </w:tcBorders>
            <w:shd w:val="clear" w:color="auto" w:fill="auto"/>
            <w:noWrap/>
            <w:hideMark/>
          </w:tcPr>
          <w:p w:rsidR="00E048ED" w:rsidRPr="007046C7" w:rsidRDefault="00E048ED" w:rsidP="00E048ED">
            <w:pPr>
              <w:spacing w:after="0" w:line="240" w:lineRule="auto"/>
              <w:rPr>
                <w:rFonts w:ascii="Arial" w:hAnsi="Arial" w:cs="Arial"/>
                <w:b/>
                <w:bCs/>
                <w:sz w:val="16"/>
                <w:szCs w:val="16"/>
              </w:rPr>
            </w:pPr>
            <w:r w:rsidRPr="007046C7">
              <w:rPr>
                <w:rFonts w:ascii="Arial" w:hAnsi="Arial" w:cs="Arial"/>
                <w:b/>
                <w:bCs/>
                <w:sz w:val="16"/>
                <w:szCs w:val="16"/>
              </w:rPr>
              <w:t> </w:t>
            </w:r>
          </w:p>
        </w:tc>
        <w:tc>
          <w:tcPr>
            <w:tcW w:w="940" w:type="dxa"/>
            <w:tcBorders>
              <w:top w:val="single" w:sz="4" w:space="0" w:color="auto"/>
              <w:left w:val="nil"/>
              <w:bottom w:val="single" w:sz="4" w:space="0" w:color="auto"/>
              <w:right w:val="nil"/>
            </w:tcBorders>
            <w:shd w:val="clear" w:color="auto" w:fill="auto"/>
            <w:vAlign w:val="center"/>
            <w:hideMark/>
          </w:tcPr>
          <w:p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2017–18 Estimated actual</w:t>
            </w:r>
            <w:r w:rsidRPr="007046C7">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000000" w:fill="E6E6E6"/>
            <w:vAlign w:val="center"/>
            <w:hideMark/>
          </w:tcPr>
          <w:p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2018–19</w:t>
            </w:r>
            <w:r w:rsidRPr="007046C7">
              <w:rPr>
                <w:rFonts w:ascii="Arial" w:hAnsi="Arial" w:cs="Arial"/>
                <w:sz w:val="16"/>
                <w:szCs w:val="16"/>
              </w:rPr>
              <w:br/>
              <w:t>Budget</w:t>
            </w:r>
            <w:r w:rsidRPr="007046C7">
              <w:rPr>
                <w:rFonts w:ascii="Arial" w:hAnsi="Arial" w:cs="Arial"/>
                <w:sz w:val="16"/>
                <w:szCs w:val="16"/>
              </w:rPr>
              <w:br/>
            </w:r>
            <w:r w:rsidRPr="007046C7">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center"/>
            <w:hideMark/>
          </w:tcPr>
          <w:p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2019–20 Forward estimate</w:t>
            </w:r>
            <w:r w:rsidRPr="007046C7">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center"/>
            <w:hideMark/>
          </w:tcPr>
          <w:p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2020–21 Forward estimate</w:t>
            </w:r>
            <w:r w:rsidRPr="007046C7">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center"/>
            <w:hideMark/>
          </w:tcPr>
          <w:p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2021–22</w:t>
            </w:r>
            <w:r w:rsidRPr="007046C7">
              <w:rPr>
                <w:rFonts w:ascii="Arial" w:hAnsi="Arial" w:cs="Arial"/>
                <w:sz w:val="16"/>
                <w:szCs w:val="16"/>
              </w:rPr>
              <w:br/>
              <w:t>Forward estimate</w:t>
            </w:r>
            <w:r w:rsidRPr="007046C7">
              <w:rPr>
                <w:rFonts w:ascii="Arial" w:hAnsi="Arial" w:cs="Arial"/>
                <w:sz w:val="16"/>
                <w:szCs w:val="16"/>
              </w:rPr>
              <w:br/>
              <w:t>$'000</w:t>
            </w:r>
          </w:p>
        </w:tc>
      </w:tr>
      <w:tr w:rsidR="00E048ED" w:rsidRPr="007046C7" w:rsidTr="00E048ED">
        <w:trPr>
          <w:trHeight w:val="225"/>
        </w:trPr>
        <w:tc>
          <w:tcPr>
            <w:tcW w:w="3005"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rPr>
                <w:rFonts w:ascii="Arial" w:hAnsi="Arial" w:cs="Arial"/>
                <w:b/>
                <w:bCs/>
                <w:color w:val="000000"/>
                <w:sz w:val="16"/>
                <w:szCs w:val="16"/>
              </w:rPr>
            </w:pPr>
            <w:r w:rsidRPr="007046C7">
              <w:rPr>
                <w:rFonts w:ascii="Arial" w:hAnsi="Arial" w:cs="Arial"/>
                <w:b/>
                <w:bCs/>
                <w:color w:val="000000"/>
                <w:sz w:val="16"/>
                <w:szCs w:val="16"/>
              </w:rPr>
              <w:t>OPERATING ACTIVITIES</w:t>
            </w:r>
          </w:p>
        </w:tc>
        <w:tc>
          <w:tcPr>
            <w:tcW w:w="940"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E048ED" w:rsidRPr="007046C7" w:rsidRDefault="00E048ED" w:rsidP="00E048ED">
            <w:pPr>
              <w:spacing w:after="0" w:line="240" w:lineRule="auto"/>
              <w:jc w:val="right"/>
              <w:rPr>
                <w:rFonts w:ascii="Arial" w:hAnsi="Arial" w:cs="Arial"/>
                <w:color w:val="000000"/>
                <w:sz w:val="16"/>
                <w:szCs w:val="16"/>
              </w:rPr>
            </w:pPr>
            <w:r w:rsidRPr="007046C7">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jc w:val="right"/>
              <w:rPr>
                <w:rFonts w:ascii="Arial" w:hAnsi="Arial" w:cs="Arial"/>
                <w:color w:val="000000"/>
                <w:sz w:val="16"/>
                <w:szCs w:val="16"/>
              </w:rPr>
            </w:pPr>
          </w:p>
        </w:tc>
      </w:tr>
      <w:tr w:rsidR="00E048ED" w:rsidRPr="007046C7" w:rsidTr="00E048ED">
        <w:trPr>
          <w:trHeight w:val="225"/>
        </w:trPr>
        <w:tc>
          <w:tcPr>
            <w:tcW w:w="3005"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rPr>
                <w:rFonts w:ascii="Arial" w:hAnsi="Arial" w:cs="Arial"/>
                <w:b/>
                <w:bCs/>
                <w:color w:val="000000"/>
                <w:sz w:val="16"/>
                <w:szCs w:val="16"/>
              </w:rPr>
            </w:pPr>
            <w:r w:rsidRPr="007046C7">
              <w:rPr>
                <w:rFonts w:ascii="Arial" w:hAnsi="Arial" w:cs="Arial"/>
                <w:b/>
                <w:bCs/>
                <w:color w:val="000000"/>
                <w:sz w:val="16"/>
                <w:szCs w:val="16"/>
              </w:rPr>
              <w:t>Cash received</w:t>
            </w:r>
          </w:p>
        </w:tc>
        <w:tc>
          <w:tcPr>
            <w:tcW w:w="940"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E048ED" w:rsidRPr="007046C7" w:rsidRDefault="00E048ED" w:rsidP="00E048ED">
            <w:pPr>
              <w:spacing w:after="0" w:line="240" w:lineRule="auto"/>
              <w:jc w:val="right"/>
              <w:rPr>
                <w:rFonts w:ascii="Arial" w:hAnsi="Arial" w:cs="Arial"/>
                <w:color w:val="000000"/>
                <w:sz w:val="16"/>
                <w:szCs w:val="16"/>
              </w:rPr>
            </w:pPr>
            <w:r w:rsidRPr="007046C7">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E048ED" w:rsidRPr="007046C7" w:rsidRDefault="00E048ED" w:rsidP="00E048ED">
            <w:pPr>
              <w:spacing w:after="0" w:line="240" w:lineRule="auto"/>
              <w:jc w:val="right"/>
              <w:rPr>
                <w:rFonts w:ascii="Arial" w:hAnsi="Arial" w:cs="Arial"/>
                <w:color w:val="000000"/>
                <w:sz w:val="16"/>
                <w:szCs w:val="16"/>
              </w:rPr>
            </w:pP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Taxes</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143,670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113,150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Net GST received</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134,241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136,738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132,037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129,017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127,160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100" w:firstLine="160"/>
              <w:rPr>
                <w:rFonts w:ascii="Arial" w:hAnsi="Arial" w:cs="Arial"/>
                <w:color w:val="000000"/>
                <w:sz w:val="16"/>
                <w:szCs w:val="16"/>
              </w:rPr>
            </w:pPr>
            <w:r w:rsidRPr="007046C7">
              <w:rPr>
                <w:rFonts w:ascii="Arial" w:hAnsi="Arial" w:cs="Arial"/>
                <w:color w:val="000000"/>
                <w:sz w:val="16"/>
                <w:szCs w:val="16"/>
              </w:rPr>
              <w:t>Other</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73,802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77,316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79,290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rPr>
                <w:rFonts w:ascii="Arial" w:hAnsi="Arial" w:cs="Arial"/>
                <w:b/>
                <w:bCs/>
                <w:i/>
                <w:iCs/>
                <w:color w:val="000000"/>
                <w:sz w:val="16"/>
                <w:szCs w:val="16"/>
              </w:rPr>
            </w:pPr>
            <w:r w:rsidRPr="007046C7">
              <w:rPr>
                <w:rFonts w:ascii="Arial" w:hAnsi="Arial" w:cs="Arial"/>
                <w:b/>
                <w:bCs/>
                <w:i/>
                <w:iCs/>
                <w:color w:val="000000"/>
                <w:sz w:val="16"/>
                <w:szCs w:val="16"/>
              </w:rPr>
              <w:t>Total cash received</w:t>
            </w:r>
          </w:p>
        </w:tc>
        <w:tc>
          <w:tcPr>
            <w:tcW w:w="940" w:type="dxa"/>
            <w:tcBorders>
              <w:top w:val="single" w:sz="4" w:space="0" w:color="000000"/>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351,713 </w:t>
            </w:r>
          </w:p>
        </w:tc>
        <w:tc>
          <w:tcPr>
            <w:tcW w:w="940" w:type="dxa"/>
            <w:tcBorders>
              <w:top w:val="single" w:sz="4" w:space="0" w:color="000000"/>
              <w:left w:val="nil"/>
              <w:bottom w:val="single" w:sz="4" w:space="0" w:color="000000"/>
              <w:right w:val="nil"/>
            </w:tcBorders>
            <w:shd w:val="clear" w:color="000000" w:fill="E6E6E6"/>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327,204 </w:t>
            </w:r>
          </w:p>
        </w:tc>
        <w:tc>
          <w:tcPr>
            <w:tcW w:w="940" w:type="dxa"/>
            <w:tcBorders>
              <w:top w:val="single" w:sz="4" w:space="0" w:color="000000"/>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365,945 </w:t>
            </w:r>
          </w:p>
        </w:tc>
        <w:tc>
          <w:tcPr>
            <w:tcW w:w="940" w:type="dxa"/>
            <w:tcBorders>
              <w:top w:val="single" w:sz="4" w:space="0" w:color="000000"/>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364,981 </w:t>
            </w:r>
          </w:p>
        </w:tc>
        <w:tc>
          <w:tcPr>
            <w:tcW w:w="940" w:type="dxa"/>
            <w:tcBorders>
              <w:top w:val="single" w:sz="4" w:space="0" w:color="000000"/>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363,124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rPr>
                <w:rFonts w:ascii="Arial" w:hAnsi="Arial" w:cs="Arial"/>
                <w:b/>
                <w:bCs/>
                <w:color w:val="000000"/>
                <w:sz w:val="16"/>
                <w:szCs w:val="16"/>
              </w:rPr>
            </w:pPr>
            <w:r w:rsidRPr="007046C7">
              <w:rPr>
                <w:rFonts w:ascii="Arial" w:hAnsi="Arial" w:cs="Arial"/>
                <w:b/>
                <w:bCs/>
                <w:color w:val="000000"/>
                <w:sz w:val="16"/>
                <w:szCs w:val="16"/>
              </w:rPr>
              <w:t>Cash used</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Grant</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99,642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71,673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63,391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62,670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62,411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Subsidies paid</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341,782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257,058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254,603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257,118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284,289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Personal benefits</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302,983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321,255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320,707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318,049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319,808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Suppliers</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1,382,814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1,407,242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1,352,665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1,323,086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1,305,034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Payments to corporate entities</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6,020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5,995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rPr>
                <w:rFonts w:ascii="Arial" w:hAnsi="Arial" w:cs="Arial"/>
                <w:b/>
                <w:bCs/>
                <w:i/>
                <w:iCs/>
                <w:color w:val="000000"/>
                <w:sz w:val="16"/>
                <w:szCs w:val="16"/>
              </w:rPr>
            </w:pPr>
            <w:r w:rsidRPr="007046C7">
              <w:rPr>
                <w:rFonts w:ascii="Arial" w:hAnsi="Arial" w:cs="Arial"/>
                <w:b/>
                <w:bCs/>
                <w:i/>
                <w:iCs/>
                <w:color w:val="000000"/>
                <w:sz w:val="16"/>
                <w:szCs w:val="16"/>
              </w:rPr>
              <w:t>Total cash used</w:t>
            </w:r>
          </w:p>
        </w:tc>
        <w:tc>
          <w:tcPr>
            <w:tcW w:w="940" w:type="dxa"/>
            <w:tcBorders>
              <w:top w:val="single" w:sz="4" w:space="0" w:color="000000"/>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2,133,241 </w:t>
            </w:r>
          </w:p>
        </w:tc>
        <w:tc>
          <w:tcPr>
            <w:tcW w:w="940" w:type="dxa"/>
            <w:tcBorders>
              <w:top w:val="single" w:sz="4" w:space="0" w:color="000000"/>
              <w:left w:val="nil"/>
              <w:bottom w:val="single" w:sz="4" w:space="0" w:color="000000"/>
              <w:right w:val="nil"/>
            </w:tcBorders>
            <w:shd w:val="clear" w:color="000000" w:fill="E6E6E6"/>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2,063,217 </w:t>
            </w:r>
          </w:p>
        </w:tc>
        <w:tc>
          <w:tcPr>
            <w:tcW w:w="940" w:type="dxa"/>
            <w:tcBorders>
              <w:top w:val="single" w:sz="4" w:space="0" w:color="000000"/>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1,997,361 </w:t>
            </w:r>
          </w:p>
        </w:tc>
        <w:tc>
          <w:tcPr>
            <w:tcW w:w="940" w:type="dxa"/>
            <w:tcBorders>
              <w:top w:val="single" w:sz="4" w:space="0" w:color="000000"/>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1,966,957 </w:t>
            </w:r>
          </w:p>
        </w:tc>
        <w:tc>
          <w:tcPr>
            <w:tcW w:w="940" w:type="dxa"/>
            <w:tcBorders>
              <w:top w:val="single" w:sz="4" w:space="0" w:color="000000"/>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1,977,611 </w:t>
            </w:r>
          </w:p>
        </w:tc>
      </w:tr>
      <w:tr w:rsidR="00FE0499" w:rsidRPr="007046C7" w:rsidTr="00710385">
        <w:trPr>
          <w:trHeight w:val="397"/>
        </w:trPr>
        <w:tc>
          <w:tcPr>
            <w:tcW w:w="3005" w:type="dxa"/>
            <w:tcBorders>
              <w:top w:val="nil"/>
              <w:left w:val="nil"/>
              <w:bottom w:val="nil"/>
              <w:right w:val="nil"/>
            </w:tcBorders>
            <w:shd w:val="clear" w:color="auto" w:fill="auto"/>
            <w:vAlign w:val="center"/>
            <w:hideMark/>
          </w:tcPr>
          <w:p w:rsidR="00FE0499" w:rsidRPr="007046C7" w:rsidRDefault="00FE0499" w:rsidP="0032312E">
            <w:pPr>
              <w:spacing w:after="0" w:line="240" w:lineRule="auto"/>
              <w:ind w:left="191" w:hanging="191"/>
              <w:rPr>
                <w:rFonts w:ascii="Arial" w:hAnsi="Arial" w:cs="Arial"/>
                <w:b/>
                <w:bCs/>
                <w:color w:val="000000"/>
                <w:sz w:val="16"/>
                <w:szCs w:val="16"/>
              </w:rPr>
            </w:pPr>
            <w:r w:rsidRPr="007046C7">
              <w:rPr>
                <w:rFonts w:ascii="Arial" w:hAnsi="Arial" w:cs="Arial"/>
                <w:b/>
                <w:bCs/>
                <w:color w:val="000000"/>
                <w:sz w:val="16"/>
                <w:szCs w:val="16"/>
              </w:rPr>
              <w:t>Net cash from/(used by) operating activities</w:t>
            </w:r>
          </w:p>
        </w:tc>
        <w:tc>
          <w:tcPr>
            <w:tcW w:w="940" w:type="dxa"/>
            <w:tcBorders>
              <w:top w:val="nil"/>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(1,781,528)</w:t>
            </w:r>
          </w:p>
        </w:tc>
        <w:tc>
          <w:tcPr>
            <w:tcW w:w="940" w:type="dxa"/>
            <w:tcBorders>
              <w:top w:val="nil"/>
              <w:left w:val="nil"/>
              <w:bottom w:val="single" w:sz="4" w:space="0" w:color="000000"/>
              <w:right w:val="nil"/>
            </w:tcBorders>
            <w:shd w:val="clear" w:color="000000" w:fill="E6E6E6"/>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(1,736,013)</w:t>
            </w:r>
          </w:p>
        </w:tc>
        <w:tc>
          <w:tcPr>
            <w:tcW w:w="940" w:type="dxa"/>
            <w:tcBorders>
              <w:top w:val="nil"/>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(1,631,416)</w:t>
            </w:r>
          </w:p>
        </w:tc>
        <w:tc>
          <w:tcPr>
            <w:tcW w:w="940" w:type="dxa"/>
            <w:tcBorders>
              <w:top w:val="nil"/>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(1,601,976)</w:t>
            </w:r>
          </w:p>
        </w:tc>
        <w:tc>
          <w:tcPr>
            <w:tcW w:w="940" w:type="dxa"/>
            <w:tcBorders>
              <w:top w:val="nil"/>
              <w:left w:val="nil"/>
              <w:bottom w:val="single" w:sz="4" w:space="0" w:color="000000"/>
              <w:right w:val="nil"/>
            </w:tcBorders>
            <w:shd w:val="clear" w:color="auto" w:fill="auto"/>
            <w:noWrap/>
            <w:vAlign w:val="center"/>
            <w:hideMark/>
          </w:tcPr>
          <w:p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(1,614,487)</w:t>
            </w:r>
          </w:p>
        </w:tc>
      </w:tr>
      <w:tr w:rsidR="00FE0499" w:rsidRPr="007046C7" w:rsidTr="00710385">
        <w:trPr>
          <w:trHeight w:val="227"/>
        </w:trPr>
        <w:tc>
          <w:tcPr>
            <w:tcW w:w="3005" w:type="dxa"/>
            <w:tcBorders>
              <w:top w:val="nil"/>
              <w:left w:val="nil"/>
              <w:bottom w:val="nil"/>
              <w:right w:val="nil"/>
            </w:tcBorders>
            <w:shd w:val="clear" w:color="auto" w:fill="auto"/>
            <w:vAlign w:val="center"/>
            <w:hideMark/>
          </w:tcPr>
          <w:p w:rsidR="00FE0499" w:rsidRPr="007046C7" w:rsidRDefault="00FE0499" w:rsidP="00E048ED">
            <w:pPr>
              <w:spacing w:after="0" w:line="240" w:lineRule="auto"/>
              <w:rPr>
                <w:rFonts w:ascii="Arial" w:hAnsi="Arial" w:cs="Arial"/>
                <w:b/>
                <w:bCs/>
                <w:i/>
                <w:iCs/>
                <w:color w:val="000000"/>
                <w:sz w:val="16"/>
                <w:szCs w:val="16"/>
              </w:rPr>
            </w:pPr>
            <w:r w:rsidRPr="007046C7">
              <w:rPr>
                <w:rFonts w:ascii="Arial" w:hAnsi="Arial" w:cs="Arial"/>
                <w:b/>
                <w:bCs/>
                <w:i/>
                <w:iCs/>
                <w:color w:val="000000"/>
                <w:sz w:val="16"/>
                <w:szCs w:val="16"/>
              </w:rPr>
              <w:t>Net increase/(decrease) in cash held</w:t>
            </w:r>
          </w:p>
        </w:tc>
        <w:tc>
          <w:tcPr>
            <w:tcW w:w="940" w:type="dxa"/>
            <w:tcBorders>
              <w:top w:val="nil"/>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(1,781,528)</w:t>
            </w:r>
          </w:p>
        </w:tc>
        <w:tc>
          <w:tcPr>
            <w:tcW w:w="940" w:type="dxa"/>
            <w:tcBorders>
              <w:top w:val="nil"/>
              <w:left w:val="nil"/>
              <w:bottom w:val="single" w:sz="4" w:space="0" w:color="auto"/>
              <w:right w:val="nil"/>
            </w:tcBorders>
            <w:shd w:val="clear" w:color="000000" w:fill="E6E6E6"/>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(1,736,013)</w:t>
            </w:r>
          </w:p>
        </w:tc>
        <w:tc>
          <w:tcPr>
            <w:tcW w:w="940" w:type="dxa"/>
            <w:tcBorders>
              <w:top w:val="nil"/>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(1,631,416)</w:t>
            </w:r>
          </w:p>
        </w:tc>
        <w:tc>
          <w:tcPr>
            <w:tcW w:w="940" w:type="dxa"/>
            <w:tcBorders>
              <w:top w:val="nil"/>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(1,601,976)</w:t>
            </w:r>
          </w:p>
        </w:tc>
        <w:tc>
          <w:tcPr>
            <w:tcW w:w="940" w:type="dxa"/>
            <w:tcBorders>
              <w:top w:val="nil"/>
              <w:left w:val="nil"/>
              <w:bottom w:val="single" w:sz="4" w:space="0" w:color="auto"/>
              <w:right w:val="nil"/>
            </w:tcBorders>
            <w:shd w:val="clear" w:color="auto" w:fill="auto"/>
            <w:noWrap/>
            <w:vAlign w:val="center"/>
            <w:hideMark/>
          </w:tcPr>
          <w:p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(1,614,487)</w:t>
            </w:r>
          </w:p>
        </w:tc>
      </w:tr>
      <w:tr w:rsidR="00FE0499" w:rsidRPr="007046C7" w:rsidTr="00710385">
        <w:trPr>
          <w:trHeight w:val="397"/>
        </w:trPr>
        <w:tc>
          <w:tcPr>
            <w:tcW w:w="3005" w:type="dxa"/>
            <w:tcBorders>
              <w:top w:val="nil"/>
              <w:left w:val="nil"/>
              <w:bottom w:val="nil"/>
              <w:right w:val="nil"/>
            </w:tcBorders>
            <w:shd w:val="clear" w:color="auto" w:fill="auto"/>
            <w:vAlign w:val="center"/>
            <w:hideMark/>
          </w:tcPr>
          <w:p w:rsidR="00FE0499" w:rsidRPr="007046C7" w:rsidRDefault="00FE0499" w:rsidP="00E048ED">
            <w:pPr>
              <w:spacing w:after="0" w:line="240" w:lineRule="auto"/>
              <w:ind w:leftChars="80" w:left="333" w:hangingChars="108" w:hanging="173"/>
              <w:rPr>
                <w:rFonts w:ascii="Arial" w:hAnsi="Arial" w:cs="Arial"/>
                <w:color w:val="000000"/>
                <w:sz w:val="16"/>
                <w:szCs w:val="16"/>
              </w:rPr>
            </w:pPr>
            <w:r w:rsidRPr="007046C7">
              <w:rPr>
                <w:rFonts w:ascii="Arial" w:hAnsi="Arial" w:cs="Arial"/>
                <w:color w:val="000000"/>
                <w:sz w:val="16"/>
                <w:szCs w:val="16"/>
              </w:rPr>
              <w:t>Cash and cash equivalents at beginning of reporting period</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10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FE0499" w:rsidRPr="007046C7" w:rsidTr="00710385">
        <w:trPr>
          <w:trHeight w:val="397"/>
        </w:trPr>
        <w:tc>
          <w:tcPr>
            <w:tcW w:w="3005" w:type="dxa"/>
            <w:tcBorders>
              <w:top w:val="nil"/>
              <w:left w:val="nil"/>
              <w:bottom w:val="nil"/>
              <w:right w:val="nil"/>
            </w:tcBorders>
            <w:shd w:val="clear" w:color="auto" w:fill="auto"/>
            <w:vAlign w:val="center"/>
            <w:hideMark/>
          </w:tcPr>
          <w:p w:rsidR="00FE0499" w:rsidRPr="007046C7" w:rsidRDefault="00FE0499" w:rsidP="00E048ED">
            <w:pPr>
              <w:spacing w:after="0" w:line="240" w:lineRule="auto"/>
              <w:ind w:leftChars="160" w:left="474" w:hangingChars="96" w:hanging="154"/>
              <w:rPr>
                <w:rFonts w:ascii="Arial" w:hAnsi="Arial" w:cs="Arial"/>
                <w:color w:val="000000"/>
                <w:sz w:val="16"/>
                <w:szCs w:val="16"/>
              </w:rPr>
            </w:pPr>
            <w:r w:rsidRPr="007046C7">
              <w:rPr>
                <w:rFonts w:ascii="Arial" w:hAnsi="Arial" w:cs="Arial"/>
                <w:color w:val="000000"/>
                <w:sz w:val="16"/>
                <w:szCs w:val="16"/>
              </w:rPr>
              <w:t>Cash from Official Public Account for:</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300" w:firstLine="480"/>
              <w:rPr>
                <w:rFonts w:ascii="Arial" w:hAnsi="Arial" w:cs="Arial"/>
                <w:color w:val="000000"/>
                <w:sz w:val="16"/>
                <w:szCs w:val="16"/>
              </w:rPr>
            </w:pPr>
            <w:r w:rsidRPr="007046C7">
              <w:rPr>
                <w:rFonts w:ascii="Arial" w:hAnsi="Arial" w:cs="Arial"/>
                <w:color w:val="000000"/>
                <w:sz w:val="16"/>
                <w:szCs w:val="16"/>
              </w:rPr>
              <w:t>– Appropriations</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2,133,261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2,063,247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1,997,391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1,966,987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1,977,641 </w:t>
            </w:r>
          </w:p>
        </w:tc>
      </w:tr>
      <w:tr w:rsidR="00FE0499" w:rsidRPr="007046C7" w:rsidTr="00710385">
        <w:trPr>
          <w:trHeight w:val="225"/>
        </w:trPr>
        <w:tc>
          <w:tcPr>
            <w:tcW w:w="3005" w:type="dxa"/>
            <w:tcBorders>
              <w:top w:val="nil"/>
              <w:left w:val="nil"/>
              <w:bottom w:val="nil"/>
              <w:right w:val="nil"/>
            </w:tcBorders>
            <w:shd w:val="clear" w:color="auto" w:fill="auto"/>
            <w:vAlign w:val="center"/>
            <w:hideMark/>
          </w:tcPr>
          <w:p w:rsidR="00FE0499" w:rsidRPr="007046C7" w:rsidRDefault="00FE0499" w:rsidP="00E048ED">
            <w:pPr>
              <w:spacing w:after="0" w:line="240" w:lineRule="auto"/>
              <w:ind w:firstLineChars="300" w:firstLine="480"/>
              <w:rPr>
                <w:rFonts w:ascii="Arial" w:hAnsi="Arial" w:cs="Arial"/>
                <w:color w:val="000000"/>
                <w:sz w:val="16"/>
                <w:szCs w:val="16"/>
              </w:rPr>
            </w:pPr>
            <w:r w:rsidRPr="007046C7">
              <w:rPr>
                <w:rFonts w:ascii="Arial" w:hAnsi="Arial" w:cs="Arial"/>
                <w:color w:val="000000"/>
                <w:sz w:val="16"/>
                <w:szCs w:val="16"/>
              </w:rPr>
              <w:t>– GST appropriations</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134,241 </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136,738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132,037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129,017 </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127,160 </w:t>
            </w:r>
          </w:p>
        </w:tc>
      </w:tr>
      <w:tr w:rsidR="00FE0499" w:rsidRPr="007046C7" w:rsidTr="00710385">
        <w:trPr>
          <w:trHeight w:val="397"/>
        </w:trPr>
        <w:tc>
          <w:tcPr>
            <w:tcW w:w="3005" w:type="dxa"/>
            <w:tcBorders>
              <w:top w:val="nil"/>
              <w:left w:val="nil"/>
              <w:bottom w:val="nil"/>
              <w:right w:val="nil"/>
            </w:tcBorders>
            <w:shd w:val="clear" w:color="auto" w:fill="auto"/>
            <w:vAlign w:val="center"/>
            <w:hideMark/>
          </w:tcPr>
          <w:p w:rsidR="00FE0499" w:rsidRPr="007046C7" w:rsidRDefault="00FE0499" w:rsidP="00E048ED">
            <w:pPr>
              <w:spacing w:after="0" w:line="240" w:lineRule="auto"/>
              <w:ind w:leftChars="160" w:left="474" w:hangingChars="96" w:hanging="154"/>
              <w:rPr>
                <w:rFonts w:ascii="Arial" w:hAnsi="Arial" w:cs="Arial"/>
                <w:i/>
                <w:iCs/>
                <w:color w:val="000000"/>
                <w:sz w:val="16"/>
                <w:szCs w:val="16"/>
              </w:rPr>
            </w:pPr>
            <w:r w:rsidRPr="007046C7">
              <w:rPr>
                <w:rFonts w:ascii="Arial" w:hAnsi="Arial" w:cs="Arial"/>
                <w:i/>
                <w:iCs/>
                <w:color w:val="000000"/>
                <w:sz w:val="16"/>
                <w:szCs w:val="16"/>
              </w:rPr>
              <w:t>Total cash from Official Public Account</w:t>
            </w:r>
          </w:p>
        </w:tc>
        <w:tc>
          <w:tcPr>
            <w:tcW w:w="940" w:type="dxa"/>
            <w:tcBorders>
              <w:top w:val="single" w:sz="4" w:space="0" w:color="000000"/>
              <w:left w:val="nil"/>
              <w:bottom w:val="nil"/>
              <w:right w:val="nil"/>
            </w:tcBorders>
            <w:shd w:val="clear" w:color="000000" w:fill="FFFFFF"/>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2,267,502 </w:t>
            </w:r>
          </w:p>
        </w:tc>
        <w:tc>
          <w:tcPr>
            <w:tcW w:w="940" w:type="dxa"/>
            <w:tcBorders>
              <w:top w:val="single" w:sz="4" w:space="0" w:color="000000"/>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2,199,985 </w:t>
            </w:r>
          </w:p>
        </w:tc>
        <w:tc>
          <w:tcPr>
            <w:tcW w:w="940" w:type="dxa"/>
            <w:tcBorders>
              <w:top w:val="single" w:sz="4" w:space="0" w:color="000000"/>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2,129,428 </w:t>
            </w:r>
          </w:p>
        </w:tc>
        <w:tc>
          <w:tcPr>
            <w:tcW w:w="940" w:type="dxa"/>
            <w:tcBorders>
              <w:top w:val="single" w:sz="4" w:space="0" w:color="000000"/>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2,096,004 </w:t>
            </w:r>
          </w:p>
        </w:tc>
        <w:tc>
          <w:tcPr>
            <w:tcW w:w="940" w:type="dxa"/>
            <w:tcBorders>
              <w:top w:val="single" w:sz="4" w:space="0" w:color="000000"/>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2,104,801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200" w:firstLine="320"/>
              <w:rPr>
                <w:rFonts w:ascii="Arial" w:hAnsi="Arial" w:cs="Arial"/>
                <w:color w:val="000000"/>
                <w:sz w:val="16"/>
                <w:szCs w:val="16"/>
              </w:rPr>
            </w:pPr>
            <w:r w:rsidRPr="007046C7">
              <w:rPr>
                <w:rFonts w:ascii="Arial" w:hAnsi="Arial" w:cs="Arial"/>
                <w:color w:val="000000"/>
                <w:sz w:val="16"/>
                <w:szCs w:val="16"/>
              </w:rPr>
              <w:t>Cash to Official Public Account for:</w:t>
            </w:r>
          </w:p>
        </w:tc>
        <w:tc>
          <w:tcPr>
            <w:tcW w:w="940"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single" w:sz="4" w:space="0" w:color="auto"/>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single" w:sz="4" w:space="0" w:color="auto"/>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FE0499" w:rsidRPr="007046C7" w:rsidTr="00710385">
        <w:trPr>
          <w:trHeight w:val="225"/>
        </w:trPr>
        <w:tc>
          <w:tcPr>
            <w:tcW w:w="3005" w:type="dxa"/>
            <w:tcBorders>
              <w:top w:val="nil"/>
              <w:left w:val="nil"/>
              <w:bottom w:val="nil"/>
              <w:right w:val="nil"/>
            </w:tcBorders>
            <w:shd w:val="clear" w:color="auto" w:fill="auto"/>
            <w:noWrap/>
            <w:vAlign w:val="center"/>
            <w:hideMark/>
          </w:tcPr>
          <w:p w:rsidR="00FE0499" w:rsidRPr="007046C7" w:rsidRDefault="00FE0499" w:rsidP="00E048ED">
            <w:pPr>
              <w:spacing w:after="0" w:line="240" w:lineRule="auto"/>
              <w:ind w:firstLineChars="300" w:firstLine="480"/>
              <w:rPr>
                <w:rFonts w:ascii="Arial" w:hAnsi="Arial" w:cs="Arial"/>
                <w:color w:val="000000"/>
                <w:sz w:val="16"/>
                <w:szCs w:val="16"/>
              </w:rPr>
            </w:pPr>
            <w:r w:rsidRPr="007046C7">
              <w:rPr>
                <w:rFonts w:ascii="Arial" w:hAnsi="Arial" w:cs="Arial"/>
                <w:color w:val="000000"/>
                <w:sz w:val="16"/>
                <w:szCs w:val="16"/>
              </w:rPr>
              <w:t>– Appropriations</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(351,743)</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(327,234)</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(365,975)</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(365,011)</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(363,154)</w:t>
            </w:r>
          </w:p>
        </w:tc>
      </w:tr>
      <w:tr w:rsidR="00FE0499" w:rsidRPr="007046C7" w:rsidTr="00710385">
        <w:trPr>
          <w:trHeight w:val="225"/>
        </w:trPr>
        <w:tc>
          <w:tcPr>
            <w:tcW w:w="3005" w:type="dxa"/>
            <w:tcBorders>
              <w:top w:val="nil"/>
              <w:left w:val="nil"/>
              <w:bottom w:val="nil"/>
              <w:right w:val="nil"/>
            </w:tcBorders>
            <w:shd w:val="clear" w:color="auto" w:fill="auto"/>
            <w:vAlign w:val="center"/>
            <w:hideMark/>
          </w:tcPr>
          <w:p w:rsidR="00FE0499" w:rsidRPr="007046C7" w:rsidRDefault="00FE0499" w:rsidP="00E048ED">
            <w:pPr>
              <w:spacing w:after="0" w:line="240" w:lineRule="auto"/>
              <w:ind w:firstLineChars="300" w:firstLine="480"/>
              <w:rPr>
                <w:rFonts w:ascii="Arial" w:hAnsi="Arial" w:cs="Arial"/>
                <w:color w:val="000000"/>
                <w:sz w:val="16"/>
                <w:szCs w:val="16"/>
              </w:rPr>
            </w:pPr>
            <w:r w:rsidRPr="007046C7">
              <w:rPr>
                <w:rFonts w:ascii="Arial" w:hAnsi="Arial" w:cs="Arial"/>
                <w:color w:val="000000"/>
                <w:sz w:val="16"/>
                <w:szCs w:val="16"/>
              </w:rPr>
              <w:t>– Return of GST appropriations</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(134,241)</w:t>
            </w:r>
          </w:p>
        </w:tc>
        <w:tc>
          <w:tcPr>
            <w:tcW w:w="940" w:type="dxa"/>
            <w:tcBorders>
              <w:top w:val="nil"/>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(136,738)</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(132,037)</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(129,017)</w:t>
            </w:r>
          </w:p>
        </w:tc>
        <w:tc>
          <w:tcPr>
            <w:tcW w:w="940" w:type="dxa"/>
            <w:tcBorders>
              <w:top w:val="nil"/>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(127,160)</w:t>
            </w:r>
          </w:p>
        </w:tc>
      </w:tr>
      <w:tr w:rsidR="00FE0499" w:rsidRPr="007046C7" w:rsidTr="00710385">
        <w:trPr>
          <w:trHeight w:val="227"/>
        </w:trPr>
        <w:tc>
          <w:tcPr>
            <w:tcW w:w="3005" w:type="dxa"/>
            <w:tcBorders>
              <w:top w:val="nil"/>
              <w:left w:val="nil"/>
              <w:bottom w:val="nil"/>
              <w:right w:val="nil"/>
            </w:tcBorders>
            <w:shd w:val="clear" w:color="auto" w:fill="auto"/>
            <w:vAlign w:val="center"/>
            <w:hideMark/>
          </w:tcPr>
          <w:p w:rsidR="00FE0499" w:rsidRPr="007046C7" w:rsidRDefault="00FE0499" w:rsidP="0032312E">
            <w:pPr>
              <w:spacing w:after="0" w:line="240" w:lineRule="auto"/>
              <w:ind w:firstLineChars="208" w:firstLine="333"/>
              <w:rPr>
                <w:rFonts w:ascii="Arial" w:hAnsi="Arial" w:cs="Arial"/>
                <w:i/>
                <w:iCs/>
                <w:color w:val="000000"/>
                <w:sz w:val="16"/>
                <w:szCs w:val="16"/>
              </w:rPr>
            </w:pPr>
            <w:r w:rsidRPr="007046C7">
              <w:rPr>
                <w:rFonts w:ascii="Arial" w:hAnsi="Arial" w:cs="Arial"/>
                <w:i/>
                <w:iCs/>
                <w:color w:val="000000"/>
                <w:sz w:val="16"/>
                <w:szCs w:val="16"/>
              </w:rPr>
              <w:t>Total cash to Official Public Account</w:t>
            </w:r>
          </w:p>
        </w:tc>
        <w:tc>
          <w:tcPr>
            <w:tcW w:w="940" w:type="dxa"/>
            <w:tcBorders>
              <w:top w:val="single" w:sz="4" w:space="0" w:color="000000"/>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(485,984)</w:t>
            </w:r>
          </w:p>
        </w:tc>
        <w:tc>
          <w:tcPr>
            <w:tcW w:w="940" w:type="dxa"/>
            <w:tcBorders>
              <w:top w:val="single" w:sz="4" w:space="0" w:color="000000"/>
              <w:left w:val="nil"/>
              <w:bottom w:val="nil"/>
              <w:right w:val="nil"/>
            </w:tcBorders>
            <w:shd w:val="clear" w:color="000000" w:fill="E6E6E6"/>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(463,972)</w:t>
            </w:r>
          </w:p>
        </w:tc>
        <w:tc>
          <w:tcPr>
            <w:tcW w:w="940" w:type="dxa"/>
            <w:tcBorders>
              <w:top w:val="single" w:sz="4" w:space="0" w:color="000000"/>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(498,012)</w:t>
            </w:r>
          </w:p>
        </w:tc>
        <w:tc>
          <w:tcPr>
            <w:tcW w:w="940" w:type="dxa"/>
            <w:tcBorders>
              <w:top w:val="single" w:sz="4" w:space="0" w:color="000000"/>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(494,028)</w:t>
            </w:r>
          </w:p>
        </w:tc>
        <w:tc>
          <w:tcPr>
            <w:tcW w:w="940" w:type="dxa"/>
            <w:tcBorders>
              <w:top w:val="single" w:sz="4" w:space="0" w:color="000000"/>
              <w:left w:val="nil"/>
              <w:bottom w:val="nil"/>
              <w:right w:val="nil"/>
            </w:tcBorders>
            <w:shd w:val="clear" w:color="auto" w:fill="auto"/>
            <w:noWrap/>
            <w:vAlign w:val="center"/>
            <w:hideMark/>
          </w:tcPr>
          <w:p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(490,314)</w:t>
            </w:r>
          </w:p>
        </w:tc>
      </w:tr>
      <w:tr w:rsidR="00E048ED" w:rsidRPr="007046C7" w:rsidTr="00E048ED">
        <w:trPr>
          <w:trHeight w:val="397"/>
        </w:trPr>
        <w:tc>
          <w:tcPr>
            <w:tcW w:w="3005" w:type="dxa"/>
            <w:tcBorders>
              <w:top w:val="nil"/>
              <w:left w:val="nil"/>
              <w:bottom w:val="single" w:sz="4" w:space="0" w:color="auto"/>
              <w:right w:val="nil"/>
            </w:tcBorders>
            <w:shd w:val="clear" w:color="auto" w:fill="auto"/>
            <w:vAlign w:val="bottom"/>
            <w:hideMark/>
          </w:tcPr>
          <w:p w:rsidR="00E048ED" w:rsidRPr="007046C7" w:rsidRDefault="00E048ED" w:rsidP="0032312E">
            <w:pPr>
              <w:spacing w:after="0" w:line="240" w:lineRule="auto"/>
              <w:ind w:left="191" w:hanging="191"/>
              <w:rPr>
                <w:rFonts w:ascii="Arial" w:hAnsi="Arial" w:cs="Arial"/>
                <w:b/>
                <w:bCs/>
                <w:color w:val="000000"/>
                <w:sz w:val="16"/>
                <w:szCs w:val="16"/>
              </w:rPr>
            </w:pPr>
            <w:r w:rsidRPr="007046C7">
              <w:rPr>
                <w:rFonts w:ascii="Arial" w:hAnsi="Arial" w:cs="Arial"/>
                <w:b/>
                <w:bCs/>
                <w:color w:val="000000"/>
                <w:sz w:val="16"/>
                <w:szCs w:val="16"/>
              </w:rPr>
              <w:t>Cash and cash equivalents at end of reporting period</w:t>
            </w:r>
          </w:p>
        </w:tc>
        <w:tc>
          <w:tcPr>
            <w:tcW w:w="940" w:type="dxa"/>
            <w:tcBorders>
              <w:top w:val="single" w:sz="4" w:space="0" w:color="000000"/>
              <w:left w:val="nil"/>
              <w:bottom w:val="single" w:sz="4" w:space="0" w:color="auto"/>
              <w:right w:val="nil"/>
            </w:tcBorders>
            <w:shd w:val="clear" w:color="auto" w:fill="auto"/>
            <w:noWrap/>
            <w:vAlign w:val="bottom"/>
            <w:hideMark/>
          </w:tcPr>
          <w:p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c>
          <w:tcPr>
            <w:tcW w:w="940" w:type="dxa"/>
            <w:tcBorders>
              <w:top w:val="single" w:sz="4" w:space="0" w:color="000000"/>
              <w:left w:val="nil"/>
              <w:bottom w:val="single" w:sz="4" w:space="0" w:color="auto"/>
              <w:right w:val="nil"/>
            </w:tcBorders>
            <w:shd w:val="clear" w:color="000000" w:fill="E6E6E6"/>
            <w:noWrap/>
            <w:vAlign w:val="bottom"/>
            <w:hideMark/>
          </w:tcPr>
          <w:p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c>
          <w:tcPr>
            <w:tcW w:w="940" w:type="dxa"/>
            <w:tcBorders>
              <w:top w:val="single" w:sz="4" w:space="0" w:color="000000"/>
              <w:left w:val="nil"/>
              <w:bottom w:val="single" w:sz="4" w:space="0" w:color="auto"/>
              <w:right w:val="nil"/>
            </w:tcBorders>
            <w:shd w:val="clear" w:color="auto" w:fill="auto"/>
            <w:noWrap/>
            <w:vAlign w:val="bottom"/>
            <w:hideMark/>
          </w:tcPr>
          <w:p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c>
          <w:tcPr>
            <w:tcW w:w="940" w:type="dxa"/>
            <w:tcBorders>
              <w:top w:val="single" w:sz="4" w:space="0" w:color="000000"/>
              <w:left w:val="nil"/>
              <w:bottom w:val="single" w:sz="4" w:space="0" w:color="auto"/>
              <w:right w:val="nil"/>
            </w:tcBorders>
            <w:shd w:val="clear" w:color="auto" w:fill="auto"/>
            <w:noWrap/>
            <w:vAlign w:val="bottom"/>
            <w:hideMark/>
          </w:tcPr>
          <w:p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c>
          <w:tcPr>
            <w:tcW w:w="940" w:type="dxa"/>
            <w:tcBorders>
              <w:top w:val="single" w:sz="4" w:space="0" w:color="000000"/>
              <w:left w:val="nil"/>
              <w:bottom w:val="single" w:sz="4" w:space="0" w:color="auto"/>
              <w:right w:val="nil"/>
            </w:tcBorders>
            <w:shd w:val="clear" w:color="auto" w:fill="auto"/>
            <w:noWrap/>
            <w:vAlign w:val="bottom"/>
            <w:hideMark/>
          </w:tcPr>
          <w:p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r>
    </w:tbl>
    <w:bookmarkEnd w:id="127"/>
    <w:p w:rsidR="00E048ED" w:rsidRDefault="00E048ED" w:rsidP="00E048ED">
      <w:pPr>
        <w:pStyle w:val="ChartandTableFootnote"/>
      </w:pPr>
      <w:r>
        <w:t>Prepared on Australian Accounting Standards basis.</w:t>
      </w:r>
    </w:p>
    <w:p w:rsidR="0032312E" w:rsidRDefault="0032312E" w:rsidP="0032312E"/>
    <w:p w:rsidR="00E048ED" w:rsidRDefault="00E048ED" w:rsidP="00E048ED">
      <w:pPr>
        <w:pStyle w:val="TableHeading"/>
      </w:pPr>
      <w:r w:rsidRPr="00D30CBA">
        <w:t>Table</w:t>
      </w:r>
      <w:r>
        <w:t xml:space="preserve"> 3.10</w:t>
      </w:r>
      <w:r w:rsidRPr="00D30CBA">
        <w:t xml:space="preserve">: </w:t>
      </w:r>
      <w:r>
        <w:t>Administered capital budget statement (for the period ended 30 June)</w:t>
      </w:r>
    </w:p>
    <w:p w:rsidR="00E048ED" w:rsidRDefault="00E048ED" w:rsidP="00E048ED">
      <w:pPr>
        <w:pStyle w:val="TableGraphic"/>
      </w:pPr>
      <w:r>
        <w:t xml:space="preserve">The Department has no administered capital purchases to report. For this reason, Table 3.10 is not presented. </w:t>
      </w:r>
    </w:p>
    <w:p w:rsidR="00E048ED" w:rsidRPr="00036CD7" w:rsidRDefault="00E048ED" w:rsidP="00300D89">
      <w:pPr>
        <w:pStyle w:val="TableHeading"/>
        <w:spacing w:before="360"/>
      </w:pPr>
      <w:r w:rsidRPr="00036CD7">
        <w:t>Table 3.11: Statement of administered asset movements (Budget year 2018–19)</w:t>
      </w:r>
    </w:p>
    <w:p w:rsidR="00E048ED" w:rsidRDefault="00E048ED" w:rsidP="00E048ED">
      <w:pPr>
        <w:pStyle w:val="TableGraphic"/>
      </w:pPr>
      <w:r>
        <w:t xml:space="preserve">The Department has no administered asset movements to report. For this reason, Table 3.11 is not presented. </w:t>
      </w:r>
    </w:p>
    <w:p w:rsidR="00257FF4" w:rsidRDefault="00257FF4" w:rsidP="00257FF4"/>
    <w:p w:rsidR="00E048ED" w:rsidRDefault="00E048ED" w:rsidP="00257FF4">
      <w:pPr>
        <w:sectPr w:rsidR="00E048ED" w:rsidSect="00641937">
          <w:headerReference w:type="even" r:id="rId69"/>
          <w:headerReference w:type="first" r:id="rId70"/>
          <w:footnotePr>
            <w:numRestart w:val="eachPage"/>
          </w:footnotePr>
          <w:type w:val="oddPage"/>
          <w:pgSz w:w="11906" w:h="16838" w:code="9"/>
          <w:pgMar w:top="2410" w:right="2098" w:bottom="2127" w:left="2098" w:header="1899" w:footer="1899" w:gutter="0"/>
          <w:cols w:space="708"/>
          <w:titlePg/>
          <w:docGrid w:linePitch="360"/>
        </w:sectPr>
      </w:pPr>
    </w:p>
    <w:p w:rsidR="006E02D3" w:rsidRDefault="006E02D3" w:rsidP="006E02D3">
      <w:pPr>
        <w:pStyle w:val="ChartandTableFootnote"/>
      </w:pPr>
    </w:p>
    <w:p w:rsidR="003F3839" w:rsidRPr="005A7C0B" w:rsidRDefault="003F3839" w:rsidP="00EB77C1">
      <w:pPr>
        <w:pStyle w:val="PartHeading"/>
        <w:spacing w:after="2280"/>
      </w:pPr>
      <w:r>
        <w:t>Asbestos Safety and Eradication Agency</w:t>
      </w:r>
    </w:p>
    <w:p w:rsidR="003F3839" w:rsidRDefault="003F3839" w:rsidP="003F3839">
      <w:pPr>
        <w:pStyle w:val="PartHeading-TOC"/>
      </w:pPr>
      <w:bookmarkStart w:id="128" w:name="_Toc511634913"/>
      <w:bookmarkStart w:id="129" w:name="_Toc511635308"/>
      <w:bookmarkStart w:id="130" w:name="_Toc511651057"/>
      <w:r>
        <w:t>Entity resources and planned performance</w:t>
      </w:r>
      <w:bookmarkEnd w:id="128"/>
      <w:bookmarkEnd w:id="129"/>
      <w:bookmarkEnd w:id="130"/>
    </w:p>
    <w:p w:rsidR="003F3839" w:rsidRDefault="003F3839" w:rsidP="003F3839">
      <w:pPr>
        <w:pStyle w:val="PartHeading"/>
        <w:sectPr w:rsidR="003F3839" w:rsidSect="005A7C0B">
          <w:headerReference w:type="even" r:id="rId71"/>
          <w:headerReference w:type="default" r:id="rId72"/>
          <w:headerReference w:type="first" r:id="rId73"/>
          <w:footerReference w:type="first" r:id="rId74"/>
          <w:footnotePr>
            <w:numRestart w:val="eachPage"/>
          </w:footnotePr>
          <w:type w:val="oddPage"/>
          <w:pgSz w:w="11906" w:h="16838" w:code="9"/>
          <w:pgMar w:top="2466" w:right="2098" w:bottom="2466" w:left="2098" w:header="1899" w:footer="1899" w:gutter="0"/>
          <w:cols w:space="708"/>
          <w:vAlign w:val="center"/>
          <w:titlePg/>
          <w:docGrid w:linePitch="360"/>
        </w:sectPr>
      </w:pPr>
    </w:p>
    <w:p w:rsidR="003F3839" w:rsidRPr="002A32FD" w:rsidRDefault="003F3839" w:rsidP="003F3839">
      <w:pPr>
        <w:pStyle w:val="ContentsHeading"/>
      </w:pPr>
      <w:r>
        <w:lastRenderedPageBreak/>
        <w:t>Asbestos Safety and Eradication Agency</w:t>
      </w:r>
    </w:p>
    <w:p w:rsidR="008935FC" w:rsidRPr="00284B28" w:rsidRDefault="003F3839" w:rsidP="008935FC">
      <w:pPr>
        <w:pStyle w:val="TOC1"/>
        <w:rPr>
          <w:rFonts w:ascii="Calibri" w:hAnsi="Calibri"/>
          <w:noProof/>
          <w:sz w:val="22"/>
          <w:szCs w:val="22"/>
        </w:rPr>
      </w:pPr>
      <w:r w:rsidRPr="00BF51E9">
        <w:fldChar w:fldCharType="begin"/>
      </w:r>
      <w:r w:rsidRPr="00BF51E9">
        <w:instrText xml:space="preserve"> TOC \h \z \t "Heading 2,1,Heading 3,2" </w:instrText>
      </w:r>
      <w:r w:rsidRPr="00BF51E9">
        <w:fldChar w:fldCharType="separate"/>
      </w:r>
      <w:hyperlink w:anchor="_Toc511656254" w:history="1">
        <w:r w:rsidR="008935FC" w:rsidRPr="009016C5">
          <w:rPr>
            <w:rStyle w:val="Hyperlink"/>
            <w:noProof/>
          </w:rPr>
          <w:t>Section 1: Entity overview and resources</w:t>
        </w:r>
        <w:r w:rsidR="008935FC">
          <w:rPr>
            <w:noProof/>
            <w:webHidden/>
          </w:rPr>
          <w:tab/>
        </w:r>
        <w:r w:rsidR="008935FC">
          <w:rPr>
            <w:noProof/>
            <w:webHidden/>
          </w:rPr>
          <w:fldChar w:fldCharType="begin"/>
        </w:r>
        <w:r w:rsidR="008935FC">
          <w:rPr>
            <w:noProof/>
            <w:webHidden/>
          </w:rPr>
          <w:instrText xml:space="preserve"> PAGEREF _Toc511656254 \h </w:instrText>
        </w:r>
        <w:r w:rsidR="008935FC">
          <w:rPr>
            <w:noProof/>
            <w:webHidden/>
          </w:rPr>
        </w:r>
        <w:r w:rsidR="008935FC">
          <w:rPr>
            <w:noProof/>
            <w:webHidden/>
          </w:rPr>
          <w:fldChar w:fldCharType="separate"/>
        </w:r>
        <w:r w:rsidR="007212DF">
          <w:rPr>
            <w:noProof/>
            <w:webHidden/>
          </w:rPr>
          <w:t>49</w:t>
        </w:r>
        <w:r w:rsidR="008935FC">
          <w:rPr>
            <w:noProof/>
            <w:webHidden/>
          </w:rPr>
          <w:fldChar w:fldCharType="end"/>
        </w:r>
      </w:hyperlink>
    </w:p>
    <w:p w:rsidR="008935FC" w:rsidRPr="00284B28" w:rsidRDefault="008935FC">
      <w:pPr>
        <w:pStyle w:val="TOC2"/>
        <w:tabs>
          <w:tab w:val="left" w:pos="800"/>
        </w:tabs>
        <w:rPr>
          <w:rFonts w:ascii="Calibri" w:hAnsi="Calibri"/>
          <w:noProof/>
          <w:sz w:val="22"/>
          <w:szCs w:val="22"/>
        </w:rPr>
      </w:pPr>
      <w:hyperlink w:anchor="_Toc511656255" w:history="1">
        <w:r w:rsidRPr="009016C5">
          <w:rPr>
            <w:rStyle w:val="Hyperlink"/>
            <w:noProof/>
          </w:rPr>
          <w:t>1.1</w:t>
        </w:r>
        <w:r w:rsidRPr="00284B28">
          <w:rPr>
            <w:rFonts w:ascii="Calibri" w:hAnsi="Calibri"/>
            <w:noProof/>
            <w:sz w:val="22"/>
            <w:szCs w:val="22"/>
          </w:rPr>
          <w:tab/>
        </w:r>
        <w:r w:rsidRPr="009016C5">
          <w:rPr>
            <w:rStyle w:val="Hyperlink"/>
            <w:noProof/>
          </w:rPr>
          <w:t>Strategic direction statement</w:t>
        </w:r>
        <w:r>
          <w:rPr>
            <w:noProof/>
            <w:webHidden/>
          </w:rPr>
          <w:tab/>
        </w:r>
        <w:r>
          <w:rPr>
            <w:noProof/>
            <w:webHidden/>
          </w:rPr>
          <w:fldChar w:fldCharType="begin"/>
        </w:r>
        <w:r>
          <w:rPr>
            <w:noProof/>
            <w:webHidden/>
          </w:rPr>
          <w:instrText xml:space="preserve"> PAGEREF _Toc511656255 \h </w:instrText>
        </w:r>
        <w:r>
          <w:rPr>
            <w:noProof/>
            <w:webHidden/>
          </w:rPr>
        </w:r>
        <w:r>
          <w:rPr>
            <w:noProof/>
            <w:webHidden/>
          </w:rPr>
          <w:fldChar w:fldCharType="separate"/>
        </w:r>
        <w:r w:rsidR="007212DF">
          <w:rPr>
            <w:noProof/>
            <w:webHidden/>
          </w:rPr>
          <w:t>49</w:t>
        </w:r>
        <w:r>
          <w:rPr>
            <w:noProof/>
            <w:webHidden/>
          </w:rPr>
          <w:fldChar w:fldCharType="end"/>
        </w:r>
      </w:hyperlink>
    </w:p>
    <w:p w:rsidR="008935FC" w:rsidRPr="00284B28" w:rsidRDefault="008935FC">
      <w:pPr>
        <w:pStyle w:val="TOC2"/>
        <w:tabs>
          <w:tab w:val="left" w:pos="800"/>
        </w:tabs>
        <w:rPr>
          <w:rFonts w:ascii="Calibri" w:hAnsi="Calibri"/>
          <w:noProof/>
          <w:sz w:val="22"/>
          <w:szCs w:val="22"/>
        </w:rPr>
      </w:pPr>
      <w:hyperlink w:anchor="_Toc511656256" w:history="1">
        <w:r w:rsidRPr="009016C5">
          <w:rPr>
            <w:rStyle w:val="Hyperlink"/>
            <w:noProof/>
          </w:rPr>
          <w:t>1.2</w:t>
        </w:r>
        <w:r w:rsidRPr="00284B28">
          <w:rPr>
            <w:rFonts w:ascii="Calibri" w:hAnsi="Calibri"/>
            <w:noProof/>
            <w:sz w:val="22"/>
            <w:szCs w:val="22"/>
          </w:rPr>
          <w:tab/>
        </w:r>
        <w:r w:rsidRPr="009016C5">
          <w:rPr>
            <w:rStyle w:val="Hyperlink"/>
            <w:noProof/>
          </w:rPr>
          <w:t>Entity resource statement</w:t>
        </w:r>
        <w:r>
          <w:rPr>
            <w:noProof/>
            <w:webHidden/>
          </w:rPr>
          <w:tab/>
        </w:r>
        <w:r>
          <w:rPr>
            <w:noProof/>
            <w:webHidden/>
          </w:rPr>
          <w:fldChar w:fldCharType="begin"/>
        </w:r>
        <w:r>
          <w:rPr>
            <w:noProof/>
            <w:webHidden/>
          </w:rPr>
          <w:instrText xml:space="preserve"> PAGEREF _Toc511656256 \h </w:instrText>
        </w:r>
        <w:r>
          <w:rPr>
            <w:noProof/>
            <w:webHidden/>
          </w:rPr>
        </w:r>
        <w:r>
          <w:rPr>
            <w:noProof/>
            <w:webHidden/>
          </w:rPr>
          <w:fldChar w:fldCharType="separate"/>
        </w:r>
        <w:r w:rsidR="007212DF">
          <w:rPr>
            <w:noProof/>
            <w:webHidden/>
          </w:rPr>
          <w:t>50</w:t>
        </w:r>
        <w:r>
          <w:rPr>
            <w:noProof/>
            <w:webHidden/>
          </w:rPr>
          <w:fldChar w:fldCharType="end"/>
        </w:r>
      </w:hyperlink>
    </w:p>
    <w:p w:rsidR="008935FC" w:rsidRPr="00284B28" w:rsidRDefault="008935FC">
      <w:pPr>
        <w:pStyle w:val="TOC2"/>
        <w:tabs>
          <w:tab w:val="left" w:pos="800"/>
        </w:tabs>
        <w:rPr>
          <w:rFonts w:ascii="Calibri" w:hAnsi="Calibri"/>
          <w:noProof/>
          <w:sz w:val="22"/>
          <w:szCs w:val="22"/>
        </w:rPr>
      </w:pPr>
      <w:hyperlink w:anchor="_Toc511656257" w:history="1">
        <w:r w:rsidRPr="009016C5">
          <w:rPr>
            <w:rStyle w:val="Hyperlink"/>
            <w:noProof/>
          </w:rPr>
          <w:t>1.3</w:t>
        </w:r>
        <w:r w:rsidRPr="00284B28">
          <w:rPr>
            <w:rFonts w:ascii="Calibri" w:hAnsi="Calibri"/>
            <w:noProof/>
            <w:sz w:val="22"/>
            <w:szCs w:val="22"/>
          </w:rPr>
          <w:tab/>
        </w:r>
        <w:r w:rsidRPr="009016C5">
          <w:rPr>
            <w:rStyle w:val="Hyperlink"/>
            <w:noProof/>
          </w:rPr>
          <w:t>Budget measures</w:t>
        </w:r>
        <w:r>
          <w:rPr>
            <w:noProof/>
            <w:webHidden/>
          </w:rPr>
          <w:tab/>
        </w:r>
        <w:r>
          <w:rPr>
            <w:noProof/>
            <w:webHidden/>
          </w:rPr>
          <w:fldChar w:fldCharType="begin"/>
        </w:r>
        <w:r>
          <w:rPr>
            <w:noProof/>
            <w:webHidden/>
          </w:rPr>
          <w:instrText xml:space="preserve"> PAGEREF _Toc511656257 \h </w:instrText>
        </w:r>
        <w:r>
          <w:rPr>
            <w:noProof/>
            <w:webHidden/>
          </w:rPr>
        </w:r>
        <w:r>
          <w:rPr>
            <w:noProof/>
            <w:webHidden/>
          </w:rPr>
          <w:fldChar w:fldCharType="separate"/>
        </w:r>
        <w:r w:rsidR="007212DF">
          <w:rPr>
            <w:noProof/>
            <w:webHidden/>
          </w:rPr>
          <w:t>51</w:t>
        </w:r>
        <w:r>
          <w:rPr>
            <w:noProof/>
            <w:webHidden/>
          </w:rPr>
          <w:fldChar w:fldCharType="end"/>
        </w:r>
      </w:hyperlink>
    </w:p>
    <w:p w:rsidR="008935FC" w:rsidRPr="00284B28" w:rsidRDefault="008935FC">
      <w:pPr>
        <w:pStyle w:val="TOC1"/>
        <w:rPr>
          <w:rFonts w:ascii="Calibri" w:hAnsi="Calibri"/>
          <w:b w:val="0"/>
          <w:caps w:val="0"/>
          <w:noProof/>
          <w:sz w:val="22"/>
          <w:szCs w:val="22"/>
        </w:rPr>
      </w:pPr>
      <w:hyperlink w:anchor="_Toc511656258" w:history="1">
        <w:r w:rsidRPr="009016C5">
          <w:rPr>
            <w:rStyle w:val="Hyperlink"/>
            <w:noProof/>
          </w:rPr>
          <w:t>Section 2: Outcomes and planned performance</w:t>
        </w:r>
        <w:r>
          <w:rPr>
            <w:noProof/>
            <w:webHidden/>
          </w:rPr>
          <w:tab/>
        </w:r>
        <w:r>
          <w:rPr>
            <w:noProof/>
            <w:webHidden/>
          </w:rPr>
          <w:fldChar w:fldCharType="begin"/>
        </w:r>
        <w:r>
          <w:rPr>
            <w:noProof/>
            <w:webHidden/>
          </w:rPr>
          <w:instrText xml:space="preserve"> PAGEREF _Toc511656258 \h </w:instrText>
        </w:r>
        <w:r>
          <w:rPr>
            <w:noProof/>
            <w:webHidden/>
          </w:rPr>
        </w:r>
        <w:r>
          <w:rPr>
            <w:noProof/>
            <w:webHidden/>
          </w:rPr>
          <w:fldChar w:fldCharType="separate"/>
        </w:r>
        <w:r w:rsidR="007212DF">
          <w:rPr>
            <w:noProof/>
            <w:webHidden/>
          </w:rPr>
          <w:t>52</w:t>
        </w:r>
        <w:r>
          <w:rPr>
            <w:noProof/>
            <w:webHidden/>
          </w:rPr>
          <w:fldChar w:fldCharType="end"/>
        </w:r>
      </w:hyperlink>
    </w:p>
    <w:p w:rsidR="008935FC" w:rsidRPr="00284B28" w:rsidRDefault="008935FC">
      <w:pPr>
        <w:pStyle w:val="TOC2"/>
        <w:tabs>
          <w:tab w:val="left" w:pos="800"/>
        </w:tabs>
        <w:rPr>
          <w:rFonts w:ascii="Calibri" w:hAnsi="Calibri"/>
          <w:noProof/>
          <w:sz w:val="22"/>
          <w:szCs w:val="22"/>
        </w:rPr>
      </w:pPr>
      <w:hyperlink w:anchor="_Toc511656259" w:history="1">
        <w:r w:rsidRPr="009016C5">
          <w:rPr>
            <w:rStyle w:val="Hyperlink"/>
            <w:noProof/>
          </w:rPr>
          <w:t xml:space="preserve">2.1 </w:t>
        </w:r>
        <w:r w:rsidRPr="00284B28">
          <w:rPr>
            <w:rFonts w:ascii="Calibri" w:hAnsi="Calibri"/>
            <w:noProof/>
            <w:sz w:val="22"/>
            <w:szCs w:val="22"/>
          </w:rPr>
          <w:tab/>
        </w:r>
        <w:r w:rsidRPr="009016C5">
          <w:rPr>
            <w:rStyle w:val="Hyperlink"/>
            <w:noProof/>
          </w:rPr>
          <w:t>Budgeted expenses and performance for Outcome 1</w:t>
        </w:r>
        <w:r>
          <w:rPr>
            <w:noProof/>
            <w:webHidden/>
          </w:rPr>
          <w:tab/>
        </w:r>
        <w:r>
          <w:rPr>
            <w:noProof/>
            <w:webHidden/>
          </w:rPr>
          <w:fldChar w:fldCharType="begin"/>
        </w:r>
        <w:r>
          <w:rPr>
            <w:noProof/>
            <w:webHidden/>
          </w:rPr>
          <w:instrText xml:space="preserve"> PAGEREF _Toc511656259 \h </w:instrText>
        </w:r>
        <w:r>
          <w:rPr>
            <w:noProof/>
            <w:webHidden/>
          </w:rPr>
        </w:r>
        <w:r>
          <w:rPr>
            <w:noProof/>
            <w:webHidden/>
          </w:rPr>
          <w:fldChar w:fldCharType="separate"/>
        </w:r>
        <w:r w:rsidR="007212DF">
          <w:rPr>
            <w:noProof/>
            <w:webHidden/>
          </w:rPr>
          <w:t>53</w:t>
        </w:r>
        <w:r>
          <w:rPr>
            <w:noProof/>
            <w:webHidden/>
          </w:rPr>
          <w:fldChar w:fldCharType="end"/>
        </w:r>
      </w:hyperlink>
    </w:p>
    <w:p w:rsidR="008935FC" w:rsidRPr="00284B28" w:rsidRDefault="008935FC">
      <w:pPr>
        <w:pStyle w:val="TOC1"/>
        <w:rPr>
          <w:rFonts w:ascii="Calibri" w:hAnsi="Calibri"/>
          <w:b w:val="0"/>
          <w:caps w:val="0"/>
          <w:noProof/>
          <w:sz w:val="22"/>
          <w:szCs w:val="22"/>
        </w:rPr>
      </w:pPr>
      <w:hyperlink w:anchor="_Toc511656260" w:history="1">
        <w:r w:rsidRPr="009016C5">
          <w:rPr>
            <w:rStyle w:val="Hyperlink"/>
            <w:noProof/>
          </w:rPr>
          <w:t>Section 3: Budgeted financial statements</w:t>
        </w:r>
        <w:r>
          <w:rPr>
            <w:noProof/>
            <w:webHidden/>
          </w:rPr>
          <w:tab/>
        </w:r>
        <w:r>
          <w:rPr>
            <w:noProof/>
            <w:webHidden/>
          </w:rPr>
          <w:fldChar w:fldCharType="begin"/>
        </w:r>
        <w:r>
          <w:rPr>
            <w:noProof/>
            <w:webHidden/>
          </w:rPr>
          <w:instrText xml:space="preserve"> PAGEREF _Toc511656260 \h </w:instrText>
        </w:r>
        <w:r>
          <w:rPr>
            <w:noProof/>
            <w:webHidden/>
          </w:rPr>
        </w:r>
        <w:r>
          <w:rPr>
            <w:noProof/>
            <w:webHidden/>
          </w:rPr>
          <w:fldChar w:fldCharType="separate"/>
        </w:r>
        <w:r w:rsidR="007212DF">
          <w:rPr>
            <w:noProof/>
            <w:webHidden/>
          </w:rPr>
          <w:t>56</w:t>
        </w:r>
        <w:r>
          <w:rPr>
            <w:noProof/>
            <w:webHidden/>
          </w:rPr>
          <w:fldChar w:fldCharType="end"/>
        </w:r>
      </w:hyperlink>
    </w:p>
    <w:p w:rsidR="008935FC" w:rsidRPr="00284B28" w:rsidRDefault="008935FC">
      <w:pPr>
        <w:pStyle w:val="TOC2"/>
        <w:tabs>
          <w:tab w:val="left" w:pos="800"/>
        </w:tabs>
        <w:rPr>
          <w:rFonts w:ascii="Calibri" w:hAnsi="Calibri"/>
          <w:noProof/>
          <w:sz w:val="22"/>
          <w:szCs w:val="22"/>
        </w:rPr>
      </w:pPr>
      <w:hyperlink w:anchor="_Toc511656261" w:history="1">
        <w:r w:rsidRPr="009016C5">
          <w:rPr>
            <w:rStyle w:val="Hyperlink"/>
            <w:noProof/>
          </w:rPr>
          <w:t>3.1</w:t>
        </w:r>
        <w:r w:rsidRPr="00284B28">
          <w:rPr>
            <w:rFonts w:ascii="Calibri" w:hAnsi="Calibri"/>
            <w:noProof/>
            <w:sz w:val="22"/>
            <w:szCs w:val="22"/>
          </w:rPr>
          <w:tab/>
        </w:r>
        <w:r w:rsidRPr="009016C5">
          <w:rPr>
            <w:rStyle w:val="Hyperlink"/>
            <w:noProof/>
          </w:rPr>
          <w:t>Budgeted financial statements</w:t>
        </w:r>
        <w:r>
          <w:rPr>
            <w:noProof/>
            <w:webHidden/>
          </w:rPr>
          <w:tab/>
        </w:r>
        <w:r>
          <w:rPr>
            <w:noProof/>
            <w:webHidden/>
          </w:rPr>
          <w:fldChar w:fldCharType="begin"/>
        </w:r>
        <w:r>
          <w:rPr>
            <w:noProof/>
            <w:webHidden/>
          </w:rPr>
          <w:instrText xml:space="preserve"> PAGEREF _Toc511656261 \h </w:instrText>
        </w:r>
        <w:r>
          <w:rPr>
            <w:noProof/>
            <w:webHidden/>
          </w:rPr>
        </w:r>
        <w:r>
          <w:rPr>
            <w:noProof/>
            <w:webHidden/>
          </w:rPr>
          <w:fldChar w:fldCharType="separate"/>
        </w:r>
        <w:r w:rsidR="007212DF">
          <w:rPr>
            <w:noProof/>
            <w:webHidden/>
          </w:rPr>
          <w:t>56</w:t>
        </w:r>
        <w:r>
          <w:rPr>
            <w:noProof/>
            <w:webHidden/>
          </w:rPr>
          <w:fldChar w:fldCharType="end"/>
        </w:r>
      </w:hyperlink>
    </w:p>
    <w:p w:rsidR="008935FC" w:rsidRPr="00284B28" w:rsidRDefault="008935FC">
      <w:pPr>
        <w:pStyle w:val="TOC2"/>
        <w:tabs>
          <w:tab w:val="left" w:pos="800"/>
        </w:tabs>
        <w:rPr>
          <w:rFonts w:ascii="Calibri" w:hAnsi="Calibri"/>
          <w:noProof/>
          <w:sz w:val="22"/>
          <w:szCs w:val="22"/>
        </w:rPr>
      </w:pPr>
      <w:hyperlink w:anchor="_Toc511656262" w:history="1">
        <w:r w:rsidRPr="009016C5">
          <w:rPr>
            <w:rStyle w:val="Hyperlink"/>
            <w:noProof/>
          </w:rPr>
          <w:t>3.2.</w:t>
        </w:r>
        <w:r w:rsidRPr="00284B28">
          <w:rPr>
            <w:rFonts w:ascii="Calibri" w:hAnsi="Calibri"/>
            <w:noProof/>
            <w:sz w:val="22"/>
            <w:szCs w:val="22"/>
          </w:rPr>
          <w:tab/>
        </w:r>
        <w:r w:rsidRPr="009016C5">
          <w:rPr>
            <w:rStyle w:val="Hyperlink"/>
            <w:noProof/>
          </w:rPr>
          <w:t>Budgeted financial statements tables</w:t>
        </w:r>
        <w:r>
          <w:rPr>
            <w:noProof/>
            <w:webHidden/>
          </w:rPr>
          <w:tab/>
        </w:r>
        <w:r>
          <w:rPr>
            <w:noProof/>
            <w:webHidden/>
          </w:rPr>
          <w:fldChar w:fldCharType="begin"/>
        </w:r>
        <w:r>
          <w:rPr>
            <w:noProof/>
            <w:webHidden/>
          </w:rPr>
          <w:instrText xml:space="preserve"> PAGEREF _Toc511656262 \h </w:instrText>
        </w:r>
        <w:r>
          <w:rPr>
            <w:noProof/>
            <w:webHidden/>
          </w:rPr>
        </w:r>
        <w:r>
          <w:rPr>
            <w:noProof/>
            <w:webHidden/>
          </w:rPr>
          <w:fldChar w:fldCharType="separate"/>
        </w:r>
        <w:r w:rsidR="007212DF">
          <w:rPr>
            <w:noProof/>
            <w:webHidden/>
          </w:rPr>
          <w:t>57</w:t>
        </w:r>
        <w:r>
          <w:rPr>
            <w:noProof/>
            <w:webHidden/>
          </w:rPr>
          <w:fldChar w:fldCharType="end"/>
        </w:r>
      </w:hyperlink>
    </w:p>
    <w:p w:rsidR="003F3839" w:rsidRPr="00BF51E9" w:rsidRDefault="003F3839" w:rsidP="003F3839">
      <w:pPr>
        <w:pStyle w:val="TOC1"/>
      </w:pPr>
      <w:r w:rsidRPr="00BF51E9">
        <w:fldChar w:fldCharType="end"/>
      </w:r>
    </w:p>
    <w:p w:rsidR="00A02077" w:rsidRDefault="00A02077" w:rsidP="003F3839">
      <w:pPr>
        <w:sectPr w:rsidR="00A02077" w:rsidSect="0050346A">
          <w:headerReference w:type="even" r:id="rId75"/>
          <w:headerReference w:type="default" r:id="rId76"/>
          <w:headerReference w:type="first" r:id="rId77"/>
          <w:footerReference w:type="first" r:id="rId78"/>
          <w:footnotePr>
            <w:numRestart w:val="eachPage"/>
          </w:footnotePr>
          <w:type w:val="oddPage"/>
          <w:pgSz w:w="11906" w:h="16838" w:code="9"/>
          <w:pgMar w:top="2466" w:right="2098" w:bottom="2466" w:left="2098" w:header="1899" w:footer="1899" w:gutter="0"/>
          <w:cols w:space="708"/>
          <w:titlePg/>
          <w:docGrid w:linePitch="360"/>
        </w:sectPr>
      </w:pPr>
    </w:p>
    <w:p w:rsidR="00A02077" w:rsidRDefault="00A02077" w:rsidP="00A02077">
      <w:pPr>
        <w:pStyle w:val="Heading1"/>
      </w:pPr>
      <w:bookmarkStart w:id="131" w:name="_Toc511635309"/>
      <w:bookmarkStart w:id="132" w:name="_Toc511651058"/>
      <w:r>
        <w:lastRenderedPageBreak/>
        <w:t>Asbestos Safety and Eradication Agency</w:t>
      </w:r>
      <w:bookmarkEnd w:id="131"/>
      <w:bookmarkEnd w:id="132"/>
    </w:p>
    <w:p w:rsidR="00A02077" w:rsidRPr="002C4D41" w:rsidRDefault="00A02077" w:rsidP="00A02077">
      <w:pPr>
        <w:pStyle w:val="Heading2"/>
      </w:pPr>
      <w:bookmarkStart w:id="133" w:name="_Toc511656254"/>
      <w:bookmarkStart w:id="134" w:name="_Toc511722627"/>
      <w:bookmarkStart w:id="135" w:name="_Toc511736958"/>
      <w:bookmarkStart w:id="136" w:name="_Toc511747220"/>
      <w:bookmarkStart w:id="137" w:name="_Toc511765623"/>
      <w:bookmarkStart w:id="138" w:name="_Toc511828679"/>
      <w:bookmarkStart w:id="139" w:name="_Toc511836818"/>
      <w:bookmarkStart w:id="140" w:name="_Toc511902524"/>
      <w:r w:rsidRPr="002C4D41">
        <w:t>Section 1: Entity overview and resources</w:t>
      </w:r>
      <w:bookmarkEnd w:id="133"/>
      <w:bookmarkEnd w:id="134"/>
      <w:bookmarkEnd w:id="135"/>
      <w:bookmarkEnd w:id="136"/>
      <w:bookmarkEnd w:id="137"/>
      <w:bookmarkEnd w:id="138"/>
      <w:bookmarkEnd w:id="139"/>
      <w:bookmarkEnd w:id="140"/>
    </w:p>
    <w:p w:rsidR="00A02077" w:rsidRDefault="00A02077" w:rsidP="00A02077">
      <w:pPr>
        <w:pStyle w:val="Heading3"/>
      </w:pPr>
      <w:bookmarkStart w:id="141" w:name="_Toc511656255"/>
      <w:bookmarkStart w:id="142" w:name="_Toc511722628"/>
      <w:bookmarkStart w:id="143" w:name="_Toc511736959"/>
      <w:bookmarkStart w:id="144" w:name="_Toc511747221"/>
      <w:bookmarkStart w:id="145" w:name="_Toc511765624"/>
      <w:bookmarkStart w:id="146" w:name="_Toc511828680"/>
      <w:bookmarkStart w:id="147" w:name="_Toc511836819"/>
      <w:bookmarkStart w:id="148" w:name="_Toc511902525"/>
      <w:r>
        <w:t>1.1</w:t>
      </w:r>
      <w:r>
        <w:tab/>
        <w:t>Strategic direction statement</w:t>
      </w:r>
      <w:bookmarkEnd w:id="141"/>
      <w:bookmarkEnd w:id="142"/>
      <w:bookmarkEnd w:id="143"/>
      <w:bookmarkEnd w:id="144"/>
      <w:bookmarkEnd w:id="145"/>
      <w:bookmarkEnd w:id="146"/>
      <w:bookmarkEnd w:id="147"/>
      <w:bookmarkEnd w:id="148"/>
    </w:p>
    <w:p w:rsidR="00A02077" w:rsidRDefault="00A02077" w:rsidP="00A02077">
      <w:r>
        <w:t xml:space="preserve">The Asbestos Safety and Eradication Agency (ASEA) oversees efforts to prevent exposure to asbestos fibres in order to eliminate asbestos-related disease in Australia. </w:t>
      </w:r>
    </w:p>
    <w:p w:rsidR="00A02077" w:rsidRDefault="00A02077" w:rsidP="00A02077">
      <w:r>
        <w:rPr>
          <w:spacing w:val="1"/>
        </w:rPr>
        <w:t>AS</w:t>
      </w:r>
      <w:r>
        <w:t>EA</w:t>
      </w:r>
      <w:r>
        <w:rPr>
          <w:spacing w:val="-4"/>
        </w:rPr>
        <w:t xml:space="preserve"> </w:t>
      </w:r>
      <w:r>
        <w:t>works</w:t>
      </w:r>
      <w:r>
        <w:rPr>
          <w:spacing w:val="-6"/>
        </w:rPr>
        <w:t xml:space="preserve"> </w:t>
      </w:r>
      <w:r>
        <w:t>w</w:t>
      </w:r>
      <w:r>
        <w:rPr>
          <w:spacing w:val="-1"/>
        </w:rPr>
        <w:t>i</w:t>
      </w:r>
      <w:r>
        <w:rPr>
          <w:spacing w:val="2"/>
        </w:rPr>
        <w:t>t</w:t>
      </w:r>
      <w:r>
        <w:t>h</w:t>
      </w:r>
      <w:r>
        <w:rPr>
          <w:spacing w:val="-5"/>
        </w:rPr>
        <w:t xml:space="preserve"> </w:t>
      </w:r>
      <w:r>
        <w:rPr>
          <w:spacing w:val="-1"/>
        </w:rPr>
        <w:t>all levels of government</w:t>
      </w:r>
      <w:r>
        <w:rPr>
          <w:spacing w:val="-11"/>
        </w:rPr>
        <w:t xml:space="preserve"> </w:t>
      </w:r>
      <w:r>
        <w:rPr>
          <w:spacing w:val="1"/>
        </w:rPr>
        <w:t>a</w:t>
      </w:r>
      <w:r>
        <w:rPr>
          <w:spacing w:val="-1"/>
        </w:rPr>
        <w:t>n</w:t>
      </w:r>
      <w:r>
        <w:t>d s</w:t>
      </w:r>
      <w:r>
        <w:rPr>
          <w:spacing w:val="-1"/>
        </w:rPr>
        <w:t>t</w:t>
      </w:r>
      <w:r>
        <w:rPr>
          <w:spacing w:val="1"/>
        </w:rPr>
        <w:t>a</w:t>
      </w:r>
      <w:r>
        <w:t>keh</w:t>
      </w:r>
      <w:r>
        <w:rPr>
          <w:spacing w:val="1"/>
        </w:rPr>
        <w:t>o</w:t>
      </w:r>
      <w:r>
        <w:t>ld</w:t>
      </w:r>
      <w:r>
        <w:rPr>
          <w:spacing w:val="1"/>
        </w:rPr>
        <w:t>e</w:t>
      </w:r>
      <w:r>
        <w:t>rs</w:t>
      </w:r>
      <w:r>
        <w:rPr>
          <w:spacing w:val="-11"/>
        </w:rPr>
        <w:t xml:space="preserve"> </w:t>
      </w:r>
      <w:r>
        <w:t>to</w:t>
      </w:r>
      <w:r>
        <w:rPr>
          <w:spacing w:val="-3"/>
        </w:rPr>
        <w:t xml:space="preserve"> </w:t>
      </w:r>
      <w:r>
        <w:t>c</w:t>
      </w:r>
      <w:r>
        <w:rPr>
          <w:spacing w:val="1"/>
        </w:rPr>
        <w:t>r</w:t>
      </w:r>
      <w:r>
        <w:t>e</w:t>
      </w:r>
      <w:r>
        <w:rPr>
          <w:spacing w:val="2"/>
        </w:rPr>
        <w:t>a</w:t>
      </w:r>
      <w:r>
        <w:t>te</w:t>
      </w:r>
      <w:r>
        <w:rPr>
          <w:spacing w:val="-4"/>
        </w:rPr>
        <w:t xml:space="preserve"> </w:t>
      </w:r>
      <w:r>
        <w:t xml:space="preserve">a </w:t>
      </w:r>
      <w:r>
        <w:rPr>
          <w:spacing w:val="-1"/>
        </w:rPr>
        <w:t>n</w:t>
      </w:r>
      <w:r>
        <w:rPr>
          <w:spacing w:val="1"/>
        </w:rPr>
        <w:t>a</w:t>
      </w:r>
      <w:r>
        <w:t>ti</w:t>
      </w:r>
      <w:r>
        <w:rPr>
          <w:spacing w:val="-1"/>
        </w:rPr>
        <w:t>on</w:t>
      </w:r>
      <w:r>
        <w:rPr>
          <w:spacing w:val="1"/>
        </w:rPr>
        <w:t>a</w:t>
      </w:r>
      <w:r>
        <w:t>l</w:t>
      </w:r>
      <w:r>
        <w:rPr>
          <w:spacing w:val="1"/>
        </w:rPr>
        <w:t>l</w:t>
      </w:r>
      <w:r>
        <w:t>y</w:t>
      </w:r>
      <w:r>
        <w:rPr>
          <w:spacing w:val="-9"/>
        </w:rPr>
        <w:t xml:space="preserve"> </w:t>
      </w:r>
      <w:r>
        <w:t>c</w:t>
      </w:r>
      <w:r>
        <w:rPr>
          <w:spacing w:val="1"/>
        </w:rPr>
        <w:t>o</w:t>
      </w:r>
      <w:r>
        <w:rPr>
          <w:spacing w:val="-1"/>
        </w:rPr>
        <w:t>n</w:t>
      </w:r>
      <w:r>
        <w:t>s</w:t>
      </w:r>
      <w:r>
        <w:rPr>
          <w:spacing w:val="1"/>
        </w:rPr>
        <w:t>i</w:t>
      </w:r>
      <w:r>
        <w:t>s</w:t>
      </w:r>
      <w:r>
        <w:rPr>
          <w:spacing w:val="-1"/>
        </w:rPr>
        <w:t>t</w:t>
      </w:r>
      <w:r>
        <w:t>ent</w:t>
      </w:r>
      <w:r>
        <w:rPr>
          <w:spacing w:val="-9"/>
        </w:rPr>
        <w:t xml:space="preserve"> </w:t>
      </w:r>
      <w:r>
        <w:rPr>
          <w:spacing w:val="1"/>
        </w:rPr>
        <w:t>a</w:t>
      </w:r>
      <w:r>
        <w:t>pp</w:t>
      </w:r>
      <w:r>
        <w:rPr>
          <w:spacing w:val="1"/>
        </w:rPr>
        <w:t>r</w:t>
      </w:r>
      <w:r>
        <w:rPr>
          <w:spacing w:val="-1"/>
        </w:rPr>
        <w:t>o</w:t>
      </w:r>
      <w:r>
        <w:rPr>
          <w:spacing w:val="1"/>
        </w:rPr>
        <w:t>a</w:t>
      </w:r>
      <w:r>
        <w:rPr>
          <w:spacing w:val="3"/>
        </w:rPr>
        <w:t>c</w:t>
      </w:r>
      <w:r>
        <w:t>h</w:t>
      </w:r>
      <w:r>
        <w:rPr>
          <w:spacing w:val="-6"/>
        </w:rPr>
        <w:t xml:space="preserve"> </w:t>
      </w:r>
      <w:r>
        <w:t>to</w:t>
      </w:r>
      <w:r>
        <w:rPr>
          <w:spacing w:val="-3"/>
        </w:rPr>
        <w:t xml:space="preserve"> asbestos management </w:t>
      </w:r>
      <w:r>
        <w:rPr>
          <w:spacing w:val="1"/>
        </w:rPr>
        <w:t>a</w:t>
      </w:r>
      <w:r>
        <w:rPr>
          <w:spacing w:val="-1"/>
        </w:rPr>
        <w:t>n</w:t>
      </w:r>
      <w:r>
        <w:t>d</w:t>
      </w:r>
      <w:r>
        <w:rPr>
          <w:spacing w:val="-2"/>
        </w:rPr>
        <w:t xml:space="preserve"> </w:t>
      </w:r>
      <w:r>
        <w:rPr>
          <w:spacing w:val="1"/>
        </w:rPr>
        <w:t>a</w:t>
      </w:r>
      <w:r>
        <w:t>war</w:t>
      </w:r>
      <w:r>
        <w:rPr>
          <w:spacing w:val="1"/>
        </w:rPr>
        <w:t>e</w:t>
      </w:r>
      <w:r>
        <w:rPr>
          <w:spacing w:val="-1"/>
        </w:rPr>
        <w:t>n</w:t>
      </w:r>
      <w:r>
        <w:t>ess to reduce the risks of asbestos-related disease.</w:t>
      </w:r>
      <w:r>
        <w:rPr>
          <w:spacing w:val="-8"/>
        </w:rPr>
        <w:t xml:space="preserve"> </w:t>
      </w:r>
      <w:r>
        <w:rPr>
          <w:spacing w:val="1"/>
        </w:rPr>
        <w:t>AS</w:t>
      </w:r>
      <w:r>
        <w:t>EA</w:t>
      </w:r>
      <w:r>
        <w:rPr>
          <w:spacing w:val="-4"/>
        </w:rPr>
        <w:t xml:space="preserve"> </w:t>
      </w:r>
      <w:r>
        <w:t>p</w:t>
      </w:r>
      <w:r>
        <w:rPr>
          <w:spacing w:val="1"/>
        </w:rPr>
        <w:t>r</w:t>
      </w:r>
      <w:r>
        <w:rPr>
          <w:spacing w:val="-1"/>
        </w:rPr>
        <w:t>o</w:t>
      </w:r>
      <w:r>
        <w:t>vid</w:t>
      </w:r>
      <w:r>
        <w:rPr>
          <w:spacing w:val="1"/>
        </w:rPr>
        <w:t>e</w:t>
      </w:r>
      <w:r>
        <w:t>s</w:t>
      </w:r>
      <w:r>
        <w:rPr>
          <w:spacing w:val="-8"/>
        </w:rPr>
        <w:t xml:space="preserve"> </w:t>
      </w:r>
      <w:r>
        <w:t xml:space="preserve">a </w:t>
      </w:r>
      <w:r>
        <w:rPr>
          <w:spacing w:val="-1"/>
        </w:rPr>
        <w:t>n</w:t>
      </w:r>
      <w:r>
        <w:rPr>
          <w:spacing w:val="1"/>
        </w:rPr>
        <w:t>a</w:t>
      </w:r>
      <w:r>
        <w:t>ti</w:t>
      </w:r>
      <w:r>
        <w:rPr>
          <w:spacing w:val="1"/>
        </w:rPr>
        <w:t>o</w:t>
      </w:r>
      <w:r>
        <w:rPr>
          <w:spacing w:val="-1"/>
        </w:rPr>
        <w:t>n</w:t>
      </w:r>
      <w:r>
        <w:rPr>
          <w:spacing w:val="8"/>
        </w:rPr>
        <w:t>a</w:t>
      </w:r>
      <w:r>
        <w:t>l</w:t>
      </w:r>
      <w:r>
        <w:rPr>
          <w:spacing w:val="-7"/>
        </w:rPr>
        <w:t xml:space="preserve"> </w:t>
      </w:r>
      <w:r>
        <w:rPr>
          <w:spacing w:val="1"/>
        </w:rPr>
        <w:t>f</w:t>
      </w:r>
      <w:r>
        <w:rPr>
          <w:spacing w:val="-1"/>
        </w:rPr>
        <w:t>o</w:t>
      </w:r>
      <w:r>
        <w:t>cus</w:t>
      </w:r>
      <w:r>
        <w:rPr>
          <w:spacing w:val="-3"/>
        </w:rPr>
        <w:t xml:space="preserve"> </w:t>
      </w:r>
      <w:r>
        <w:rPr>
          <w:spacing w:val="-1"/>
        </w:rPr>
        <w:t>o</w:t>
      </w:r>
      <w:r>
        <w:t xml:space="preserve">n </w:t>
      </w:r>
      <w:r>
        <w:rPr>
          <w:spacing w:val="1"/>
        </w:rPr>
        <w:t>a</w:t>
      </w:r>
      <w:r>
        <w:t>sbest</w:t>
      </w:r>
      <w:r>
        <w:rPr>
          <w:spacing w:val="-1"/>
        </w:rPr>
        <w:t>o</w:t>
      </w:r>
      <w:r>
        <w:t>s</w:t>
      </w:r>
      <w:r>
        <w:rPr>
          <w:spacing w:val="-7"/>
        </w:rPr>
        <w:t xml:space="preserve"> </w:t>
      </w:r>
      <w:r>
        <w:rPr>
          <w:spacing w:val="2"/>
        </w:rPr>
        <w:t>i</w:t>
      </w:r>
      <w:r>
        <w:t>s</w:t>
      </w:r>
      <w:r>
        <w:rPr>
          <w:spacing w:val="-1"/>
        </w:rPr>
        <w:t>s</w:t>
      </w:r>
      <w:r>
        <w:t>u</w:t>
      </w:r>
      <w:r>
        <w:rPr>
          <w:spacing w:val="3"/>
        </w:rPr>
        <w:t>e</w:t>
      </w:r>
      <w:r>
        <w:t>s</w:t>
      </w:r>
      <w:r>
        <w:rPr>
          <w:spacing w:val="-5"/>
        </w:rPr>
        <w:t xml:space="preserve"> </w:t>
      </w:r>
      <w:r>
        <w:t>w</w:t>
      </w:r>
      <w:r>
        <w:rPr>
          <w:spacing w:val="1"/>
        </w:rPr>
        <w:t>h</w:t>
      </w:r>
      <w:r>
        <w:t>ich</w:t>
      </w:r>
      <w:r>
        <w:rPr>
          <w:spacing w:val="-6"/>
        </w:rPr>
        <w:t xml:space="preserve"> </w:t>
      </w:r>
      <w:r>
        <w:rPr>
          <w:spacing w:val="2"/>
        </w:rPr>
        <w:t>g</w:t>
      </w:r>
      <w:r>
        <w:t>o</w:t>
      </w:r>
      <w:r>
        <w:rPr>
          <w:spacing w:val="-3"/>
        </w:rPr>
        <w:t xml:space="preserve"> </w:t>
      </w:r>
      <w:r>
        <w:t>b</w:t>
      </w:r>
      <w:r>
        <w:rPr>
          <w:spacing w:val="3"/>
        </w:rPr>
        <w:t>e</w:t>
      </w:r>
      <w:r>
        <w:t>y</w:t>
      </w:r>
      <w:r>
        <w:rPr>
          <w:spacing w:val="-1"/>
        </w:rPr>
        <w:t>on</w:t>
      </w:r>
      <w:r>
        <w:t>d</w:t>
      </w:r>
      <w:r>
        <w:rPr>
          <w:spacing w:val="-4"/>
        </w:rPr>
        <w:t xml:space="preserve"> </w:t>
      </w:r>
      <w:r>
        <w:t>w</w:t>
      </w:r>
      <w:r>
        <w:rPr>
          <w:spacing w:val="-1"/>
        </w:rPr>
        <w:t>o</w:t>
      </w:r>
      <w:r>
        <w:t>rk</w:t>
      </w:r>
      <w:r>
        <w:rPr>
          <w:spacing w:val="3"/>
        </w:rPr>
        <w:t>p</w:t>
      </w:r>
      <w:r>
        <w:t>l</w:t>
      </w:r>
      <w:r>
        <w:rPr>
          <w:spacing w:val="1"/>
        </w:rPr>
        <w:t>a</w:t>
      </w:r>
      <w:r>
        <w:t>ce</w:t>
      </w:r>
      <w:r>
        <w:rPr>
          <w:spacing w:val="-8"/>
        </w:rPr>
        <w:t xml:space="preserve"> </w:t>
      </w:r>
      <w:r>
        <w:t>s</w:t>
      </w:r>
      <w:r>
        <w:rPr>
          <w:spacing w:val="1"/>
        </w:rPr>
        <w:t>af</w:t>
      </w:r>
      <w:r>
        <w:t>ety</w:t>
      </w:r>
      <w:r>
        <w:rPr>
          <w:spacing w:val="-5"/>
        </w:rPr>
        <w:t xml:space="preserve"> </w:t>
      </w:r>
      <w:r>
        <w:t>to</w:t>
      </w:r>
      <w:r>
        <w:rPr>
          <w:spacing w:val="-3"/>
        </w:rPr>
        <w:t xml:space="preserve"> </w:t>
      </w:r>
      <w:r>
        <w:rPr>
          <w:spacing w:val="3"/>
        </w:rPr>
        <w:t>e</w:t>
      </w:r>
      <w:r>
        <w:rPr>
          <w:spacing w:val="-1"/>
        </w:rPr>
        <w:t>n</w:t>
      </w:r>
      <w:r>
        <w:t>c</w:t>
      </w:r>
      <w:r>
        <w:rPr>
          <w:spacing w:val="2"/>
        </w:rPr>
        <w:t>o</w:t>
      </w:r>
      <w:r>
        <w:rPr>
          <w:spacing w:val="-1"/>
        </w:rPr>
        <w:t>m</w:t>
      </w:r>
      <w:r>
        <w:t>p</w:t>
      </w:r>
      <w:r>
        <w:rPr>
          <w:spacing w:val="1"/>
        </w:rPr>
        <w:t>a</w:t>
      </w:r>
      <w:r>
        <w:t>ss</w:t>
      </w:r>
      <w:r>
        <w:rPr>
          <w:spacing w:val="-11"/>
        </w:rPr>
        <w:t xml:space="preserve"> </w:t>
      </w:r>
      <w:r>
        <w:t>en</w:t>
      </w:r>
      <w:r>
        <w:rPr>
          <w:spacing w:val="2"/>
        </w:rPr>
        <w:t>v</w:t>
      </w:r>
      <w:r>
        <w:t>ir</w:t>
      </w:r>
      <w:r>
        <w:rPr>
          <w:spacing w:val="-1"/>
        </w:rPr>
        <w:t>o</w:t>
      </w:r>
      <w:r>
        <w:rPr>
          <w:spacing w:val="1"/>
        </w:rPr>
        <w:t>n</w:t>
      </w:r>
      <w:r>
        <w:rPr>
          <w:spacing w:val="-1"/>
        </w:rPr>
        <w:t>m</w:t>
      </w:r>
      <w:r>
        <w:t>e</w:t>
      </w:r>
      <w:r>
        <w:rPr>
          <w:spacing w:val="2"/>
        </w:rPr>
        <w:t>n</w:t>
      </w:r>
      <w:r>
        <w:t>t</w:t>
      </w:r>
      <w:r>
        <w:rPr>
          <w:spacing w:val="1"/>
        </w:rPr>
        <w:t>a</w:t>
      </w:r>
      <w:r>
        <w:t>l, public</w:t>
      </w:r>
      <w:r>
        <w:rPr>
          <w:spacing w:val="-6"/>
        </w:rPr>
        <w:t xml:space="preserve"> </w:t>
      </w:r>
      <w:r>
        <w:rPr>
          <w:spacing w:val="-1"/>
        </w:rPr>
        <w:t>h</w:t>
      </w:r>
      <w:r>
        <w:t>e</w:t>
      </w:r>
      <w:r>
        <w:rPr>
          <w:spacing w:val="2"/>
        </w:rPr>
        <w:t>a</w:t>
      </w:r>
      <w:r>
        <w:t>l</w:t>
      </w:r>
      <w:r>
        <w:rPr>
          <w:spacing w:val="2"/>
        </w:rPr>
        <w:t>t</w:t>
      </w:r>
      <w:r>
        <w:t>h and planning</w:t>
      </w:r>
      <w:r>
        <w:rPr>
          <w:spacing w:val="-7"/>
        </w:rPr>
        <w:t xml:space="preserve"> </w:t>
      </w:r>
      <w:r>
        <w:t>i</w:t>
      </w:r>
      <w:r>
        <w:rPr>
          <w:spacing w:val="-1"/>
        </w:rPr>
        <w:t>s</w:t>
      </w:r>
      <w:r>
        <w:rPr>
          <w:spacing w:val="2"/>
        </w:rPr>
        <w:t>s</w:t>
      </w:r>
      <w:r>
        <w:t xml:space="preserve">ues. The agency is supported by the Asbestos Safety and Eradication Council, which provides advice and makes recommendations to the agency. </w:t>
      </w:r>
    </w:p>
    <w:p w:rsidR="00A02077" w:rsidRDefault="00A02077" w:rsidP="00A02077">
      <w:r>
        <w:t>ASEA</w:t>
      </w:r>
      <w:r>
        <w:rPr>
          <w:spacing w:val="-6"/>
        </w:rPr>
        <w:t xml:space="preserve"> </w:t>
      </w:r>
      <w:r>
        <w:rPr>
          <w:spacing w:val="1"/>
        </w:rPr>
        <w:t>a</w:t>
      </w:r>
      <w:r>
        <w:rPr>
          <w:spacing w:val="-1"/>
        </w:rPr>
        <w:t>n</w:t>
      </w:r>
      <w:r>
        <w:t>d</w:t>
      </w:r>
      <w:r>
        <w:rPr>
          <w:spacing w:val="-2"/>
        </w:rPr>
        <w:t xml:space="preserve"> </w:t>
      </w:r>
      <w:r>
        <w:rPr>
          <w:spacing w:val="2"/>
        </w:rPr>
        <w:t>t</w:t>
      </w:r>
      <w:r>
        <w:rPr>
          <w:spacing w:val="-1"/>
        </w:rPr>
        <w:t>h</w:t>
      </w:r>
      <w:r>
        <w:t>e</w:t>
      </w:r>
      <w:r>
        <w:rPr>
          <w:spacing w:val="-1"/>
        </w:rPr>
        <w:t xml:space="preserve"> </w:t>
      </w:r>
      <w:r>
        <w:t>co</w:t>
      </w:r>
      <w:r>
        <w:rPr>
          <w:spacing w:val="2"/>
        </w:rPr>
        <w:t>u</w:t>
      </w:r>
      <w:r>
        <w:rPr>
          <w:spacing w:val="-1"/>
        </w:rPr>
        <w:t>n</w:t>
      </w:r>
      <w:r>
        <w:t>cil</w:t>
      </w:r>
      <w:r>
        <w:rPr>
          <w:spacing w:val="-4"/>
        </w:rPr>
        <w:t xml:space="preserve"> </w:t>
      </w:r>
      <w:r>
        <w:t>w</w:t>
      </w:r>
      <w:r>
        <w:rPr>
          <w:spacing w:val="-1"/>
        </w:rPr>
        <w:t>o</w:t>
      </w:r>
      <w:r>
        <w:t>rk</w:t>
      </w:r>
      <w:r>
        <w:rPr>
          <w:spacing w:val="-5"/>
        </w:rPr>
        <w:t xml:space="preserve"> </w:t>
      </w:r>
      <w:r>
        <w:rPr>
          <w:spacing w:val="2"/>
        </w:rPr>
        <w:t>t</w:t>
      </w:r>
      <w:r>
        <w:t>owards the achievement of the elimination of asbestos-related disease in Australia by</w:t>
      </w:r>
      <w:r>
        <w:rPr>
          <w:spacing w:val="-3"/>
        </w:rPr>
        <w:t xml:space="preserve"> </w:t>
      </w:r>
      <w:r>
        <w:rPr>
          <w:spacing w:val="1"/>
        </w:rPr>
        <w:t>coordinating</w:t>
      </w:r>
      <w:r>
        <w:rPr>
          <w:spacing w:val="-9"/>
        </w:rPr>
        <w:t xml:space="preserve"> </w:t>
      </w:r>
      <w:r>
        <w:t>t</w:t>
      </w:r>
      <w:r>
        <w:rPr>
          <w:spacing w:val="-1"/>
        </w:rPr>
        <w:t>h</w:t>
      </w:r>
      <w:r>
        <w:t>e N</w:t>
      </w:r>
      <w:r>
        <w:rPr>
          <w:spacing w:val="1"/>
        </w:rPr>
        <w:t>a</w:t>
      </w:r>
      <w:r>
        <w:t>ti</w:t>
      </w:r>
      <w:r>
        <w:rPr>
          <w:spacing w:val="-1"/>
        </w:rPr>
        <w:t>on</w:t>
      </w:r>
      <w:r>
        <w:rPr>
          <w:spacing w:val="1"/>
        </w:rPr>
        <w:t>a</w:t>
      </w:r>
      <w:r>
        <w:t>l</w:t>
      </w:r>
      <w:r>
        <w:rPr>
          <w:spacing w:val="-8"/>
        </w:rPr>
        <w:t xml:space="preserve"> </w:t>
      </w:r>
      <w:r>
        <w:rPr>
          <w:spacing w:val="1"/>
        </w:rPr>
        <w:t>S</w:t>
      </w:r>
      <w:r>
        <w:t>tr</w:t>
      </w:r>
      <w:r>
        <w:rPr>
          <w:spacing w:val="1"/>
        </w:rPr>
        <w:t>a</w:t>
      </w:r>
      <w:r>
        <w:t>tegic</w:t>
      </w:r>
      <w:r>
        <w:rPr>
          <w:spacing w:val="-8"/>
        </w:rPr>
        <w:t xml:space="preserve"> </w:t>
      </w:r>
      <w:r>
        <w:rPr>
          <w:spacing w:val="2"/>
        </w:rPr>
        <w:t>P</w:t>
      </w:r>
      <w:r>
        <w:t>l</w:t>
      </w:r>
      <w:r>
        <w:rPr>
          <w:spacing w:val="1"/>
        </w:rPr>
        <w:t>a</w:t>
      </w:r>
      <w:r>
        <w:t>n</w:t>
      </w:r>
      <w:r>
        <w:rPr>
          <w:spacing w:val="-5"/>
        </w:rPr>
        <w:t xml:space="preserve"> </w:t>
      </w:r>
      <w:r>
        <w:rPr>
          <w:spacing w:val="1"/>
        </w:rPr>
        <w:t>f</w:t>
      </w:r>
      <w:r>
        <w:rPr>
          <w:spacing w:val="-1"/>
        </w:rPr>
        <w:t>o</w:t>
      </w:r>
      <w:r>
        <w:t xml:space="preserve">r </w:t>
      </w:r>
      <w:r>
        <w:rPr>
          <w:spacing w:val="1"/>
        </w:rPr>
        <w:t>A</w:t>
      </w:r>
      <w:r>
        <w:t>sbest</w:t>
      </w:r>
      <w:r>
        <w:rPr>
          <w:spacing w:val="-1"/>
        </w:rPr>
        <w:t>o</w:t>
      </w:r>
      <w:r>
        <w:t>s</w:t>
      </w:r>
      <w:r>
        <w:rPr>
          <w:spacing w:val="-8"/>
        </w:rPr>
        <w:t xml:space="preserve"> Management and </w:t>
      </w:r>
      <w:r>
        <w:rPr>
          <w:spacing w:val="3"/>
        </w:rPr>
        <w:t>A</w:t>
      </w:r>
      <w:r>
        <w:t>war</w:t>
      </w:r>
      <w:r>
        <w:rPr>
          <w:spacing w:val="1"/>
        </w:rPr>
        <w:t>e</w:t>
      </w:r>
      <w:r>
        <w:rPr>
          <w:spacing w:val="-1"/>
        </w:rPr>
        <w:t>n</w:t>
      </w:r>
      <w:r>
        <w:t xml:space="preserve">ess </w:t>
      </w:r>
      <w:r>
        <w:rPr>
          <w:spacing w:val="1"/>
        </w:rPr>
        <w:t>(</w:t>
      </w:r>
      <w:r>
        <w:t>N</w:t>
      </w:r>
      <w:r>
        <w:rPr>
          <w:spacing w:val="1"/>
        </w:rPr>
        <w:t>S</w:t>
      </w:r>
      <w:r>
        <w:t>P).</w:t>
      </w:r>
      <w:r>
        <w:rPr>
          <w:spacing w:val="-8"/>
        </w:rPr>
        <w:t xml:space="preserve"> </w:t>
      </w:r>
      <w:r>
        <w:t>A</w:t>
      </w:r>
      <w:r>
        <w:rPr>
          <w:spacing w:val="3"/>
        </w:rPr>
        <w:t>SEA</w:t>
      </w:r>
      <w:r>
        <w:rPr>
          <w:spacing w:val="-6"/>
        </w:rPr>
        <w:t xml:space="preserve"> </w:t>
      </w:r>
      <w:r>
        <w:t>is</w:t>
      </w:r>
      <w:r>
        <w:rPr>
          <w:spacing w:val="-2"/>
        </w:rPr>
        <w:t xml:space="preserve"> </w:t>
      </w:r>
      <w:r>
        <w:rPr>
          <w:spacing w:val="1"/>
        </w:rPr>
        <w:t>a</w:t>
      </w:r>
      <w:r>
        <w:rPr>
          <w:spacing w:val="2"/>
        </w:rPr>
        <w:t>l</w:t>
      </w:r>
      <w:r>
        <w:t>so r</w:t>
      </w:r>
      <w:r>
        <w:rPr>
          <w:spacing w:val="1"/>
        </w:rPr>
        <w:t>e</w:t>
      </w:r>
      <w:r>
        <w:t>sp</w:t>
      </w:r>
      <w:r>
        <w:rPr>
          <w:spacing w:val="-1"/>
        </w:rPr>
        <w:t>o</w:t>
      </w:r>
      <w:r>
        <w:rPr>
          <w:spacing w:val="1"/>
        </w:rPr>
        <w:t>n</w:t>
      </w:r>
      <w:r>
        <w:t>s</w:t>
      </w:r>
      <w:r>
        <w:rPr>
          <w:spacing w:val="-1"/>
        </w:rPr>
        <w:t>i</w:t>
      </w:r>
      <w:r>
        <w:t>ble</w:t>
      </w:r>
      <w:r>
        <w:rPr>
          <w:spacing w:val="-9"/>
        </w:rPr>
        <w:t xml:space="preserve"> </w:t>
      </w:r>
      <w:r>
        <w:rPr>
          <w:spacing w:val="1"/>
        </w:rPr>
        <w:t>f</w:t>
      </w:r>
      <w:r>
        <w:rPr>
          <w:spacing w:val="-1"/>
        </w:rPr>
        <w:t>o</w:t>
      </w:r>
      <w:r>
        <w:t>r</w:t>
      </w:r>
      <w:r>
        <w:rPr>
          <w:spacing w:val="-2"/>
        </w:rPr>
        <w:t xml:space="preserve"> </w:t>
      </w:r>
      <w:r>
        <w:rPr>
          <w:spacing w:val="2"/>
        </w:rPr>
        <w:t>t</w:t>
      </w:r>
      <w:r>
        <w:rPr>
          <w:spacing w:val="-1"/>
        </w:rPr>
        <w:t>h</w:t>
      </w:r>
      <w:r>
        <w:t>e</w:t>
      </w:r>
      <w:r>
        <w:rPr>
          <w:spacing w:val="-2"/>
        </w:rPr>
        <w:t xml:space="preserve"> </w:t>
      </w:r>
      <w:r>
        <w:rPr>
          <w:spacing w:val="1"/>
        </w:rPr>
        <w:t>a</w:t>
      </w:r>
      <w:r>
        <w:t>d</w:t>
      </w:r>
      <w:r>
        <w:rPr>
          <w:spacing w:val="-1"/>
        </w:rPr>
        <w:t>m</w:t>
      </w:r>
      <w:r>
        <w:t>i</w:t>
      </w:r>
      <w:r>
        <w:rPr>
          <w:spacing w:val="1"/>
        </w:rPr>
        <w:t>n</w:t>
      </w:r>
      <w:r>
        <w:t>i</w:t>
      </w:r>
      <w:r>
        <w:rPr>
          <w:spacing w:val="1"/>
        </w:rPr>
        <w:t>s</w:t>
      </w:r>
      <w:r>
        <w:t>tr</w:t>
      </w:r>
      <w:r>
        <w:rPr>
          <w:spacing w:val="1"/>
        </w:rPr>
        <w:t>a</w:t>
      </w:r>
      <w:r>
        <w:t>ti</w:t>
      </w:r>
      <w:r>
        <w:rPr>
          <w:spacing w:val="-1"/>
        </w:rPr>
        <w:t>o</w:t>
      </w:r>
      <w:r>
        <w:t>n</w:t>
      </w:r>
      <w:r>
        <w:rPr>
          <w:spacing w:val="-11"/>
        </w:rPr>
        <w:t xml:space="preserve"> </w:t>
      </w:r>
      <w:r>
        <w:rPr>
          <w:spacing w:val="-1"/>
        </w:rPr>
        <w:t>o</w:t>
      </w:r>
      <w:r>
        <w:t>f</w:t>
      </w:r>
      <w:r>
        <w:rPr>
          <w:spacing w:val="-1"/>
        </w:rPr>
        <w:t xml:space="preserve"> </w:t>
      </w:r>
      <w:r>
        <w:t>t</w:t>
      </w:r>
      <w:r>
        <w:rPr>
          <w:spacing w:val="-1"/>
        </w:rPr>
        <w:t>h</w:t>
      </w:r>
      <w:r>
        <w:t>e</w:t>
      </w:r>
      <w:r>
        <w:rPr>
          <w:spacing w:val="-2"/>
        </w:rPr>
        <w:t xml:space="preserve"> </w:t>
      </w:r>
      <w:r>
        <w:t>N</w:t>
      </w:r>
      <w:r>
        <w:rPr>
          <w:spacing w:val="1"/>
        </w:rPr>
        <w:t>a</w:t>
      </w:r>
      <w:r>
        <w:t>ti</w:t>
      </w:r>
      <w:r>
        <w:rPr>
          <w:spacing w:val="1"/>
        </w:rPr>
        <w:t>o</w:t>
      </w:r>
      <w:r>
        <w:rPr>
          <w:spacing w:val="-1"/>
        </w:rPr>
        <w:t>n</w:t>
      </w:r>
      <w:r>
        <w:rPr>
          <w:spacing w:val="1"/>
        </w:rPr>
        <w:t>a</w:t>
      </w:r>
      <w:r>
        <w:t>l</w:t>
      </w:r>
      <w:r>
        <w:rPr>
          <w:spacing w:val="-8"/>
        </w:rPr>
        <w:t xml:space="preserve"> </w:t>
      </w:r>
      <w:r>
        <w:rPr>
          <w:spacing w:val="1"/>
        </w:rPr>
        <w:t>A</w:t>
      </w:r>
      <w:r>
        <w:t>s</w:t>
      </w:r>
      <w:r>
        <w:rPr>
          <w:spacing w:val="2"/>
        </w:rPr>
        <w:t>b</w:t>
      </w:r>
      <w:r>
        <w:t>est</w:t>
      </w:r>
      <w:r>
        <w:rPr>
          <w:spacing w:val="-1"/>
        </w:rPr>
        <w:t>o</w:t>
      </w:r>
      <w:r>
        <w:t>s</w:t>
      </w:r>
      <w:r>
        <w:rPr>
          <w:spacing w:val="-8"/>
        </w:rPr>
        <w:t xml:space="preserve"> </w:t>
      </w:r>
      <w:r>
        <w:rPr>
          <w:spacing w:val="1"/>
        </w:rPr>
        <w:t>E</w:t>
      </w:r>
      <w:r>
        <w:t>x</w:t>
      </w:r>
      <w:r>
        <w:rPr>
          <w:spacing w:val="3"/>
        </w:rPr>
        <w:t>p</w:t>
      </w:r>
      <w:r>
        <w:rPr>
          <w:spacing w:val="-1"/>
        </w:rPr>
        <w:t>o</w:t>
      </w:r>
      <w:r>
        <w:t>sure</w:t>
      </w:r>
      <w:r>
        <w:rPr>
          <w:spacing w:val="-5"/>
        </w:rPr>
        <w:t xml:space="preserve"> </w:t>
      </w:r>
      <w:r>
        <w:rPr>
          <w:spacing w:val="-1"/>
        </w:rPr>
        <w:t>R</w:t>
      </w:r>
      <w:r>
        <w:t>egi</w:t>
      </w:r>
      <w:r>
        <w:rPr>
          <w:spacing w:val="2"/>
        </w:rPr>
        <w:t>s</w:t>
      </w:r>
      <w:r>
        <w:t xml:space="preserve">ter. </w:t>
      </w:r>
    </w:p>
    <w:p w:rsidR="00A02077" w:rsidRDefault="00A02077" w:rsidP="00985AAE">
      <w:pPr>
        <w:spacing w:after="120"/>
      </w:pPr>
      <w:r>
        <w:t>The agency’s main functions are to:</w:t>
      </w:r>
    </w:p>
    <w:p w:rsidR="00A02077" w:rsidRDefault="00A02077" w:rsidP="00985AAE">
      <w:pPr>
        <w:pStyle w:val="Bullet"/>
        <w:spacing w:after="120"/>
        <w:ind w:left="284" w:hanging="284"/>
      </w:pPr>
      <w:r>
        <w:t>encourage, coordinate, monitor and report on the implementation of the NSP</w:t>
      </w:r>
    </w:p>
    <w:p w:rsidR="00A02077" w:rsidRDefault="00A02077" w:rsidP="00985AAE">
      <w:pPr>
        <w:pStyle w:val="Bullet"/>
        <w:spacing w:after="120"/>
        <w:ind w:left="284" w:hanging="284"/>
      </w:pPr>
      <w:r>
        <w:t>review and amend the NSP as required</w:t>
      </w:r>
    </w:p>
    <w:p w:rsidR="00A02077" w:rsidRDefault="00A02077" w:rsidP="00985AAE">
      <w:pPr>
        <w:pStyle w:val="Bullet"/>
        <w:spacing w:after="120"/>
        <w:ind w:left="284" w:hanging="284"/>
      </w:pPr>
      <w:r>
        <w:t>publish and promote the NSP</w:t>
      </w:r>
    </w:p>
    <w:p w:rsidR="00A02077" w:rsidRDefault="00A02077" w:rsidP="00985AAE">
      <w:pPr>
        <w:pStyle w:val="Bullet"/>
        <w:spacing w:after="120"/>
        <w:ind w:left="284" w:hanging="284"/>
      </w:pPr>
      <w:r>
        <w:t>provide advice to the Minister about asbestos safety</w:t>
      </w:r>
    </w:p>
    <w:p w:rsidR="00A02077" w:rsidRDefault="00A02077" w:rsidP="00985AAE">
      <w:pPr>
        <w:pStyle w:val="Bullet"/>
        <w:spacing w:after="120"/>
        <w:ind w:left="284" w:hanging="284"/>
      </w:pPr>
      <w:r>
        <w:t>liaise with Commonwealth, state, territory, local and other governments, agencies or bodies about the implementation of the NSP and asbestos safety</w:t>
      </w:r>
      <w:r w:rsidR="00985AAE">
        <w:rPr>
          <w:lang w:val="en-AU"/>
        </w:rPr>
        <w:t>, and</w:t>
      </w:r>
    </w:p>
    <w:p w:rsidR="00A02077" w:rsidRDefault="00A02077" w:rsidP="00A02077">
      <w:pPr>
        <w:pStyle w:val="Bullet"/>
      </w:pPr>
      <w:r>
        <w:t xml:space="preserve">commission, monitor and promote research about asbestos safety. </w:t>
      </w:r>
    </w:p>
    <w:p w:rsidR="00A02077" w:rsidRDefault="00A02077" w:rsidP="00A02077">
      <w:r>
        <w:t>The elimination of asbestos-related disease is a long-term and complex challenge. T</w:t>
      </w:r>
      <w:r>
        <w:rPr>
          <w:rFonts w:eastAsia="Book Antiqua"/>
        </w:rPr>
        <w:t>he N</w:t>
      </w:r>
      <w:r>
        <w:rPr>
          <w:rFonts w:eastAsia="Book Antiqua"/>
          <w:spacing w:val="1"/>
        </w:rPr>
        <w:t>S</w:t>
      </w:r>
      <w:r>
        <w:rPr>
          <w:rFonts w:eastAsia="Book Antiqua"/>
        </w:rPr>
        <w:t>P was launched in 2015 and</w:t>
      </w:r>
      <w:r>
        <w:rPr>
          <w:rFonts w:eastAsia="Book Antiqua"/>
          <w:spacing w:val="-4"/>
        </w:rPr>
        <w:t xml:space="preserve"> </w:t>
      </w:r>
      <w:r>
        <w:rPr>
          <w:rFonts w:eastAsia="Book Antiqua"/>
          <w:spacing w:val="1"/>
        </w:rPr>
        <w:t>e</w:t>
      </w:r>
      <w:r>
        <w:rPr>
          <w:rFonts w:eastAsia="Book Antiqua"/>
        </w:rPr>
        <w:t>s</w:t>
      </w:r>
      <w:r>
        <w:rPr>
          <w:rFonts w:eastAsia="Book Antiqua"/>
          <w:spacing w:val="-1"/>
        </w:rPr>
        <w:t>t</w:t>
      </w:r>
      <w:r>
        <w:rPr>
          <w:rFonts w:eastAsia="Book Antiqua"/>
          <w:spacing w:val="1"/>
        </w:rPr>
        <w:t>a</w:t>
      </w:r>
      <w:r>
        <w:rPr>
          <w:rFonts w:eastAsia="Book Antiqua"/>
        </w:rPr>
        <w:t>bli</w:t>
      </w:r>
      <w:r>
        <w:rPr>
          <w:rFonts w:eastAsia="Book Antiqua"/>
          <w:spacing w:val="1"/>
        </w:rPr>
        <w:t>s</w:t>
      </w:r>
      <w:r>
        <w:rPr>
          <w:rFonts w:eastAsia="Book Antiqua"/>
          <w:spacing w:val="-1"/>
        </w:rPr>
        <w:t>h</w:t>
      </w:r>
      <w:r>
        <w:rPr>
          <w:rFonts w:eastAsia="Book Antiqua"/>
        </w:rPr>
        <w:t>es</w:t>
      </w:r>
      <w:r>
        <w:rPr>
          <w:rFonts w:eastAsia="Book Antiqua"/>
          <w:spacing w:val="-10"/>
        </w:rPr>
        <w:t xml:space="preserve"> </w:t>
      </w:r>
      <w:r>
        <w:rPr>
          <w:rFonts w:eastAsia="Book Antiqua"/>
        </w:rPr>
        <w:t xml:space="preserve">a </w:t>
      </w:r>
      <w:r>
        <w:rPr>
          <w:rFonts w:eastAsia="Book Antiqua"/>
          <w:spacing w:val="1"/>
        </w:rPr>
        <w:t>f</w:t>
      </w:r>
      <w:r>
        <w:rPr>
          <w:rFonts w:eastAsia="Book Antiqua"/>
        </w:rPr>
        <w:t>ive</w:t>
      </w:r>
      <w:r>
        <w:rPr>
          <w:rFonts w:eastAsia="Book Antiqua"/>
          <w:spacing w:val="-2"/>
        </w:rPr>
        <w:t>-year</w:t>
      </w:r>
      <w:r>
        <w:rPr>
          <w:rFonts w:eastAsia="Book Antiqua"/>
          <w:spacing w:val="-3"/>
        </w:rPr>
        <w:t xml:space="preserve"> </w:t>
      </w:r>
      <w:r>
        <w:rPr>
          <w:rFonts w:eastAsia="Book Antiqua"/>
          <w:spacing w:val="1"/>
        </w:rPr>
        <w:t>f</w:t>
      </w:r>
      <w:r>
        <w:rPr>
          <w:rFonts w:eastAsia="Book Antiqua"/>
        </w:rPr>
        <w:t>r</w:t>
      </w:r>
      <w:r>
        <w:rPr>
          <w:rFonts w:eastAsia="Book Antiqua"/>
          <w:spacing w:val="2"/>
        </w:rPr>
        <w:t>a</w:t>
      </w:r>
      <w:r>
        <w:rPr>
          <w:rFonts w:eastAsia="Book Antiqua"/>
          <w:spacing w:val="-1"/>
        </w:rPr>
        <w:t>m</w:t>
      </w:r>
      <w:r>
        <w:rPr>
          <w:rFonts w:eastAsia="Book Antiqua"/>
        </w:rPr>
        <w:t>ew</w:t>
      </w:r>
      <w:r>
        <w:rPr>
          <w:rFonts w:eastAsia="Book Antiqua"/>
          <w:spacing w:val="-1"/>
        </w:rPr>
        <w:t>o</w:t>
      </w:r>
      <w:r>
        <w:rPr>
          <w:rFonts w:eastAsia="Book Antiqua"/>
        </w:rPr>
        <w:t>rk</w:t>
      </w:r>
      <w:r>
        <w:rPr>
          <w:rFonts w:eastAsia="Book Antiqua"/>
          <w:spacing w:val="-10"/>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t</w:t>
      </w:r>
      <w:r>
        <w:rPr>
          <w:rFonts w:eastAsia="Book Antiqua"/>
          <w:spacing w:val="-1"/>
        </w:rPr>
        <w:t>h</w:t>
      </w:r>
      <w:r>
        <w:rPr>
          <w:rFonts w:eastAsia="Book Antiqua"/>
        </w:rPr>
        <w:t>is</w:t>
      </w:r>
      <w:r>
        <w:rPr>
          <w:rFonts w:eastAsia="Book Antiqua"/>
          <w:spacing w:val="-1"/>
        </w:rPr>
        <w:t xml:space="preserve"> </w:t>
      </w:r>
      <w:r>
        <w:rPr>
          <w:rFonts w:eastAsia="Book Antiqua"/>
        </w:rPr>
        <w:t>w</w:t>
      </w:r>
      <w:r>
        <w:rPr>
          <w:rFonts w:eastAsia="Book Antiqua"/>
          <w:spacing w:val="-1"/>
        </w:rPr>
        <w:t>o</w:t>
      </w:r>
      <w:r w:rsidR="00C152B0">
        <w:rPr>
          <w:rFonts w:eastAsia="Book Antiqua"/>
        </w:rPr>
        <w:t>rk. During 2018–</w:t>
      </w:r>
      <w:r>
        <w:rPr>
          <w:rFonts w:eastAsia="Book Antiqua"/>
        </w:rPr>
        <w:t xml:space="preserve">19, ASEA will work with all levels of governments in Australia to coordinate the development of the next phase of the plan. </w:t>
      </w:r>
    </w:p>
    <w:p w:rsidR="00A02077" w:rsidRDefault="00A02077" w:rsidP="00A02077">
      <w:pPr>
        <w:pStyle w:val="Heading3"/>
      </w:pPr>
      <w:r w:rsidRPr="0079797F">
        <w:br w:type="page"/>
      </w:r>
      <w:bookmarkStart w:id="149" w:name="_Toc511656256"/>
      <w:bookmarkStart w:id="150" w:name="_Toc511722629"/>
      <w:bookmarkStart w:id="151" w:name="_Toc511736960"/>
      <w:bookmarkStart w:id="152" w:name="_Toc511747222"/>
      <w:bookmarkStart w:id="153" w:name="_Toc511765625"/>
      <w:bookmarkStart w:id="154" w:name="_Toc511828681"/>
      <w:bookmarkStart w:id="155" w:name="_Toc511836820"/>
      <w:bookmarkStart w:id="156" w:name="_Toc511902526"/>
      <w:r>
        <w:lastRenderedPageBreak/>
        <w:t>1.2</w:t>
      </w:r>
      <w:r>
        <w:tab/>
        <w:t>Entity resource statement</w:t>
      </w:r>
      <w:bookmarkEnd w:id="149"/>
      <w:bookmarkEnd w:id="150"/>
      <w:bookmarkEnd w:id="151"/>
      <w:bookmarkEnd w:id="152"/>
      <w:bookmarkEnd w:id="153"/>
      <w:bookmarkEnd w:id="154"/>
      <w:bookmarkEnd w:id="155"/>
      <w:bookmarkEnd w:id="156"/>
    </w:p>
    <w:p w:rsidR="00A02077" w:rsidRDefault="00A02077" w:rsidP="00A02077">
      <w:r>
        <w:t>Table 1.1 shows the total funding from all sources available to the entity for its operations and to deliver programs and services on behalf of the Government.</w:t>
      </w:r>
    </w:p>
    <w:p w:rsidR="00A02077" w:rsidRDefault="00A02077" w:rsidP="00A02077">
      <w:r>
        <w:t>The table summarises how resources will be applied by outcome (government strategic policy objectives) and by administered (on behalf of the Government or the public) and departmental (for the entity’s operations) classification.</w:t>
      </w:r>
    </w:p>
    <w:p w:rsidR="00A02077" w:rsidRDefault="00A02077" w:rsidP="00A02077">
      <w:r>
        <w:t xml:space="preserve">For more detailed information on special accounts and special appropriations, please refer to </w:t>
      </w:r>
      <w:r>
        <w:rPr>
          <w:i/>
        </w:rPr>
        <w:t>Budget Paper No. 4—</w:t>
      </w:r>
      <w:r w:rsidRPr="00412C0B">
        <w:rPr>
          <w:i/>
        </w:rPr>
        <w:t>Agency Resourcing</w:t>
      </w:r>
      <w:r>
        <w:t>.</w:t>
      </w:r>
    </w:p>
    <w:p w:rsidR="00A02077" w:rsidRDefault="00A02077" w:rsidP="00A02077">
      <w:r>
        <w:t>Information in this table is presented on a resourcing (that is, appropriations/cash available) basis, whilst the ‘Budgeted expenses by Outcome’ tables in Section 2 and the financial statements in Section 3 are presented on an accrual basis.</w:t>
      </w:r>
    </w:p>
    <w:p w:rsidR="00A02077" w:rsidRPr="005731D3" w:rsidRDefault="00A02077" w:rsidP="00A02077">
      <w:pPr>
        <w:pStyle w:val="TableHeading"/>
      </w:pPr>
      <w:r w:rsidRPr="005731D3">
        <w:t xml:space="preserve">Table 1.1: </w:t>
      </w:r>
      <w:r w:rsidR="004E688E">
        <w:rPr>
          <w:lang w:val="en-AU"/>
        </w:rPr>
        <w:t xml:space="preserve">Asbestos Safety and Eradication Agency </w:t>
      </w:r>
      <w:r>
        <w:t>resource statement</w:t>
      </w:r>
      <w:r>
        <w:rPr>
          <w:lang w:val="en-AU"/>
        </w:rPr>
        <w:t>—</w:t>
      </w:r>
      <w:r w:rsidRPr="005731D3">
        <w:t xml:space="preserve">Budget estimates for </w:t>
      </w:r>
      <w:r w:rsidRPr="003F3C77">
        <w:t>201</w:t>
      </w:r>
      <w:r>
        <w:t>8</w:t>
      </w:r>
      <w:r>
        <w:rPr>
          <w:lang w:val="en-AU"/>
        </w:rPr>
        <w:t>–</w:t>
      </w:r>
      <w:r w:rsidRPr="003F3C77">
        <w:t>1</w:t>
      </w:r>
      <w:r>
        <w:t>9</w:t>
      </w:r>
      <w:r>
        <w:rPr>
          <w:lang w:val="en-AU"/>
        </w:rPr>
        <w:t xml:space="preserve"> </w:t>
      </w:r>
      <w:r w:rsidRPr="005731D3">
        <w:t>as at Budget</w:t>
      </w:r>
      <w:r w:rsidR="00C5333D">
        <w:rPr>
          <w:lang w:val="en-AU"/>
        </w:rPr>
        <w:t>,</w:t>
      </w:r>
      <w:r w:rsidRPr="005731D3">
        <w:t xml:space="preserve"> May 201</w:t>
      </w:r>
      <w:r>
        <w:t>8</w:t>
      </w:r>
    </w:p>
    <w:tbl>
      <w:tblPr>
        <w:tblW w:w="7739" w:type="dxa"/>
        <w:tblInd w:w="93" w:type="dxa"/>
        <w:tblLook w:val="04A0" w:firstRow="1" w:lastRow="0" w:firstColumn="1" w:lastColumn="0" w:noHBand="0" w:noVBand="1"/>
      </w:tblPr>
      <w:tblGrid>
        <w:gridCol w:w="5471"/>
        <w:gridCol w:w="1134"/>
        <w:gridCol w:w="1134"/>
      </w:tblGrid>
      <w:tr w:rsidR="00BC45CF" w:rsidRPr="00BC45CF" w:rsidTr="00FD32B1">
        <w:trPr>
          <w:trHeight w:val="794"/>
        </w:trPr>
        <w:tc>
          <w:tcPr>
            <w:tcW w:w="5471" w:type="dxa"/>
            <w:tcBorders>
              <w:top w:val="single" w:sz="4" w:space="0" w:color="auto"/>
              <w:left w:val="nil"/>
              <w:bottom w:val="nil"/>
              <w:right w:val="nil"/>
            </w:tcBorders>
            <w:shd w:val="clear" w:color="000000" w:fill="FFFFFF"/>
            <w:vAlign w:val="bottom"/>
            <w:hideMark/>
          </w:tcPr>
          <w:p w:rsidR="00BC45CF" w:rsidRPr="00BC45CF" w:rsidRDefault="00BC45CF" w:rsidP="00BC45CF">
            <w:pPr>
              <w:spacing w:after="0" w:line="240" w:lineRule="auto"/>
              <w:rPr>
                <w:rFonts w:ascii="Arial" w:hAnsi="Arial" w:cs="Arial"/>
                <w:color w:val="000000"/>
                <w:sz w:val="16"/>
                <w:szCs w:val="16"/>
              </w:rPr>
            </w:pPr>
            <w:r w:rsidRPr="00BC45CF">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000000" w:fill="FFFFFF"/>
            <w:vAlign w:val="center"/>
            <w:hideMark/>
          </w:tcPr>
          <w:p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xml:space="preserve">2017–18 Estimated actual </w:t>
            </w:r>
            <w:r w:rsidRPr="00BC45CF">
              <w:rPr>
                <w:rFonts w:ascii="Arial" w:hAnsi="Arial" w:cs="Arial"/>
                <w:i/>
                <w:iCs/>
                <w:color w:val="000000"/>
                <w:sz w:val="16"/>
                <w:szCs w:val="16"/>
              </w:rPr>
              <w:br/>
              <w:t>$'000</w:t>
            </w:r>
          </w:p>
        </w:tc>
        <w:tc>
          <w:tcPr>
            <w:tcW w:w="1134" w:type="dxa"/>
            <w:tcBorders>
              <w:top w:val="single" w:sz="4" w:space="0" w:color="auto"/>
              <w:left w:val="nil"/>
              <w:bottom w:val="single" w:sz="4" w:space="0" w:color="auto"/>
              <w:right w:val="nil"/>
            </w:tcBorders>
            <w:shd w:val="clear" w:color="000000" w:fill="E6E6E6"/>
            <w:vAlign w:val="center"/>
            <w:hideMark/>
          </w:tcPr>
          <w:p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2018–19 Estimate</w:t>
            </w:r>
            <w:r w:rsidRPr="00BC45CF">
              <w:rPr>
                <w:rFonts w:ascii="Arial" w:hAnsi="Arial" w:cs="Arial"/>
                <w:color w:val="000000"/>
                <w:sz w:val="16"/>
                <w:szCs w:val="16"/>
              </w:rPr>
              <w:br/>
            </w:r>
            <w:r w:rsidRPr="00BC45CF">
              <w:rPr>
                <w:rFonts w:ascii="Arial" w:hAnsi="Arial" w:cs="Arial"/>
                <w:color w:val="000000"/>
                <w:sz w:val="16"/>
                <w:szCs w:val="16"/>
              </w:rPr>
              <w:br/>
              <w:t>$'000</w:t>
            </w:r>
          </w:p>
        </w:tc>
      </w:tr>
      <w:tr w:rsidR="00BC45CF" w:rsidRPr="00BC45CF" w:rsidTr="00FD32B1">
        <w:trPr>
          <w:trHeight w:val="225"/>
        </w:trPr>
        <w:tc>
          <w:tcPr>
            <w:tcW w:w="5471" w:type="dxa"/>
            <w:tcBorders>
              <w:top w:val="nil"/>
              <w:left w:val="nil"/>
              <w:bottom w:val="nil"/>
              <w:right w:val="nil"/>
            </w:tcBorders>
            <w:shd w:val="clear" w:color="auto" w:fill="auto"/>
            <w:vAlign w:val="center"/>
            <w:hideMark/>
          </w:tcPr>
          <w:p w:rsidR="00BC45CF" w:rsidRPr="00BC45CF" w:rsidRDefault="00BC45CF" w:rsidP="00FD32B1">
            <w:pPr>
              <w:spacing w:after="0" w:line="240" w:lineRule="auto"/>
              <w:rPr>
                <w:rFonts w:ascii="Arial" w:hAnsi="Arial" w:cs="Arial"/>
                <w:b/>
                <w:bCs/>
                <w:color w:val="000000"/>
                <w:sz w:val="16"/>
                <w:szCs w:val="16"/>
              </w:rPr>
            </w:pPr>
            <w:r w:rsidRPr="00BC45CF">
              <w:rPr>
                <w:rFonts w:ascii="Arial" w:hAnsi="Arial" w:cs="Arial"/>
                <w:b/>
                <w:bCs/>
                <w:color w:val="000000"/>
                <w:sz w:val="16"/>
                <w:szCs w:val="16"/>
              </w:rPr>
              <w:t>Departmental</w:t>
            </w:r>
          </w:p>
        </w:tc>
        <w:tc>
          <w:tcPr>
            <w:tcW w:w="1134" w:type="dxa"/>
            <w:tcBorders>
              <w:top w:val="nil"/>
              <w:left w:val="nil"/>
              <w:bottom w:val="nil"/>
              <w:right w:val="nil"/>
            </w:tcBorders>
            <w:shd w:val="clear" w:color="000000" w:fill="FFFFFF"/>
            <w:vAlign w:val="center"/>
            <w:hideMark/>
          </w:tcPr>
          <w:p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 </w:t>
            </w:r>
          </w:p>
        </w:tc>
      </w:tr>
      <w:tr w:rsidR="00BC45CF" w:rsidRPr="00BC45CF" w:rsidTr="00036CD7">
        <w:trPr>
          <w:trHeight w:val="225"/>
        </w:trPr>
        <w:tc>
          <w:tcPr>
            <w:tcW w:w="5471" w:type="dxa"/>
            <w:tcBorders>
              <w:top w:val="nil"/>
              <w:left w:val="nil"/>
              <w:bottom w:val="nil"/>
              <w:right w:val="nil"/>
            </w:tcBorders>
            <w:shd w:val="clear" w:color="auto" w:fill="auto"/>
            <w:vAlign w:val="center"/>
            <w:hideMark/>
          </w:tcPr>
          <w:p w:rsidR="00BC45CF" w:rsidRPr="00BC45CF" w:rsidRDefault="00BC45CF" w:rsidP="00FD32B1">
            <w:pPr>
              <w:spacing w:after="0" w:line="240" w:lineRule="auto"/>
              <w:rPr>
                <w:rFonts w:ascii="Arial" w:hAnsi="Arial" w:cs="Arial"/>
                <w:color w:val="000000"/>
                <w:sz w:val="16"/>
                <w:szCs w:val="16"/>
              </w:rPr>
            </w:pPr>
            <w:r w:rsidRPr="00BC45CF">
              <w:rPr>
                <w:rFonts w:ascii="Arial" w:hAnsi="Arial" w:cs="Arial"/>
                <w:color w:val="000000"/>
                <w:sz w:val="16"/>
                <w:szCs w:val="16"/>
              </w:rPr>
              <w:t>Annual appropriations—ordinary annual services (a)</w:t>
            </w:r>
          </w:p>
        </w:tc>
        <w:tc>
          <w:tcPr>
            <w:tcW w:w="1134" w:type="dxa"/>
            <w:tcBorders>
              <w:top w:val="nil"/>
              <w:left w:val="nil"/>
              <w:bottom w:val="nil"/>
              <w:right w:val="nil"/>
            </w:tcBorders>
            <w:shd w:val="clear" w:color="auto" w:fill="auto"/>
            <w:vAlign w:val="center"/>
            <w:hideMark/>
          </w:tcPr>
          <w:p w:rsidR="00BC45CF" w:rsidRPr="00036CD7" w:rsidRDefault="00BC45CF" w:rsidP="00FD32B1">
            <w:pPr>
              <w:spacing w:after="0" w:line="240" w:lineRule="auto"/>
              <w:jc w:val="right"/>
              <w:rPr>
                <w:rFonts w:ascii="Arial" w:hAnsi="Arial" w:cs="Arial"/>
                <w:i/>
                <w:iCs/>
                <w:color w:val="000000"/>
                <w:sz w:val="16"/>
                <w:szCs w:val="16"/>
              </w:rPr>
            </w:pPr>
            <w:r w:rsidRPr="00036CD7">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rsidR="00BC45CF" w:rsidRPr="00036CD7" w:rsidRDefault="00BC45CF" w:rsidP="00FD32B1">
            <w:pPr>
              <w:spacing w:after="0" w:line="240" w:lineRule="auto"/>
              <w:jc w:val="right"/>
              <w:rPr>
                <w:rFonts w:ascii="Arial" w:hAnsi="Arial" w:cs="Arial"/>
                <w:color w:val="000000"/>
                <w:sz w:val="16"/>
                <w:szCs w:val="16"/>
              </w:rPr>
            </w:pPr>
            <w:r w:rsidRPr="00036CD7">
              <w:rPr>
                <w:rFonts w:ascii="Arial" w:hAnsi="Arial" w:cs="Arial"/>
                <w:color w:val="000000"/>
                <w:sz w:val="16"/>
                <w:szCs w:val="16"/>
              </w:rPr>
              <w:t> </w:t>
            </w:r>
          </w:p>
        </w:tc>
      </w:tr>
      <w:tr w:rsidR="00BC45CF" w:rsidRPr="00BC45CF" w:rsidTr="00036CD7">
        <w:trPr>
          <w:trHeight w:val="225"/>
        </w:trPr>
        <w:tc>
          <w:tcPr>
            <w:tcW w:w="5471" w:type="dxa"/>
            <w:tcBorders>
              <w:top w:val="nil"/>
              <w:left w:val="nil"/>
              <w:bottom w:val="nil"/>
              <w:right w:val="nil"/>
            </w:tcBorders>
            <w:shd w:val="clear" w:color="auto" w:fill="auto"/>
            <w:vAlign w:val="center"/>
            <w:hideMark/>
          </w:tcPr>
          <w:p w:rsidR="00BC45CF" w:rsidRPr="00BC45CF" w:rsidRDefault="00BC45CF" w:rsidP="00FD32B1">
            <w:pPr>
              <w:spacing w:after="0" w:line="240" w:lineRule="auto"/>
              <w:rPr>
                <w:rFonts w:ascii="Arial" w:hAnsi="Arial" w:cs="Arial"/>
                <w:color w:val="000000"/>
                <w:sz w:val="16"/>
                <w:szCs w:val="16"/>
              </w:rPr>
            </w:pPr>
            <w:r w:rsidRPr="00BC45CF">
              <w:rPr>
                <w:rFonts w:ascii="Arial" w:hAnsi="Arial" w:cs="Arial"/>
                <w:color w:val="000000"/>
                <w:sz w:val="16"/>
                <w:szCs w:val="16"/>
              </w:rPr>
              <w:t xml:space="preserve">    Prior y</w:t>
            </w:r>
            <w:r w:rsidR="00036CD7">
              <w:rPr>
                <w:rFonts w:ascii="Arial" w:hAnsi="Arial" w:cs="Arial"/>
                <w:color w:val="000000"/>
                <w:sz w:val="16"/>
                <w:szCs w:val="16"/>
              </w:rPr>
              <w:t xml:space="preserve">ear appropriations available </w:t>
            </w:r>
          </w:p>
        </w:tc>
        <w:tc>
          <w:tcPr>
            <w:tcW w:w="1134" w:type="dxa"/>
            <w:tcBorders>
              <w:top w:val="nil"/>
              <w:left w:val="nil"/>
              <w:bottom w:val="nil"/>
              <w:right w:val="nil"/>
            </w:tcBorders>
            <w:shd w:val="clear" w:color="auto" w:fill="auto"/>
            <w:vAlign w:val="center"/>
            <w:hideMark/>
          </w:tcPr>
          <w:p w:rsidR="00BC45CF" w:rsidRPr="00036CD7" w:rsidRDefault="00036CD7" w:rsidP="00FD32B1">
            <w:pPr>
              <w:spacing w:after="0" w:line="240" w:lineRule="auto"/>
              <w:jc w:val="right"/>
              <w:rPr>
                <w:rFonts w:ascii="Arial" w:hAnsi="Arial" w:cs="Arial"/>
                <w:i/>
                <w:iCs/>
                <w:color w:val="000000"/>
                <w:sz w:val="16"/>
                <w:szCs w:val="16"/>
              </w:rPr>
            </w:pPr>
            <w:r>
              <w:rPr>
                <w:rFonts w:ascii="Arial" w:hAnsi="Arial" w:cs="Arial"/>
                <w:i/>
                <w:iCs/>
                <w:color w:val="000000"/>
                <w:sz w:val="16"/>
                <w:szCs w:val="16"/>
              </w:rPr>
              <w:t>4,36</w:t>
            </w:r>
            <w:r w:rsidR="00BC45CF" w:rsidRPr="00036CD7">
              <w:rPr>
                <w:rFonts w:ascii="Arial" w:hAnsi="Arial" w:cs="Arial"/>
                <w:i/>
                <w:iCs/>
                <w:color w:val="000000"/>
                <w:sz w:val="16"/>
                <w:szCs w:val="16"/>
              </w:rPr>
              <w:t xml:space="preserve">9 </w:t>
            </w:r>
          </w:p>
        </w:tc>
        <w:tc>
          <w:tcPr>
            <w:tcW w:w="1134" w:type="dxa"/>
            <w:tcBorders>
              <w:top w:val="nil"/>
              <w:left w:val="nil"/>
              <w:bottom w:val="nil"/>
              <w:right w:val="nil"/>
            </w:tcBorders>
            <w:shd w:val="clear" w:color="auto" w:fill="E6E6E6"/>
            <w:vAlign w:val="center"/>
            <w:hideMark/>
          </w:tcPr>
          <w:p w:rsidR="00BC45CF" w:rsidRPr="00036CD7" w:rsidRDefault="00036CD7" w:rsidP="00036CD7">
            <w:pPr>
              <w:spacing w:after="0" w:line="240" w:lineRule="auto"/>
              <w:jc w:val="right"/>
              <w:rPr>
                <w:rFonts w:ascii="Arial" w:hAnsi="Arial" w:cs="Arial"/>
                <w:color w:val="000000"/>
                <w:sz w:val="16"/>
                <w:szCs w:val="16"/>
              </w:rPr>
            </w:pPr>
            <w:r>
              <w:rPr>
                <w:rFonts w:ascii="Arial" w:hAnsi="Arial" w:cs="Arial"/>
                <w:color w:val="000000"/>
                <w:sz w:val="16"/>
                <w:szCs w:val="16"/>
              </w:rPr>
              <w:t>4</w:t>
            </w:r>
            <w:r w:rsidR="00BC45CF" w:rsidRPr="00036CD7">
              <w:rPr>
                <w:rFonts w:ascii="Arial" w:hAnsi="Arial" w:cs="Arial"/>
                <w:color w:val="000000"/>
                <w:sz w:val="16"/>
                <w:szCs w:val="16"/>
              </w:rPr>
              <w:t>,</w:t>
            </w:r>
            <w:r>
              <w:rPr>
                <w:rFonts w:ascii="Arial" w:hAnsi="Arial" w:cs="Arial"/>
                <w:color w:val="000000"/>
                <w:sz w:val="16"/>
                <w:szCs w:val="16"/>
              </w:rPr>
              <w:t>369</w:t>
            </w:r>
            <w:r w:rsidR="00BC45CF" w:rsidRPr="00036CD7">
              <w:rPr>
                <w:rFonts w:ascii="Arial" w:hAnsi="Arial" w:cs="Arial"/>
                <w:color w:val="000000"/>
                <w:sz w:val="16"/>
                <w:szCs w:val="16"/>
              </w:rPr>
              <w:t xml:space="preserve"> </w:t>
            </w:r>
          </w:p>
        </w:tc>
      </w:tr>
      <w:tr w:rsidR="00BC45CF" w:rsidRPr="00BC45CF" w:rsidTr="00FD32B1">
        <w:trPr>
          <w:trHeight w:val="225"/>
        </w:trPr>
        <w:tc>
          <w:tcPr>
            <w:tcW w:w="5471" w:type="dxa"/>
            <w:tcBorders>
              <w:top w:val="nil"/>
              <w:left w:val="nil"/>
              <w:bottom w:val="nil"/>
              <w:right w:val="nil"/>
            </w:tcBorders>
            <w:shd w:val="clear" w:color="auto" w:fill="auto"/>
            <w:vAlign w:val="center"/>
            <w:hideMark/>
          </w:tcPr>
          <w:p w:rsidR="00BC45CF" w:rsidRPr="00BC45CF" w:rsidRDefault="00BC45CF" w:rsidP="00FD32B1">
            <w:pPr>
              <w:spacing w:after="0" w:line="240" w:lineRule="auto"/>
              <w:rPr>
                <w:rFonts w:ascii="Arial" w:hAnsi="Arial" w:cs="Arial"/>
                <w:color w:val="000000"/>
                <w:sz w:val="16"/>
                <w:szCs w:val="16"/>
              </w:rPr>
            </w:pPr>
            <w:r w:rsidRPr="00BC45CF">
              <w:rPr>
                <w:rFonts w:ascii="Arial" w:hAnsi="Arial" w:cs="Arial"/>
                <w:color w:val="000000"/>
                <w:sz w:val="16"/>
                <w:szCs w:val="16"/>
              </w:rPr>
              <w:t xml:space="preserve"> </w:t>
            </w:r>
            <w:r w:rsidR="00036CD7">
              <w:rPr>
                <w:rFonts w:ascii="Arial" w:hAnsi="Arial" w:cs="Arial"/>
                <w:color w:val="000000"/>
                <w:sz w:val="16"/>
                <w:szCs w:val="16"/>
              </w:rPr>
              <w:t xml:space="preserve">   Departmental appropriation (b</w:t>
            </w:r>
            <w:r w:rsidRPr="00BC45CF">
              <w:rPr>
                <w:rFonts w:ascii="Arial" w:hAnsi="Arial" w:cs="Arial"/>
                <w:color w:val="000000"/>
                <w:sz w:val="16"/>
                <w:szCs w:val="16"/>
              </w:rPr>
              <w:t>)</w:t>
            </w:r>
          </w:p>
        </w:tc>
        <w:tc>
          <w:tcPr>
            <w:tcW w:w="1134" w:type="dxa"/>
            <w:tcBorders>
              <w:top w:val="nil"/>
              <w:left w:val="nil"/>
              <w:bottom w:val="nil"/>
              <w:right w:val="nil"/>
            </w:tcBorders>
            <w:shd w:val="clear" w:color="000000" w:fill="FFFFFF"/>
            <w:vAlign w:val="center"/>
            <w:hideMark/>
          </w:tcPr>
          <w:p w:rsidR="00BC45CF" w:rsidRPr="00036CD7" w:rsidRDefault="00BC45CF" w:rsidP="00FD32B1">
            <w:pPr>
              <w:spacing w:after="0" w:line="240" w:lineRule="auto"/>
              <w:jc w:val="right"/>
              <w:rPr>
                <w:rFonts w:ascii="Arial" w:hAnsi="Arial" w:cs="Arial"/>
                <w:i/>
                <w:iCs/>
                <w:color w:val="000000"/>
                <w:sz w:val="16"/>
                <w:szCs w:val="16"/>
              </w:rPr>
            </w:pPr>
            <w:r w:rsidRPr="00036CD7">
              <w:rPr>
                <w:rFonts w:ascii="Arial" w:hAnsi="Arial" w:cs="Arial"/>
                <w:i/>
                <w:iCs/>
                <w:color w:val="000000"/>
                <w:sz w:val="16"/>
                <w:szCs w:val="16"/>
              </w:rPr>
              <w:t xml:space="preserve">4,016 </w:t>
            </w:r>
          </w:p>
        </w:tc>
        <w:tc>
          <w:tcPr>
            <w:tcW w:w="1134" w:type="dxa"/>
            <w:tcBorders>
              <w:top w:val="nil"/>
              <w:left w:val="nil"/>
              <w:bottom w:val="nil"/>
              <w:right w:val="nil"/>
            </w:tcBorders>
            <w:shd w:val="clear" w:color="000000" w:fill="E6E6E6"/>
            <w:vAlign w:val="center"/>
            <w:hideMark/>
          </w:tcPr>
          <w:p w:rsidR="00BC45CF" w:rsidRPr="00036CD7" w:rsidRDefault="00BC45CF" w:rsidP="00FD32B1">
            <w:pPr>
              <w:spacing w:after="0" w:line="240" w:lineRule="auto"/>
              <w:jc w:val="right"/>
              <w:rPr>
                <w:rFonts w:ascii="Arial" w:hAnsi="Arial" w:cs="Arial"/>
                <w:color w:val="000000"/>
                <w:sz w:val="16"/>
                <w:szCs w:val="16"/>
              </w:rPr>
            </w:pPr>
            <w:r w:rsidRPr="00036CD7">
              <w:rPr>
                <w:rFonts w:ascii="Arial" w:hAnsi="Arial" w:cs="Arial"/>
                <w:color w:val="000000"/>
                <w:sz w:val="16"/>
                <w:szCs w:val="16"/>
              </w:rPr>
              <w:t xml:space="preserve">3,318 </w:t>
            </w:r>
          </w:p>
        </w:tc>
      </w:tr>
      <w:tr w:rsidR="00BC45CF" w:rsidRPr="00BC45CF" w:rsidTr="00FD32B1">
        <w:trPr>
          <w:trHeight w:val="225"/>
        </w:trPr>
        <w:tc>
          <w:tcPr>
            <w:tcW w:w="5471" w:type="dxa"/>
            <w:tcBorders>
              <w:top w:val="nil"/>
              <w:left w:val="nil"/>
              <w:bottom w:val="nil"/>
              <w:right w:val="nil"/>
            </w:tcBorders>
            <w:shd w:val="clear" w:color="auto" w:fill="auto"/>
            <w:vAlign w:val="center"/>
            <w:hideMark/>
          </w:tcPr>
          <w:p w:rsidR="00BC45CF" w:rsidRPr="00BC45CF" w:rsidRDefault="0003144B" w:rsidP="00036CD7">
            <w:pPr>
              <w:spacing w:after="0" w:line="240" w:lineRule="auto"/>
              <w:rPr>
                <w:rFonts w:ascii="Arial" w:hAnsi="Arial" w:cs="Arial"/>
                <w:color w:val="000000"/>
                <w:sz w:val="16"/>
                <w:szCs w:val="16"/>
              </w:rPr>
            </w:pPr>
            <w:r>
              <w:rPr>
                <w:rFonts w:ascii="Arial" w:hAnsi="Arial" w:cs="Arial"/>
                <w:color w:val="000000"/>
                <w:sz w:val="16"/>
                <w:szCs w:val="16"/>
              </w:rPr>
              <w:t xml:space="preserve">    s74 r</w:t>
            </w:r>
            <w:r w:rsidR="00BC45CF" w:rsidRPr="00BC45CF">
              <w:rPr>
                <w:rFonts w:ascii="Arial" w:hAnsi="Arial" w:cs="Arial"/>
                <w:color w:val="000000"/>
                <w:sz w:val="16"/>
                <w:szCs w:val="16"/>
              </w:rPr>
              <w:t>etained revenue receipts (</w:t>
            </w:r>
            <w:r w:rsidR="00036CD7">
              <w:rPr>
                <w:rFonts w:ascii="Arial" w:hAnsi="Arial" w:cs="Arial"/>
                <w:color w:val="000000"/>
                <w:sz w:val="16"/>
                <w:szCs w:val="16"/>
              </w:rPr>
              <w:t>c</w:t>
            </w:r>
            <w:r w:rsidR="00BC45CF" w:rsidRPr="00BC45CF">
              <w:rPr>
                <w:rFonts w:ascii="Arial" w:hAnsi="Arial" w:cs="Arial"/>
                <w:color w:val="000000"/>
                <w:sz w:val="16"/>
                <w:szCs w:val="16"/>
              </w:rPr>
              <w:t>)</w:t>
            </w:r>
          </w:p>
        </w:tc>
        <w:tc>
          <w:tcPr>
            <w:tcW w:w="1134" w:type="dxa"/>
            <w:tcBorders>
              <w:top w:val="nil"/>
              <w:left w:val="nil"/>
              <w:bottom w:val="nil"/>
              <w:right w:val="nil"/>
            </w:tcBorders>
            <w:shd w:val="clear" w:color="000000" w:fill="FFFFFF"/>
            <w:vAlign w:val="center"/>
            <w:hideMark/>
          </w:tcPr>
          <w:p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xml:space="preserve">240 </w:t>
            </w:r>
          </w:p>
        </w:tc>
        <w:tc>
          <w:tcPr>
            <w:tcW w:w="1134" w:type="dxa"/>
            <w:tcBorders>
              <w:top w:val="nil"/>
              <w:left w:val="nil"/>
              <w:bottom w:val="nil"/>
              <w:right w:val="nil"/>
            </w:tcBorders>
            <w:shd w:val="clear" w:color="000000" w:fill="E6E6E6"/>
            <w:vAlign w:val="center"/>
            <w:hideMark/>
          </w:tcPr>
          <w:p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 xml:space="preserve">225 </w:t>
            </w:r>
          </w:p>
        </w:tc>
      </w:tr>
      <w:tr w:rsidR="00BC45CF" w:rsidRPr="00BC45CF" w:rsidTr="00FD32B1">
        <w:trPr>
          <w:trHeight w:val="225"/>
        </w:trPr>
        <w:tc>
          <w:tcPr>
            <w:tcW w:w="5471" w:type="dxa"/>
            <w:tcBorders>
              <w:top w:val="nil"/>
              <w:left w:val="nil"/>
              <w:bottom w:val="nil"/>
              <w:right w:val="nil"/>
            </w:tcBorders>
            <w:shd w:val="clear" w:color="auto" w:fill="auto"/>
            <w:vAlign w:val="center"/>
            <w:hideMark/>
          </w:tcPr>
          <w:p w:rsidR="00BC45CF" w:rsidRPr="00BC45CF" w:rsidRDefault="00BC45CF" w:rsidP="00672459">
            <w:pPr>
              <w:spacing w:after="0" w:line="240" w:lineRule="auto"/>
              <w:rPr>
                <w:rFonts w:ascii="Arial" w:hAnsi="Arial" w:cs="Arial"/>
                <w:color w:val="000000"/>
                <w:sz w:val="16"/>
                <w:szCs w:val="16"/>
              </w:rPr>
            </w:pPr>
            <w:r w:rsidRPr="00BC45CF">
              <w:rPr>
                <w:rFonts w:ascii="Arial" w:hAnsi="Arial" w:cs="Arial"/>
                <w:color w:val="000000"/>
                <w:sz w:val="16"/>
                <w:szCs w:val="16"/>
              </w:rPr>
              <w:t xml:space="preserve">  </w:t>
            </w:r>
            <w:r w:rsidR="00036CD7">
              <w:rPr>
                <w:rFonts w:ascii="Arial" w:hAnsi="Arial" w:cs="Arial"/>
                <w:color w:val="000000"/>
                <w:sz w:val="16"/>
                <w:szCs w:val="16"/>
              </w:rPr>
              <w:t xml:space="preserve">  Departmental </w:t>
            </w:r>
            <w:r w:rsidR="00672459">
              <w:rPr>
                <w:rFonts w:ascii="Arial" w:hAnsi="Arial" w:cs="Arial"/>
                <w:color w:val="000000"/>
                <w:sz w:val="16"/>
                <w:szCs w:val="16"/>
              </w:rPr>
              <w:t>C</w:t>
            </w:r>
            <w:r w:rsidR="00036CD7">
              <w:rPr>
                <w:rFonts w:ascii="Arial" w:hAnsi="Arial" w:cs="Arial"/>
                <w:color w:val="000000"/>
                <w:sz w:val="16"/>
                <w:szCs w:val="16"/>
              </w:rPr>
              <w:t xml:space="preserve">apital </w:t>
            </w:r>
            <w:r w:rsidR="00672459">
              <w:rPr>
                <w:rFonts w:ascii="Arial" w:hAnsi="Arial" w:cs="Arial"/>
                <w:color w:val="000000"/>
                <w:sz w:val="16"/>
                <w:szCs w:val="16"/>
              </w:rPr>
              <w:t>B</w:t>
            </w:r>
            <w:r w:rsidR="00036CD7">
              <w:rPr>
                <w:rFonts w:ascii="Arial" w:hAnsi="Arial" w:cs="Arial"/>
                <w:color w:val="000000"/>
                <w:sz w:val="16"/>
                <w:szCs w:val="16"/>
              </w:rPr>
              <w:t>udget (d</w:t>
            </w:r>
            <w:r w:rsidRPr="00BC45CF">
              <w:rPr>
                <w:rFonts w:ascii="Arial" w:hAnsi="Arial" w:cs="Arial"/>
                <w:color w:val="000000"/>
                <w:sz w:val="16"/>
                <w:szCs w:val="16"/>
              </w:rPr>
              <w:t>)</w:t>
            </w:r>
          </w:p>
        </w:tc>
        <w:tc>
          <w:tcPr>
            <w:tcW w:w="1134" w:type="dxa"/>
            <w:tcBorders>
              <w:top w:val="nil"/>
              <w:left w:val="nil"/>
              <w:bottom w:val="nil"/>
              <w:right w:val="nil"/>
            </w:tcBorders>
            <w:shd w:val="clear" w:color="000000" w:fill="FFFFFF"/>
            <w:vAlign w:val="center"/>
            <w:hideMark/>
          </w:tcPr>
          <w:p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xml:space="preserve">60 </w:t>
            </w:r>
          </w:p>
        </w:tc>
        <w:tc>
          <w:tcPr>
            <w:tcW w:w="1134" w:type="dxa"/>
            <w:tcBorders>
              <w:top w:val="nil"/>
              <w:left w:val="nil"/>
              <w:bottom w:val="nil"/>
              <w:right w:val="nil"/>
            </w:tcBorders>
            <w:shd w:val="clear" w:color="000000" w:fill="E6E6E6"/>
            <w:vAlign w:val="center"/>
            <w:hideMark/>
          </w:tcPr>
          <w:p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 xml:space="preserve">59 </w:t>
            </w:r>
          </w:p>
        </w:tc>
      </w:tr>
      <w:tr w:rsidR="00BC45CF" w:rsidRPr="00BC45CF" w:rsidTr="00FD32B1">
        <w:trPr>
          <w:trHeight w:val="225"/>
        </w:trPr>
        <w:tc>
          <w:tcPr>
            <w:tcW w:w="5471" w:type="dxa"/>
            <w:tcBorders>
              <w:top w:val="nil"/>
              <w:left w:val="nil"/>
              <w:bottom w:val="nil"/>
              <w:right w:val="nil"/>
            </w:tcBorders>
            <w:shd w:val="clear" w:color="auto" w:fill="auto"/>
            <w:vAlign w:val="center"/>
            <w:hideMark/>
          </w:tcPr>
          <w:p w:rsidR="00BC45CF" w:rsidRPr="00BC45CF" w:rsidRDefault="00BC45CF" w:rsidP="00FD32B1">
            <w:pPr>
              <w:spacing w:after="0" w:line="240" w:lineRule="auto"/>
              <w:rPr>
                <w:rFonts w:ascii="Arial" w:hAnsi="Arial" w:cs="Arial"/>
                <w:color w:val="000000"/>
                <w:sz w:val="16"/>
                <w:szCs w:val="16"/>
              </w:rPr>
            </w:pPr>
            <w:r w:rsidRPr="00BC45CF">
              <w:rPr>
                <w:rFonts w:ascii="Arial" w:hAnsi="Arial" w:cs="Arial"/>
                <w:color w:val="000000"/>
                <w:sz w:val="16"/>
                <w:szCs w:val="16"/>
              </w:rPr>
              <w:t>Total departmental annual appropriations</w:t>
            </w:r>
          </w:p>
        </w:tc>
        <w:tc>
          <w:tcPr>
            <w:tcW w:w="1134" w:type="dxa"/>
            <w:tcBorders>
              <w:top w:val="single" w:sz="4" w:space="0" w:color="auto"/>
              <w:left w:val="nil"/>
              <w:bottom w:val="single" w:sz="4" w:space="0" w:color="auto"/>
              <w:right w:val="nil"/>
            </w:tcBorders>
            <w:shd w:val="clear" w:color="000000" w:fill="FFFFFF"/>
            <w:vAlign w:val="center"/>
            <w:hideMark/>
          </w:tcPr>
          <w:p w:rsidR="00BC45CF" w:rsidRPr="00BC45CF" w:rsidRDefault="00036CD7" w:rsidP="00FD32B1">
            <w:pPr>
              <w:spacing w:after="0" w:line="240" w:lineRule="auto"/>
              <w:jc w:val="right"/>
              <w:rPr>
                <w:rFonts w:ascii="Arial" w:hAnsi="Arial" w:cs="Arial"/>
                <w:i/>
                <w:iCs/>
                <w:color w:val="000000"/>
                <w:sz w:val="16"/>
                <w:szCs w:val="16"/>
              </w:rPr>
            </w:pPr>
            <w:r>
              <w:rPr>
                <w:rFonts w:ascii="Arial" w:hAnsi="Arial" w:cs="Arial"/>
                <w:i/>
                <w:iCs/>
                <w:color w:val="000000"/>
                <w:sz w:val="16"/>
                <w:szCs w:val="16"/>
              </w:rPr>
              <w:t>8,68</w:t>
            </w:r>
            <w:r w:rsidR="00BC45CF" w:rsidRPr="00BC45CF">
              <w:rPr>
                <w:rFonts w:ascii="Arial" w:hAnsi="Arial" w:cs="Arial"/>
                <w:i/>
                <w:iCs/>
                <w:color w:val="000000"/>
                <w:sz w:val="16"/>
                <w:szCs w:val="16"/>
              </w:rPr>
              <w:t xml:space="preserve">5 </w:t>
            </w:r>
          </w:p>
        </w:tc>
        <w:tc>
          <w:tcPr>
            <w:tcW w:w="1134" w:type="dxa"/>
            <w:tcBorders>
              <w:top w:val="single" w:sz="4" w:space="0" w:color="auto"/>
              <w:left w:val="nil"/>
              <w:bottom w:val="single" w:sz="4" w:space="0" w:color="auto"/>
              <w:right w:val="nil"/>
            </w:tcBorders>
            <w:shd w:val="clear" w:color="000000" w:fill="E6E6E6"/>
            <w:vAlign w:val="center"/>
            <w:hideMark/>
          </w:tcPr>
          <w:p w:rsidR="00BC45CF" w:rsidRPr="00BC45CF" w:rsidRDefault="00036CD7" w:rsidP="00FD32B1">
            <w:pPr>
              <w:spacing w:after="0" w:line="240" w:lineRule="auto"/>
              <w:jc w:val="right"/>
              <w:rPr>
                <w:rFonts w:ascii="Arial" w:hAnsi="Arial" w:cs="Arial"/>
                <w:color w:val="000000"/>
                <w:sz w:val="16"/>
                <w:szCs w:val="16"/>
              </w:rPr>
            </w:pPr>
            <w:r>
              <w:rPr>
                <w:rFonts w:ascii="Arial" w:hAnsi="Arial" w:cs="Arial"/>
                <w:color w:val="000000"/>
                <w:sz w:val="16"/>
                <w:szCs w:val="16"/>
              </w:rPr>
              <w:t>7,971</w:t>
            </w:r>
            <w:r w:rsidR="00BC45CF" w:rsidRPr="00BC45CF">
              <w:rPr>
                <w:rFonts w:ascii="Arial" w:hAnsi="Arial" w:cs="Arial"/>
                <w:color w:val="000000"/>
                <w:sz w:val="16"/>
                <w:szCs w:val="16"/>
              </w:rPr>
              <w:t xml:space="preserve"> </w:t>
            </w:r>
          </w:p>
        </w:tc>
      </w:tr>
      <w:tr w:rsidR="00BC45CF" w:rsidRPr="00BC45CF" w:rsidTr="00FD32B1">
        <w:trPr>
          <w:trHeight w:val="227"/>
        </w:trPr>
        <w:tc>
          <w:tcPr>
            <w:tcW w:w="5471" w:type="dxa"/>
            <w:tcBorders>
              <w:top w:val="nil"/>
              <w:left w:val="nil"/>
              <w:bottom w:val="single" w:sz="4" w:space="0" w:color="auto"/>
              <w:right w:val="nil"/>
            </w:tcBorders>
            <w:shd w:val="clear" w:color="auto" w:fill="auto"/>
            <w:vAlign w:val="bottom"/>
            <w:hideMark/>
          </w:tcPr>
          <w:p w:rsidR="00BC45CF" w:rsidRPr="00BC45CF" w:rsidRDefault="00BC45CF" w:rsidP="00BC45CF">
            <w:pPr>
              <w:spacing w:after="0" w:line="240" w:lineRule="auto"/>
              <w:rPr>
                <w:rFonts w:ascii="Arial" w:hAnsi="Arial" w:cs="Arial"/>
                <w:b/>
                <w:bCs/>
                <w:color w:val="000000"/>
                <w:sz w:val="16"/>
                <w:szCs w:val="16"/>
              </w:rPr>
            </w:pPr>
            <w:r w:rsidRPr="00BC45CF">
              <w:rPr>
                <w:rFonts w:ascii="Arial" w:hAnsi="Arial" w:cs="Arial"/>
                <w:b/>
                <w:bCs/>
                <w:color w:val="000000"/>
                <w:sz w:val="16"/>
                <w:szCs w:val="16"/>
              </w:rPr>
              <w:t>Total resourcing for Asbestos Safety and Eradication Agency</w:t>
            </w:r>
          </w:p>
        </w:tc>
        <w:tc>
          <w:tcPr>
            <w:tcW w:w="1134" w:type="dxa"/>
            <w:tcBorders>
              <w:top w:val="nil"/>
              <w:left w:val="nil"/>
              <w:bottom w:val="single" w:sz="4" w:space="0" w:color="auto"/>
              <w:right w:val="nil"/>
            </w:tcBorders>
            <w:shd w:val="clear" w:color="000000" w:fill="FFFFFF"/>
            <w:vAlign w:val="bottom"/>
            <w:hideMark/>
          </w:tcPr>
          <w:p w:rsidR="00BC45CF" w:rsidRPr="00BC45CF" w:rsidRDefault="00036CD7" w:rsidP="00FD32B1">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8,68</w:t>
            </w:r>
            <w:r w:rsidR="00BC45CF" w:rsidRPr="00BC45CF">
              <w:rPr>
                <w:rFonts w:ascii="Arial" w:hAnsi="Arial" w:cs="Arial"/>
                <w:b/>
                <w:bCs/>
                <w:i/>
                <w:iCs/>
                <w:color w:val="000000"/>
                <w:sz w:val="16"/>
                <w:szCs w:val="16"/>
              </w:rPr>
              <w:t xml:space="preserve">5 </w:t>
            </w:r>
          </w:p>
        </w:tc>
        <w:tc>
          <w:tcPr>
            <w:tcW w:w="1134" w:type="dxa"/>
            <w:tcBorders>
              <w:top w:val="nil"/>
              <w:left w:val="nil"/>
              <w:bottom w:val="single" w:sz="4" w:space="0" w:color="auto"/>
              <w:right w:val="nil"/>
            </w:tcBorders>
            <w:shd w:val="clear" w:color="000000" w:fill="E6E6E6"/>
            <w:vAlign w:val="bottom"/>
            <w:hideMark/>
          </w:tcPr>
          <w:p w:rsidR="00BC45CF" w:rsidRPr="00BC45CF" w:rsidRDefault="00036CD7" w:rsidP="00FD32B1">
            <w:pPr>
              <w:spacing w:after="0" w:line="240" w:lineRule="auto"/>
              <w:jc w:val="right"/>
              <w:rPr>
                <w:rFonts w:ascii="Arial" w:hAnsi="Arial" w:cs="Arial"/>
                <w:b/>
                <w:bCs/>
                <w:color w:val="000000"/>
                <w:sz w:val="16"/>
                <w:szCs w:val="16"/>
              </w:rPr>
            </w:pPr>
            <w:r>
              <w:rPr>
                <w:rFonts w:ascii="Arial" w:hAnsi="Arial" w:cs="Arial"/>
                <w:b/>
                <w:bCs/>
                <w:color w:val="000000"/>
                <w:sz w:val="16"/>
                <w:szCs w:val="16"/>
              </w:rPr>
              <w:t>7,971</w:t>
            </w:r>
            <w:r w:rsidR="00BC45CF" w:rsidRPr="00BC45CF">
              <w:rPr>
                <w:rFonts w:ascii="Arial" w:hAnsi="Arial" w:cs="Arial"/>
                <w:b/>
                <w:bCs/>
                <w:color w:val="000000"/>
                <w:sz w:val="16"/>
                <w:szCs w:val="16"/>
              </w:rPr>
              <w:t xml:space="preserve"> </w:t>
            </w:r>
          </w:p>
        </w:tc>
      </w:tr>
      <w:tr w:rsidR="00BC45CF" w:rsidRPr="00BC45CF" w:rsidTr="00FD32B1">
        <w:trPr>
          <w:trHeight w:val="64"/>
        </w:trPr>
        <w:tc>
          <w:tcPr>
            <w:tcW w:w="5471" w:type="dxa"/>
            <w:tcBorders>
              <w:top w:val="nil"/>
              <w:left w:val="nil"/>
              <w:bottom w:val="nil"/>
              <w:right w:val="nil"/>
            </w:tcBorders>
            <w:shd w:val="clear" w:color="auto" w:fill="auto"/>
            <w:vAlign w:val="bottom"/>
            <w:hideMark/>
          </w:tcPr>
          <w:p w:rsidR="00BC45CF" w:rsidRPr="00BC45CF" w:rsidRDefault="00BC45CF" w:rsidP="00BC45CF">
            <w:pPr>
              <w:spacing w:after="0" w:line="240" w:lineRule="auto"/>
              <w:rPr>
                <w:rFonts w:ascii="Arial" w:hAnsi="Arial" w:cs="Arial"/>
                <w:color w:val="000000"/>
                <w:sz w:val="16"/>
                <w:szCs w:val="16"/>
              </w:rPr>
            </w:pPr>
          </w:p>
        </w:tc>
        <w:tc>
          <w:tcPr>
            <w:tcW w:w="1134" w:type="dxa"/>
            <w:tcBorders>
              <w:top w:val="nil"/>
              <w:left w:val="nil"/>
              <w:bottom w:val="nil"/>
              <w:right w:val="nil"/>
            </w:tcBorders>
            <w:shd w:val="clear" w:color="000000" w:fill="FFFFFF"/>
            <w:vAlign w:val="center"/>
            <w:hideMark/>
          </w:tcPr>
          <w:p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w:t>
            </w:r>
          </w:p>
        </w:tc>
        <w:tc>
          <w:tcPr>
            <w:tcW w:w="1134" w:type="dxa"/>
            <w:tcBorders>
              <w:top w:val="nil"/>
              <w:left w:val="nil"/>
              <w:bottom w:val="nil"/>
              <w:right w:val="nil"/>
            </w:tcBorders>
            <w:shd w:val="clear" w:color="000000" w:fill="FFFFFF"/>
            <w:vAlign w:val="center"/>
            <w:hideMark/>
          </w:tcPr>
          <w:p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 </w:t>
            </w:r>
          </w:p>
        </w:tc>
      </w:tr>
      <w:tr w:rsidR="00BC45CF" w:rsidRPr="00BC45CF" w:rsidTr="00FD32B1">
        <w:trPr>
          <w:trHeight w:val="225"/>
        </w:trPr>
        <w:tc>
          <w:tcPr>
            <w:tcW w:w="5471" w:type="dxa"/>
            <w:tcBorders>
              <w:top w:val="single" w:sz="4" w:space="0" w:color="auto"/>
              <w:left w:val="nil"/>
              <w:bottom w:val="nil"/>
              <w:right w:val="nil"/>
            </w:tcBorders>
            <w:shd w:val="clear" w:color="auto" w:fill="auto"/>
            <w:vAlign w:val="bottom"/>
            <w:hideMark/>
          </w:tcPr>
          <w:p w:rsidR="00BC45CF" w:rsidRPr="00BC45CF" w:rsidRDefault="00BC45CF" w:rsidP="00BC45CF">
            <w:pPr>
              <w:spacing w:after="0" w:line="240" w:lineRule="auto"/>
              <w:rPr>
                <w:rFonts w:ascii="Arial" w:hAnsi="Arial" w:cs="Arial"/>
                <w:color w:val="000000"/>
                <w:sz w:val="16"/>
                <w:szCs w:val="16"/>
              </w:rPr>
            </w:pPr>
            <w:r w:rsidRPr="00BC45CF">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000000" w:fill="FFFFFF"/>
            <w:vAlign w:val="center"/>
            <w:hideMark/>
          </w:tcPr>
          <w:p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2017–18</w:t>
            </w:r>
          </w:p>
        </w:tc>
        <w:tc>
          <w:tcPr>
            <w:tcW w:w="1134" w:type="dxa"/>
            <w:tcBorders>
              <w:top w:val="single" w:sz="4" w:space="0" w:color="auto"/>
              <w:left w:val="nil"/>
              <w:bottom w:val="single" w:sz="4" w:space="0" w:color="auto"/>
              <w:right w:val="nil"/>
            </w:tcBorders>
            <w:shd w:val="clear" w:color="000000" w:fill="E6E6E6"/>
            <w:vAlign w:val="center"/>
            <w:hideMark/>
          </w:tcPr>
          <w:p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2018–19</w:t>
            </w:r>
          </w:p>
        </w:tc>
      </w:tr>
      <w:tr w:rsidR="00BC45CF" w:rsidRPr="00BC45CF" w:rsidTr="00FD32B1">
        <w:trPr>
          <w:trHeight w:val="225"/>
        </w:trPr>
        <w:tc>
          <w:tcPr>
            <w:tcW w:w="5471" w:type="dxa"/>
            <w:tcBorders>
              <w:top w:val="nil"/>
              <w:left w:val="nil"/>
              <w:bottom w:val="single" w:sz="4" w:space="0" w:color="auto"/>
              <w:right w:val="nil"/>
            </w:tcBorders>
            <w:shd w:val="clear" w:color="auto" w:fill="auto"/>
            <w:vAlign w:val="bottom"/>
            <w:hideMark/>
          </w:tcPr>
          <w:p w:rsidR="00BC45CF" w:rsidRPr="00BC45CF" w:rsidRDefault="00BC45CF" w:rsidP="00BC45CF">
            <w:pPr>
              <w:spacing w:after="0" w:line="240" w:lineRule="auto"/>
              <w:rPr>
                <w:rFonts w:ascii="Arial" w:hAnsi="Arial" w:cs="Arial"/>
                <w:b/>
                <w:bCs/>
                <w:color w:val="000000"/>
                <w:sz w:val="16"/>
                <w:szCs w:val="16"/>
              </w:rPr>
            </w:pPr>
            <w:r w:rsidRPr="00BC45CF">
              <w:rPr>
                <w:rFonts w:ascii="Arial" w:hAnsi="Arial" w:cs="Arial"/>
                <w:b/>
                <w:bCs/>
                <w:color w:val="000000"/>
                <w:sz w:val="16"/>
                <w:szCs w:val="16"/>
              </w:rPr>
              <w:t>Average staffing level (number)</w:t>
            </w:r>
          </w:p>
        </w:tc>
        <w:tc>
          <w:tcPr>
            <w:tcW w:w="1134" w:type="dxa"/>
            <w:tcBorders>
              <w:top w:val="nil"/>
              <w:left w:val="nil"/>
              <w:bottom w:val="single" w:sz="4" w:space="0" w:color="auto"/>
              <w:right w:val="nil"/>
            </w:tcBorders>
            <w:shd w:val="clear" w:color="000000" w:fill="FFFFFF"/>
            <w:vAlign w:val="bottom"/>
            <w:hideMark/>
          </w:tcPr>
          <w:p w:rsidR="00BC45CF" w:rsidRPr="00BC45CF" w:rsidRDefault="00BC45CF" w:rsidP="00BC45CF">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xml:space="preserve">12 </w:t>
            </w:r>
          </w:p>
        </w:tc>
        <w:tc>
          <w:tcPr>
            <w:tcW w:w="1134" w:type="dxa"/>
            <w:tcBorders>
              <w:top w:val="nil"/>
              <w:left w:val="nil"/>
              <w:bottom w:val="single" w:sz="4" w:space="0" w:color="auto"/>
              <w:right w:val="nil"/>
            </w:tcBorders>
            <w:shd w:val="clear" w:color="000000" w:fill="E6E6E6"/>
            <w:vAlign w:val="bottom"/>
            <w:hideMark/>
          </w:tcPr>
          <w:p w:rsidR="00BC45CF" w:rsidRPr="00BC45CF" w:rsidRDefault="00BC45CF" w:rsidP="00BC45CF">
            <w:pPr>
              <w:spacing w:after="0" w:line="240" w:lineRule="auto"/>
              <w:jc w:val="right"/>
              <w:rPr>
                <w:rFonts w:ascii="Arial" w:hAnsi="Arial" w:cs="Arial"/>
                <w:color w:val="000000"/>
                <w:sz w:val="16"/>
                <w:szCs w:val="16"/>
              </w:rPr>
            </w:pPr>
            <w:r w:rsidRPr="00BC45CF">
              <w:rPr>
                <w:rFonts w:ascii="Arial" w:hAnsi="Arial" w:cs="Arial"/>
                <w:color w:val="000000"/>
                <w:sz w:val="16"/>
                <w:szCs w:val="16"/>
              </w:rPr>
              <w:t xml:space="preserve">12 </w:t>
            </w:r>
          </w:p>
        </w:tc>
      </w:tr>
    </w:tbl>
    <w:p w:rsidR="00A02077" w:rsidRDefault="00A02077" w:rsidP="00A02077">
      <w:pPr>
        <w:pStyle w:val="ChartandTableFootnote"/>
      </w:pPr>
      <w:r>
        <w:t>Prepared on a resourcing (</w:t>
      </w:r>
      <w:r>
        <w:rPr>
          <w:lang w:val="en-AU"/>
        </w:rPr>
        <w:t>that is,</w:t>
      </w:r>
      <w:r>
        <w:t xml:space="preserve"> appropriations available) basis.</w:t>
      </w:r>
    </w:p>
    <w:p w:rsidR="00A02077" w:rsidRPr="00831489" w:rsidRDefault="00A02077" w:rsidP="00A02077">
      <w:pPr>
        <w:pStyle w:val="ChartandTableFootnote"/>
        <w:rPr>
          <w:lang w:val="en-AU"/>
        </w:rPr>
      </w:pPr>
      <w:r w:rsidRPr="008D3E19">
        <w:rPr>
          <w:u w:val="single"/>
        </w:rPr>
        <w:t>Please note</w:t>
      </w:r>
      <w:r>
        <w:t>: All figures shown above are GST exclusive</w:t>
      </w:r>
      <w:r>
        <w:rPr>
          <w:lang w:val="en-AU"/>
        </w:rPr>
        <w:t>—</w:t>
      </w:r>
      <w:r>
        <w:t>these may not match figures in the cash flow statement.</w:t>
      </w:r>
    </w:p>
    <w:p w:rsidR="00A02077" w:rsidRPr="005250EE" w:rsidRDefault="00A02077" w:rsidP="00E01B4E">
      <w:pPr>
        <w:pStyle w:val="ChartandTableFootnoteAlpha"/>
        <w:numPr>
          <w:ilvl w:val="0"/>
          <w:numId w:val="21"/>
        </w:numPr>
      </w:pPr>
      <w:r>
        <w:t>Appropriation Bill (No.1) 2018–19</w:t>
      </w:r>
      <w:r w:rsidRPr="005250EE">
        <w:t>.</w:t>
      </w:r>
    </w:p>
    <w:p w:rsidR="00A02077" w:rsidRDefault="00A02077" w:rsidP="00A02077">
      <w:pPr>
        <w:pStyle w:val="ChartandTableFootnoteAlpha"/>
      </w:pPr>
      <w:r>
        <w:t>Ex</w:t>
      </w:r>
      <w:r w:rsidR="00F81F40">
        <w:t>cludes Departmental Capital B</w:t>
      </w:r>
      <w:r>
        <w:t>udget (DCB).</w:t>
      </w:r>
    </w:p>
    <w:p w:rsidR="00A02077" w:rsidRPr="005250EE" w:rsidRDefault="00A02077" w:rsidP="00A02077">
      <w:pPr>
        <w:pStyle w:val="ChartandTableFootnoteAlpha"/>
      </w:pPr>
      <w:r w:rsidRPr="005250EE">
        <w:t xml:space="preserve">Estimated </w:t>
      </w:r>
      <w:r>
        <w:t>r</w:t>
      </w:r>
      <w:r w:rsidRPr="005250EE">
        <w:t xml:space="preserve">etained revenue receipts under section 74 of the </w:t>
      </w:r>
      <w:r>
        <w:t>PGPA Act</w:t>
      </w:r>
      <w:r w:rsidRPr="005250EE">
        <w:t>.</w:t>
      </w:r>
    </w:p>
    <w:p w:rsidR="00A02077" w:rsidRDefault="00672459" w:rsidP="00A02077">
      <w:pPr>
        <w:pStyle w:val="ChartandTableFootnoteAlpha"/>
      </w:pPr>
      <w:r>
        <w:rPr>
          <w:lang w:val="en-AU"/>
        </w:rPr>
        <w:t>DCBs</w:t>
      </w:r>
      <w:r w:rsidR="00A02077" w:rsidRPr="008D3E19">
        <w:t xml:space="preserve"> are not separately identified in Appropriation Bill (No.1) and form part of ordinary annual services items. Please refer to Table</w:t>
      </w:r>
      <w:r w:rsidR="00A02077">
        <w:t xml:space="preserve"> 3.</w:t>
      </w:r>
      <w:r w:rsidR="00A02077" w:rsidRPr="008D3E19">
        <w:t>5 for further details. For accounting purposes, this amount has been designated as a 'contribution by owner’.</w:t>
      </w:r>
    </w:p>
    <w:p w:rsidR="00A02077" w:rsidRPr="005A7C0B" w:rsidRDefault="00A02077" w:rsidP="00A02077">
      <w:pPr>
        <w:pStyle w:val="Heading3"/>
        <w:spacing w:before="0"/>
      </w:pPr>
      <w:r>
        <w:br w:type="page"/>
      </w:r>
      <w:bookmarkStart w:id="157" w:name="_Toc511656257"/>
      <w:bookmarkStart w:id="158" w:name="_Toc511722630"/>
      <w:bookmarkStart w:id="159" w:name="_Toc511736961"/>
      <w:bookmarkStart w:id="160" w:name="_Toc511747223"/>
      <w:bookmarkStart w:id="161" w:name="_Toc511765626"/>
      <w:bookmarkStart w:id="162" w:name="_Toc511828682"/>
      <w:bookmarkStart w:id="163" w:name="_Toc511836821"/>
      <w:bookmarkStart w:id="164" w:name="_Toc511902527"/>
      <w:r w:rsidRPr="005A7C0B">
        <w:lastRenderedPageBreak/>
        <w:t>1.3</w:t>
      </w:r>
      <w:r w:rsidRPr="005A7C0B">
        <w:tab/>
        <w:t>Budget measures</w:t>
      </w:r>
      <w:bookmarkEnd w:id="157"/>
      <w:bookmarkEnd w:id="158"/>
      <w:bookmarkEnd w:id="159"/>
      <w:bookmarkEnd w:id="160"/>
      <w:bookmarkEnd w:id="161"/>
      <w:bookmarkEnd w:id="162"/>
      <w:bookmarkEnd w:id="163"/>
      <w:bookmarkEnd w:id="164"/>
    </w:p>
    <w:p w:rsidR="00A02077" w:rsidRDefault="00A02077" w:rsidP="00A02077">
      <w:r w:rsidRPr="00DC32EC">
        <w:t xml:space="preserve">Budget measures </w:t>
      </w:r>
      <w:r>
        <w:t xml:space="preserve">in Part 1 </w:t>
      </w:r>
      <w:r w:rsidRPr="00DC32EC">
        <w:t>relating to</w:t>
      </w:r>
      <w:r>
        <w:t xml:space="preserve"> </w:t>
      </w:r>
      <w:r w:rsidR="004E688E">
        <w:t xml:space="preserve">the Asbestos Safety and Eradication </w:t>
      </w:r>
      <w:r w:rsidRPr="00DC32EC">
        <w:t>a</w:t>
      </w:r>
      <w:r>
        <w:t>re detailed in Budget Paper No. </w:t>
      </w:r>
      <w:r w:rsidRPr="00DC32EC">
        <w:t>2</w:t>
      </w:r>
      <w:r>
        <w:t xml:space="preserve"> and are summarised below.</w:t>
      </w:r>
    </w:p>
    <w:p w:rsidR="00A02077" w:rsidRDefault="00A02077" w:rsidP="00A02077">
      <w:pPr>
        <w:pStyle w:val="TableHeading"/>
        <w:rPr>
          <w:lang w:val="en-AU"/>
        </w:rPr>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rsidR="00F81F40" w:rsidRPr="00F81F40" w:rsidRDefault="00F81F40" w:rsidP="00F81F40">
      <w:pPr>
        <w:pStyle w:val="TableHeadingcontinued"/>
        <w:rPr>
          <w:lang w:eastAsia="x-none"/>
        </w:rPr>
      </w:pPr>
      <w:r w:rsidRPr="009A40DD">
        <w:t xml:space="preserve">Part 1: Measures announced since the </w:t>
      </w:r>
      <w:r>
        <w:t>2017–18</w:t>
      </w:r>
      <w:r w:rsidRPr="009A40DD">
        <w:t xml:space="preserve"> M</w:t>
      </w:r>
      <w:r>
        <w:t>id-</w:t>
      </w:r>
      <w:r w:rsidRPr="009A40DD">
        <w:t>Year Economic and Fiscal Outlook (MYEFO)</w:t>
      </w:r>
    </w:p>
    <w:p w:rsidR="00FD32B1" w:rsidRDefault="00FD32B1" w:rsidP="00FD32B1">
      <w:pPr>
        <w:pStyle w:val="TableGraphic"/>
        <w:rPr>
          <w:lang w:eastAsia="x-none"/>
        </w:rPr>
      </w:pPr>
      <w:r>
        <w:rPr>
          <w:lang w:eastAsia="x-none"/>
        </w:rPr>
        <w:t>The Asbestos Safety and Eradication Agency does not have any new m</w:t>
      </w:r>
      <w:r w:rsidR="00F81F40">
        <w:rPr>
          <w:lang w:eastAsia="x-none"/>
        </w:rPr>
        <w:t>easures since the 2017–18 MYEFO</w:t>
      </w:r>
      <w:r>
        <w:rPr>
          <w:lang w:eastAsia="x-none"/>
        </w:rPr>
        <w:t xml:space="preserve">. For this reason, </w:t>
      </w:r>
      <w:r w:rsidR="00F81F40">
        <w:rPr>
          <w:lang w:eastAsia="x-none"/>
        </w:rPr>
        <w:t xml:space="preserve">Part 1 of </w:t>
      </w:r>
      <w:r>
        <w:rPr>
          <w:lang w:eastAsia="x-none"/>
        </w:rPr>
        <w:t xml:space="preserve">Table 1.2 is not presented. </w:t>
      </w:r>
    </w:p>
    <w:p w:rsidR="00F81F40" w:rsidRPr="00F81F40" w:rsidRDefault="00F81F40" w:rsidP="00F81F40">
      <w:pPr>
        <w:rPr>
          <w:lang w:eastAsia="x-none"/>
        </w:rPr>
      </w:pPr>
    </w:p>
    <w:p w:rsidR="00F81F40" w:rsidRDefault="00F81F40" w:rsidP="00F81F40">
      <w:pPr>
        <w:pStyle w:val="TableHeadingcontinued"/>
      </w:pPr>
      <w:r w:rsidRPr="00E5444F">
        <w:t>Part 2: Other measures not previously reported in a portfolio statement</w:t>
      </w:r>
    </w:p>
    <w:tbl>
      <w:tblPr>
        <w:tblW w:w="7680" w:type="dxa"/>
        <w:tblInd w:w="93" w:type="dxa"/>
        <w:tblCellMar>
          <w:left w:w="57" w:type="dxa"/>
          <w:right w:w="57" w:type="dxa"/>
        </w:tblCellMar>
        <w:tblLook w:val="04A0" w:firstRow="1" w:lastRow="0" w:firstColumn="1" w:lastColumn="0" w:noHBand="0" w:noVBand="1"/>
      </w:tblPr>
      <w:tblGrid>
        <w:gridCol w:w="3061"/>
        <w:gridCol w:w="794"/>
        <w:gridCol w:w="765"/>
        <w:gridCol w:w="765"/>
        <w:gridCol w:w="765"/>
        <w:gridCol w:w="765"/>
        <w:gridCol w:w="765"/>
      </w:tblGrid>
      <w:tr w:rsidR="00F81F40" w:rsidRPr="00F81F40" w:rsidTr="00F81F40">
        <w:trPr>
          <w:trHeight w:val="454"/>
        </w:trPr>
        <w:tc>
          <w:tcPr>
            <w:tcW w:w="3061" w:type="dxa"/>
            <w:tcBorders>
              <w:top w:val="single" w:sz="4" w:space="0" w:color="auto"/>
              <w:left w:val="nil"/>
              <w:bottom w:val="nil"/>
              <w:right w:val="nil"/>
            </w:tcBorders>
            <w:shd w:val="clear" w:color="auto" w:fill="auto"/>
            <w:noWrap/>
            <w:vAlign w:val="center"/>
            <w:hideMark/>
          </w:tcPr>
          <w:p w:rsidR="00F81F40" w:rsidRPr="00F81F40" w:rsidRDefault="00F81F40" w:rsidP="00F81F40">
            <w:pPr>
              <w:spacing w:after="0" w:line="240" w:lineRule="auto"/>
              <w:rPr>
                <w:rFonts w:ascii="Arial" w:hAnsi="Arial" w:cs="Arial"/>
                <w:sz w:val="16"/>
                <w:szCs w:val="16"/>
              </w:rPr>
            </w:pPr>
            <w:r w:rsidRPr="00F81F40">
              <w:rPr>
                <w:rFonts w:ascii="Arial" w:hAnsi="Arial" w:cs="Arial"/>
                <w:sz w:val="16"/>
                <w:szCs w:val="16"/>
              </w:rPr>
              <w:t> </w:t>
            </w:r>
          </w:p>
        </w:tc>
        <w:tc>
          <w:tcPr>
            <w:tcW w:w="794" w:type="dxa"/>
            <w:tcBorders>
              <w:top w:val="single" w:sz="4" w:space="0" w:color="auto"/>
              <w:left w:val="nil"/>
              <w:bottom w:val="single" w:sz="4" w:space="0" w:color="auto"/>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sz w:val="16"/>
                <w:szCs w:val="16"/>
              </w:rPr>
            </w:pPr>
            <w:r w:rsidRPr="00F81F40">
              <w:rPr>
                <w:rFonts w:ascii="Arial" w:hAnsi="Arial" w:cs="Arial"/>
                <w:sz w:val="16"/>
                <w:szCs w:val="16"/>
              </w:rPr>
              <w:t>Program</w:t>
            </w:r>
          </w:p>
        </w:tc>
        <w:tc>
          <w:tcPr>
            <w:tcW w:w="765" w:type="dxa"/>
            <w:tcBorders>
              <w:top w:val="single" w:sz="4" w:space="0" w:color="auto"/>
              <w:left w:val="nil"/>
              <w:bottom w:val="single" w:sz="4" w:space="0" w:color="auto"/>
              <w:right w:val="nil"/>
            </w:tcBorders>
            <w:shd w:val="clear" w:color="000000" w:fill="E6E6E6"/>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2017–18</w:t>
            </w:r>
            <w:r w:rsidRPr="00F81F40">
              <w:rPr>
                <w:rFonts w:ascii="Arial" w:hAnsi="Arial" w:cs="Arial"/>
                <w:sz w:val="16"/>
                <w:szCs w:val="16"/>
              </w:rPr>
              <w:br/>
              <w:t>$'000</w:t>
            </w:r>
          </w:p>
        </w:tc>
        <w:tc>
          <w:tcPr>
            <w:tcW w:w="765" w:type="dxa"/>
            <w:tcBorders>
              <w:top w:val="single" w:sz="4" w:space="0" w:color="auto"/>
              <w:left w:val="nil"/>
              <w:bottom w:val="single" w:sz="4" w:space="0" w:color="auto"/>
              <w:right w:val="nil"/>
            </w:tcBorders>
            <w:shd w:val="clear" w:color="auto" w:fill="auto"/>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2018–19</w:t>
            </w:r>
            <w:r w:rsidRPr="00F81F40">
              <w:rPr>
                <w:rFonts w:ascii="Arial" w:hAnsi="Arial" w:cs="Arial"/>
                <w:sz w:val="16"/>
                <w:szCs w:val="16"/>
              </w:rPr>
              <w:br/>
              <w:t>$'000</w:t>
            </w:r>
          </w:p>
        </w:tc>
        <w:tc>
          <w:tcPr>
            <w:tcW w:w="765" w:type="dxa"/>
            <w:tcBorders>
              <w:top w:val="single" w:sz="4" w:space="0" w:color="auto"/>
              <w:left w:val="nil"/>
              <w:bottom w:val="single" w:sz="4" w:space="0" w:color="auto"/>
              <w:right w:val="nil"/>
            </w:tcBorders>
            <w:shd w:val="clear" w:color="000000" w:fill="E6E6E6"/>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2019–20</w:t>
            </w:r>
            <w:r w:rsidRPr="00F81F40">
              <w:rPr>
                <w:rFonts w:ascii="Arial" w:hAnsi="Arial" w:cs="Arial"/>
                <w:sz w:val="16"/>
                <w:szCs w:val="16"/>
              </w:rPr>
              <w:br/>
              <w:t>$'000</w:t>
            </w:r>
          </w:p>
        </w:tc>
        <w:tc>
          <w:tcPr>
            <w:tcW w:w="765" w:type="dxa"/>
            <w:tcBorders>
              <w:top w:val="single" w:sz="4" w:space="0" w:color="auto"/>
              <w:left w:val="nil"/>
              <w:bottom w:val="single" w:sz="4" w:space="0" w:color="auto"/>
              <w:right w:val="nil"/>
            </w:tcBorders>
            <w:shd w:val="clear" w:color="auto" w:fill="auto"/>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2020–21</w:t>
            </w:r>
            <w:r w:rsidRPr="00F81F40">
              <w:rPr>
                <w:rFonts w:ascii="Arial" w:hAnsi="Arial" w:cs="Arial"/>
                <w:sz w:val="16"/>
                <w:szCs w:val="16"/>
              </w:rPr>
              <w:br/>
              <w:t>$'000</w:t>
            </w:r>
          </w:p>
        </w:tc>
        <w:tc>
          <w:tcPr>
            <w:tcW w:w="765" w:type="dxa"/>
            <w:tcBorders>
              <w:top w:val="single" w:sz="4" w:space="0" w:color="auto"/>
              <w:left w:val="nil"/>
              <w:bottom w:val="single" w:sz="4" w:space="0" w:color="auto"/>
              <w:right w:val="nil"/>
            </w:tcBorders>
            <w:shd w:val="clear" w:color="000000" w:fill="E6E6E6"/>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2021–22</w:t>
            </w:r>
            <w:r w:rsidRPr="00F81F40">
              <w:rPr>
                <w:rFonts w:ascii="Arial" w:hAnsi="Arial" w:cs="Arial"/>
                <w:sz w:val="16"/>
                <w:szCs w:val="16"/>
              </w:rPr>
              <w:br/>
              <w:t>$'000</w:t>
            </w:r>
          </w:p>
        </w:tc>
      </w:tr>
      <w:tr w:rsidR="00F81F40" w:rsidRPr="00F81F40" w:rsidTr="00F81F40">
        <w:trPr>
          <w:trHeight w:val="225"/>
        </w:trPr>
        <w:tc>
          <w:tcPr>
            <w:tcW w:w="3061" w:type="dxa"/>
            <w:tcBorders>
              <w:top w:val="nil"/>
              <w:left w:val="nil"/>
              <w:bottom w:val="nil"/>
              <w:right w:val="nil"/>
            </w:tcBorders>
            <w:shd w:val="clear" w:color="auto" w:fill="auto"/>
            <w:vAlign w:val="center"/>
            <w:hideMark/>
          </w:tcPr>
          <w:p w:rsidR="00F81F40" w:rsidRPr="00F81F40" w:rsidRDefault="00F81F40" w:rsidP="00F81F40">
            <w:pPr>
              <w:spacing w:after="0" w:line="240" w:lineRule="auto"/>
              <w:rPr>
                <w:rFonts w:ascii="Arial" w:hAnsi="Arial" w:cs="Arial"/>
                <w:b/>
                <w:bCs/>
                <w:sz w:val="16"/>
                <w:szCs w:val="16"/>
              </w:rPr>
            </w:pPr>
            <w:r w:rsidRPr="00F81F40">
              <w:rPr>
                <w:rFonts w:ascii="Arial" w:hAnsi="Arial" w:cs="Arial"/>
                <w:b/>
                <w:bCs/>
                <w:sz w:val="16"/>
                <w:szCs w:val="16"/>
              </w:rPr>
              <w:t>Measures</w:t>
            </w:r>
          </w:p>
        </w:tc>
        <w:tc>
          <w:tcPr>
            <w:tcW w:w="794"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r>
      <w:tr w:rsidR="00F81F40" w:rsidRPr="00F81F40" w:rsidTr="00F81F40">
        <w:trPr>
          <w:trHeight w:val="397"/>
        </w:trPr>
        <w:tc>
          <w:tcPr>
            <w:tcW w:w="3061" w:type="dxa"/>
            <w:tcBorders>
              <w:top w:val="nil"/>
              <w:left w:val="nil"/>
              <w:bottom w:val="nil"/>
              <w:right w:val="nil"/>
            </w:tcBorders>
            <w:shd w:val="clear" w:color="auto" w:fill="auto"/>
            <w:vAlign w:val="center"/>
            <w:hideMark/>
          </w:tcPr>
          <w:p w:rsidR="00F81F40" w:rsidRPr="00F81F40" w:rsidRDefault="00F81F40" w:rsidP="00F81F40">
            <w:pPr>
              <w:spacing w:after="0" w:line="240" w:lineRule="auto"/>
              <w:rPr>
                <w:rFonts w:ascii="Arial" w:hAnsi="Arial" w:cs="Arial"/>
                <w:sz w:val="16"/>
                <w:szCs w:val="16"/>
              </w:rPr>
            </w:pPr>
            <w:r w:rsidRPr="00F81F40">
              <w:rPr>
                <w:rFonts w:ascii="Arial" w:hAnsi="Arial" w:cs="Arial"/>
                <w:sz w:val="16"/>
                <w:szCs w:val="16"/>
              </w:rPr>
              <w:t>Asbestos Safety and Eradication Agency — additional funding (a)</w:t>
            </w:r>
          </w:p>
        </w:tc>
        <w:tc>
          <w:tcPr>
            <w:tcW w:w="794"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sz w:val="16"/>
                <w:szCs w:val="16"/>
              </w:rPr>
            </w:pPr>
            <w:r w:rsidRPr="00F81F40">
              <w:rPr>
                <w:rFonts w:ascii="Arial" w:hAnsi="Arial" w:cs="Arial"/>
                <w:sz w:val="16"/>
                <w:szCs w:val="16"/>
              </w:rPr>
              <w:t>1.1</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r>
      <w:tr w:rsidR="00F81F40" w:rsidRPr="00F81F40" w:rsidTr="00F81F40">
        <w:trPr>
          <w:trHeight w:val="225"/>
        </w:trPr>
        <w:tc>
          <w:tcPr>
            <w:tcW w:w="3061" w:type="dxa"/>
            <w:tcBorders>
              <w:top w:val="nil"/>
              <w:left w:val="nil"/>
              <w:bottom w:val="nil"/>
              <w:right w:val="nil"/>
            </w:tcBorders>
            <w:shd w:val="clear" w:color="auto" w:fill="auto"/>
            <w:vAlign w:val="center"/>
            <w:hideMark/>
          </w:tcPr>
          <w:p w:rsidR="00F81F40" w:rsidRPr="00F81F40" w:rsidRDefault="00F81F40" w:rsidP="00F81F40">
            <w:pPr>
              <w:spacing w:after="0" w:line="240" w:lineRule="auto"/>
              <w:ind w:firstLineChars="100" w:firstLine="160"/>
              <w:rPr>
                <w:rFonts w:ascii="Arial" w:hAnsi="Arial" w:cs="Arial"/>
                <w:sz w:val="16"/>
                <w:szCs w:val="16"/>
              </w:rPr>
            </w:pPr>
            <w:r w:rsidRPr="00F81F40">
              <w:rPr>
                <w:rFonts w:ascii="Arial" w:hAnsi="Arial" w:cs="Arial"/>
                <w:sz w:val="16"/>
                <w:szCs w:val="16"/>
              </w:rPr>
              <w:t>Administered expenses</w:t>
            </w:r>
          </w:p>
        </w:tc>
        <w:tc>
          <w:tcPr>
            <w:tcW w:w="794"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color w:val="000000"/>
                <w:sz w:val="16"/>
                <w:szCs w:val="16"/>
              </w:rPr>
            </w:pPr>
            <w:r w:rsidRPr="00F81F40">
              <w:rPr>
                <w:rFonts w:ascii="Arial" w:hAnsi="Arial" w:cs="Arial"/>
                <w:color w:val="000000"/>
                <w:sz w:val="16"/>
                <w:szCs w:val="16"/>
              </w:rPr>
              <w:t xml:space="preserve">-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r>
      <w:tr w:rsidR="00F81F40" w:rsidRPr="00F81F40" w:rsidTr="00F81F40">
        <w:trPr>
          <w:trHeight w:val="225"/>
        </w:trPr>
        <w:tc>
          <w:tcPr>
            <w:tcW w:w="3061" w:type="dxa"/>
            <w:tcBorders>
              <w:top w:val="nil"/>
              <w:left w:val="nil"/>
              <w:bottom w:val="nil"/>
              <w:right w:val="nil"/>
            </w:tcBorders>
            <w:shd w:val="clear" w:color="auto" w:fill="auto"/>
            <w:vAlign w:val="center"/>
            <w:hideMark/>
          </w:tcPr>
          <w:p w:rsidR="00F81F40" w:rsidRPr="00F81F40" w:rsidRDefault="00F81F40" w:rsidP="00F81F40">
            <w:pPr>
              <w:spacing w:after="0" w:line="240" w:lineRule="auto"/>
              <w:ind w:firstLineChars="100" w:firstLine="160"/>
              <w:rPr>
                <w:rFonts w:ascii="Arial" w:hAnsi="Arial" w:cs="Arial"/>
                <w:sz w:val="16"/>
                <w:szCs w:val="16"/>
              </w:rPr>
            </w:pPr>
            <w:r w:rsidRPr="00F81F40">
              <w:rPr>
                <w:rFonts w:ascii="Arial" w:hAnsi="Arial" w:cs="Arial"/>
                <w:sz w:val="16"/>
                <w:szCs w:val="16"/>
              </w:rPr>
              <w:t>Departmental expenses</w:t>
            </w:r>
          </w:p>
        </w:tc>
        <w:tc>
          <w:tcPr>
            <w:tcW w:w="794"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1,700 </w:t>
            </w:r>
          </w:p>
        </w:tc>
      </w:tr>
      <w:tr w:rsidR="00F81F40" w:rsidRPr="00F81F40" w:rsidTr="00F81F40">
        <w:trPr>
          <w:trHeight w:val="227"/>
        </w:trPr>
        <w:tc>
          <w:tcPr>
            <w:tcW w:w="3061"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rPr>
                <w:rFonts w:ascii="Arial" w:hAnsi="Arial" w:cs="Arial"/>
                <w:b/>
                <w:bCs/>
                <w:sz w:val="16"/>
                <w:szCs w:val="16"/>
              </w:rPr>
            </w:pPr>
            <w:r w:rsidRPr="00F81F40">
              <w:rPr>
                <w:rFonts w:ascii="Arial" w:hAnsi="Arial" w:cs="Arial"/>
                <w:b/>
                <w:bCs/>
                <w:sz w:val="16"/>
                <w:szCs w:val="16"/>
              </w:rPr>
              <w:t xml:space="preserve">Total </w:t>
            </w:r>
          </w:p>
        </w:tc>
        <w:tc>
          <w:tcPr>
            <w:tcW w:w="794"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b/>
                <w:bCs/>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b/>
                <w:bCs/>
                <w:sz w:val="16"/>
                <w:szCs w:val="16"/>
              </w:rPr>
            </w:pPr>
            <w:r>
              <w:rPr>
                <w:rFonts w:ascii="Arial" w:hAnsi="Arial" w:cs="Arial"/>
                <w:b/>
                <w:bCs/>
                <w:sz w:val="16"/>
                <w:szCs w:val="16"/>
              </w:rPr>
              <w:t>-</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1,700 </w:t>
            </w:r>
          </w:p>
        </w:tc>
      </w:tr>
      <w:tr w:rsidR="00F81F40" w:rsidRPr="00F81F40" w:rsidTr="00F81F40">
        <w:trPr>
          <w:trHeight w:val="225"/>
        </w:trPr>
        <w:tc>
          <w:tcPr>
            <w:tcW w:w="3061"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rPr>
                <w:rFonts w:ascii="Arial" w:hAnsi="Arial" w:cs="Arial"/>
                <w:b/>
                <w:bCs/>
                <w:sz w:val="16"/>
                <w:szCs w:val="16"/>
              </w:rPr>
            </w:pPr>
            <w:r w:rsidRPr="00F81F40">
              <w:rPr>
                <w:rFonts w:ascii="Arial" w:hAnsi="Arial" w:cs="Arial"/>
                <w:b/>
                <w:bCs/>
                <w:sz w:val="16"/>
                <w:szCs w:val="16"/>
              </w:rPr>
              <w:t>Total measures</w:t>
            </w:r>
          </w:p>
        </w:tc>
        <w:tc>
          <w:tcPr>
            <w:tcW w:w="794"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b/>
                <w:bCs/>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b/>
                <w:bCs/>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b/>
                <w:bCs/>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w:t>
            </w:r>
          </w:p>
        </w:tc>
      </w:tr>
      <w:tr w:rsidR="00F81F40" w:rsidRPr="00F81F40" w:rsidTr="00F81F40">
        <w:trPr>
          <w:trHeight w:val="225"/>
        </w:trPr>
        <w:tc>
          <w:tcPr>
            <w:tcW w:w="3061"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ind w:firstLineChars="100" w:firstLine="160"/>
              <w:rPr>
                <w:rFonts w:ascii="Arial" w:hAnsi="Arial" w:cs="Arial"/>
                <w:sz w:val="16"/>
                <w:szCs w:val="16"/>
              </w:rPr>
            </w:pPr>
            <w:r w:rsidRPr="00F81F40">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r>
      <w:tr w:rsidR="00F81F40" w:rsidRPr="00F81F40" w:rsidTr="00F81F40">
        <w:trPr>
          <w:trHeight w:val="225"/>
        </w:trPr>
        <w:tc>
          <w:tcPr>
            <w:tcW w:w="3061"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ind w:firstLineChars="100" w:firstLine="160"/>
              <w:rPr>
                <w:rFonts w:ascii="Arial" w:hAnsi="Arial" w:cs="Arial"/>
                <w:sz w:val="16"/>
                <w:szCs w:val="16"/>
              </w:rPr>
            </w:pPr>
            <w:r w:rsidRPr="00F81F40">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auto" w:fill="auto"/>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000000" w:fill="E6E6E6"/>
            <w:noWrap/>
            <w:vAlign w:val="center"/>
            <w:hideMark/>
          </w:tcPr>
          <w:p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1,700 </w:t>
            </w:r>
          </w:p>
        </w:tc>
      </w:tr>
      <w:tr w:rsidR="00F81F40" w:rsidRPr="00F81F40" w:rsidTr="00F81F40">
        <w:trPr>
          <w:trHeight w:val="227"/>
        </w:trPr>
        <w:tc>
          <w:tcPr>
            <w:tcW w:w="3061" w:type="dxa"/>
            <w:tcBorders>
              <w:top w:val="nil"/>
              <w:left w:val="nil"/>
              <w:bottom w:val="single" w:sz="4" w:space="0" w:color="auto"/>
              <w:right w:val="nil"/>
            </w:tcBorders>
            <w:shd w:val="clear" w:color="auto" w:fill="auto"/>
            <w:noWrap/>
            <w:vAlign w:val="bottom"/>
            <w:hideMark/>
          </w:tcPr>
          <w:p w:rsidR="00F81F40" w:rsidRPr="00F81F40" w:rsidRDefault="00F81F40" w:rsidP="00F81F40">
            <w:pPr>
              <w:spacing w:after="0" w:line="240" w:lineRule="auto"/>
              <w:rPr>
                <w:rFonts w:ascii="Arial" w:hAnsi="Arial" w:cs="Arial"/>
                <w:b/>
                <w:bCs/>
                <w:sz w:val="16"/>
                <w:szCs w:val="16"/>
              </w:rPr>
            </w:pPr>
            <w:r w:rsidRPr="00F81F40">
              <w:rPr>
                <w:rFonts w:ascii="Arial" w:hAnsi="Arial" w:cs="Arial"/>
                <w:b/>
                <w:bCs/>
                <w:sz w:val="16"/>
                <w:szCs w:val="16"/>
              </w:rPr>
              <w:t>Total</w:t>
            </w:r>
          </w:p>
        </w:tc>
        <w:tc>
          <w:tcPr>
            <w:tcW w:w="794" w:type="dxa"/>
            <w:tcBorders>
              <w:top w:val="nil"/>
              <w:left w:val="nil"/>
              <w:bottom w:val="single" w:sz="4" w:space="0" w:color="auto"/>
              <w:right w:val="nil"/>
            </w:tcBorders>
            <w:shd w:val="clear" w:color="auto" w:fill="auto"/>
            <w:noWrap/>
            <w:vAlign w:val="center"/>
            <w:hideMark/>
          </w:tcPr>
          <w:p w:rsidR="00F81F40" w:rsidRPr="00F81F40" w:rsidRDefault="00F81F40" w:rsidP="00F81F40">
            <w:pPr>
              <w:spacing w:after="0" w:line="240" w:lineRule="auto"/>
              <w:jc w:val="center"/>
              <w:rPr>
                <w:rFonts w:ascii="Arial" w:hAnsi="Arial" w:cs="Arial"/>
                <w:b/>
                <w:bCs/>
                <w:sz w:val="16"/>
                <w:szCs w:val="16"/>
              </w:rPr>
            </w:pPr>
          </w:p>
        </w:tc>
        <w:tc>
          <w:tcPr>
            <w:tcW w:w="765" w:type="dxa"/>
            <w:tcBorders>
              <w:top w:val="nil"/>
              <w:left w:val="nil"/>
              <w:bottom w:val="single" w:sz="4" w:space="0" w:color="auto"/>
              <w:right w:val="nil"/>
            </w:tcBorders>
            <w:shd w:val="clear" w:color="000000" w:fill="E6E6E6"/>
            <w:noWrap/>
            <w:vAlign w:val="bottom"/>
            <w:hideMark/>
          </w:tcPr>
          <w:p w:rsidR="00F81F40" w:rsidRPr="00F81F40" w:rsidRDefault="00F81F40" w:rsidP="00F81F40">
            <w:pPr>
              <w:spacing w:after="0" w:line="240" w:lineRule="auto"/>
              <w:jc w:val="right"/>
              <w:rPr>
                <w:rFonts w:ascii="Arial" w:hAnsi="Arial" w:cs="Arial"/>
                <w:b/>
                <w:bCs/>
                <w:sz w:val="16"/>
                <w:szCs w:val="16"/>
              </w:rPr>
            </w:pPr>
            <w:r>
              <w:rPr>
                <w:rFonts w:ascii="Arial" w:hAnsi="Arial" w:cs="Arial"/>
                <w:b/>
                <w:bCs/>
                <w:sz w:val="16"/>
                <w:szCs w:val="16"/>
              </w:rPr>
              <w:t>-</w:t>
            </w:r>
          </w:p>
        </w:tc>
        <w:tc>
          <w:tcPr>
            <w:tcW w:w="765" w:type="dxa"/>
            <w:tcBorders>
              <w:top w:val="nil"/>
              <w:left w:val="nil"/>
              <w:bottom w:val="single" w:sz="4" w:space="0" w:color="auto"/>
              <w:right w:val="nil"/>
            </w:tcBorders>
            <w:shd w:val="clear" w:color="auto" w:fill="auto"/>
            <w:noWrap/>
            <w:vAlign w:val="bottom"/>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single" w:sz="4" w:space="0" w:color="auto"/>
              <w:right w:val="nil"/>
            </w:tcBorders>
            <w:shd w:val="clear" w:color="000000" w:fill="E6E6E6"/>
            <w:noWrap/>
            <w:vAlign w:val="bottom"/>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single" w:sz="4" w:space="0" w:color="auto"/>
              <w:right w:val="nil"/>
            </w:tcBorders>
            <w:shd w:val="clear" w:color="auto" w:fill="auto"/>
            <w:noWrap/>
            <w:vAlign w:val="bottom"/>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single" w:sz="4" w:space="0" w:color="auto"/>
              <w:right w:val="nil"/>
            </w:tcBorders>
            <w:shd w:val="clear" w:color="000000" w:fill="E6E6E6"/>
            <w:noWrap/>
            <w:vAlign w:val="bottom"/>
            <w:hideMark/>
          </w:tcPr>
          <w:p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1,700 </w:t>
            </w:r>
          </w:p>
        </w:tc>
      </w:tr>
    </w:tbl>
    <w:p w:rsidR="00F81F40" w:rsidRDefault="00F81F40" w:rsidP="00F81F40">
      <w:pPr>
        <w:pStyle w:val="ChartandTableFootnote"/>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rsidR="00F81F40" w:rsidRDefault="006A36A4" w:rsidP="00F81F40">
      <w:pPr>
        <w:pStyle w:val="ChartandTableFootnoteAlpha"/>
        <w:numPr>
          <w:ilvl w:val="0"/>
          <w:numId w:val="61"/>
        </w:numPr>
      </w:pPr>
      <w:r>
        <w:rPr>
          <w:lang w:val="en-AU"/>
        </w:rPr>
        <w:t xml:space="preserve">See the </w:t>
      </w:r>
      <w:r w:rsidR="00F81F40">
        <w:t>2017–1</w:t>
      </w:r>
      <w:r w:rsidR="00F81F40" w:rsidRPr="00AF6672">
        <w:t>8</w:t>
      </w:r>
      <w:r w:rsidR="00F81F40">
        <w:t xml:space="preserve"> </w:t>
      </w:r>
      <w:r>
        <w:rPr>
          <w:lang w:val="en-AU"/>
        </w:rPr>
        <w:t xml:space="preserve">MYEFO, under the former Employment portfolio, </w:t>
      </w:r>
      <w:r w:rsidR="00F81F40" w:rsidRPr="00AF6672">
        <w:t xml:space="preserve">for the full measure </w:t>
      </w:r>
      <w:r>
        <w:rPr>
          <w:lang w:val="en-AU"/>
        </w:rPr>
        <w:t>description</w:t>
      </w:r>
      <w:r w:rsidR="00F81F40" w:rsidRPr="00AF6672">
        <w:t>.</w:t>
      </w:r>
    </w:p>
    <w:p w:rsidR="00A02077" w:rsidRPr="00810C6A" w:rsidRDefault="00A02077" w:rsidP="00A02077">
      <w:pPr>
        <w:pStyle w:val="Heading2"/>
      </w:pPr>
      <w:r>
        <w:br w:type="page"/>
      </w:r>
      <w:bookmarkStart w:id="165" w:name="_Toc511656258"/>
      <w:bookmarkStart w:id="166" w:name="_Toc511722631"/>
      <w:bookmarkStart w:id="167" w:name="_Toc511736962"/>
      <w:bookmarkStart w:id="168" w:name="_Toc511747224"/>
      <w:bookmarkStart w:id="169" w:name="_Toc511765627"/>
      <w:bookmarkStart w:id="170" w:name="_Toc511828683"/>
      <w:bookmarkStart w:id="171" w:name="_Toc511836822"/>
      <w:bookmarkStart w:id="172" w:name="_Toc511902528"/>
      <w:r w:rsidRPr="00810C6A">
        <w:lastRenderedPageBreak/>
        <w:t>Section 2: Outcomes and planned performance</w:t>
      </w:r>
      <w:bookmarkEnd w:id="165"/>
      <w:bookmarkEnd w:id="166"/>
      <w:bookmarkEnd w:id="167"/>
      <w:bookmarkEnd w:id="168"/>
      <w:bookmarkEnd w:id="169"/>
      <w:bookmarkEnd w:id="170"/>
      <w:bookmarkEnd w:id="171"/>
      <w:bookmarkEnd w:id="172"/>
    </w:p>
    <w:p w:rsidR="00A02077" w:rsidRPr="005E6F2B" w:rsidRDefault="00A02077" w:rsidP="00A02077">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A02077" w:rsidRPr="005E6F2B" w:rsidRDefault="00A02077" w:rsidP="00A02077">
      <w:r w:rsidRPr="005E6F2B">
        <w:t xml:space="preserve">Each outcome is described below together with its related programs. The following provides detailed information on expenses for each outcome and program, further broken down by funding source. </w:t>
      </w:r>
    </w:p>
    <w:p w:rsidR="00A02077" w:rsidRPr="006906E4" w:rsidRDefault="00A02077" w:rsidP="00A02077">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A02077" w:rsidRDefault="00A02077" w:rsidP="00A02077">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A02077" w:rsidRDefault="00A02077" w:rsidP="00A02077">
      <w:pPr>
        <w:pBdr>
          <w:top w:val="single" w:sz="2" w:space="6" w:color="auto"/>
          <w:left w:val="single" w:sz="2" w:space="4" w:color="auto"/>
          <w:bottom w:val="single" w:sz="2" w:space="6" w:color="auto"/>
          <w:right w:val="single" w:sz="2" w:space="4" w:color="auto"/>
        </w:pBdr>
      </w:pPr>
      <w:r>
        <w:t xml:space="preserve">The most recent corporate plan for the Asbestos Safety and Eradication Agency can be found at: </w:t>
      </w:r>
      <w:hyperlink r:id="rId79" w:history="1">
        <w:r>
          <w:rPr>
            <w:rStyle w:val="Hyperlink"/>
          </w:rPr>
          <w:t>www.asbestossafety.gov.au/national-strategic-plan</w:t>
        </w:r>
      </w:hyperlink>
      <w:r>
        <w:t>.</w:t>
      </w:r>
    </w:p>
    <w:p w:rsidR="00A02077" w:rsidRDefault="00A02077" w:rsidP="00A02077">
      <w:pPr>
        <w:pBdr>
          <w:top w:val="single" w:sz="2" w:space="6" w:color="auto"/>
          <w:left w:val="single" w:sz="2" w:space="4" w:color="auto"/>
          <w:bottom w:val="single" w:sz="2" w:space="6" w:color="auto"/>
          <w:right w:val="single" w:sz="2" w:space="4" w:color="auto"/>
        </w:pBdr>
        <w:rPr>
          <w:highlight w:val="yellow"/>
        </w:rPr>
      </w:pPr>
      <w:r>
        <w:t xml:space="preserve"> The most recent annual performance statement can be found at: </w:t>
      </w:r>
      <w:hyperlink r:id="rId80" w:history="1">
        <w:r>
          <w:rPr>
            <w:rStyle w:val="Hyperlink"/>
          </w:rPr>
          <w:t>https://www.asbestossafety.gov.au/annual-report-2016-17/report-performance/annual-performance-statement</w:t>
        </w:r>
      </w:hyperlink>
      <w:r>
        <w:t xml:space="preserve">. </w:t>
      </w:r>
    </w:p>
    <w:p w:rsidR="00A02077" w:rsidRPr="00F743D8" w:rsidRDefault="00A02077" w:rsidP="00A02077">
      <w:pPr>
        <w:pStyle w:val="Heading3"/>
      </w:pPr>
      <w:r>
        <w:rPr>
          <w:highlight w:val="yellow"/>
        </w:rPr>
        <w:br w:type="page"/>
      </w:r>
      <w:bookmarkStart w:id="173" w:name="_Toc511656259"/>
      <w:bookmarkStart w:id="174" w:name="_Toc511722632"/>
      <w:bookmarkStart w:id="175" w:name="_Toc511736963"/>
      <w:bookmarkStart w:id="176" w:name="_Toc511747225"/>
      <w:bookmarkStart w:id="177" w:name="_Toc511765628"/>
      <w:bookmarkStart w:id="178" w:name="_Toc511828684"/>
      <w:bookmarkStart w:id="179" w:name="_Toc511836823"/>
      <w:bookmarkStart w:id="180" w:name="_Toc511902529"/>
      <w:r>
        <w:lastRenderedPageBreak/>
        <w:t>2.1</w:t>
      </w:r>
      <w:r w:rsidRPr="00F743D8">
        <w:t xml:space="preserve"> </w:t>
      </w:r>
      <w:r w:rsidRPr="00F743D8">
        <w:tab/>
        <w:t>Budgeted expens</w:t>
      </w:r>
      <w:r>
        <w:t>es and performance for Outcome 1</w:t>
      </w:r>
      <w:bookmarkEnd w:id="173"/>
      <w:bookmarkEnd w:id="174"/>
      <w:bookmarkEnd w:id="175"/>
      <w:bookmarkEnd w:id="176"/>
      <w:bookmarkEnd w:id="177"/>
      <w:bookmarkEnd w:id="178"/>
      <w:bookmarkEnd w:id="179"/>
      <w:bookmarkEnd w:id="180"/>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A02077" w:rsidRPr="005E6F2B" w:rsidTr="00A02077">
        <w:tc>
          <w:tcPr>
            <w:tcW w:w="7713" w:type="dxa"/>
            <w:shd w:val="clear" w:color="auto" w:fill="E6E6E6"/>
          </w:tcPr>
          <w:p w:rsidR="00A02077" w:rsidRPr="005E6F2B" w:rsidRDefault="00A02077" w:rsidP="00A9013E">
            <w:pPr>
              <w:pStyle w:val="TableColumnHeadingLeft"/>
            </w:pPr>
            <w:r>
              <w:t xml:space="preserve">Outcome 1: Assist in the prevention of exposure to asbestos fibres and the elimination of asbestos-related disease in Australia through implementing the National Strategic Plan for Asbestos Awareness </w:t>
            </w:r>
            <w:r w:rsidR="00A9013E">
              <w:t xml:space="preserve">and Management </w:t>
            </w:r>
            <w:r>
              <w:t>in Australia.</w:t>
            </w:r>
          </w:p>
        </w:tc>
      </w:tr>
    </w:tbl>
    <w:p w:rsidR="00A02077" w:rsidRPr="005E6F2B" w:rsidRDefault="00A02077" w:rsidP="00A02077"/>
    <w:p w:rsidR="00A02077" w:rsidRPr="00446612" w:rsidRDefault="00A02077" w:rsidP="005813D2">
      <w:pPr>
        <w:pStyle w:val="Heading4"/>
      </w:pPr>
      <w:r>
        <w:t>Budgeted expenses for Outcome 1</w:t>
      </w:r>
    </w:p>
    <w:p w:rsidR="00A02077" w:rsidRDefault="00A02077" w:rsidP="00A02077">
      <w:r w:rsidRPr="00950281">
        <w:t>This table shows how much the entity intends to spend (on an accrual basis) on achieving the outcome, broken down by program, as well as by Administered an</w:t>
      </w:r>
      <w:r>
        <w:t>d Departmental funding sources.</w:t>
      </w:r>
    </w:p>
    <w:p w:rsidR="00A02077" w:rsidRPr="00FD32B1" w:rsidRDefault="00A02077" w:rsidP="00A02077">
      <w:pPr>
        <w:pStyle w:val="TableHeading"/>
        <w:rPr>
          <w:lang w:val="en-AU"/>
        </w:rPr>
      </w:pPr>
      <w:r>
        <w:t>Table 2.</w:t>
      </w:r>
      <w:r>
        <w:rPr>
          <w:lang w:val="en-AU"/>
        </w:rPr>
        <w:t>1</w:t>
      </w:r>
      <w:r>
        <w:t>.1:</w:t>
      </w:r>
      <w:r w:rsidR="00FD32B1">
        <w:t xml:space="preserve"> Budgeted expenses for Outcome </w:t>
      </w:r>
      <w:r w:rsidR="00FD32B1">
        <w:rPr>
          <w:lang w:val="en-AU"/>
        </w:rPr>
        <w:t>1</w:t>
      </w:r>
    </w:p>
    <w:tbl>
      <w:tblPr>
        <w:tblW w:w="7759" w:type="dxa"/>
        <w:tblInd w:w="93" w:type="dxa"/>
        <w:tblLook w:val="04A0" w:firstRow="1" w:lastRow="0" w:firstColumn="1" w:lastColumn="0" w:noHBand="0" w:noVBand="1"/>
      </w:tblPr>
      <w:tblGrid>
        <w:gridCol w:w="3203"/>
        <w:gridCol w:w="928"/>
        <w:gridCol w:w="907"/>
        <w:gridCol w:w="907"/>
        <w:gridCol w:w="907"/>
        <w:gridCol w:w="887"/>
        <w:gridCol w:w="20"/>
      </w:tblGrid>
      <w:tr w:rsidR="00FD32B1" w:rsidRPr="00FD32B1" w:rsidTr="00FD32B1">
        <w:trPr>
          <w:gridAfter w:val="1"/>
          <w:wAfter w:w="20" w:type="dxa"/>
          <w:trHeight w:val="624"/>
        </w:trPr>
        <w:tc>
          <w:tcPr>
            <w:tcW w:w="7739" w:type="dxa"/>
            <w:gridSpan w:val="6"/>
            <w:tcBorders>
              <w:top w:val="single" w:sz="4" w:space="0" w:color="auto"/>
              <w:left w:val="nil"/>
              <w:bottom w:val="nil"/>
              <w:right w:val="nil"/>
            </w:tcBorders>
            <w:shd w:val="clear" w:color="auto" w:fill="auto"/>
            <w:vAlign w:val="center"/>
            <w:hideMark/>
          </w:tcPr>
          <w:p w:rsidR="00FD32B1" w:rsidRPr="00FD32B1" w:rsidRDefault="00FD32B1" w:rsidP="00FD32B1">
            <w:pPr>
              <w:spacing w:after="0" w:line="240" w:lineRule="auto"/>
              <w:rPr>
                <w:rFonts w:ascii="Arial" w:hAnsi="Arial" w:cs="Arial"/>
                <w:b/>
                <w:bCs/>
                <w:color w:val="000000"/>
                <w:sz w:val="16"/>
                <w:szCs w:val="16"/>
              </w:rPr>
            </w:pPr>
            <w:r w:rsidRPr="00FD32B1">
              <w:rPr>
                <w:rFonts w:ascii="Arial" w:hAnsi="Arial" w:cs="Arial"/>
                <w:b/>
                <w:bCs/>
                <w:color w:val="000000"/>
                <w:sz w:val="16"/>
                <w:szCs w:val="16"/>
              </w:rPr>
              <w:t>Outcome 1: Assist in the prevention of exposure to asbestos fibres and the elimination of asbestos-related disease in Australia through implementing the National Strategic Plan for Asbestos Awareness and Management in Australia.</w:t>
            </w:r>
          </w:p>
        </w:tc>
      </w:tr>
      <w:tr w:rsidR="00FD32B1" w:rsidRPr="00FD32B1" w:rsidTr="00FD32B1">
        <w:trPr>
          <w:trHeight w:val="794"/>
        </w:trPr>
        <w:tc>
          <w:tcPr>
            <w:tcW w:w="3203" w:type="dxa"/>
            <w:tcBorders>
              <w:top w:val="single" w:sz="4" w:space="0" w:color="auto"/>
              <w:left w:val="nil"/>
              <w:bottom w:val="single" w:sz="4" w:space="0" w:color="auto"/>
              <w:right w:val="nil"/>
            </w:tcBorders>
            <w:shd w:val="clear" w:color="auto" w:fill="auto"/>
            <w:vAlign w:val="center"/>
            <w:hideMark/>
          </w:tcPr>
          <w:p w:rsidR="00FD32B1" w:rsidRPr="00FD32B1" w:rsidRDefault="00FD32B1" w:rsidP="00FD32B1">
            <w:pPr>
              <w:spacing w:after="0" w:line="240" w:lineRule="auto"/>
              <w:rPr>
                <w:rFonts w:ascii="Arial" w:hAnsi="Arial" w:cs="Arial"/>
                <w:b/>
                <w:bCs/>
                <w:color w:val="000000"/>
                <w:sz w:val="16"/>
                <w:szCs w:val="16"/>
              </w:rPr>
            </w:pPr>
            <w:r w:rsidRPr="00FD32B1">
              <w:rPr>
                <w:rFonts w:ascii="Arial" w:hAnsi="Arial" w:cs="Arial"/>
                <w:b/>
                <w:bCs/>
                <w:color w:val="000000"/>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2017–18 Estimated actual</w:t>
            </w:r>
            <w:r w:rsidRPr="00FD32B1">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2018–19</w:t>
            </w:r>
            <w:r w:rsidRPr="00FD32B1">
              <w:rPr>
                <w:rFonts w:ascii="Arial" w:hAnsi="Arial" w:cs="Arial"/>
                <w:sz w:val="16"/>
                <w:szCs w:val="16"/>
              </w:rPr>
              <w:br/>
              <w:t>Budget</w:t>
            </w:r>
            <w:r w:rsidRPr="00FD32B1">
              <w:rPr>
                <w:rFonts w:ascii="Arial" w:hAnsi="Arial" w:cs="Arial"/>
                <w:sz w:val="16"/>
                <w:szCs w:val="16"/>
              </w:rPr>
              <w:br/>
            </w:r>
            <w:r w:rsidRPr="00FD32B1">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2019–20 Forward estimate</w:t>
            </w:r>
            <w:r w:rsidRPr="00FD32B1">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2020–21 Forward estimate</w:t>
            </w:r>
            <w:r w:rsidRPr="00FD32B1">
              <w:rPr>
                <w:rFonts w:ascii="Arial" w:hAnsi="Arial" w:cs="Arial"/>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2021–22</w:t>
            </w:r>
            <w:r w:rsidRPr="00FD32B1">
              <w:rPr>
                <w:rFonts w:ascii="Arial" w:hAnsi="Arial" w:cs="Arial"/>
                <w:sz w:val="16"/>
                <w:szCs w:val="16"/>
              </w:rPr>
              <w:br/>
              <w:t>Forward estimate</w:t>
            </w:r>
            <w:r w:rsidRPr="00FD32B1">
              <w:rPr>
                <w:rFonts w:ascii="Arial" w:hAnsi="Arial" w:cs="Arial"/>
                <w:sz w:val="16"/>
                <w:szCs w:val="16"/>
              </w:rPr>
              <w:br/>
              <w:t>$'000</w:t>
            </w:r>
          </w:p>
        </w:tc>
      </w:tr>
      <w:tr w:rsidR="00FD32B1" w:rsidRPr="00FD32B1" w:rsidTr="00931196">
        <w:trPr>
          <w:gridAfter w:val="1"/>
          <w:wAfter w:w="20" w:type="dxa"/>
          <w:trHeight w:val="225"/>
        </w:trPr>
        <w:tc>
          <w:tcPr>
            <w:tcW w:w="7739" w:type="dxa"/>
            <w:gridSpan w:val="6"/>
            <w:tcBorders>
              <w:top w:val="single" w:sz="4" w:space="0" w:color="auto"/>
              <w:left w:val="nil"/>
              <w:bottom w:val="single" w:sz="4" w:space="0" w:color="auto"/>
              <w:right w:val="nil"/>
            </w:tcBorders>
            <w:shd w:val="clear" w:color="000000" w:fill="E6E6E6"/>
            <w:vAlign w:val="center"/>
            <w:hideMark/>
          </w:tcPr>
          <w:p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Program 1.1: Asbestos Safety and Eradication Agency</w:t>
            </w:r>
          </w:p>
        </w:tc>
      </w:tr>
      <w:tr w:rsidR="00FD32B1" w:rsidRPr="00FD32B1" w:rsidTr="00FD32B1">
        <w:trPr>
          <w:trHeight w:val="225"/>
        </w:trPr>
        <w:tc>
          <w:tcPr>
            <w:tcW w:w="3203"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r w:rsidRPr="00FD32B1">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r>
      <w:tr w:rsidR="00FD32B1" w:rsidRPr="00FD32B1" w:rsidTr="00FD32B1">
        <w:trPr>
          <w:trHeight w:val="225"/>
        </w:trPr>
        <w:tc>
          <w:tcPr>
            <w:tcW w:w="3203"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ind w:firstLineChars="100" w:firstLine="160"/>
              <w:rPr>
                <w:rFonts w:ascii="Arial" w:hAnsi="Arial" w:cs="Arial"/>
                <w:sz w:val="16"/>
                <w:szCs w:val="16"/>
              </w:rPr>
            </w:pPr>
            <w:r w:rsidRPr="00FD32B1">
              <w:rPr>
                <w:rFonts w:ascii="Arial" w:hAnsi="Arial" w:cs="Arial"/>
                <w:sz w:val="16"/>
                <w:szCs w:val="16"/>
              </w:rPr>
              <w:t>Departmental appropriation</w:t>
            </w: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4,016 </w:t>
            </w:r>
          </w:p>
        </w:tc>
        <w:tc>
          <w:tcPr>
            <w:tcW w:w="907" w:type="dxa"/>
            <w:tcBorders>
              <w:top w:val="nil"/>
              <w:left w:val="nil"/>
              <w:bottom w:val="nil"/>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3,318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3,313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3,323 </w:t>
            </w: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3,333 </w:t>
            </w:r>
          </w:p>
        </w:tc>
      </w:tr>
      <w:tr w:rsidR="00FD32B1" w:rsidRPr="00FD32B1" w:rsidTr="00FD32B1">
        <w:trPr>
          <w:trHeight w:val="225"/>
        </w:trPr>
        <w:tc>
          <w:tcPr>
            <w:tcW w:w="3203" w:type="dxa"/>
            <w:tcBorders>
              <w:top w:val="nil"/>
              <w:left w:val="nil"/>
              <w:bottom w:val="nil"/>
              <w:right w:val="nil"/>
            </w:tcBorders>
            <w:shd w:val="clear" w:color="auto" w:fill="auto"/>
            <w:vAlign w:val="center"/>
            <w:hideMark/>
          </w:tcPr>
          <w:p w:rsidR="00FD32B1" w:rsidRPr="00FD32B1" w:rsidRDefault="00FD32B1" w:rsidP="00FD32B1">
            <w:pPr>
              <w:spacing w:after="0" w:line="240" w:lineRule="auto"/>
              <w:ind w:firstLineChars="100" w:firstLine="160"/>
              <w:rPr>
                <w:rFonts w:ascii="Arial" w:hAnsi="Arial" w:cs="Arial"/>
                <w:sz w:val="16"/>
                <w:szCs w:val="16"/>
              </w:rPr>
            </w:pPr>
            <w:r w:rsidRPr="00FD32B1">
              <w:rPr>
                <w:rFonts w:ascii="Arial" w:hAnsi="Arial" w:cs="Arial"/>
                <w:sz w:val="16"/>
                <w:szCs w:val="16"/>
              </w:rPr>
              <w:t>s74 Retained revenue receipts (a)</w:t>
            </w: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240 </w:t>
            </w:r>
          </w:p>
        </w:tc>
        <w:tc>
          <w:tcPr>
            <w:tcW w:w="907" w:type="dxa"/>
            <w:tcBorders>
              <w:top w:val="nil"/>
              <w:left w:val="nil"/>
              <w:bottom w:val="nil"/>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200 </w:t>
            </w:r>
          </w:p>
        </w:tc>
      </w:tr>
      <w:tr w:rsidR="00FD32B1" w:rsidRPr="00FD32B1" w:rsidTr="00FD32B1">
        <w:trPr>
          <w:trHeight w:val="397"/>
        </w:trPr>
        <w:tc>
          <w:tcPr>
            <w:tcW w:w="3203" w:type="dxa"/>
            <w:tcBorders>
              <w:top w:val="nil"/>
              <w:left w:val="nil"/>
              <w:bottom w:val="nil"/>
              <w:right w:val="nil"/>
            </w:tcBorders>
            <w:shd w:val="clear" w:color="auto" w:fill="auto"/>
            <w:vAlign w:val="center"/>
            <w:hideMark/>
          </w:tcPr>
          <w:p w:rsidR="00FD32B1" w:rsidRPr="00FD32B1" w:rsidRDefault="00FD32B1" w:rsidP="00FD32B1">
            <w:pPr>
              <w:spacing w:after="0" w:line="240" w:lineRule="auto"/>
              <w:ind w:leftChars="80" w:left="333" w:hangingChars="108" w:hanging="173"/>
              <w:rPr>
                <w:rFonts w:ascii="Arial" w:hAnsi="Arial" w:cs="Arial"/>
                <w:sz w:val="16"/>
                <w:szCs w:val="16"/>
              </w:rPr>
            </w:pPr>
            <w:r w:rsidRPr="00FD32B1">
              <w:rPr>
                <w:rFonts w:ascii="Arial" w:hAnsi="Arial" w:cs="Arial"/>
                <w:sz w:val="16"/>
                <w:szCs w:val="16"/>
              </w:rPr>
              <w:t>Expenses not requiring appropriation in the Budget year (b)</w:t>
            </w: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108 </w:t>
            </w:r>
          </w:p>
        </w:tc>
        <w:tc>
          <w:tcPr>
            <w:tcW w:w="907" w:type="dxa"/>
            <w:tcBorders>
              <w:top w:val="nil"/>
              <w:left w:val="nil"/>
              <w:bottom w:val="nil"/>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120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132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137 </w:t>
            </w: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126 </w:t>
            </w:r>
          </w:p>
        </w:tc>
      </w:tr>
      <w:tr w:rsidR="00FD32B1" w:rsidRPr="00FD32B1" w:rsidTr="00FD32B1">
        <w:trPr>
          <w:trHeight w:val="225"/>
        </w:trPr>
        <w:tc>
          <w:tcPr>
            <w:tcW w:w="3203" w:type="dxa"/>
            <w:tcBorders>
              <w:top w:val="nil"/>
              <w:left w:val="nil"/>
              <w:bottom w:val="nil"/>
              <w:right w:val="nil"/>
            </w:tcBorders>
            <w:shd w:val="clear" w:color="auto" w:fill="auto"/>
            <w:vAlign w:val="center"/>
            <w:hideMark/>
          </w:tcPr>
          <w:p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Departmental total</w:t>
            </w:r>
          </w:p>
        </w:tc>
        <w:tc>
          <w:tcPr>
            <w:tcW w:w="928" w:type="dxa"/>
            <w:tcBorders>
              <w:top w:val="single" w:sz="4" w:space="0" w:color="000000"/>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4,364 </w:t>
            </w:r>
          </w:p>
        </w:tc>
        <w:tc>
          <w:tcPr>
            <w:tcW w:w="907" w:type="dxa"/>
            <w:tcBorders>
              <w:top w:val="single" w:sz="4" w:space="0" w:color="000000"/>
              <w:left w:val="nil"/>
              <w:bottom w:val="single" w:sz="4" w:space="0" w:color="000000"/>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3,663 </w:t>
            </w:r>
          </w:p>
        </w:tc>
        <w:tc>
          <w:tcPr>
            <w:tcW w:w="907" w:type="dxa"/>
            <w:tcBorders>
              <w:top w:val="single" w:sz="4" w:space="0" w:color="000000"/>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3,670 </w:t>
            </w:r>
          </w:p>
        </w:tc>
        <w:tc>
          <w:tcPr>
            <w:tcW w:w="907" w:type="dxa"/>
            <w:tcBorders>
              <w:top w:val="single" w:sz="4" w:space="0" w:color="000000"/>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3,685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3,659 </w:t>
            </w:r>
          </w:p>
        </w:tc>
      </w:tr>
      <w:tr w:rsidR="00FD32B1" w:rsidRPr="00FD32B1" w:rsidTr="00FD32B1">
        <w:trPr>
          <w:trHeight w:val="225"/>
        </w:trPr>
        <w:tc>
          <w:tcPr>
            <w:tcW w:w="3203" w:type="dxa"/>
            <w:tcBorders>
              <w:top w:val="nil"/>
              <w:left w:val="nil"/>
              <w:bottom w:val="single" w:sz="4" w:space="0" w:color="000000"/>
              <w:right w:val="nil"/>
            </w:tcBorders>
            <w:shd w:val="clear" w:color="auto" w:fill="auto"/>
            <w:vAlign w:val="center"/>
            <w:hideMark/>
          </w:tcPr>
          <w:p w:rsidR="00FD32B1" w:rsidRPr="00FD32B1" w:rsidRDefault="00FD32B1" w:rsidP="00931196">
            <w:pPr>
              <w:spacing w:after="0" w:line="240" w:lineRule="auto"/>
              <w:rPr>
                <w:rFonts w:ascii="Arial" w:hAnsi="Arial" w:cs="Arial"/>
                <w:b/>
                <w:bCs/>
                <w:sz w:val="16"/>
                <w:szCs w:val="16"/>
              </w:rPr>
            </w:pPr>
            <w:r w:rsidRPr="00FD32B1">
              <w:rPr>
                <w:rFonts w:ascii="Arial" w:hAnsi="Arial" w:cs="Arial"/>
                <w:b/>
                <w:bCs/>
                <w:sz w:val="16"/>
                <w:szCs w:val="16"/>
              </w:rPr>
              <w:t xml:space="preserve">Total expenses for </w:t>
            </w:r>
            <w:r w:rsidR="00931196">
              <w:rPr>
                <w:rFonts w:ascii="Arial" w:hAnsi="Arial" w:cs="Arial"/>
                <w:b/>
                <w:bCs/>
                <w:sz w:val="16"/>
                <w:szCs w:val="16"/>
              </w:rPr>
              <w:t>P</w:t>
            </w:r>
            <w:r w:rsidRPr="00FD32B1">
              <w:rPr>
                <w:rFonts w:ascii="Arial" w:hAnsi="Arial" w:cs="Arial"/>
                <w:b/>
                <w:bCs/>
                <w:sz w:val="16"/>
                <w:szCs w:val="16"/>
              </w:rPr>
              <w:t>rogram 1.1</w:t>
            </w:r>
          </w:p>
        </w:tc>
        <w:tc>
          <w:tcPr>
            <w:tcW w:w="928" w:type="dxa"/>
            <w:tcBorders>
              <w:top w:val="nil"/>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xml:space="preserve">4,364 </w:t>
            </w:r>
          </w:p>
        </w:tc>
        <w:tc>
          <w:tcPr>
            <w:tcW w:w="907" w:type="dxa"/>
            <w:tcBorders>
              <w:top w:val="nil"/>
              <w:left w:val="nil"/>
              <w:bottom w:val="single" w:sz="4" w:space="0" w:color="000000"/>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xml:space="preserve">3,663 </w:t>
            </w:r>
          </w:p>
        </w:tc>
        <w:tc>
          <w:tcPr>
            <w:tcW w:w="907" w:type="dxa"/>
            <w:tcBorders>
              <w:top w:val="nil"/>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3,670 </w:t>
            </w:r>
          </w:p>
        </w:tc>
        <w:tc>
          <w:tcPr>
            <w:tcW w:w="907" w:type="dxa"/>
            <w:tcBorders>
              <w:top w:val="nil"/>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3,685 </w:t>
            </w:r>
          </w:p>
        </w:tc>
        <w:tc>
          <w:tcPr>
            <w:tcW w:w="907" w:type="dxa"/>
            <w:gridSpan w:val="2"/>
            <w:tcBorders>
              <w:top w:val="nil"/>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3,659 </w:t>
            </w:r>
          </w:p>
        </w:tc>
      </w:tr>
      <w:tr w:rsidR="00FD32B1" w:rsidRPr="00FD32B1" w:rsidTr="00FD32B1">
        <w:trPr>
          <w:gridAfter w:val="1"/>
          <w:wAfter w:w="20" w:type="dxa"/>
          <w:trHeight w:val="225"/>
        </w:trPr>
        <w:tc>
          <w:tcPr>
            <w:tcW w:w="7739" w:type="dxa"/>
            <w:gridSpan w:val="6"/>
            <w:tcBorders>
              <w:top w:val="single" w:sz="4" w:space="0" w:color="auto"/>
              <w:left w:val="nil"/>
              <w:bottom w:val="single" w:sz="4" w:space="0" w:color="auto"/>
              <w:right w:val="nil"/>
            </w:tcBorders>
            <w:shd w:val="clear" w:color="000000" w:fill="E6E6E6"/>
            <w:vAlign w:val="center"/>
            <w:hideMark/>
          </w:tcPr>
          <w:p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Outcome 1 Totals by appropriation type</w:t>
            </w:r>
          </w:p>
        </w:tc>
      </w:tr>
      <w:tr w:rsidR="00FD32B1" w:rsidRPr="00FD32B1" w:rsidTr="00FD32B1">
        <w:trPr>
          <w:trHeight w:val="225"/>
        </w:trPr>
        <w:tc>
          <w:tcPr>
            <w:tcW w:w="3203"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r w:rsidRPr="00FD32B1">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r>
      <w:tr w:rsidR="00FD32B1" w:rsidRPr="00FD32B1" w:rsidTr="00FD32B1">
        <w:trPr>
          <w:trHeight w:val="225"/>
        </w:trPr>
        <w:tc>
          <w:tcPr>
            <w:tcW w:w="3203"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ind w:firstLineChars="100" w:firstLine="160"/>
              <w:rPr>
                <w:rFonts w:ascii="Arial" w:hAnsi="Arial" w:cs="Arial"/>
                <w:sz w:val="16"/>
                <w:szCs w:val="16"/>
              </w:rPr>
            </w:pPr>
            <w:r w:rsidRPr="00FD32B1">
              <w:rPr>
                <w:rFonts w:ascii="Arial" w:hAnsi="Arial" w:cs="Arial"/>
                <w:sz w:val="16"/>
                <w:szCs w:val="16"/>
              </w:rPr>
              <w:t>Departmental appropriation</w:t>
            </w: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4,016 </w:t>
            </w:r>
          </w:p>
        </w:tc>
        <w:tc>
          <w:tcPr>
            <w:tcW w:w="907" w:type="dxa"/>
            <w:tcBorders>
              <w:top w:val="nil"/>
              <w:left w:val="nil"/>
              <w:bottom w:val="nil"/>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3,318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3,313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3,323 </w:t>
            </w: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3,333 </w:t>
            </w:r>
          </w:p>
        </w:tc>
      </w:tr>
      <w:tr w:rsidR="00FD32B1" w:rsidRPr="00FD32B1" w:rsidTr="00FD32B1">
        <w:trPr>
          <w:trHeight w:val="225"/>
        </w:trPr>
        <w:tc>
          <w:tcPr>
            <w:tcW w:w="3203" w:type="dxa"/>
            <w:tcBorders>
              <w:top w:val="nil"/>
              <w:left w:val="nil"/>
              <w:bottom w:val="nil"/>
              <w:right w:val="nil"/>
            </w:tcBorders>
            <w:shd w:val="clear" w:color="auto" w:fill="auto"/>
            <w:vAlign w:val="center"/>
            <w:hideMark/>
          </w:tcPr>
          <w:p w:rsidR="00FD32B1" w:rsidRPr="00FD32B1" w:rsidRDefault="00FD32B1" w:rsidP="00FD32B1">
            <w:pPr>
              <w:spacing w:after="0" w:line="240" w:lineRule="auto"/>
              <w:ind w:firstLineChars="100" w:firstLine="160"/>
              <w:rPr>
                <w:rFonts w:ascii="Arial" w:hAnsi="Arial" w:cs="Arial"/>
                <w:sz w:val="16"/>
                <w:szCs w:val="16"/>
              </w:rPr>
            </w:pPr>
            <w:r w:rsidRPr="00FD32B1">
              <w:rPr>
                <w:rFonts w:ascii="Arial" w:hAnsi="Arial" w:cs="Arial"/>
                <w:sz w:val="16"/>
                <w:szCs w:val="16"/>
              </w:rPr>
              <w:t>s74 Retained revenue receipts (a)</w:t>
            </w: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240 </w:t>
            </w:r>
          </w:p>
        </w:tc>
        <w:tc>
          <w:tcPr>
            <w:tcW w:w="907" w:type="dxa"/>
            <w:tcBorders>
              <w:top w:val="nil"/>
              <w:left w:val="nil"/>
              <w:bottom w:val="nil"/>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200 </w:t>
            </w:r>
          </w:p>
        </w:tc>
      </w:tr>
      <w:tr w:rsidR="00FD32B1" w:rsidRPr="00FD32B1" w:rsidTr="00FD32B1">
        <w:trPr>
          <w:trHeight w:val="397"/>
        </w:trPr>
        <w:tc>
          <w:tcPr>
            <w:tcW w:w="3203" w:type="dxa"/>
            <w:tcBorders>
              <w:top w:val="nil"/>
              <w:left w:val="nil"/>
              <w:bottom w:val="nil"/>
              <w:right w:val="nil"/>
            </w:tcBorders>
            <w:shd w:val="clear" w:color="auto" w:fill="auto"/>
            <w:vAlign w:val="center"/>
            <w:hideMark/>
          </w:tcPr>
          <w:p w:rsidR="00FD32B1" w:rsidRPr="00FD32B1" w:rsidRDefault="00FD32B1" w:rsidP="00FD32B1">
            <w:pPr>
              <w:spacing w:after="0" w:line="240" w:lineRule="auto"/>
              <w:ind w:leftChars="80" w:left="333" w:hangingChars="108" w:hanging="173"/>
              <w:rPr>
                <w:rFonts w:ascii="Arial" w:hAnsi="Arial" w:cs="Arial"/>
                <w:sz w:val="16"/>
                <w:szCs w:val="16"/>
              </w:rPr>
            </w:pPr>
            <w:r w:rsidRPr="00FD32B1">
              <w:rPr>
                <w:rFonts w:ascii="Arial" w:hAnsi="Arial" w:cs="Arial"/>
                <w:sz w:val="16"/>
                <w:szCs w:val="16"/>
              </w:rPr>
              <w:t>Expenses not requiring appropriation in the Budget year (b)</w:t>
            </w: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108 </w:t>
            </w:r>
          </w:p>
        </w:tc>
        <w:tc>
          <w:tcPr>
            <w:tcW w:w="907" w:type="dxa"/>
            <w:tcBorders>
              <w:top w:val="nil"/>
              <w:left w:val="nil"/>
              <w:bottom w:val="nil"/>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120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132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137 </w:t>
            </w: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126 </w:t>
            </w:r>
          </w:p>
        </w:tc>
      </w:tr>
      <w:tr w:rsidR="00FD32B1" w:rsidRPr="00FD32B1" w:rsidTr="00FD32B1">
        <w:trPr>
          <w:trHeight w:val="225"/>
        </w:trPr>
        <w:tc>
          <w:tcPr>
            <w:tcW w:w="3203" w:type="dxa"/>
            <w:tcBorders>
              <w:top w:val="nil"/>
              <w:left w:val="nil"/>
              <w:bottom w:val="nil"/>
              <w:right w:val="nil"/>
            </w:tcBorders>
            <w:shd w:val="clear" w:color="auto" w:fill="auto"/>
            <w:vAlign w:val="center"/>
            <w:hideMark/>
          </w:tcPr>
          <w:p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4,364 </w:t>
            </w:r>
          </w:p>
        </w:tc>
        <w:tc>
          <w:tcPr>
            <w:tcW w:w="907" w:type="dxa"/>
            <w:tcBorders>
              <w:top w:val="single" w:sz="4" w:space="0" w:color="auto"/>
              <w:left w:val="nil"/>
              <w:bottom w:val="single" w:sz="4" w:space="0" w:color="auto"/>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3,663 </w:t>
            </w:r>
          </w:p>
        </w:tc>
        <w:tc>
          <w:tcPr>
            <w:tcW w:w="907" w:type="dxa"/>
            <w:tcBorders>
              <w:top w:val="single" w:sz="4" w:space="0" w:color="auto"/>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3,670 </w:t>
            </w:r>
          </w:p>
        </w:tc>
        <w:tc>
          <w:tcPr>
            <w:tcW w:w="907" w:type="dxa"/>
            <w:tcBorders>
              <w:top w:val="single" w:sz="4" w:space="0" w:color="auto"/>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3,685 </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3,659 </w:t>
            </w:r>
          </w:p>
        </w:tc>
      </w:tr>
      <w:tr w:rsidR="00FD32B1" w:rsidRPr="00FD32B1" w:rsidTr="00FD32B1">
        <w:trPr>
          <w:trHeight w:val="225"/>
        </w:trPr>
        <w:tc>
          <w:tcPr>
            <w:tcW w:w="3203" w:type="dxa"/>
            <w:tcBorders>
              <w:top w:val="nil"/>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rPr>
                <w:rFonts w:ascii="Arial" w:hAnsi="Arial" w:cs="Arial"/>
                <w:b/>
                <w:bCs/>
                <w:color w:val="000000"/>
                <w:sz w:val="16"/>
                <w:szCs w:val="16"/>
              </w:rPr>
            </w:pPr>
            <w:r w:rsidRPr="00FD32B1">
              <w:rPr>
                <w:rFonts w:ascii="Arial" w:hAnsi="Arial" w:cs="Arial"/>
                <w:b/>
                <w:bCs/>
                <w:color w:val="000000"/>
                <w:sz w:val="16"/>
                <w:szCs w:val="16"/>
              </w:rPr>
              <w:t>Total expenses for Outcome 1</w:t>
            </w:r>
          </w:p>
        </w:tc>
        <w:tc>
          <w:tcPr>
            <w:tcW w:w="928" w:type="dxa"/>
            <w:tcBorders>
              <w:top w:val="nil"/>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xml:space="preserve">4,364 </w:t>
            </w:r>
          </w:p>
        </w:tc>
        <w:tc>
          <w:tcPr>
            <w:tcW w:w="907" w:type="dxa"/>
            <w:tcBorders>
              <w:top w:val="nil"/>
              <w:left w:val="nil"/>
              <w:bottom w:val="single" w:sz="4" w:space="0" w:color="auto"/>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xml:space="preserve">3,663 </w:t>
            </w:r>
          </w:p>
        </w:tc>
        <w:tc>
          <w:tcPr>
            <w:tcW w:w="907" w:type="dxa"/>
            <w:tcBorders>
              <w:top w:val="nil"/>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3,670 </w:t>
            </w:r>
          </w:p>
        </w:tc>
        <w:tc>
          <w:tcPr>
            <w:tcW w:w="907" w:type="dxa"/>
            <w:tcBorders>
              <w:top w:val="nil"/>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3,685 </w:t>
            </w:r>
          </w:p>
        </w:tc>
        <w:tc>
          <w:tcPr>
            <w:tcW w:w="907" w:type="dxa"/>
            <w:gridSpan w:val="2"/>
            <w:tcBorders>
              <w:top w:val="nil"/>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3,659 </w:t>
            </w:r>
          </w:p>
        </w:tc>
      </w:tr>
      <w:tr w:rsidR="00FD32B1" w:rsidRPr="00FD32B1" w:rsidTr="00FD32B1">
        <w:trPr>
          <w:trHeight w:val="170"/>
        </w:trPr>
        <w:tc>
          <w:tcPr>
            <w:tcW w:w="3203"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b/>
                <w:bCs/>
                <w:color w:val="000000"/>
                <w:sz w:val="16"/>
                <w:szCs w:val="16"/>
              </w:rPr>
            </w:pPr>
          </w:p>
        </w:tc>
        <w:tc>
          <w:tcPr>
            <w:tcW w:w="928"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 </w:t>
            </w: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 </w:t>
            </w:r>
          </w:p>
        </w:tc>
      </w:tr>
      <w:tr w:rsidR="00FD32B1" w:rsidRPr="00FD32B1" w:rsidTr="00FD32B1">
        <w:trPr>
          <w:trHeight w:val="225"/>
        </w:trPr>
        <w:tc>
          <w:tcPr>
            <w:tcW w:w="3203" w:type="dxa"/>
            <w:tcBorders>
              <w:top w:val="single" w:sz="4" w:space="0" w:color="000000"/>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color w:val="000000"/>
                <w:sz w:val="16"/>
                <w:szCs w:val="16"/>
              </w:rPr>
            </w:pPr>
            <w:r w:rsidRPr="00FD32B1">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2018–19</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r>
      <w:tr w:rsidR="00FD32B1" w:rsidRPr="00FD32B1" w:rsidTr="00FD32B1">
        <w:trPr>
          <w:trHeight w:val="225"/>
        </w:trPr>
        <w:tc>
          <w:tcPr>
            <w:tcW w:w="3203" w:type="dxa"/>
            <w:tcBorders>
              <w:top w:val="nil"/>
              <w:left w:val="nil"/>
              <w:bottom w:val="single" w:sz="4" w:space="0" w:color="000000"/>
              <w:right w:val="nil"/>
            </w:tcBorders>
            <w:shd w:val="clear" w:color="auto" w:fill="auto"/>
            <w:noWrap/>
            <w:vAlign w:val="center"/>
            <w:hideMark/>
          </w:tcPr>
          <w:p w:rsidR="00FD32B1" w:rsidRPr="00FD32B1" w:rsidRDefault="00FD32B1" w:rsidP="00FD32B1">
            <w:pPr>
              <w:spacing w:after="0" w:line="240" w:lineRule="auto"/>
              <w:rPr>
                <w:rFonts w:ascii="Arial" w:hAnsi="Arial" w:cs="Arial"/>
                <w:b/>
                <w:bCs/>
                <w:color w:val="000000"/>
                <w:sz w:val="16"/>
                <w:szCs w:val="16"/>
              </w:rPr>
            </w:pPr>
            <w:r w:rsidRPr="00FD32B1">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12 </w:t>
            </w:r>
          </w:p>
        </w:tc>
        <w:tc>
          <w:tcPr>
            <w:tcW w:w="907" w:type="dxa"/>
            <w:tcBorders>
              <w:top w:val="nil"/>
              <w:left w:val="nil"/>
              <w:bottom w:val="single" w:sz="4" w:space="0" w:color="auto"/>
              <w:right w:val="nil"/>
            </w:tcBorders>
            <w:shd w:val="clear" w:color="000000" w:fill="E6E6E6"/>
            <w:noWrap/>
            <w:vAlign w:val="center"/>
            <w:hideMark/>
          </w:tcPr>
          <w:p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12 </w:t>
            </w: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rsidR="00FD32B1" w:rsidRPr="00FD32B1" w:rsidRDefault="00FD32B1" w:rsidP="00FD32B1">
            <w:pPr>
              <w:spacing w:after="0" w:line="240" w:lineRule="auto"/>
              <w:rPr>
                <w:rFonts w:ascii="Arial" w:hAnsi="Arial" w:cs="Arial"/>
                <w:sz w:val="16"/>
                <w:szCs w:val="16"/>
              </w:rPr>
            </w:pPr>
          </w:p>
        </w:tc>
      </w:tr>
    </w:tbl>
    <w:p w:rsidR="00A02077" w:rsidRPr="00950281" w:rsidRDefault="00A02077" w:rsidP="00E01B4E">
      <w:pPr>
        <w:pStyle w:val="ChartandTableFootnoteAlpha"/>
        <w:numPr>
          <w:ilvl w:val="0"/>
          <w:numId w:val="22"/>
        </w:numPr>
      </w:pPr>
      <w:r w:rsidRPr="00950281">
        <w:t>E</w:t>
      </w:r>
      <w:r>
        <w:t>stimated e</w:t>
      </w:r>
      <w:r w:rsidRPr="00950281">
        <w:t xml:space="preserve">xpenses </w:t>
      </w:r>
      <w:r>
        <w:t>incurred in relation to receipts retained under section 74 of the PGPA Act</w:t>
      </w:r>
      <w:r w:rsidRPr="006922DC">
        <w:t>.</w:t>
      </w:r>
    </w:p>
    <w:p w:rsidR="00A02077" w:rsidRPr="00950281" w:rsidRDefault="00A02077" w:rsidP="00136A19">
      <w:pPr>
        <w:pStyle w:val="ChartandTableFootnoteAlpha"/>
      </w:pPr>
      <w:r w:rsidRPr="00950281">
        <w:t xml:space="preserve">Expenses not requiring appropriation in the Budget year are made up of depreciation expenses, amortisation expenses, make good expenses, </w:t>
      </w:r>
      <w:r w:rsidR="00136A19">
        <w:t>and audit fees</w:t>
      </w:r>
      <w:r w:rsidRPr="00950281">
        <w:t>.</w:t>
      </w:r>
    </w:p>
    <w:p w:rsidR="00A02077" w:rsidRPr="00AE599E" w:rsidRDefault="00A02077" w:rsidP="00A02077">
      <w:pPr>
        <w:pStyle w:val="ChartandTableFootnote"/>
      </w:pPr>
      <w:r w:rsidRPr="00446612">
        <w:t>Note: Departmental appropriation splits and totals are indicative estimates and may change in the course of the budget year as government priorities change.</w:t>
      </w:r>
    </w:p>
    <w:p w:rsidR="00A02077" w:rsidRPr="00747090" w:rsidRDefault="00A02077" w:rsidP="00A02077">
      <w:pPr>
        <w:pStyle w:val="TableHeading"/>
        <w:rPr>
          <w:lang w:val="en-AU"/>
        </w:rPr>
      </w:pPr>
      <w:r>
        <w:rPr>
          <w:highlight w:val="yellow"/>
          <w:lang w:val="en-US"/>
        </w:rPr>
        <w:br w:type="page"/>
      </w:r>
      <w:r>
        <w:lastRenderedPageBreak/>
        <w:t>Table 2.</w:t>
      </w:r>
      <w:r>
        <w:rPr>
          <w:lang w:val="en-AU"/>
        </w:rPr>
        <w:t>1</w:t>
      </w:r>
      <w:r>
        <w:t>.</w:t>
      </w:r>
      <w:r>
        <w:rPr>
          <w:lang w:val="en-AU"/>
        </w:rPr>
        <w:t>2</w:t>
      </w:r>
      <w:r w:rsidRPr="00F71634">
        <w:t xml:space="preserve">: Performance criteria for Outcome </w:t>
      </w:r>
      <w:r>
        <w:rPr>
          <w:lang w:val="en-AU"/>
        </w:rPr>
        <w:t>1</w:t>
      </w:r>
    </w:p>
    <w:p w:rsidR="00A02077" w:rsidRPr="00F71634" w:rsidRDefault="00A02077" w:rsidP="00A02077">
      <w:r w:rsidRPr="00B166C6">
        <w:t>Table 2.</w:t>
      </w:r>
      <w:r>
        <w:t>1.2</w:t>
      </w:r>
      <w:r w:rsidRPr="00B166C6">
        <w:t xml:space="preserve"> below details the performance criteria for each p</w:t>
      </w:r>
      <w:r>
        <w:t>rogram associated with Outcome 1</w:t>
      </w:r>
      <w:r w:rsidRPr="00B166C6">
        <w:t>. It also summarises how each program is delivered and where 2018</w:t>
      </w:r>
      <w:r w:rsidR="00931196">
        <w:t>–</w:t>
      </w:r>
      <w:r w:rsidRPr="00B166C6">
        <w:t>19 Budget measures have created new programs or materi</w:t>
      </w:r>
      <w:r>
        <w:t>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260"/>
        <w:gridCol w:w="3205"/>
      </w:tblGrid>
      <w:tr w:rsidR="00A02077" w:rsidRPr="00F71634" w:rsidTr="00A02077">
        <w:trPr>
          <w:tblHeader/>
        </w:trPr>
        <w:tc>
          <w:tcPr>
            <w:tcW w:w="7741" w:type="dxa"/>
            <w:gridSpan w:val="3"/>
            <w:shd w:val="clear" w:color="auto" w:fill="F2F2F2"/>
          </w:tcPr>
          <w:p w:rsidR="00A02077" w:rsidRPr="006906E4" w:rsidRDefault="00A02077" w:rsidP="00A9013E">
            <w:pPr>
              <w:pStyle w:val="TableColumnHeadingLeft"/>
            </w:pPr>
            <w:r>
              <w:t xml:space="preserve">Outcome 1—Assist the prevention of exposure to asbestos fibres and the elimination of asbestos-related disease in Australia through implementing the National Strategic Plan for Asbestos Awareness </w:t>
            </w:r>
            <w:r w:rsidR="00A9013E">
              <w:t xml:space="preserve">and Management </w:t>
            </w:r>
            <w:r>
              <w:t>in Australia.</w:t>
            </w:r>
          </w:p>
        </w:tc>
      </w:tr>
      <w:tr w:rsidR="00A02077" w:rsidRPr="00F71634" w:rsidTr="00A02077">
        <w:trPr>
          <w:tblHeader/>
        </w:trPr>
        <w:tc>
          <w:tcPr>
            <w:tcW w:w="7741" w:type="dxa"/>
            <w:gridSpan w:val="3"/>
            <w:shd w:val="clear" w:color="auto" w:fill="F2F2F2"/>
          </w:tcPr>
          <w:p w:rsidR="00A02077" w:rsidRDefault="00A02077" w:rsidP="00A02077">
            <w:pPr>
              <w:pStyle w:val="TableTextLeft"/>
              <w:rPr>
                <w:rFonts w:cs="Arial"/>
                <w:b/>
                <w:szCs w:val="17"/>
              </w:rPr>
            </w:pPr>
            <w:r w:rsidRPr="006906E4">
              <w:rPr>
                <w:rFonts w:cs="Arial"/>
                <w:b/>
                <w:sz w:val="16"/>
                <w:szCs w:val="16"/>
              </w:rPr>
              <w:t xml:space="preserve">Program </w:t>
            </w:r>
            <w:r>
              <w:rPr>
                <w:rFonts w:cs="Arial"/>
                <w:b/>
                <w:sz w:val="16"/>
                <w:szCs w:val="16"/>
              </w:rPr>
              <w:t>1</w:t>
            </w:r>
            <w:r w:rsidRPr="006906E4">
              <w:rPr>
                <w:rFonts w:cs="Arial"/>
                <w:b/>
                <w:sz w:val="16"/>
                <w:szCs w:val="16"/>
              </w:rPr>
              <w:t>.1</w:t>
            </w:r>
            <w:r>
              <w:rPr>
                <w:rFonts w:cs="Arial"/>
                <w:sz w:val="16"/>
                <w:szCs w:val="16"/>
              </w:rPr>
              <w:t>—</w:t>
            </w:r>
            <w:r>
              <w:rPr>
                <w:rFonts w:cs="Arial"/>
                <w:b/>
                <w:szCs w:val="17"/>
              </w:rPr>
              <w:t>Asbestos Safety and Eradication Agency</w:t>
            </w:r>
          </w:p>
          <w:p w:rsidR="00A02077" w:rsidRPr="006906E4" w:rsidRDefault="00A02077" w:rsidP="00A02077">
            <w:pPr>
              <w:pStyle w:val="TableTextLeft"/>
              <w:rPr>
                <w:rFonts w:cs="Arial"/>
                <w:sz w:val="16"/>
                <w:szCs w:val="16"/>
              </w:rPr>
            </w:pPr>
            <w:r>
              <w:rPr>
                <w:rStyle w:val="TableTextLeftChar"/>
                <w:szCs w:val="17"/>
              </w:rPr>
              <w:t>The Asbestos Safety and Eradication Agency delivers Outcome 1 through administering the National Strategic Plan. To meet this objective, the agency commissions, monitors and promotes research about asbestos safety, works collaboratively with regulators, industry, agencies and other bodies across workplace, environment, public health, planning and building sectors, as well as the community, to improve awareness of asbestos safety</w:t>
            </w:r>
            <w:r>
              <w:rPr>
                <w:rFonts w:cs="Arial"/>
              </w:rPr>
              <w:t>.</w:t>
            </w:r>
          </w:p>
        </w:tc>
      </w:tr>
      <w:tr w:rsidR="00A02077" w:rsidRPr="00F71634" w:rsidTr="00A02077">
        <w:tc>
          <w:tcPr>
            <w:tcW w:w="1276" w:type="dxa"/>
          </w:tcPr>
          <w:p w:rsidR="00A02077" w:rsidRPr="006906E4" w:rsidRDefault="00737870" w:rsidP="00A02077">
            <w:pPr>
              <w:tabs>
                <w:tab w:val="left" w:pos="709"/>
              </w:tabs>
              <w:spacing w:before="60" w:after="60" w:line="240" w:lineRule="auto"/>
              <w:rPr>
                <w:rFonts w:ascii="Arial" w:hAnsi="Arial" w:cs="Arial"/>
                <w:b/>
                <w:sz w:val="16"/>
                <w:szCs w:val="16"/>
              </w:rPr>
            </w:pPr>
            <w:r>
              <w:rPr>
                <w:rFonts w:ascii="Arial" w:hAnsi="Arial" w:cs="Arial"/>
                <w:b/>
                <w:sz w:val="16"/>
                <w:szCs w:val="16"/>
              </w:rPr>
              <w:t>Purpose</w:t>
            </w:r>
            <w:r w:rsidR="00A02077" w:rsidRPr="006906E4">
              <w:rPr>
                <w:rFonts w:ascii="Arial" w:hAnsi="Arial" w:cs="Arial"/>
                <w:b/>
                <w:sz w:val="16"/>
                <w:szCs w:val="16"/>
              </w:rPr>
              <w:t xml:space="preserve"> </w:t>
            </w:r>
          </w:p>
        </w:tc>
        <w:tc>
          <w:tcPr>
            <w:tcW w:w="6465" w:type="dxa"/>
            <w:gridSpan w:val="2"/>
          </w:tcPr>
          <w:p w:rsidR="00A02077" w:rsidRPr="006906E4" w:rsidRDefault="00A02077" w:rsidP="00A02077">
            <w:pPr>
              <w:pStyle w:val="TableTextLeft"/>
              <w:rPr>
                <w:rFonts w:cs="Arial"/>
                <w:i/>
                <w:color w:val="FF0000"/>
                <w:sz w:val="16"/>
                <w:szCs w:val="16"/>
              </w:rPr>
            </w:pPr>
            <w:r>
              <w:t>The Asbestos Safety and Eradication Agency’s purpose is to facilitate the prevention of exposure to asbestos fibres in order to eliminate asbestos-related disease in Australia. This is achieved through the National Strategic Plan for Asbestos Management and Awareness.</w:t>
            </w:r>
          </w:p>
        </w:tc>
      </w:tr>
      <w:tr w:rsidR="00A02077" w:rsidRPr="00F71634" w:rsidTr="00A02077">
        <w:tc>
          <w:tcPr>
            <w:tcW w:w="1276" w:type="dxa"/>
            <w:tcBorders>
              <w:bottom w:val="double" w:sz="4" w:space="0" w:color="auto"/>
            </w:tcBorders>
          </w:tcPr>
          <w:p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A02077" w:rsidRDefault="00A02077" w:rsidP="00A02077">
            <w:pPr>
              <w:pStyle w:val="TableTextLeft"/>
            </w:pPr>
            <w:r>
              <w:t>The deliverables for the Asbestos Safety and Eradication Agency, through the coordination of the implementation of the NSP, include:</w:t>
            </w:r>
          </w:p>
          <w:p w:rsidR="00A02077" w:rsidRPr="001C6D8C" w:rsidRDefault="00A02077" w:rsidP="00A02077">
            <w:pPr>
              <w:pStyle w:val="TableTextNumbered"/>
              <w:tabs>
                <w:tab w:val="clear" w:pos="360"/>
              </w:tabs>
              <w:ind w:left="360" w:hanging="360"/>
            </w:pPr>
            <w:r w:rsidRPr="001C6D8C">
              <w:t>Awareness: Increase public awareness of the health risks posed by working wi</w:t>
            </w:r>
            <w:r w:rsidR="00985AAE">
              <w:t>th or being exposed to asbestos</w:t>
            </w:r>
          </w:p>
          <w:p w:rsidR="00A02077" w:rsidRPr="001C6D8C" w:rsidRDefault="00A02077" w:rsidP="00A02077">
            <w:pPr>
              <w:pStyle w:val="TableTextNumbered"/>
              <w:tabs>
                <w:tab w:val="clear" w:pos="360"/>
              </w:tabs>
              <w:ind w:left="360" w:hanging="360"/>
            </w:pPr>
            <w:r w:rsidRPr="001C6D8C">
              <w:t>Best practice: Identify and share best practice in asbestos management, education,</w:t>
            </w:r>
            <w:r w:rsidR="00985AAE">
              <w:t xml:space="preserve"> handling, storage and disposal</w:t>
            </w:r>
          </w:p>
          <w:p w:rsidR="00A02077" w:rsidRPr="001C6D8C" w:rsidRDefault="00A02077" w:rsidP="00A02077">
            <w:pPr>
              <w:pStyle w:val="TableTextNumbered"/>
              <w:tabs>
                <w:tab w:val="clear" w:pos="360"/>
              </w:tabs>
              <w:ind w:left="360" w:hanging="360"/>
            </w:pPr>
            <w:r w:rsidRPr="001C6D8C">
              <w:t>Identification: Improve the identification and grading of asbestos and sharing of information regarding the location of asbestos-containing materials (ACMs)</w:t>
            </w:r>
          </w:p>
          <w:p w:rsidR="00A02077" w:rsidRPr="001C6D8C" w:rsidRDefault="00A02077" w:rsidP="00A02077">
            <w:pPr>
              <w:pStyle w:val="TableTextNumbered"/>
              <w:tabs>
                <w:tab w:val="clear" w:pos="360"/>
              </w:tabs>
              <w:ind w:left="360" w:hanging="360"/>
            </w:pPr>
            <w:r w:rsidRPr="001C6D8C">
              <w:t>Removal: Identify priority areas where ACMs present a risk, the barriers to the safe removal of asbestos and review management and removal infrastructure to estimate the capacity and rate f</w:t>
            </w:r>
            <w:r w:rsidR="00985AAE">
              <w:t>or the safe removal of asbestos</w:t>
            </w:r>
          </w:p>
          <w:p w:rsidR="00A02077" w:rsidRPr="001C6D8C" w:rsidRDefault="00A02077" w:rsidP="00A02077">
            <w:pPr>
              <w:pStyle w:val="TableTextNumbered"/>
              <w:tabs>
                <w:tab w:val="clear" w:pos="360"/>
              </w:tabs>
              <w:ind w:left="360" w:hanging="360"/>
            </w:pPr>
            <w:r w:rsidRPr="001C6D8C">
              <w:t>Research: Commission, monitor and promote research into asbestos exposure pathways, prevention and asbestos-related d</w:t>
            </w:r>
            <w:r w:rsidR="00985AAE">
              <w:t>isease to inform policy options, and</w:t>
            </w:r>
          </w:p>
          <w:p w:rsidR="00A02077" w:rsidRPr="001C6D8C" w:rsidRDefault="00A02077" w:rsidP="00A02077">
            <w:pPr>
              <w:pStyle w:val="TableTextNumbered"/>
              <w:tabs>
                <w:tab w:val="clear" w:pos="360"/>
              </w:tabs>
              <w:ind w:left="360" w:hanging="360"/>
              <w:rPr>
                <w:i/>
                <w:color w:val="FF0000"/>
                <w:szCs w:val="16"/>
              </w:rPr>
            </w:pPr>
            <w:r>
              <w:t>International leadership: Australia to continue to play a leadership role in a global campaign for a worldwide asbestos ban.</w:t>
            </w:r>
          </w:p>
        </w:tc>
      </w:tr>
      <w:tr w:rsidR="00A02077" w:rsidRPr="00F71634" w:rsidTr="00A02077">
        <w:tc>
          <w:tcPr>
            <w:tcW w:w="7741" w:type="dxa"/>
            <w:gridSpan w:val="3"/>
            <w:tcBorders>
              <w:top w:val="double" w:sz="4" w:space="0" w:color="auto"/>
              <w:bottom w:val="double" w:sz="4" w:space="0" w:color="auto"/>
            </w:tcBorders>
          </w:tcPr>
          <w:p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A02077" w:rsidRPr="00F71634" w:rsidTr="00A02077">
        <w:tc>
          <w:tcPr>
            <w:tcW w:w="1276" w:type="dxa"/>
            <w:tcBorders>
              <w:top w:val="double" w:sz="4" w:space="0" w:color="auto"/>
              <w:bottom w:val="single" w:sz="4" w:space="0" w:color="auto"/>
              <w:right w:val="single" w:sz="4" w:space="0" w:color="auto"/>
            </w:tcBorders>
          </w:tcPr>
          <w:p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260" w:type="dxa"/>
            <w:tcBorders>
              <w:top w:val="double" w:sz="4" w:space="0" w:color="auto"/>
              <w:left w:val="single" w:sz="4" w:space="0" w:color="auto"/>
              <w:bottom w:val="single" w:sz="4" w:space="0" w:color="auto"/>
              <w:right w:val="single" w:sz="4" w:space="0" w:color="auto"/>
            </w:tcBorders>
          </w:tcPr>
          <w:p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Pr>
                <w:rFonts w:ascii="Arial" w:hAnsi="Arial" w:cs="Arial"/>
                <w:sz w:val="16"/>
                <w:szCs w:val="16"/>
              </w:rPr>
              <w:t xml:space="preserve"> </w:t>
            </w:r>
          </w:p>
        </w:tc>
        <w:tc>
          <w:tcPr>
            <w:tcW w:w="3205" w:type="dxa"/>
            <w:tcBorders>
              <w:top w:val="double" w:sz="4" w:space="0" w:color="auto"/>
              <w:left w:val="single" w:sz="4" w:space="0" w:color="auto"/>
              <w:bottom w:val="single" w:sz="4" w:space="0" w:color="auto"/>
            </w:tcBorders>
          </w:tcPr>
          <w:p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A02077" w:rsidRPr="00F71634" w:rsidTr="00A02077">
        <w:trPr>
          <w:trHeight w:val="60"/>
        </w:trPr>
        <w:tc>
          <w:tcPr>
            <w:tcW w:w="1276" w:type="dxa"/>
            <w:tcBorders>
              <w:top w:val="single" w:sz="4" w:space="0" w:color="auto"/>
              <w:bottom w:val="nil"/>
              <w:right w:val="single" w:sz="4" w:space="0" w:color="auto"/>
            </w:tcBorders>
          </w:tcPr>
          <w:p w:rsidR="00A02077" w:rsidRPr="006906E4" w:rsidRDefault="00A02077" w:rsidP="00A02077">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260" w:type="dxa"/>
            <w:tcBorders>
              <w:top w:val="single" w:sz="4" w:space="0" w:color="auto"/>
              <w:left w:val="single" w:sz="4" w:space="0" w:color="auto"/>
              <w:bottom w:val="dotted" w:sz="4" w:space="0" w:color="auto"/>
              <w:right w:val="single" w:sz="4" w:space="0" w:color="auto"/>
            </w:tcBorders>
          </w:tcPr>
          <w:p w:rsidR="00A02077" w:rsidRDefault="00A02077" w:rsidP="00A02077">
            <w:pPr>
              <w:pStyle w:val="TableTextLeft"/>
              <w:rPr>
                <w:rFonts w:eastAsia="Cambria" w:cs="Arial"/>
                <w:szCs w:val="17"/>
                <w:lang w:eastAsia="en-US"/>
              </w:rPr>
            </w:pPr>
            <w:r>
              <w:rPr>
                <w:rFonts w:eastAsia="Cambria" w:cs="Arial"/>
                <w:szCs w:val="17"/>
                <w:lang w:eastAsia="en-US"/>
              </w:rPr>
              <w:t xml:space="preserve">Increase public </w:t>
            </w:r>
            <w:r w:rsidR="00747FC3">
              <w:rPr>
                <w:rFonts w:eastAsia="Cambria" w:cs="Arial"/>
                <w:szCs w:val="17"/>
                <w:lang w:eastAsia="en-US"/>
              </w:rPr>
              <w:t>awareness about asbestos safety</w:t>
            </w:r>
          </w:p>
          <w:p w:rsidR="00A02077" w:rsidRPr="001C6D8C" w:rsidRDefault="00A02077" w:rsidP="00A02077">
            <w:pPr>
              <w:pStyle w:val="TableTextLeft"/>
              <w:spacing w:before="240"/>
              <w:rPr>
                <w:rFonts w:eastAsia="Cambria" w:cs="Arial"/>
                <w:szCs w:val="17"/>
                <w:lang w:eastAsia="en-US"/>
              </w:rPr>
            </w:pPr>
            <w:r>
              <w:rPr>
                <w:rFonts w:eastAsia="Cambria" w:cs="Arial"/>
                <w:szCs w:val="17"/>
                <w:lang w:eastAsia="en-US"/>
              </w:rPr>
              <w:t>Effectively coordinate national issues that relate to the NSP and asb</w:t>
            </w:r>
            <w:r w:rsidR="00747FC3">
              <w:rPr>
                <w:rFonts w:eastAsia="Cambria" w:cs="Arial"/>
                <w:szCs w:val="17"/>
                <w:lang w:eastAsia="en-US"/>
              </w:rPr>
              <w:t>estos safety issues</w:t>
            </w:r>
          </w:p>
        </w:tc>
        <w:tc>
          <w:tcPr>
            <w:tcW w:w="3205" w:type="dxa"/>
            <w:tcBorders>
              <w:top w:val="single" w:sz="4" w:space="0" w:color="auto"/>
              <w:left w:val="single" w:sz="4" w:space="0" w:color="auto"/>
              <w:bottom w:val="dotted" w:sz="4" w:space="0" w:color="auto"/>
            </w:tcBorders>
          </w:tcPr>
          <w:p w:rsidR="00A02077" w:rsidRDefault="00A02077" w:rsidP="00A02077">
            <w:pPr>
              <w:pStyle w:val="TableTextLeft"/>
              <w:rPr>
                <w:rFonts w:eastAsia="Cambria" w:cs="Arial"/>
                <w:szCs w:val="17"/>
                <w:lang w:eastAsia="en-US"/>
              </w:rPr>
            </w:pPr>
            <w:r>
              <w:rPr>
                <w:rFonts w:eastAsia="Cambria" w:cs="Arial"/>
                <w:szCs w:val="17"/>
                <w:lang w:eastAsia="en-US"/>
              </w:rPr>
              <w:t>Increase in awareness, coordination and evidence demonstrating progress in relation to the NSP and reduc</w:t>
            </w:r>
            <w:r w:rsidR="00747FC3">
              <w:rPr>
                <w:rFonts w:eastAsia="Cambria" w:cs="Arial"/>
                <w:szCs w:val="17"/>
                <w:lang w:eastAsia="en-US"/>
              </w:rPr>
              <w:t>tion in asbestos exposure risks</w:t>
            </w:r>
            <w:r>
              <w:rPr>
                <w:rFonts w:eastAsia="Cambria" w:cs="Arial"/>
                <w:szCs w:val="17"/>
                <w:lang w:eastAsia="en-US"/>
              </w:rPr>
              <w:t xml:space="preserve"> </w:t>
            </w:r>
          </w:p>
          <w:p w:rsidR="00A02077" w:rsidRPr="001C6D8C" w:rsidRDefault="00A02077" w:rsidP="00A02077">
            <w:pPr>
              <w:pStyle w:val="TableTextLeft"/>
              <w:rPr>
                <w:rFonts w:eastAsia="Cambria" w:cs="Arial"/>
                <w:b/>
                <w:szCs w:val="17"/>
                <w:lang w:eastAsia="en-US"/>
              </w:rPr>
            </w:pPr>
            <w:r>
              <w:rPr>
                <w:rFonts w:eastAsia="Cambria" w:cs="Arial"/>
                <w:b/>
                <w:szCs w:val="17"/>
                <w:lang w:eastAsia="en-US"/>
              </w:rPr>
              <w:t xml:space="preserve">Assessment: </w:t>
            </w:r>
            <w:r w:rsidRPr="00747FC3">
              <w:rPr>
                <w:rFonts w:eastAsia="Cambria" w:cs="Arial"/>
                <w:szCs w:val="17"/>
                <w:lang w:eastAsia="en-US"/>
              </w:rPr>
              <w:t>On track</w:t>
            </w:r>
            <w:r>
              <w:rPr>
                <w:rFonts w:eastAsia="Cambria" w:cs="Arial"/>
                <w:b/>
                <w:szCs w:val="17"/>
                <w:lang w:eastAsia="en-US"/>
              </w:rPr>
              <w:t xml:space="preserve"> </w:t>
            </w:r>
          </w:p>
        </w:tc>
      </w:tr>
      <w:tr w:rsidR="00A02077" w:rsidRPr="00F71634" w:rsidTr="00A02077">
        <w:trPr>
          <w:trHeight w:val="60"/>
        </w:trPr>
        <w:tc>
          <w:tcPr>
            <w:tcW w:w="1276" w:type="dxa"/>
            <w:tcBorders>
              <w:top w:val="nil"/>
              <w:bottom w:val="single" w:sz="4" w:space="0" w:color="auto"/>
              <w:right w:val="single" w:sz="4" w:space="0" w:color="auto"/>
            </w:tcBorders>
          </w:tcPr>
          <w:p w:rsidR="00A02077" w:rsidRDefault="00A02077" w:rsidP="00A02077">
            <w:pPr>
              <w:tabs>
                <w:tab w:val="left" w:pos="709"/>
              </w:tabs>
              <w:spacing w:before="60" w:after="60" w:line="240" w:lineRule="auto"/>
              <w:rPr>
                <w:rFonts w:ascii="Arial" w:hAnsi="Arial" w:cs="Arial"/>
                <w:sz w:val="16"/>
                <w:szCs w:val="16"/>
              </w:rPr>
            </w:pPr>
          </w:p>
        </w:tc>
        <w:tc>
          <w:tcPr>
            <w:tcW w:w="3260" w:type="dxa"/>
            <w:tcBorders>
              <w:top w:val="dotted" w:sz="4" w:space="0" w:color="auto"/>
              <w:left w:val="single" w:sz="4" w:space="0" w:color="auto"/>
              <w:bottom w:val="single" w:sz="4" w:space="0" w:color="auto"/>
              <w:right w:val="single" w:sz="4" w:space="0" w:color="auto"/>
            </w:tcBorders>
          </w:tcPr>
          <w:p w:rsidR="00A02077" w:rsidRPr="006906E4" w:rsidRDefault="00A02077" w:rsidP="00747FC3">
            <w:pPr>
              <w:pStyle w:val="TableTextLeft"/>
              <w:rPr>
                <w:rFonts w:cs="Arial"/>
                <w:i/>
                <w:color w:val="FF0000"/>
                <w:sz w:val="16"/>
                <w:szCs w:val="16"/>
              </w:rPr>
            </w:pPr>
            <w:r>
              <w:rPr>
                <w:rFonts w:eastAsia="Cambria"/>
                <w:lang w:eastAsia="en-US"/>
              </w:rPr>
              <w:t>Identify targeted and practical initiatives to reduce the risks of asbestos-related disease in Australia</w:t>
            </w:r>
          </w:p>
        </w:tc>
        <w:tc>
          <w:tcPr>
            <w:tcW w:w="3205" w:type="dxa"/>
            <w:tcBorders>
              <w:top w:val="dotted" w:sz="4" w:space="0" w:color="auto"/>
              <w:left w:val="single" w:sz="4" w:space="0" w:color="auto"/>
              <w:bottom w:val="single" w:sz="4" w:space="0" w:color="auto"/>
            </w:tcBorders>
          </w:tcPr>
          <w:p w:rsidR="00A02077" w:rsidRDefault="00A02077" w:rsidP="00A02077">
            <w:pPr>
              <w:pStyle w:val="TableTextLeft"/>
              <w:rPr>
                <w:rFonts w:eastAsia="Cambria"/>
                <w:szCs w:val="17"/>
                <w:lang w:eastAsia="en-US"/>
              </w:rPr>
            </w:pPr>
            <w:r>
              <w:rPr>
                <w:rFonts w:eastAsia="Cambria" w:cs="Arial"/>
                <w:szCs w:val="17"/>
                <w:lang w:eastAsia="en-US"/>
              </w:rPr>
              <w:t xml:space="preserve">Demonstrated </w:t>
            </w:r>
            <w:r>
              <w:rPr>
                <w:rFonts w:eastAsia="Cambria"/>
                <w:szCs w:val="17"/>
                <w:lang w:eastAsia="en-US"/>
              </w:rPr>
              <w:t>by development of resources</w:t>
            </w:r>
            <w:r w:rsidR="00C152B0">
              <w:rPr>
                <w:rFonts w:eastAsia="Cambria"/>
                <w:szCs w:val="17"/>
                <w:lang w:eastAsia="en-US"/>
              </w:rPr>
              <w:t>,</w:t>
            </w:r>
            <w:r>
              <w:rPr>
                <w:rFonts w:eastAsia="Cambria"/>
                <w:szCs w:val="17"/>
                <w:lang w:eastAsia="en-US"/>
              </w:rPr>
              <w:t xml:space="preserve"> delivery of events</w:t>
            </w:r>
            <w:r w:rsidR="00C152B0">
              <w:rPr>
                <w:rFonts w:eastAsia="Cambria"/>
                <w:szCs w:val="17"/>
                <w:lang w:eastAsia="en-US"/>
              </w:rPr>
              <w:t>,</w:t>
            </w:r>
            <w:r>
              <w:rPr>
                <w:rFonts w:eastAsia="Cambria"/>
                <w:szCs w:val="17"/>
                <w:lang w:eastAsia="en-US"/>
              </w:rPr>
              <w:t xml:space="preserve"> progress tracking of NSP, including publishing the annual NSP progress report</w:t>
            </w:r>
            <w:r w:rsidR="00C152B0">
              <w:rPr>
                <w:rFonts w:eastAsia="Cambria"/>
                <w:szCs w:val="17"/>
                <w:lang w:eastAsia="en-US"/>
              </w:rPr>
              <w:t>,</w:t>
            </w:r>
            <w:r>
              <w:rPr>
                <w:rFonts w:eastAsia="Cambria"/>
                <w:szCs w:val="17"/>
                <w:lang w:eastAsia="en-US"/>
              </w:rPr>
              <w:t xml:space="preserve"> and supporting the Asbestos Safety a</w:t>
            </w:r>
            <w:r w:rsidR="00747FC3">
              <w:rPr>
                <w:rFonts w:eastAsia="Cambria"/>
                <w:szCs w:val="17"/>
                <w:lang w:eastAsia="en-US"/>
              </w:rPr>
              <w:t>nd Eradication Council meetings</w:t>
            </w:r>
            <w:r>
              <w:rPr>
                <w:rFonts w:eastAsia="Cambria"/>
                <w:szCs w:val="17"/>
                <w:lang w:eastAsia="en-US"/>
              </w:rPr>
              <w:t xml:space="preserve"> </w:t>
            </w:r>
          </w:p>
          <w:p w:rsidR="00A02077" w:rsidRPr="001C6D8C" w:rsidRDefault="00A02077" w:rsidP="00A02077">
            <w:pPr>
              <w:pStyle w:val="TableTextLeft"/>
              <w:rPr>
                <w:rFonts w:eastAsia="Cambria" w:cs="Arial"/>
                <w:b/>
                <w:szCs w:val="17"/>
                <w:lang w:eastAsia="en-US"/>
              </w:rPr>
            </w:pPr>
            <w:r>
              <w:rPr>
                <w:rFonts w:eastAsia="Cambria" w:cs="Arial"/>
                <w:b/>
                <w:szCs w:val="17"/>
                <w:lang w:eastAsia="en-US"/>
              </w:rPr>
              <w:t xml:space="preserve">Assessment: </w:t>
            </w:r>
            <w:r w:rsidRPr="00747FC3">
              <w:rPr>
                <w:rFonts w:eastAsia="Cambria" w:cs="Arial"/>
                <w:szCs w:val="17"/>
                <w:lang w:eastAsia="en-US"/>
              </w:rPr>
              <w:t>On track</w:t>
            </w:r>
            <w:r>
              <w:rPr>
                <w:rFonts w:eastAsia="Cambria" w:cs="Arial"/>
                <w:b/>
                <w:szCs w:val="17"/>
                <w:lang w:eastAsia="en-US"/>
              </w:rPr>
              <w:t xml:space="preserve"> </w:t>
            </w:r>
          </w:p>
        </w:tc>
      </w:tr>
      <w:tr w:rsidR="00A02077" w:rsidRPr="00F71634" w:rsidTr="00A02077">
        <w:tc>
          <w:tcPr>
            <w:tcW w:w="1276" w:type="dxa"/>
            <w:tcBorders>
              <w:top w:val="single" w:sz="4" w:space="0" w:color="auto"/>
              <w:bottom w:val="single" w:sz="4" w:space="0" w:color="auto"/>
              <w:right w:val="single" w:sz="4" w:space="0" w:color="auto"/>
            </w:tcBorders>
          </w:tcPr>
          <w:p w:rsidR="00A02077" w:rsidRPr="006906E4" w:rsidRDefault="00A02077" w:rsidP="00A02077">
            <w:pPr>
              <w:tabs>
                <w:tab w:val="left" w:pos="709"/>
              </w:tabs>
              <w:spacing w:before="60" w:after="60" w:line="240" w:lineRule="auto"/>
              <w:rPr>
                <w:rFonts w:ascii="Arial" w:hAnsi="Arial" w:cs="Arial"/>
                <w:sz w:val="16"/>
                <w:szCs w:val="16"/>
              </w:rPr>
            </w:pPr>
            <w:r>
              <w:rPr>
                <w:rFonts w:ascii="Arial" w:hAnsi="Arial" w:cs="Arial"/>
                <w:sz w:val="16"/>
                <w:szCs w:val="16"/>
              </w:rPr>
              <w:lastRenderedPageBreak/>
              <w:t>2018–19</w:t>
            </w:r>
          </w:p>
        </w:tc>
        <w:tc>
          <w:tcPr>
            <w:tcW w:w="3260" w:type="dxa"/>
            <w:tcBorders>
              <w:top w:val="single" w:sz="4" w:space="0" w:color="auto"/>
              <w:left w:val="single" w:sz="4" w:space="0" w:color="auto"/>
              <w:bottom w:val="single" w:sz="4" w:space="0" w:color="auto"/>
              <w:right w:val="single" w:sz="4" w:space="0" w:color="auto"/>
            </w:tcBorders>
          </w:tcPr>
          <w:p w:rsidR="00A02077" w:rsidRPr="006906E4" w:rsidRDefault="00A02077" w:rsidP="00A02077">
            <w:pPr>
              <w:pStyle w:val="TableTextLeft"/>
              <w:rPr>
                <w:rFonts w:cs="Arial"/>
                <w:i/>
                <w:color w:val="FF0000"/>
                <w:sz w:val="16"/>
                <w:szCs w:val="16"/>
              </w:rPr>
            </w:pPr>
            <w:r>
              <w:t>As per 2017–18</w:t>
            </w:r>
            <w:r w:rsidR="007B5F81">
              <w:t>,</w:t>
            </w:r>
            <w:r>
              <w:t xml:space="preserve"> and coordinate the development</w:t>
            </w:r>
            <w:r w:rsidR="00747FC3">
              <w:t xml:space="preserve"> of the second phase of the NSP</w:t>
            </w:r>
          </w:p>
        </w:tc>
        <w:tc>
          <w:tcPr>
            <w:tcW w:w="3205" w:type="dxa"/>
            <w:tcBorders>
              <w:top w:val="single" w:sz="4" w:space="0" w:color="auto"/>
              <w:left w:val="single" w:sz="4" w:space="0" w:color="auto"/>
              <w:bottom w:val="single" w:sz="4" w:space="0" w:color="auto"/>
            </w:tcBorders>
          </w:tcPr>
          <w:p w:rsidR="00A02077" w:rsidRPr="006906E4" w:rsidRDefault="00A02077" w:rsidP="00A02077">
            <w:pPr>
              <w:pStyle w:val="TableTextLeft"/>
              <w:rPr>
                <w:rFonts w:cs="Arial"/>
                <w:i/>
                <w:color w:val="FF0000"/>
                <w:sz w:val="16"/>
                <w:szCs w:val="16"/>
              </w:rPr>
            </w:pPr>
            <w:r>
              <w:rPr>
                <w:szCs w:val="17"/>
              </w:rPr>
              <w:t>As per 2017–18</w:t>
            </w:r>
            <w:r w:rsidR="007B5F81">
              <w:rPr>
                <w:szCs w:val="17"/>
              </w:rPr>
              <w:t>,</w:t>
            </w:r>
            <w:r>
              <w:rPr>
                <w:szCs w:val="17"/>
              </w:rPr>
              <w:t xml:space="preserve"> and </w:t>
            </w:r>
            <w:r w:rsidR="007B5F81">
              <w:rPr>
                <w:szCs w:val="17"/>
              </w:rPr>
              <w:t xml:space="preserve">the </w:t>
            </w:r>
            <w:r>
              <w:rPr>
                <w:szCs w:val="17"/>
              </w:rPr>
              <w:t>outcomes of the first phase of the plan inf</w:t>
            </w:r>
            <w:r w:rsidR="00747FC3">
              <w:rPr>
                <w:szCs w:val="17"/>
              </w:rPr>
              <w:t>orm the second phase of the NSP</w:t>
            </w:r>
          </w:p>
        </w:tc>
      </w:tr>
      <w:tr w:rsidR="00A02077" w:rsidRPr="00F71634" w:rsidTr="00A02077">
        <w:tc>
          <w:tcPr>
            <w:tcW w:w="1276" w:type="dxa"/>
            <w:tcBorders>
              <w:top w:val="single" w:sz="4" w:space="0" w:color="auto"/>
              <w:right w:val="single" w:sz="4" w:space="0" w:color="auto"/>
            </w:tcBorders>
          </w:tcPr>
          <w:p w:rsidR="00A02077" w:rsidRPr="006906E4" w:rsidRDefault="00A02077" w:rsidP="00A02077">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260" w:type="dxa"/>
            <w:tcBorders>
              <w:top w:val="single" w:sz="4" w:space="0" w:color="auto"/>
              <w:left w:val="single" w:sz="4" w:space="0" w:color="auto"/>
              <w:right w:val="single" w:sz="4" w:space="0" w:color="auto"/>
            </w:tcBorders>
          </w:tcPr>
          <w:p w:rsidR="00A02077" w:rsidRPr="001C6D8C" w:rsidRDefault="00A02077" w:rsidP="00BE1D7C">
            <w:pPr>
              <w:pStyle w:val="TableTextLeft"/>
            </w:pPr>
            <w:r w:rsidRPr="001C6D8C">
              <w:t xml:space="preserve">Administer the next phase of the NSP and contribute to </w:t>
            </w:r>
            <w:r w:rsidR="00BE1D7C">
              <w:t xml:space="preserve">the </w:t>
            </w:r>
            <w:r w:rsidRPr="001C6D8C">
              <w:t>eliminat</w:t>
            </w:r>
            <w:r w:rsidR="00BE1D7C">
              <w:t>ion of</w:t>
            </w:r>
            <w:r w:rsidRPr="001C6D8C">
              <w:t xml:space="preserve"> exposure to asbestos fibres in order to eliminate asbestos-related disease </w:t>
            </w:r>
          </w:p>
        </w:tc>
        <w:tc>
          <w:tcPr>
            <w:tcW w:w="3205" w:type="dxa"/>
            <w:tcBorders>
              <w:top w:val="single" w:sz="4" w:space="0" w:color="auto"/>
              <w:left w:val="single" w:sz="4" w:space="0" w:color="auto"/>
            </w:tcBorders>
          </w:tcPr>
          <w:p w:rsidR="00A02077" w:rsidRPr="001C6D8C" w:rsidRDefault="00A02077" w:rsidP="00A02077">
            <w:pPr>
              <w:pStyle w:val="TableTextLeft"/>
            </w:pPr>
            <w:r w:rsidRPr="001C6D8C">
              <w:t>ASEA effectively encourages and supports the next phase of the NSP with research, reporting, coo</w:t>
            </w:r>
            <w:r w:rsidR="00747FC3">
              <w:t>rdination evaluation and advice</w:t>
            </w:r>
            <w:r w:rsidRPr="001C6D8C">
              <w:t xml:space="preserve"> </w:t>
            </w:r>
          </w:p>
        </w:tc>
      </w:tr>
      <w:tr w:rsidR="00A02077" w:rsidRPr="00F71634" w:rsidTr="00A02077">
        <w:tc>
          <w:tcPr>
            <w:tcW w:w="7741" w:type="dxa"/>
            <w:gridSpan w:val="3"/>
          </w:tcPr>
          <w:p w:rsidR="00A02077" w:rsidRDefault="00A02077" w:rsidP="00A02077">
            <w:pPr>
              <w:spacing w:after="120"/>
              <w:rPr>
                <w:rStyle w:val="BodyTextChar"/>
                <w:rFonts w:ascii="Arial" w:hAnsi="Arial" w:cs="Arial"/>
                <w:b/>
                <w:bCs/>
                <w:iCs/>
                <w:spacing w:val="-6"/>
                <w:sz w:val="16"/>
                <w:szCs w:val="16"/>
              </w:rPr>
            </w:pPr>
            <w:r>
              <w:rPr>
                <w:rStyle w:val="BodyTextChar"/>
                <w:rFonts w:ascii="Arial" w:hAnsi="Arial" w:cs="Arial"/>
                <w:b/>
                <w:bCs/>
                <w:iCs/>
                <w:spacing w:val="-6"/>
                <w:sz w:val="16"/>
                <w:szCs w:val="16"/>
              </w:rPr>
              <w:t>Material changes to Program 1</w:t>
            </w:r>
            <w:r w:rsidRPr="006906E4">
              <w:rPr>
                <w:rStyle w:val="BodyTextChar"/>
                <w:rFonts w:ascii="Arial" w:hAnsi="Arial" w:cs="Arial"/>
                <w:b/>
                <w:bCs/>
                <w:iCs/>
                <w:spacing w:val="-6"/>
                <w:sz w:val="16"/>
                <w:szCs w:val="16"/>
              </w:rPr>
              <w:t>.1 resulting from the following measures:</w:t>
            </w:r>
          </w:p>
          <w:p w:rsidR="00A02077" w:rsidRPr="001C6D8C" w:rsidRDefault="00A02077" w:rsidP="00A02077">
            <w:pPr>
              <w:pStyle w:val="TableTextLeft"/>
              <w:rPr>
                <w:rFonts w:eastAsia="Cambria"/>
              </w:rPr>
            </w:pPr>
            <w:r w:rsidRPr="001C6D8C">
              <w:rPr>
                <w:rStyle w:val="BodyTextChar"/>
                <w:rFonts w:ascii="Arial" w:hAnsi="Arial"/>
                <w:sz w:val="17"/>
                <w:szCs w:val="20"/>
                <w:lang w:eastAsia="en-AU"/>
              </w:rPr>
              <w:t>Nil</w:t>
            </w:r>
          </w:p>
        </w:tc>
      </w:tr>
    </w:tbl>
    <w:p w:rsidR="00A02077" w:rsidRPr="00AD42E2" w:rsidRDefault="00A02077" w:rsidP="00A02077">
      <w:pPr>
        <w:pStyle w:val="Heading2"/>
      </w:pPr>
      <w:r w:rsidRPr="00C3303C">
        <w:rPr>
          <w:rFonts w:ascii="Book Antiqua" w:hAnsi="Book Antiqua"/>
          <w:i/>
          <w:color w:val="FF0000"/>
          <w:sz w:val="20"/>
        </w:rPr>
        <w:br w:type="page"/>
      </w:r>
      <w:bookmarkStart w:id="181" w:name="_Toc511656260"/>
      <w:bookmarkStart w:id="182" w:name="_Toc511722633"/>
      <w:bookmarkStart w:id="183" w:name="_Toc511736964"/>
      <w:bookmarkStart w:id="184" w:name="_Toc511747226"/>
      <w:bookmarkStart w:id="185" w:name="_Toc511765629"/>
      <w:bookmarkStart w:id="186" w:name="_Toc511828685"/>
      <w:bookmarkStart w:id="187" w:name="_Toc511836824"/>
      <w:bookmarkStart w:id="188" w:name="_Toc511902530"/>
      <w:r w:rsidRPr="00AD42E2">
        <w:lastRenderedPageBreak/>
        <w:t>Section 3: Budgeted financial statements</w:t>
      </w:r>
      <w:bookmarkEnd w:id="181"/>
      <w:bookmarkEnd w:id="182"/>
      <w:bookmarkEnd w:id="183"/>
      <w:bookmarkEnd w:id="184"/>
      <w:bookmarkEnd w:id="185"/>
      <w:bookmarkEnd w:id="186"/>
      <w:bookmarkEnd w:id="187"/>
      <w:bookmarkEnd w:id="188"/>
    </w:p>
    <w:p w:rsidR="00A02077" w:rsidRDefault="00A02077" w:rsidP="00A02077">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rsidR="00A02077" w:rsidRDefault="00A02077" w:rsidP="00A02077">
      <w:pPr>
        <w:pStyle w:val="Heading3"/>
      </w:pPr>
      <w:bookmarkStart w:id="189" w:name="_Toc511656261"/>
      <w:bookmarkStart w:id="190" w:name="_Toc511722634"/>
      <w:bookmarkStart w:id="191" w:name="_Toc511736965"/>
      <w:bookmarkStart w:id="192" w:name="_Toc511747227"/>
      <w:bookmarkStart w:id="193" w:name="_Toc511765630"/>
      <w:bookmarkStart w:id="194" w:name="_Toc511828686"/>
      <w:bookmarkStart w:id="195" w:name="_Toc511836825"/>
      <w:bookmarkStart w:id="196" w:name="_Toc511902531"/>
      <w:r>
        <w:t>3.1</w:t>
      </w:r>
      <w:r>
        <w:tab/>
        <w:t>Budgeted financial statements</w:t>
      </w:r>
      <w:bookmarkEnd w:id="189"/>
      <w:bookmarkEnd w:id="190"/>
      <w:bookmarkEnd w:id="191"/>
      <w:bookmarkEnd w:id="192"/>
      <w:bookmarkEnd w:id="193"/>
      <w:bookmarkEnd w:id="194"/>
      <w:bookmarkEnd w:id="195"/>
      <w:bookmarkEnd w:id="196"/>
    </w:p>
    <w:p w:rsidR="00A02077" w:rsidRDefault="00A02077" w:rsidP="00A02077">
      <w:pPr>
        <w:pStyle w:val="Heading4"/>
      </w:pPr>
      <w:r>
        <w:t>3.1.1</w:t>
      </w:r>
      <w:r>
        <w:tab/>
        <w:t>Differences between entity resourcing and financial statements</w:t>
      </w:r>
    </w:p>
    <w:p w:rsidR="00A02077" w:rsidRDefault="00A02077" w:rsidP="00A02077">
      <w:r>
        <w:t xml:space="preserve">The Asbestos Safety and Eradication Agency has nil differences to report. </w:t>
      </w:r>
    </w:p>
    <w:p w:rsidR="00A02077" w:rsidRDefault="00A02077" w:rsidP="00A02077">
      <w:pPr>
        <w:pStyle w:val="Heading4"/>
      </w:pPr>
      <w:r>
        <w:t>3.1.2</w:t>
      </w:r>
      <w:r>
        <w:tab/>
        <w:t>Explanatory notes and analysis of budgeted financial statements</w:t>
      </w:r>
    </w:p>
    <w:p w:rsidR="00A02077" w:rsidRDefault="00A02077" w:rsidP="00A02077">
      <w:r>
        <w:t>The Asbestos Safety and Eradication Agency is budgeting for an operating loss equal to the unappropriated depreciation and amortisation expense of $0.05 million for the 2018–19 financial year.</w:t>
      </w:r>
    </w:p>
    <w:p w:rsidR="00A02077" w:rsidRDefault="00A02077" w:rsidP="00A02077">
      <w:r>
        <w:t>Total revenues are estimated to be $3.6 million and total expenses $3.7 million.</w:t>
      </w:r>
    </w:p>
    <w:p w:rsidR="00A02077" w:rsidRDefault="00A02077" w:rsidP="00A02077">
      <w:r>
        <w:t>Total assets at the end of the 2018–19 financial year are estimated to be $4.7 million. The majority of the assets represent appropriations receivable.</w:t>
      </w:r>
    </w:p>
    <w:p w:rsidR="00A02077" w:rsidRDefault="00A02077" w:rsidP="00A02077">
      <w:pPr>
        <w:pStyle w:val="Heading3"/>
      </w:pPr>
      <w:r>
        <w:br w:type="page"/>
      </w:r>
      <w:bookmarkStart w:id="197" w:name="_Toc511656262"/>
      <w:bookmarkStart w:id="198" w:name="_Toc511722635"/>
      <w:bookmarkStart w:id="199" w:name="_Toc511736966"/>
      <w:bookmarkStart w:id="200" w:name="_Toc511747228"/>
      <w:bookmarkStart w:id="201" w:name="_Toc511765631"/>
      <w:bookmarkStart w:id="202" w:name="_Toc511828687"/>
      <w:bookmarkStart w:id="203" w:name="_Toc511836826"/>
      <w:bookmarkStart w:id="204" w:name="_Toc511902532"/>
      <w:r>
        <w:lastRenderedPageBreak/>
        <w:t>3.2.</w:t>
      </w:r>
      <w:r>
        <w:tab/>
        <w:t>Budgeted financial statements tables</w:t>
      </w:r>
      <w:bookmarkEnd w:id="197"/>
      <w:bookmarkEnd w:id="198"/>
      <w:bookmarkEnd w:id="199"/>
      <w:bookmarkEnd w:id="200"/>
      <w:bookmarkEnd w:id="201"/>
      <w:bookmarkEnd w:id="202"/>
      <w:bookmarkEnd w:id="203"/>
      <w:bookmarkEnd w:id="204"/>
    </w:p>
    <w:p w:rsidR="00A02077" w:rsidRDefault="00A02077" w:rsidP="00A02077">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97" w:type="dxa"/>
        <w:tblInd w:w="93" w:type="dxa"/>
        <w:tblCellMar>
          <w:left w:w="57" w:type="dxa"/>
          <w:right w:w="57" w:type="dxa"/>
        </w:tblCellMar>
        <w:tblLook w:val="04A0" w:firstRow="1" w:lastRow="0" w:firstColumn="1" w:lastColumn="0" w:noHBand="0" w:noVBand="1"/>
      </w:tblPr>
      <w:tblGrid>
        <w:gridCol w:w="3160"/>
        <w:gridCol w:w="298"/>
        <w:gridCol w:w="630"/>
        <w:gridCol w:w="277"/>
        <w:gridCol w:w="602"/>
        <w:gridCol w:w="135"/>
        <w:gridCol w:w="96"/>
        <w:gridCol w:w="648"/>
        <w:gridCol w:w="78"/>
        <w:gridCol w:w="107"/>
        <w:gridCol w:w="694"/>
        <w:gridCol w:w="20"/>
        <w:gridCol w:w="119"/>
        <w:gridCol w:w="741"/>
        <w:gridCol w:w="19"/>
        <w:gridCol w:w="73"/>
      </w:tblGrid>
      <w:tr w:rsidR="00136A19" w:rsidRPr="00136A19" w:rsidTr="00F13C2A">
        <w:trPr>
          <w:trHeight w:val="794"/>
        </w:trPr>
        <w:tc>
          <w:tcPr>
            <w:tcW w:w="3458" w:type="dxa"/>
            <w:gridSpan w:val="2"/>
            <w:tcBorders>
              <w:top w:val="single" w:sz="4" w:space="0" w:color="auto"/>
              <w:left w:val="nil"/>
              <w:bottom w:val="nil"/>
              <w:right w:val="nil"/>
            </w:tcBorders>
            <w:shd w:val="clear" w:color="auto" w:fill="auto"/>
            <w:noWrap/>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 </w:t>
            </w:r>
          </w:p>
        </w:tc>
        <w:tc>
          <w:tcPr>
            <w:tcW w:w="907" w:type="dxa"/>
            <w:gridSpan w:val="2"/>
            <w:tcBorders>
              <w:top w:val="single" w:sz="4" w:space="0" w:color="auto"/>
              <w:left w:val="nil"/>
              <w:bottom w:val="single" w:sz="4" w:space="0" w:color="auto"/>
              <w:right w:val="nil"/>
            </w:tcBorders>
            <w:shd w:val="clear" w:color="auto" w:fill="auto"/>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2017–18 Estimated actual</w:t>
            </w:r>
            <w:r w:rsidRPr="00136A19">
              <w:rPr>
                <w:rFonts w:ascii="Arial" w:hAnsi="Arial" w:cs="Arial"/>
                <w:sz w:val="16"/>
                <w:szCs w:val="16"/>
              </w:rPr>
              <w:br/>
              <w:t>$'000</w:t>
            </w:r>
          </w:p>
        </w:tc>
        <w:tc>
          <w:tcPr>
            <w:tcW w:w="833" w:type="dxa"/>
            <w:gridSpan w:val="3"/>
            <w:tcBorders>
              <w:top w:val="single" w:sz="4" w:space="0" w:color="auto"/>
              <w:left w:val="nil"/>
              <w:bottom w:val="single" w:sz="4" w:space="0" w:color="auto"/>
              <w:right w:val="nil"/>
            </w:tcBorders>
            <w:shd w:val="clear" w:color="000000" w:fill="E6E6E6"/>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2018–19</w:t>
            </w:r>
            <w:r w:rsidRPr="00136A19">
              <w:rPr>
                <w:rFonts w:ascii="Arial" w:hAnsi="Arial" w:cs="Arial"/>
                <w:sz w:val="16"/>
                <w:szCs w:val="16"/>
              </w:rPr>
              <w:br/>
              <w:t>Budget</w:t>
            </w:r>
            <w:r w:rsidRPr="00136A19">
              <w:rPr>
                <w:rFonts w:ascii="Arial" w:hAnsi="Arial" w:cs="Arial"/>
                <w:sz w:val="16"/>
                <w:szCs w:val="16"/>
              </w:rPr>
              <w:br/>
            </w:r>
            <w:r w:rsidRPr="00136A19">
              <w:rPr>
                <w:rFonts w:ascii="Arial" w:hAnsi="Arial" w:cs="Arial"/>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2019–20 Forward estimate</w:t>
            </w:r>
            <w:r w:rsidRPr="00136A19">
              <w:rPr>
                <w:rFonts w:ascii="Arial" w:hAnsi="Arial" w:cs="Arial"/>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2020–21 Forward estimate</w:t>
            </w:r>
            <w:r w:rsidRPr="00136A19">
              <w:rPr>
                <w:rFonts w:ascii="Arial" w:hAnsi="Arial" w:cs="Arial"/>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2021–22</w:t>
            </w:r>
            <w:r w:rsidRPr="00136A19">
              <w:rPr>
                <w:rFonts w:ascii="Arial" w:hAnsi="Arial" w:cs="Arial"/>
                <w:sz w:val="16"/>
                <w:szCs w:val="16"/>
              </w:rPr>
              <w:br/>
              <w:t>Forward estimate</w:t>
            </w:r>
            <w:r w:rsidRPr="00136A19">
              <w:rPr>
                <w:rFonts w:ascii="Arial" w:hAnsi="Arial" w:cs="Arial"/>
                <w:sz w:val="16"/>
                <w:szCs w:val="16"/>
              </w:rPr>
              <w:br/>
              <w:t>$'000</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EXPENSES</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Employee benefits</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1,603 </w:t>
            </w: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1,643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1,648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1,691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1,691 </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Suppliers</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2,726 </w:t>
            </w: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1,973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1,963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1,930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1,910 </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Depreciation and amortisation (a)</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35 </w:t>
            </w: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47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59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64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58 </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expenses</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4,364 </w:t>
            </w:r>
          </w:p>
        </w:tc>
        <w:tc>
          <w:tcPr>
            <w:tcW w:w="833" w:type="dxa"/>
            <w:gridSpan w:val="3"/>
            <w:tcBorders>
              <w:top w:val="single" w:sz="4" w:space="0" w:color="auto"/>
              <w:left w:val="nil"/>
              <w:bottom w:val="single" w:sz="4" w:space="0" w:color="auto"/>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3,663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3,670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3,685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3,659 </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 xml:space="preserve">LESS: </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OWN-SOURCE INCOME</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Own-source revenue</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r>
      <w:tr w:rsidR="00136A19" w:rsidRPr="00136A19" w:rsidTr="00F13C2A">
        <w:trPr>
          <w:trHeight w:val="227"/>
        </w:trPr>
        <w:tc>
          <w:tcPr>
            <w:tcW w:w="3458" w:type="dxa"/>
            <w:gridSpan w:val="2"/>
            <w:tcBorders>
              <w:top w:val="nil"/>
              <w:left w:val="nil"/>
              <w:bottom w:val="nil"/>
              <w:right w:val="nil"/>
            </w:tcBorders>
            <w:shd w:val="clear" w:color="auto" w:fill="auto"/>
            <w:vAlign w:val="center"/>
            <w:hideMark/>
          </w:tcPr>
          <w:p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Sale of goods and rendering of services</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240 </w:t>
            </w: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225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225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225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200 </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own-source revenue</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240 </w:t>
            </w:r>
          </w:p>
        </w:tc>
        <w:tc>
          <w:tcPr>
            <w:tcW w:w="833" w:type="dxa"/>
            <w:gridSpan w:val="3"/>
            <w:tcBorders>
              <w:top w:val="single" w:sz="4" w:space="0" w:color="auto"/>
              <w:left w:val="nil"/>
              <w:bottom w:val="single" w:sz="4" w:space="0" w:color="auto"/>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225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225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225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200 </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Gains</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Other</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73 </w:t>
            </w:r>
          </w:p>
        </w:tc>
        <w:tc>
          <w:tcPr>
            <w:tcW w:w="833" w:type="dxa"/>
            <w:gridSpan w:val="3"/>
            <w:tcBorders>
              <w:top w:val="nil"/>
              <w:left w:val="nil"/>
              <w:bottom w:val="nil"/>
              <w:right w:val="nil"/>
            </w:tcBorders>
            <w:shd w:val="clear" w:color="000000" w:fill="E6E6E6"/>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73 </w:t>
            </w:r>
          </w:p>
        </w:tc>
        <w:tc>
          <w:tcPr>
            <w:tcW w:w="833" w:type="dxa"/>
            <w:gridSpan w:val="3"/>
            <w:tcBorders>
              <w:top w:val="nil"/>
              <w:left w:val="nil"/>
              <w:bottom w:val="nil"/>
              <w:right w:val="nil"/>
            </w:tcBorders>
            <w:shd w:val="clear" w:color="auto" w:fill="auto"/>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73 </w:t>
            </w:r>
          </w:p>
        </w:tc>
        <w:tc>
          <w:tcPr>
            <w:tcW w:w="833" w:type="dxa"/>
            <w:gridSpan w:val="3"/>
            <w:tcBorders>
              <w:top w:val="nil"/>
              <w:left w:val="nil"/>
              <w:bottom w:val="nil"/>
              <w:right w:val="nil"/>
            </w:tcBorders>
            <w:shd w:val="clear" w:color="auto" w:fill="auto"/>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73 </w:t>
            </w:r>
          </w:p>
        </w:tc>
        <w:tc>
          <w:tcPr>
            <w:tcW w:w="833" w:type="dxa"/>
            <w:gridSpan w:val="3"/>
            <w:tcBorders>
              <w:top w:val="nil"/>
              <w:left w:val="nil"/>
              <w:bottom w:val="nil"/>
              <w:right w:val="nil"/>
            </w:tcBorders>
            <w:shd w:val="clear" w:color="auto" w:fill="auto"/>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68 </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gains</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73 </w:t>
            </w:r>
          </w:p>
        </w:tc>
        <w:tc>
          <w:tcPr>
            <w:tcW w:w="833" w:type="dxa"/>
            <w:gridSpan w:val="3"/>
            <w:tcBorders>
              <w:top w:val="single" w:sz="4" w:space="0" w:color="auto"/>
              <w:left w:val="nil"/>
              <w:bottom w:val="single" w:sz="4" w:space="0" w:color="auto"/>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73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73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73 </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68 </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own-source income</w:t>
            </w:r>
          </w:p>
        </w:tc>
        <w:tc>
          <w:tcPr>
            <w:tcW w:w="907" w:type="dxa"/>
            <w:gridSpan w:val="2"/>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313 </w:t>
            </w:r>
          </w:p>
        </w:tc>
        <w:tc>
          <w:tcPr>
            <w:tcW w:w="833" w:type="dxa"/>
            <w:gridSpan w:val="3"/>
            <w:tcBorders>
              <w:top w:val="nil"/>
              <w:left w:val="nil"/>
              <w:bottom w:val="single" w:sz="4" w:space="0" w:color="auto"/>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298 </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298 </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298 </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268 </w:t>
            </w:r>
          </w:p>
        </w:tc>
      </w:tr>
      <w:tr w:rsidR="00136A19" w:rsidRPr="00136A19" w:rsidTr="00F13C2A">
        <w:trPr>
          <w:trHeight w:val="227"/>
        </w:trPr>
        <w:tc>
          <w:tcPr>
            <w:tcW w:w="3458" w:type="dxa"/>
            <w:gridSpan w:val="2"/>
            <w:tcBorders>
              <w:top w:val="nil"/>
              <w:left w:val="nil"/>
              <w:bottom w:val="nil"/>
              <w:right w:val="nil"/>
            </w:tcBorders>
            <w:shd w:val="clear" w:color="auto" w:fill="auto"/>
            <w:vAlign w:val="center"/>
            <w:hideMark/>
          </w:tcPr>
          <w:p w:rsidR="00136A19" w:rsidRPr="00136A19" w:rsidRDefault="00136A19" w:rsidP="00136A19">
            <w:pPr>
              <w:spacing w:after="0" w:line="240" w:lineRule="auto"/>
              <w:rPr>
                <w:rFonts w:ascii="Arial" w:hAnsi="Arial" w:cs="Arial"/>
                <w:b/>
                <w:bCs/>
                <w:color w:val="000000"/>
                <w:sz w:val="16"/>
                <w:szCs w:val="16"/>
              </w:rPr>
            </w:pPr>
            <w:r w:rsidRPr="00136A19">
              <w:rPr>
                <w:rFonts w:ascii="Arial" w:hAnsi="Arial" w:cs="Arial"/>
                <w:b/>
                <w:bCs/>
                <w:color w:val="000000"/>
                <w:sz w:val="16"/>
                <w:szCs w:val="16"/>
              </w:rPr>
              <w:t>Net (cost of)/contribution by services</w:t>
            </w:r>
          </w:p>
        </w:tc>
        <w:tc>
          <w:tcPr>
            <w:tcW w:w="907" w:type="dxa"/>
            <w:gridSpan w:val="2"/>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(4,051)</w:t>
            </w:r>
          </w:p>
        </w:tc>
        <w:tc>
          <w:tcPr>
            <w:tcW w:w="833" w:type="dxa"/>
            <w:gridSpan w:val="3"/>
            <w:tcBorders>
              <w:top w:val="nil"/>
              <w:left w:val="nil"/>
              <w:bottom w:val="single" w:sz="4" w:space="0" w:color="auto"/>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(3,365)</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(3,372)</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(3,387)</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(3,391)</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Revenue from Government</w:t>
            </w:r>
          </w:p>
        </w:tc>
        <w:tc>
          <w:tcPr>
            <w:tcW w:w="907" w:type="dxa"/>
            <w:gridSpan w:val="2"/>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4,016 </w:t>
            </w:r>
          </w:p>
        </w:tc>
        <w:tc>
          <w:tcPr>
            <w:tcW w:w="833" w:type="dxa"/>
            <w:gridSpan w:val="3"/>
            <w:tcBorders>
              <w:top w:val="nil"/>
              <w:left w:val="nil"/>
              <w:bottom w:val="single" w:sz="4" w:space="0" w:color="auto"/>
              <w:right w:val="nil"/>
            </w:tcBorders>
            <w:shd w:val="clear" w:color="000000" w:fill="E6E6E6"/>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3,318 </w:t>
            </w:r>
          </w:p>
        </w:tc>
        <w:tc>
          <w:tcPr>
            <w:tcW w:w="833" w:type="dxa"/>
            <w:gridSpan w:val="3"/>
            <w:tcBorders>
              <w:top w:val="nil"/>
              <w:left w:val="nil"/>
              <w:bottom w:val="single" w:sz="4" w:space="0" w:color="auto"/>
              <w:right w:val="nil"/>
            </w:tcBorders>
            <w:shd w:val="clear" w:color="auto" w:fill="auto"/>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3,313 </w:t>
            </w:r>
          </w:p>
        </w:tc>
        <w:tc>
          <w:tcPr>
            <w:tcW w:w="833" w:type="dxa"/>
            <w:gridSpan w:val="3"/>
            <w:tcBorders>
              <w:top w:val="nil"/>
              <w:left w:val="nil"/>
              <w:bottom w:val="single" w:sz="4" w:space="0" w:color="auto"/>
              <w:right w:val="nil"/>
            </w:tcBorders>
            <w:shd w:val="clear" w:color="auto" w:fill="auto"/>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3,323 </w:t>
            </w:r>
          </w:p>
        </w:tc>
        <w:tc>
          <w:tcPr>
            <w:tcW w:w="833" w:type="dxa"/>
            <w:gridSpan w:val="3"/>
            <w:tcBorders>
              <w:top w:val="nil"/>
              <w:left w:val="nil"/>
              <w:bottom w:val="single" w:sz="4" w:space="0" w:color="auto"/>
              <w:right w:val="nil"/>
            </w:tcBorders>
            <w:shd w:val="clear" w:color="auto" w:fill="auto"/>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3,333 </w:t>
            </w:r>
          </w:p>
        </w:tc>
      </w:tr>
      <w:tr w:rsidR="00136A19" w:rsidRPr="00136A19" w:rsidTr="00F13C2A">
        <w:trPr>
          <w:trHeight w:val="397"/>
        </w:trPr>
        <w:tc>
          <w:tcPr>
            <w:tcW w:w="3458" w:type="dxa"/>
            <w:gridSpan w:val="2"/>
            <w:tcBorders>
              <w:top w:val="nil"/>
              <w:left w:val="nil"/>
              <w:bottom w:val="nil"/>
              <w:right w:val="nil"/>
            </w:tcBorders>
            <w:shd w:val="clear" w:color="auto" w:fill="auto"/>
            <w:vAlign w:val="center"/>
            <w:hideMark/>
          </w:tcPr>
          <w:p w:rsidR="00136A19" w:rsidRPr="00136A19" w:rsidRDefault="00136A19" w:rsidP="00BE1D7C">
            <w:pPr>
              <w:spacing w:after="0" w:line="240" w:lineRule="auto"/>
              <w:ind w:left="191" w:hanging="191"/>
              <w:rPr>
                <w:rFonts w:ascii="Arial" w:hAnsi="Arial" w:cs="Arial"/>
                <w:b/>
                <w:bCs/>
                <w:sz w:val="16"/>
                <w:szCs w:val="16"/>
              </w:rPr>
            </w:pPr>
            <w:r w:rsidRPr="00136A19">
              <w:rPr>
                <w:rFonts w:ascii="Arial" w:hAnsi="Arial" w:cs="Arial"/>
                <w:b/>
                <w:bCs/>
                <w:sz w:val="16"/>
                <w:szCs w:val="16"/>
              </w:rPr>
              <w:t>Surplus/(deficit) attributable to the Australian Government</w:t>
            </w:r>
          </w:p>
        </w:tc>
        <w:tc>
          <w:tcPr>
            <w:tcW w:w="907" w:type="dxa"/>
            <w:gridSpan w:val="2"/>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(35)</w:t>
            </w:r>
          </w:p>
        </w:tc>
        <w:tc>
          <w:tcPr>
            <w:tcW w:w="833" w:type="dxa"/>
            <w:gridSpan w:val="3"/>
            <w:tcBorders>
              <w:top w:val="nil"/>
              <w:left w:val="nil"/>
              <w:bottom w:val="single" w:sz="4" w:space="0" w:color="auto"/>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(47)</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(59)</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(64)</w:t>
            </w:r>
          </w:p>
        </w:tc>
        <w:tc>
          <w:tcPr>
            <w:tcW w:w="833" w:type="dxa"/>
            <w:gridSpan w:val="3"/>
            <w:tcBorders>
              <w:top w:val="nil"/>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(58)</w:t>
            </w:r>
          </w:p>
        </w:tc>
      </w:tr>
      <w:tr w:rsidR="00136A19" w:rsidRPr="00136A19" w:rsidTr="00F13C2A">
        <w:trPr>
          <w:trHeight w:val="225"/>
        </w:trPr>
        <w:tc>
          <w:tcPr>
            <w:tcW w:w="3458"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comprehensive income/(loss)</w:t>
            </w:r>
          </w:p>
        </w:tc>
        <w:tc>
          <w:tcPr>
            <w:tcW w:w="907" w:type="dxa"/>
            <w:gridSpan w:val="2"/>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(35)</w:t>
            </w:r>
          </w:p>
        </w:tc>
        <w:tc>
          <w:tcPr>
            <w:tcW w:w="833" w:type="dxa"/>
            <w:gridSpan w:val="3"/>
            <w:tcBorders>
              <w:top w:val="single" w:sz="4" w:space="0" w:color="auto"/>
              <w:left w:val="nil"/>
              <w:bottom w:val="single" w:sz="4" w:space="0" w:color="auto"/>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(47)</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(59)</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(64)</w:t>
            </w:r>
          </w:p>
        </w:tc>
        <w:tc>
          <w:tcPr>
            <w:tcW w:w="833" w:type="dxa"/>
            <w:gridSpan w:val="3"/>
            <w:tcBorders>
              <w:top w:val="single" w:sz="4" w:space="0" w:color="auto"/>
              <w:left w:val="nil"/>
              <w:bottom w:val="single" w:sz="4" w:space="0" w:color="auto"/>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(58)</w:t>
            </w:r>
          </w:p>
        </w:tc>
      </w:tr>
      <w:tr w:rsidR="00136A19" w:rsidRPr="00136A19" w:rsidTr="00F13C2A">
        <w:trPr>
          <w:trHeight w:val="567"/>
        </w:trPr>
        <w:tc>
          <w:tcPr>
            <w:tcW w:w="3458" w:type="dxa"/>
            <w:gridSpan w:val="2"/>
            <w:tcBorders>
              <w:top w:val="nil"/>
              <w:left w:val="nil"/>
              <w:bottom w:val="single" w:sz="4" w:space="0" w:color="auto"/>
              <w:right w:val="nil"/>
            </w:tcBorders>
            <w:shd w:val="clear" w:color="auto" w:fill="auto"/>
            <w:vAlign w:val="bottom"/>
            <w:hideMark/>
          </w:tcPr>
          <w:p w:rsidR="00136A19" w:rsidRPr="00136A19" w:rsidRDefault="00136A19" w:rsidP="00136A19">
            <w:pPr>
              <w:spacing w:after="0" w:line="240" w:lineRule="auto"/>
              <w:ind w:left="191" w:hanging="191"/>
              <w:rPr>
                <w:rFonts w:ascii="Arial" w:hAnsi="Arial" w:cs="Arial"/>
                <w:b/>
                <w:bCs/>
                <w:sz w:val="16"/>
                <w:szCs w:val="16"/>
              </w:rPr>
            </w:pPr>
            <w:r w:rsidRPr="00136A19">
              <w:rPr>
                <w:rFonts w:ascii="Arial" w:hAnsi="Arial" w:cs="Arial"/>
                <w:b/>
                <w:bCs/>
                <w:sz w:val="16"/>
                <w:szCs w:val="16"/>
              </w:rPr>
              <w:t>Total comprehensive income/(loss)</w:t>
            </w:r>
            <w:r w:rsidR="00F13C2A">
              <w:rPr>
                <w:rFonts w:ascii="Arial" w:hAnsi="Arial" w:cs="Arial"/>
                <w:b/>
                <w:bCs/>
                <w:sz w:val="16"/>
                <w:szCs w:val="16"/>
              </w:rPr>
              <w:t xml:space="preserve"> attributable to the Australian </w:t>
            </w:r>
            <w:r w:rsidRPr="00136A19">
              <w:rPr>
                <w:rFonts w:ascii="Arial" w:hAnsi="Arial" w:cs="Arial"/>
                <w:b/>
                <w:bCs/>
                <w:sz w:val="16"/>
                <w:szCs w:val="16"/>
              </w:rPr>
              <w:t>Government</w:t>
            </w:r>
          </w:p>
        </w:tc>
        <w:tc>
          <w:tcPr>
            <w:tcW w:w="907" w:type="dxa"/>
            <w:gridSpan w:val="2"/>
            <w:tcBorders>
              <w:top w:val="nil"/>
              <w:left w:val="nil"/>
              <w:bottom w:val="single" w:sz="4" w:space="0" w:color="auto"/>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(35)</w:t>
            </w:r>
          </w:p>
        </w:tc>
        <w:tc>
          <w:tcPr>
            <w:tcW w:w="833" w:type="dxa"/>
            <w:gridSpan w:val="3"/>
            <w:tcBorders>
              <w:top w:val="nil"/>
              <w:left w:val="nil"/>
              <w:bottom w:val="single" w:sz="4" w:space="0" w:color="auto"/>
              <w:right w:val="nil"/>
            </w:tcBorders>
            <w:shd w:val="clear" w:color="000000" w:fill="E6E6E6"/>
            <w:noWrap/>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(47)</w:t>
            </w:r>
          </w:p>
        </w:tc>
        <w:tc>
          <w:tcPr>
            <w:tcW w:w="833" w:type="dxa"/>
            <w:gridSpan w:val="3"/>
            <w:tcBorders>
              <w:top w:val="nil"/>
              <w:left w:val="nil"/>
              <w:bottom w:val="single" w:sz="4" w:space="0" w:color="auto"/>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(59)</w:t>
            </w:r>
          </w:p>
        </w:tc>
        <w:tc>
          <w:tcPr>
            <w:tcW w:w="833" w:type="dxa"/>
            <w:gridSpan w:val="3"/>
            <w:tcBorders>
              <w:top w:val="nil"/>
              <w:left w:val="nil"/>
              <w:bottom w:val="single" w:sz="4" w:space="0" w:color="auto"/>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(64)</w:t>
            </w:r>
          </w:p>
        </w:tc>
        <w:tc>
          <w:tcPr>
            <w:tcW w:w="833" w:type="dxa"/>
            <w:gridSpan w:val="3"/>
            <w:tcBorders>
              <w:top w:val="nil"/>
              <w:left w:val="nil"/>
              <w:bottom w:val="single" w:sz="4" w:space="0" w:color="auto"/>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(58)</w:t>
            </w:r>
          </w:p>
        </w:tc>
      </w:tr>
      <w:tr w:rsidR="00136A19" w:rsidRPr="00136A19" w:rsidTr="00F13C2A">
        <w:trPr>
          <w:gridAfter w:val="2"/>
          <w:wAfter w:w="92" w:type="dxa"/>
          <w:trHeight w:val="225"/>
        </w:trPr>
        <w:tc>
          <w:tcPr>
            <w:tcW w:w="3160" w:type="dxa"/>
            <w:tcBorders>
              <w:top w:val="nil"/>
              <w:left w:val="nil"/>
              <w:bottom w:val="nil"/>
              <w:right w:val="nil"/>
            </w:tcBorders>
            <w:shd w:val="clear" w:color="auto" w:fill="auto"/>
            <w:vAlign w:val="bottom"/>
            <w:hideMark/>
          </w:tcPr>
          <w:p w:rsidR="00136A19" w:rsidRPr="00136A19" w:rsidRDefault="00136A19" w:rsidP="00136A19">
            <w:pPr>
              <w:spacing w:after="0" w:line="240" w:lineRule="auto"/>
              <w:rPr>
                <w:rFonts w:ascii="Arial" w:hAnsi="Arial" w:cs="Arial"/>
                <w:sz w:val="16"/>
                <w:szCs w:val="16"/>
              </w:rPr>
            </w:pPr>
          </w:p>
        </w:tc>
        <w:tc>
          <w:tcPr>
            <w:tcW w:w="928" w:type="dxa"/>
            <w:gridSpan w:val="2"/>
            <w:tcBorders>
              <w:top w:val="nil"/>
              <w:left w:val="nil"/>
              <w:bottom w:val="nil"/>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sz w:val="16"/>
                <w:szCs w:val="16"/>
              </w:rPr>
            </w:pPr>
          </w:p>
        </w:tc>
      </w:tr>
      <w:tr w:rsidR="00136A19" w:rsidRPr="00136A19" w:rsidTr="00F13C2A">
        <w:trPr>
          <w:gridAfter w:val="1"/>
          <w:wAfter w:w="73" w:type="dxa"/>
          <w:trHeight w:val="225"/>
        </w:trPr>
        <w:tc>
          <w:tcPr>
            <w:tcW w:w="5102" w:type="dxa"/>
            <w:gridSpan w:val="6"/>
            <w:tcBorders>
              <w:top w:val="nil"/>
              <w:left w:val="nil"/>
              <w:bottom w:val="nil"/>
              <w:right w:val="nil"/>
            </w:tcBorders>
            <w:shd w:val="clear" w:color="auto" w:fill="auto"/>
            <w:noWrap/>
            <w:vAlign w:val="center"/>
            <w:hideMark/>
          </w:tcPr>
          <w:p w:rsidR="00136A19" w:rsidRPr="00136A19" w:rsidRDefault="00136A19" w:rsidP="00136A19">
            <w:pPr>
              <w:spacing w:after="0" w:line="240" w:lineRule="auto"/>
              <w:rPr>
                <w:rFonts w:ascii="Arial" w:hAnsi="Arial" w:cs="Arial"/>
                <w:b/>
                <w:bCs/>
                <w:color w:val="000000"/>
                <w:sz w:val="16"/>
                <w:szCs w:val="16"/>
              </w:rPr>
            </w:pPr>
            <w:r w:rsidRPr="00136A19">
              <w:rPr>
                <w:rFonts w:ascii="Arial" w:hAnsi="Arial" w:cs="Arial"/>
                <w:b/>
                <w:bCs/>
                <w:color w:val="000000"/>
                <w:sz w:val="16"/>
                <w:szCs w:val="16"/>
              </w:rPr>
              <w:t>Note: Impact of net cash appropriation arrangements</w:t>
            </w:r>
          </w:p>
        </w:tc>
        <w:tc>
          <w:tcPr>
            <w:tcW w:w="822" w:type="dxa"/>
            <w:gridSpan w:val="3"/>
            <w:tcBorders>
              <w:top w:val="nil"/>
              <w:left w:val="nil"/>
              <w:bottom w:val="nil"/>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sz w:val="16"/>
                <w:szCs w:val="16"/>
              </w:rPr>
            </w:pPr>
          </w:p>
        </w:tc>
        <w:tc>
          <w:tcPr>
            <w:tcW w:w="821" w:type="dxa"/>
            <w:gridSpan w:val="3"/>
            <w:tcBorders>
              <w:top w:val="nil"/>
              <w:left w:val="nil"/>
              <w:bottom w:val="nil"/>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auto" w:fill="auto"/>
            <w:noWrap/>
            <w:vAlign w:val="bottom"/>
            <w:hideMark/>
          </w:tcPr>
          <w:p w:rsidR="00136A19" w:rsidRPr="00136A19" w:rsidRDefault="00136A19" w:rsidP="00136A19">
            <w:pPr>
              <w:spacing w:after="0" w:line="240" w:lineRule="auto"/>
              <w:jc w:val="right"/>
              <w:rPr>
                <w:rFonts w:ascii="Arial" w:hAnsi="Arial" w:cs="Arial"/>
                <w:sz w:val="16"/>
                <w:szCs w:val="16"/>
              </w:rPr>
            </w:pPr>
          </w:p>
        </w:tc>
      </w:tr>
      <w:tr w:rsidR="00136A19" w:rsidRPr="00136A19" w:rsidTr="00F13C2A">
        <w:trPr>
          <w:trHeight w:val="397"/>
        </w:trPr>
        <w:tc>
          <w:tcPr>
            <w:tcW w:w="3458" w:type="dxa"/>
            <w:gridSpan w:val="2"/>
            <w:tcBorders>
              <w:top w:val="single" w:sz="4" w:space="0" w:color="auto"/>
              <w:left w:val="nil"/>
              <w:bottom w:val="nil"/>
              <w:right w:val="nil"/>
            </w:tcBorders>
            <w:shd w:val="clear" w:color="auto" w:fill="auto"/>
            <w:vAlign w:val="bottom"/>
            <w:hideMark/>
          </w:tcPr>
          <w:p w:rsidR="00136A19" w:rsidRPr="00136A19" w:rsidRDefault="00136A19" w:rsidP="00136A19">
            <w:pPr>
              <w:spacing w:after="0" w:line="240" w:lineRule="auto"/>
              <w:rPr>
                <w:rFonts w:ascii="Arial" w:hAnsi="Arial" w:cs="Arial"/>
                <w:sz w:val="16"/>
                <w:szCs w:val="16"/>
              </w:rPr>
            </w:pPr>
            <w:r w:rsidRPr="00136A19">
              <w:rPr>
                <w:rFonts w:ascii="Arial" w:hAnsi="Arial" w:cs="Arial"/>
                <w:sz w:val="16"/>
                <w:szCs w:val="16"/>
              </w:rPr>
              <w:t> </w:t>
            </w:r>
          </w:p>
        </w:tc>
        <w:tc>
          <w:tcPr>
            <w:tcW w:w="907" w:type="dxa"/>
            <w:gridSpan w:val="2"/>
            <w:tcBorders>
              <w:top w:val="single" w:sz="4" w:space="0" w:color="auto"/>
              <w:left w:val="nil"/>
              <w:bottom w:val="single" w:sz="4" w:space="0" w:color="auto"/>
              <w:right w:val="nil"/>
            </w:tcBorders>
            <w:shd w:val="clear" w:color="auto" w:fill="auto"/>
            <w:vAlign w:val="center"/>
            <w:hideMark/>
          </w:tcPr>
          <w:p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2017–18</w:t>
            </w:r>
            <w:r w:rsidRPr="00136A19">
              <w:rPr>
                <w:rFonts w:ascii="Arial" w:hAnsi="Arial" w:cs="Arial"/>
                <w:color w:val="000000"/>
                <w:sz w:val="16"/>
                <w:szCs w:val="16"/>
              </w:rPr>
              <w:br/>
              <w:t>$'000</w:t>
            </w:r>
          </w:p>
        </w:tc>
        <w:tc>
          <w:tcPr>
            <w:tcW w:w="833" w:type="dxa"/>
            <w:gridSpan w:val="3"/>
            <w:tcBorders>
              <w:top w:val="single" w:sz="4" w:space="0" w:color="auto"/>
              <w:left w:val="nil"/>
              <w:bottom w:val="single" w:sz="4" w:space="0" w:color="auto"/>
              <w:right w:val="nil"/>
            </w:tcBorders>
            <w:shd w:val="clear" w:color="000000" w:fill="E6E6E6"/>
            <w:vAlign w:val="center"/>
            <w:hideMark/>
          </w:tcPr>
          <w:p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2018–19</w:t>
            </w:r>
            <w:r w:rsidRPr="00136A19">
              <w:rPr>
                <w:rFonts w:ascii="Arial" w:hAnsi="Arial" w:cs="Arial"/>
                <w:color w:val="000000"/>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2019–20</w:t>
            </w:r>
            <w:r w:rsidRPr="00136A19">
              <w:rPr>
                <w:rFonts w:ascii="Arial" w:hAnsi="Arial" w:cs="Arial"/>
                <w:color w:val="000000"/>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2020–21</w:t>
            </w:r>
            <w:r w:rsidRPr="00136A19">
              <w:rPr>
                <w:rFonts w:ascii="Arial" w:hAnsi="Arial" w:cs="Arial"/>
                <w:color w:val="000000"/>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2021–22</w:t>
            </w:r>
            <w:r w:rsidRPr="00136A19">
              <w:rPr>
                <w:rFonts w:ascii="Arial" w:hAnsi="Arial" w:cs="Arial"/>
                <w:color w:val="000000"/>
                <w:sz w:val="16"/>
                <w:szCs w:val="16"/>
              </w:rPr>
              <w:br/>
              <w:t>$'000</w:t>
            </w:r>
          </w:p>
        </w:tc>
      </w:tr>
      <w:tr w:rsidR="00136A19" w:rsidRPr="00136A19" w:rsidTr="00F13C2A">
        <w:trPr>
          <w:trHeight w:val="737"/>
        </w:trPr>
        <w:tc>
          <w:tcPr>
            <w:tcW w:w="3458" w:type="dxa"/>
            <w:gridSpan w:val="2"/>
            <w:tcBorders>
              <w:top w:val="nil"/>
              <w:left w:val="nil"/>
              <w:bottom w:val="nil"/>
              <w:right w:val="nil"/>
            </w:tcBorders>
            <w:shd w:val="clear" w:color="auto" w:fill="auto"/>
            <w:vAlign w:val="center"/>
            <w:hideMark/>
          </w:tcPr>
          <w:p w:rsidR="00136A19" w:rsidRPr="00136A19" w:rsidRDefault="00136A19" w:rsidP="00136A19">
            <w:pPr>
              <w:spacing w:after="0" w:line="240" w:lineRule="auto"/>
              <w:ind w:left="191" w:hanging="191"/>
              <w:rPr>
                <w:rFonts w:ascii="Arial" w:hAnsi="Arial" w:cs="Arial"/>
                <w:b/>
                <w:bCs/>
                <w:color w:val="000000"/>
                <w:sz w:val="16"/>
                <w:szCs w:val="16"/>
              </w:rPr>
            </w:pPr>
            <w:r w:rsidRPr="00136A19">
              <w:rPr>
                <w:rFonts w:ascii="Arial" w:hAnsi="Arial" w:cs="Arial"/>
                <w:b/>
                <w:bCs/>
                <w:color w:val="000000"/>
                <w:sz w:val="16"/>
                <w:szCs w:val="16"/>
              </w:rPr>
              <w:t>Total comprehensive income/(loss) excluding depreciation/amortisation expenses previously funded through revenue appropriations</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c>
          <w:tcPr>
            <w:tcW w:w="833" w:type="dxa"/>
            <w:gridSpan w:val="3"/>
            <w:tcBorders>
              <w:top w:val="nil"/>
              <w:left w:val="nil"/>
              <w:bottom w:val="nil"/>
              <w:right w:val="nil"/>
            </w:tcBorders>
            <w:shd w:val="clear" w:color="000000" w:fill="E6E6E6"/>
            <w:noWrap/>
            <w:vAlign w:val="center"/>
            <w:hideMark/>
          </w:tcPr>
          <w:p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r>
      <w:tr w:rsidR="00136A19" w:rsidRPr="00136A19" w:rsidTr="00F13C2A">
        <w:trPr>
          <w:trHeight w:val="567"/>
        </w:trPr>
        <w:tc>
          <w:tcPr>
            <w:tcW w:w="3458" w:type="dxa"/>
            <w:gridSpan w:val="2"/>
            <w:tcBorders>
              <w:top w:val="nil"/>
              <w:left w:val="nil"/>
              <w:bottom w:val="nil"/>
              <w:right w:val="nil"/>
            </w:tcBorders>
            <w:shd w:val="clear" w:color="auto" w:fill="auto"/>
            <w:vAlign w:val="center"/>
            <w:hideMark/>
          </w:tcPr>
          <w:p w:rsidR="00136A19" w:rsidRPr="00136A19" w:rsidRDefault="00136A19" w:rsidP="00136A19">
            <w:pPr>
              <w:spacing w:after="0" w:line="240" w:lineRule="auto"/>
              <w:ind w:leftChars="150" w:left="473" w:hangingChars="108" w:hanging="173"/>
              <w:rPr>
                <w:rFonts w:ascii="Arial" w:hAnsi="Arial" w:cs="Arial"/>
                <w:color w:val="000000"/>
                <w:sz w:val="16"/>
                <w:szCs w:val="16"/>
              </w:rPr>
            </w:pPr>
            <w:r w:rsidRPr="00136A19">
              <w:rPr>
                <w:rFonts w:ascii="Arial" w:hAnsi="Arial" w:cs="Arial"/>
                <w:color w:val="000000"/>
                <w:sz w:val="16"/>
                <w:szCs w:val="16"/>
              </w:rPr>
              <w:t>less depreciation/amortisation</w:t>
            </w:r>
            <w:r>
              <w:rPr>
                <w:rFonts w:ascii="Arial" w:hAnsi="Arial" w:cs="Arial"/>
                <w:color w:val="000000"/>
                <w:sz w:val="16"/>
                <w:szCs w:val="16"/>
              </w:rPr>
              <w:t xml:space="preserve"> </w:t>
            </w:r>
            <w:r w:rsidRPr="00136A19">
              <w:rPr>
                <w:rFonts w:ascii="Arial" w:hAnsi="Arial" w:cs="Arial"/>
                <w:color w:val="000000"/>
                <w:sz w:val="16"/>
                <w:szCs w:val="16"/>
              </w:rPr>
              <w:t>expenses previously funded through revenue appropriations (a)</w:t>
            </w:r>
          </w:p>
        </w:tc>
        <w:tc>
          <w:tcPr>
            <w:tcW w:w="907" w:type="dxa"/>
            <w:gridSpan w:val="2"/>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35 </w:t>
            </w:r>
          </w:p>
        </w:tc>
        <w:tc>
          <w:tcPr>
            <w:tcW w:w="833" w:type="dxa"/>
            <w:gridSpan w:val="3"/>
            <w:tcBorders>
              <w:top w:val="nil"/>
              <w:left w:val="nil"/>
              <w:bottom w:val="nil"/>
              <w:right w:val="nil"/>
            </w:tcBorders>
            <w:shd w:val="clear" w:color="000000" w:fill="E6E6E6"/>
            <w:noWrap/>
            <w:vAlign w:val="center"/>
            <w:hideMark/>
          </w:tcPr>
          <w:p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47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59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64 </w:t>
            </w:r>
          </w:p>
        </w:tc>
        <w:tc>
          <w:tcPr>
            <w:tcW w:w="833" w:type="dxa"/>
            <w:gridSpan w:val="3"/>
            <w:tcBorders>
              <w:top w:val="nil"/>
              <w:left w:val="nil"/>
              <w:bottom w:val="nil"/>
              <w:right w:val="nil"/>
            </w:tcBorders>
            <w:shd w:val="clear" w:color="auto" w:fill="auto"/>
            <w:noWrap/>
            <w:vAlign w:val="center"/>
            <w:hideMark/>
          </w:tcPr>
          <w:p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58 </w:t>
            </w:r>
          </w:p>
        </w:tc>
      </w:tr>
      <w:tr w:rsidR="00136A19" w:rsidRPr="00136A19" w:rsidTr="00F13C2A">
        <w:trPr>
          <w:trHeight w:val="397"/>
        </w:trPr>
        <w:tc>
          <w:tcPr>
            <w:tcW w:w="3458" w:type="dxa"/>
            <w:gridSpan w:val="2"/>
            <w:tcBorders>
              <w:top w:val="nil"/>
              <w:left w:val="nil"/>
              <w:bottom w:val="single" w:sz="4" w:space="0" w:color="auto"/>
              <w:right w:val="nil"/>
            </w:tcBorders>
            <w:shd w:val="clear" w:color="auto" w:fill="auto"/>
            <w:vAlign w:val="bottom"/>
            <w:hideMark/>
          </w:tcPr>
          <w:p w:rsidR="00136A19" w:rsidRPr="00136A19" w:rsidRDefault="00136A19" w:rsidP="00F13C2A">
            <w:pPr>
              <w:spacing w:after="0" w:line="240" w:lineRule="auto"/>
              <w:ind w:left="191" w:hanging="191"/>
              <w:rPr>
                <w:rFonts w:ascii="Arial" w:hAnsi="Arial" w:cs="Arial"/>
                <w:b/>
                <w:bCs/>
                <w:color w:val="000000"/>
                <w:sz w:val="16"/>
                <w:szCs w:val="16"/>
              </w:rPr>
            </w:pPr>
            <w:r w:rsidRPr="00136A19">
              <w:rPr>
                <w:rFonts w:ascii="Arial" w:hAnsi="Arial" w:cs="Arial"/>
                <w:b/>
                <w:bCs/>
                <w:color w:val="000000"/>
                <w:sz w:val="16"/>
                <w:szCs w:val="16"/>
              </w:rPr>
              <w:t>Total comprehensive income/(loss)</w:t>
            </w:r>
            <w:r>
              <w:rPr>
                <w:rFonts w:ascii="Arial" w:hAnsi="Arial" w:cs="Arial"/>
                <w:b/>
                <w:bCs/>
                <w:color w:val="000000"/>
                <w:sz w:val="16"/>
                <w:szCs w:val="16"/>
              </w:rPr>
              <w:t>—as per the statement of</w:t>
            </w:r>
            <w:r w:rsidRPr="00136A19">
              <w:rPr>
                <w:rFonts w:ascii="Arial" w:hAnsi="Arial" w:cs="Arial"/>
                <w:b/>
                <w:bCs/>
                <w:color w:val="000000"/>
                <w:sz w:val="16"/>
                <w:szCs w:val="16"/>
              </w:rPr>
              <w:t xml:space="preserve"> comprehensive income</w:t>
            </w:r>
          </w:p>
        </w:tc>
        <w:tc>
          <w:tcPr>
            <w:tcW w:w="907" w:type="dxa"/>
            <w:gridSpan w:val="2"/>
            <w:tcBorders>
              <w:top w:val="single" w:sz="4" w:space="0" w:color="auto"/>
              <w:left w:val="nil"/>
              <w:bottom w:val="single" w:sz="4" w:space="0" w:color="auto"/>
              <w:right w:val="nil"/>
            </w:tcBorders>
            <w:shd w:val="clear" w:color="auto" w:fill="auto"/>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(35)</w:t>
            </w:r>
          </w:p>
        </w:tc>
        <w:tc>
          <w:tcPr>
            <w:tcW w:w="833" w:type="dxa"/>
            <w:gridSpan w:val="3"/>
            <w:tcBorders>
              <w:top w:val="single" w:sz="4" w:space="0" w:color="auto"/>
              <w:left w:val="nil"/>
              <w:bottom w:val="single" w:sz="4" w:space="0" w:color="auto"/>
              <w:right w:val="nil"/>
            </w:tcBorders>
            <w:shd w:val="clear" w:color="000000" w:fill="E6E6E6"/>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(47)</w:t>
            </w:r>
          </w:p>
        </w:tc>
        <w:tc>
          <w:tcPr>
            <w:tcW w:w="833" w:type="dxa"/>
            <w:gridSpan w:val="3"/>
            <w:tcBorders>
              <w:top w:val="single" w:sz="4" w:space="0" w:color="auto"/>
              <w:left w:val="nil"/>
              <w:bottom w:val="single" w:sz="4" w:space="0" w:color="auto"/>
              <w:right w:val="nil"/>
            </w:tcBorders>
            <w:shd w:val="clear" w:color="auto" w:fill="auto"/>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(59)</w:t>
            </w:r>
          </w:p>
        </w:tc>
        <w:tc>
          <w:tcPr>
            <w:tcW w:w="833" w:type="dxa"/>
            <w:gridSpan w:val="3"/>
            <w:tcBorders>
              <w:top w:val="single" w:sz="4" w:space="0" w:color="auto"/>
              <w:left w:val="nil"/>
              <w:bottom w:val="single" w:sz="4" w:space="0" w:color="auto"/>
              <w:right w:val="nil"/>
            </w:tcBorders>
            <w:shd w:val="clear" w:color="auto" w:fill="auto"/>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(64)</w:t>
            </w:r>
          </w:p>
        </w:tc>
        <w:tc>
          <w:tcPr>
            <w:tcW w:w="833" w:type="dxa"/>
            <w:gridSpan w:val="3"/>
            <w:tcBorders>
              <w:top w:val="single" w:sz="4" w:space="0" w:color="auto"/>
              <w:left w:val="nil"/>
              <w:bottom w:val="single" w:sz="4" w:space="0" w:color="auto"/>
              <w:right w:val="nil"/>
            </w:tcBorders>
            <w:shd w:val="clear" w:color="auto" w:fill="auto"/>
            <w:vAlign w:val="bottom"/>
            <w:hideMark/>
          </w:tcPr>
          <w:p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(58)</w:t>
            </w:r>
          </w:p>
        </w:tc>
      </w:tr>
    </w:tbl>
    <w:p w:rsidR="00A02077" w:rsidRPr="001C6D8C" w:rsidRDefault="00A02077" w:rsidP="00E01B4E">
      <w:pPr>
        <w:pStyle w:val="ChartandTableFootnoteAlpha"/>
        <w:numPr>
          <w:ilvl w:val="0"/>
          <w:numId w:val="18"/>
        </w:numPr>
        <w:rPr>
          <w:rFonts w:cs="Arial"/>
        </w:rPr>
      </w:pPr>
      <w:r w:rsidRPr="001C6D8C">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A02077" w:rsidRPr="009D54F3" w:rsidRDefault="00A02077" w:rsidP="00A02077">
      <w:pPr>
        <w:pStyle w:val="ChartandTableFootnote"/>
      </w:pPr>
      <w:r w:rsidRPr="009D54F3">
        <w:t>Prepared on Australian Accounting Standards basis.</w:t>
      </w:r>
    </w:p>
    <w:p w:rsidR="00A02077" w:rsidRDefault="00A02077" w:rsidP="00A02077">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742" w:type="dxa"/>
        <w:tblInd w:w="93" w:type="dxa"/>
        <w:tblLook w:val="04A0" w:firstRow="1" w:lastRow="0" w:firstColumn="1" w:lastColumn="0" w:noHBand="0" w:noVBand="1"/>
      </w:tblPr>
      <w:tblGrid>
        <w:gridCol w:w="3186"/>
        <w:gridCol w:w="928"/>
        <w:gridCol w:w="907"/>
        <w:gridCol w:w="907"/>
        <w:gridCol w:w="907"/>
        <w:gridCol w:w="907"/>
      </w:tblGrid>
      <w:tr w:rsidR="007456D4" w:rsidRPr="007456D4" w:rsidTr="00D74812">
        <w:trPr>
          <w:trHeight w:val="794"/>
        </w:trPr>
        <w:tc>
          <w:tcPr>
            <w:tcW w:w="3186" w:type="dxa"/>
            <w:tcBorders>
              <w:top w:val="single" w:sz="4" w:space="0" w:color="auto"/>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sz w:val="16"/>
                <w:szCs w:val="16"/>
              </w:rPr>
            </w:pPr>
          </w:p>
        </w:tc>
        <w:tc>
          <w:tcPr>
            <w:tcW w:w="928" w:type="dxa"/>
            <w:tcBorders>
              <w:top w:val="single" w:sz="4" w:space="0" w:color="auto"/>
              <w:left w:val="nil"/>
              <w:bottom w:val="single" w:sz="4" w:space="0" w:color="auto"/>
              <w:right w:val="nil"/>
            </w:tcBorders>
            <w:shd w:val="clear" w:color="auto" w:fill="auto"/>
            <w:vAlign w:val="center"/>
            <w:hideMark/>
          </w:tcPr>
          <w:p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2017–18 Estimated actual</w:t>
            </w:r>
            <w:r w:rsidRPr="007456D4">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2018–19</w:t>
            </w:r>
            <w:r w:rsidRPr="007456D4">
              <w:rPr>
                <w:rFonts w:ascii="Arial" w:hAnsi="Arial" w:cs="Arial"/>
                <w:sz w:val="16"/>
                <w:szCs w:val="16"/>
              </w:rPr>
              <w:br/>
              <w:t>Budget</w:t>
            </w:r>
            <w:r w:rsidRPr="007456D4">
              <w:rPr>
                <w:rFonts w:ascii="Arial" w:hAnsi="Arial" w:cs="Arial"/>
                <w:sz w:val="16"/>
                <w:szCs w:val="16"/>
              </w:rPr>
              <w:br/>
            </w:r>
            <w:r w:rsidRPr="007456D4">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2019–20 Forward estimate</w:t>
            </w:r>
            <w:r w:rsidRPr="007456D4">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2020–21 Forward estimate</w:t>
            </w:r>
            <w:r w:rsidRPr="007456D4">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2021–22</w:t>
            </w:r>
            <w:r w:rsidRPr="007456D4">
              <w:rPr>
                <w:rFonts w:ascii="Arial" w:hAnsi="Arial" w:cs="Arial"/>
                <w:sz w:val="16"/>
                <w:szCs w:val="16"/>
              </w:rPr>
              <w:br/>
              <w:t>Forward estimate</w:t>
            </w:r>
            <w:r w:rsidRPr="007456D4">
              <w:rPr>
                <w:rFonts w:ascii="Arial" w:hAnsi="Arial" w:cs="Arial"/>
                <w:sz w:val="16"/>
                <w:szCs w:val="16"/>
              </w:rPr>
              <w:br/>
              <w:t>$'000</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ASSETS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Financial assets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 xml:space="preserve">Cash </w:t>
            </w:r>
            <w:r w:rsidRPr="007456D4">
              <w:rPr>
                <w:rFonts w:ascii="Arial" w:hAnsi="Arial" w:cs="Arial"/>
                <w:sz w:val="16"/>
                <w:szCs w:val="16"/>
              </w:rPr>
              <w:t>and cash equivalents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ind w:firstLineChars="100" w:firstLine="160"/>
              <w:rPr>
                <w:rFonts w:ascii="Arial" w:hAnsi="Arial" w:cs="Arial"/>
                <w:sz w:val="16"/>
                <w:szCs w:val="16"/>
              </w:rPr>
            </w:pPr>
            <w:r w:rsidRPr="007456D4">
              <w:rPr>
                <w:rFonts w:ascii="Arial" w:hAnsi="Arial" w:cs="Arial"/>
                <w:sz w:val="16"/>
                <w:szCs w:val="16"/>
              </w:rPr>
              <w:t>Trade and other receivables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r>
      <w:tr w:rsidR="007456D4" w:rsidRPr="007456D4" w:rsidTr="004228B4">
        <w:trPr>
          <w:trHeight w:val="210"/>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financial assets</w:t>
            </w:r>
          </w:p>
        </w:tc>
        <w:tc>
          <w:tcPr>
            <w:tcW w:w="928"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c>
          <w:tcPr>
            <w:tcW w:w="907" w:type="dxa"/>
            <w:tcBorders>
              <w:top w:val="single" w:sz="4" w:space="0" w:color="000000"/>
              <w:left w:val="nil"/>
              <w:bottom w:val="single" w:sz="4" w:space="0" w:color="000000"/>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Non-financial assets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Property, plant and equipment</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158</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170</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170</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164</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165</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Other non-financial assets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r>
      <w:tr w:rsidR="007456D4" w:rsidRPr="007456D4" w:rsidTr="004228B4">
        <w:trPr>
          <w:trHeight w:val="210"/>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non-financial assets</w:t>
            </w:r>
          </w:p>
        </w:tc>
        <w:tc>
          <w:tcPr>
            <w:tcW w:w="928"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210 </w:t>
            </w:r>
          </w:p>
        </w:tc>
        <w:tc>
          <w:tcPr>
            <w:tcW w:w="907" w:type="dxa"/>
            <w:tcBorders>
              <w:top w:val="single" w:sz="4" w:space="0" w:color="000000"/>
              <w:left w:val="nil"/>
              <w:bottom w:val="single" w:sz="4" w:space="0" w:color="000000"/>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222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222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216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217 </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Total assets</w:t>
            </w:r>
          </w:p>
        </w:tc>
        <w:tc>
          <w:tcPr>
            <w:tcW w:w="928" w:type="dxa"/>
            <w:tcBorders>
              <w:top w:val="nil"/>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4,658 </w:t>
            </w:r>
          </w:p>
        </w:tc>
        <w:tc>
          <w:tcPr>
            <w:tcW w:w="907" w:type="dxa"/>
            <w:tcBorders>
              <w:top w:val="nil"/>
              <w:left w:val="nil"/>
              <w:bottom w:val="single" w:sz="4" w:space="0" w:color="000000"/>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4,670 </w:t>
            </w:r>
          </w:p>
        </w:tc>
        <w:tc>
          <w:tcPr>
            <w:tcW w:w="907" w:type="dxa"/>
            <w:tcBorders>
              <w:top w:val="nil"/>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4,670 </w:t>
            </w:r>
          </w:p>
        </w:tc>
        <w:tc>
          <w:tcPr>
            <w:tcW w:w="907" w:type="dxa"/>
            <w:tcBorders>
              <w:top w:val="nil"/>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4,664 </w:t>
            </w:r>
          </w:p>
        </w:tc>
        <w:tc>
          <w:tcPr>
            <w:tcW w:w="907" w:type="dxa"/>
            <w:tcBorders>
              <w:top w:val="nil"/>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4,665 </w:t>
            </w:r>
          </w:p>
        </w:tc>
      </w:tr>
      <w:tr w:rsidR="007456D4" w:rsidRPr="007456D4" w:rsidTr="004228B4">
        <w:trPr>
          <w:trHeight w:val="283"/>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LIABILITIES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Payables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r>
      <w:tr w:rsidR="007456D4" w:rsidRPr="007456D4" w:rsidTr="004228B4">
        <w:trPr>
          <w:trHeight w:val="210"/>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payables</w:t>
            </w:r>
          </w:p>
        </w:tc>
        <w:tc>
          <w:tcPr>
            <w:tcW w:w="928"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c>
          <w:tcPr>
            <w:tcW w:w="907" w:type="dxa"/>
            <w:tcBorders>
              <w:top w:val="single" w:sz="4" w:space="0" w:color="000000"/>
              <w:left w:val="nil"/>
              <w:bottom w:val="single" w:sz="4" w:space="0" w:color="000000"/>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Provisions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Employee provisions</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r>
      <w:tr w:rsidR="007456D4" w:rsidRPr="007456D4" w:rsidTr="004228B4">
        <w:trPr>
          <w:trHeight w:val="227"/>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provisions</w:t>
            </w:r>
          </w:p>
        </w:tc>
        <w:tc>
          <w:tcPr>
            <w:tcW w:w="928"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c>
          <w:tcPr>
            <w:tcW w:w="907" w:type="dxa"/>
            <w:tcBorders>
              <w:top w:val="single" w:sz="4" w:space="0" w:color="000000"/>
              <w:left w:val="nil"/>
              <w:bottom w:val="single" w:sz="4" w:space="0" w:color="000000"/>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Total liabilities</w:t>
            </w:r>
          </w:p>
        </w:tc>
        <w:tc>
          <w:tcPr>
            <w:tcW w:w="928" w:type="dxa"/>
            <w:tcBorders>
              <w:top w:val="single" w:sz="4" w:space="0" w:color="auto"/>
              <w:left w:val="nil"/>
              <w:bottom w:val="single" w:sz="4" w:space="0" w:color="auto"/>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c>
          <w:tcPr>
            <w:tcW w:w="907" w:type="dxa"/>
            <w:tcBorders>
              <w:top w:val="single" w:sz="4" w:space="0" w:color="auto"/>
              <w:left w:val="nil"/>
              <w:bottom w:val="single" w:sz="4" w:space="0" w:color="auto"/>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c>
          <w:tcPr>
            <w:tcW w:w="907" w:type="dxa"/>
            <w:tcBorders>
              <w:top w:val="single" w:sz="4" w:space="0" w:color="auto"/>
              <w:left w:val="nil"/>
              <w:bottom w:val="single" w:sz="4" w:space="0" w:color="auto"/>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c>
          <w:tcPr>
            <w:tcW w:w="907" w:type="dxa"/>
            <w:tcBorders>
              <w:top w:val="single" w:sz="4" w:space="0" w:color="auto"/>
              <w:left w:val="nil"/>
              <w:bottom w:val="single" w:sz="4" w:space="0" w:color="auto"/>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c>
          <w:tcPr>
            <w:tcW w:w="907" w:type="dxa"/>
            <w:tcBorders>
              <w:top w:val="single" w:sz="4" w:space="0" w:color="auto"/>
              <w:left w:val="nil"/>
              <w:bottom w:val="single" w:sz="4" w:space="0" w:color="auto"/>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sz w:val="16"/>
                <w:szCs w:val="16"/>
              </w:rPr>
            </w:pPr>
            <w:r w:rsidRPr="007456D4">
              <w:rPr>
                <w:rFonts w:ascii="Arial" w:hAnsi="Arial" w:cs="Arial"/>
                <w:b/>
                <w:bCs/>
                <w:sz w:val="16"/>
                <w:szCs w:val="16"/>
              </w:rPr>
              <w:t>Net assets</w:t>
            </w:r>
          </w:p>
        </w:tc>
        <w:tc>
          <w:tcPr>
            <w:tcW w:w="928" w:type="dxa"/>
            <w:tcBorders>
              <w:top w:val="nil"/>
              <w:left w:val="nil"/>
              <w:bottom w:val="single" w:sz="4" w:space="0" w:color="auto"/>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3,660 </w:t>
            </w:r>
          </w:p>
        </w:tc>
        <w:tc>
          <w:tcPr>
            <w:tcW w:w="907" w:type="dxa"/>
            <w:tcBorders>
              <w:top w:val="nil"/>
              <w:left w:val="nil"/>
              <w:bottom w:val="single" w:sz="4" w:space="0" w:color="auto"/>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c>
          <w:tcPr>
            <w:tcW w:w="907" w:type="dxa"/>
            <w:tcBorders>
              <w:top w:val="nil"/>
              <w:left w:val="nil"/>
              <w:bottom w:val="single" w:sz="4" w:space="0" w:color="auto"/>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c>
          <w:tcPr>
            <w:tcW w:w="907" w:type="dxa"/>
            <w:tcBorders>
              <w:top w:val="nil"/>
              <w:left w:val="nil"/>
              <w:bottom w:val="single" w:sz="4" w:space="0" w:color="auto"/>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3,666 </w:t>
            </w:r>
          </w:p>
        </w:tc>
        <w:tc>
          <w:tcPr>
            <w:tcW w:w="907" w:type="dxa"/>
            <w:tcBorders>
              <w:top w:val="nil"/>
              <w:left w:val="nil"/>
              <w:bottom w:val="single" w:sz="4" w:space="0" w:color="auto"/>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3,667 </w:t>
            </w:r>
          </w:p>
        </w:tc>
      </w:tr>
      <w:tr w:rsidR="007456D4" w:rsidRPr="007456D4" w:rsidTr="004228B4">
        <w:trPr>
          <w:trHeight w:val="283"/>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EQUITY*</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Parent entity interest</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302 </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361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420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478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537 </w:t>
            </w:r>
          </w:p>
        </w:tc>
      </w:tr>
      <w:tr w:rsidR="007456D4" w:rsidRPr="007456D4" w:rsidTr="004228B4">
        <w:trPr>
          <w:trHeight w:val="227"/>
        </w:trPr>
        <w:tc>
          <w:tcPr>
            <w:tcW w:w="3186" w:type="dxa"/>
            <w:tcBorders>
              <w:top w:val="nil"/>
              <w:left w:val="nil"/>
              <w:bottom w:val="nil"/>
              <w:right w:val="nil"/>
            </w:tcBorders>
            <w:shd w:val="clear" w:color="auto" w:fill="auto"/>
            <w:vAlign w:val="center"/>
            <w:hideMark/>
          </w:tcPr>
          <w:p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Retained surplus (accumulated deficit)</w:t>
            </w:r>
          </w:p>
        </w:tc>
        <w:tc>
          <w:tcPr>
            <w:tcW w:w="928"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3,358 </w:t>
            </w:r>
          </w:p>
        </w:tc>
        <w:tc>
          <w:tcPr>
            <w:tcW w:w="907" w:type="dxa"/>
            <w:tcBorders>
              <w:top w:val="nil"/>
              <w:left w:val="nil"/>
              <w:bottom w:val="nil"/>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3,311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3,252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3,188 </w:t>
            </w:r>
          </w:p>
        </w:tc>
        <w:tc>
          <w:tcPr>
            <w:tcW w:w="907" w:type="dxa"/>
            <w:tcBorders>
              <w:top w:val="nil"/>
              <w:left w:val="nil"/>
              <w:bottom w:val="nil"/>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3,130 </w:t>
            </w:r>
          </w:p>
        </w:tc>
      </w:tr>
      <w:tr w:rsidR="007456D4" w:rsidRPr="007456D4" w:rsidTr="004228B4">
        <w:trPr>
          <w:trHeight w:val="225"/>
        </w:trPr>
        <w:tc>
          <w:tcPr>
            <w:tcW w:w="3186" w:type="dxa"/>
            <w:tcBorders>
              <w:top w:val="nil"/>
              <w:left w:val="nil"/>
              <w:bottom w:val="nil"/>
              <w:right w:val="nil"/>
            </w:tcBorders>
            <w:shd w:val="clear" w:color="auto" w:fill="auto"/>
            <w:noWrap/>
            <w:vAlign w:val="center"/>
            <w:hideMark/>
          </w:tcPr>
          <w:p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parent entity interest</w:t>
            </w:r>
          </w:p>
        </w:tc>
        <w:tc>
          <w:tcPr>
            <w:tcW w:w="928"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3,660 </w:t>
            </w:r>
          </w:p>
        </w:tc>
        <w:tc>
          <w:tcPr>
            <w:tcW w:w="907" w:type="dxa"/>
            <w:tcBorders>
              <w:top w:val="single" w:sz="4" w:space="0" w:color="000000"/>
              <w:left w:val="nil"/>
              <w:bottom w:val="single" w:sz="4" w:space="0" w:color="000000"/>
              <w:right w:val="nil"/>
            </w:tcBorders>
            <w:shd w:val="clear" w:color="000000" w:fill="E6E6E6"/>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3,672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3,672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3,666 </w:t>
            </w:r>
          </w:p>
        </w:tc>
        <w:tc>
          <w:tcPr>
            <w:tcW w:w="907"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3,667 </w:t>
            </w:r>
          </w:p>
        </w:tc>
      </w:tr>
      <w:tr w:rsidR="007456D4" w:rsidRPr="007456D4" w:rsidTr="007456D4">
        <w:trPr>
          <w:trHeight w:val="225"/>
        </w:trPr>
        <w:tc>
          <w:tcPr>
            <w:tcW w:w="3186" w:type="dxa"/>
            <w:tcBorders>
              <w:top w:val="nil"/>
              <w:left w:val="nil"/>
              <w:bottom w:val="single" w:sz="4" w:space="0" w:color="000000"/>
              <w:right w:val="nil"/>
            </w:tcBorders>
            <w:shd w:val="clear" w:color="auto" w:fill="auto"/>
            <w:noWrap/>
            <w:vAlign w:val="bottom"/>
            <w:hideMark/>
          </w:tcPr>
          <w:p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Total equity</w:t>
            </w:r>
          </w:p>
        </w:tc>
        <w:tc>
          <w:tcPr>
            <w:tcW w:w="928" w:type="dxa"/>
            <w:tcBorders>
              <w:top w:val="nil"/>
              <w:left w:val="nil"/>
              <w:bottom w:val="single" w:sz="4" w:space="0" w:color="000000"/>
              <w:right w:val="nil"/>
            </w:tcBorders>
            <w:shd w:val="clear" w:color="auto" w:fill="auto"/>
            <w:noWrap/>
            <w:vAlign w:val="bottom"/>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3,660 </w:t>
            </w:r>
          </w:p>
        </w:tc>
        <w:tc>
          <w:tcPr>
            <w:tcW w:w="907" w:type="dxa"/>
            <w:tcBorders>
              <w:top w:val="nil"/>
              <w:left w:val="nil"/>
              <w:bottom w:val="single" w:sz="4" w:space="0" w:color="000000"/>
              <w:right w:val="nil"/>
            </w:tcBorders>
            <w:shd w:val="clear" w:color="000000" w:fill="E6E6E6"/>
            <w:noWrap/>
            <w:vAlign w:val="bottom"/>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c>
          <w:tcPr>
            <w:tcW w:w="907" w:type="dxa"/>
            <w:tcBorders>
              <w:top w:val="nil"/>
              <w:left w:val="nil"/>
              <w:bottom w:val="single" w:sz="4" w:space="0" w:color="000000"/>
              <w:right w:val="nil"/>
            </w:tcBorders>
            <w:shd w:val="clear" w:color="auto" w:fill="auto"/>
            <w:noWrap/>
            <w:vAlign w:val="bottom"/>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c>
          <w:tcPr>
            <w:tcW w:w="907" w:type="dxa"/>
            <w:tcBorders>
              <w:top w:val="nil"/>
              <w:left w:val="nil"/>
              <w:bottom w:val="single" w:sz="4" w:space="0" w:color="000000"/>
              <w:right w:val="nil"/>
            </w:tcBorders>
            <w:shd w:val="clear" w:color="auto" w:fill="auto"/>
            <w:noWrap/>
            <w:vAlign w:val="bottom"/>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3,666 </w:t>
            </w:r>
          </w:p>
        </w:tc>
        <w:tc>
          <w:tcPr>
            <w:tcW w:w="907" w:type="dxa"/>
            <w:tcBorders>
              <w:top w:val="nil"/>
              <w:left w:val="nil"/>
              <w:bottom w:val="single" w:sz="4" w:space="0" w:color="000000"/>
              <w:right w:val="nil"/>
            </w:tcBorders>
            <w:shd w:val="clear" w:color="auto" w:fill="auto"/>
            <w:noWrap/>
            <w:vAlign w:val="bottom"/>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3,667 </w:t>
            </w:r>
          </w:p>
        </w:tc>
      </w:tr>
    </w:tbl>
    <w:p w:rsidR="00A02077" w:rsidRPr="00132F9E" w:rsidRDefault="00A02077" w:rsidP="00A02077">
      <w:pPr>
        <w:pStyle w:val="ChartandTableFootnote"/>
      </w:pPr>
      <w:r w:rsidRPr="00132F9E">
        <w:t>*Equi</w:t>
      </w:r>
      <w:r w:rsidR="009B3707">
        <w:t>ty</w:t>
      </w:r>
      <w:r w:rsidRPr="00132F9E">
        <w:t xml:space="preserve"> is the residual interest in assets after deduction of liabilities.</w:t>
      </w:r>
    </w:p>
    <w:p w:rsidR="00A02077" w:rsidRPr="001C6D8C" w:rsidRDefault="00A02077" w:rsidP="00A02077">
      <w:pPr>
        <w:pStyle w:val="ChartandTableFootnote"/>
        <w:rPr>
          <w:lang w:val="en-AU"/>
        </w:rPr>
      </w:pPr>
      <w:r w:rsidRPr="00132F9E">
        <w:t>Prepared on Austral</w:t>
      </w:r>
      <w:r>
        <w:t>ian Accounting Standards basis.</w:t>
      </w:r>
    </w:p>
    <w:p w:rsidR="00A02077" w:rsidRDefault="00A02077" w:rsidP="00A02077">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40" w:type="dxa"/>
        <w:tblInd w:w="93" w:type="dxa"/>
        <w:tblLook w:val="04A0" w:firstRow="1" w:lastRow="0" w:firstColumn="1" w:lastColumn="0" w:noHBand="0" w:noVBand="1"/>
      </w:tblPr>
      <w:tblGrid>
        <w:gridCol w:w="4167"/>
        <w:gridCol w:w="1191"/>
        <w:gridCol w:w="1191"/>
        <w:gridCol w:w="1191"/>
      </w:tblGrid>
      <w:tr w:rsidR="007456D4" w:rsidRPr="007456D4" w:rsidTr="007456D4">
        <w:trPr>
          <w:trHeight w:val="624"/>
        </w:trPr>
        <w:tc>
          <w:tcPr>
            <w:tcW w:w="4167" w:type="dxa"/>
            <w:tcBorders>
              <w:top w:val="single" w:sz="4" w:space="0" w:color="auto"/>
              <w:left w:val="nil"/>
              <w:bottom w:val="nil"/>
              <w:right w:val="nil"/>
            </w:tcBorders>
            <w:shd w:val="clear" w:color="auto" w:fill="auto"/>
            <w:noWrap/>
            <w:vAlign w:val="center"/>
            <w:hideMark/>
          </w:tcPr>
          <w:p w:rsidR="007456D4" w:rsidRPr="007456D4" w:rsidRDefault="007456D4" w:rsidP="007456D4">
            <w:pPr>
              <w:spacing w:after="0" w:line="240" w:lineRule="auto"/>
              <w:rPr>
                <w:rFonts w:ascii="Arial" w:hAnsi="Arial" w:cs="Arial"/>
                <w:color w:val="000000"/>
                <w:sz w:val="16"/>
                <w:szCs w:val="16"/>
              </w:rPr>
            </w:pPr>
            <w:r w:rsidRPr="007456D4">
              <w:rPr>
                <w:rFonts w:ascii="Arial" w:hAnsi="Arial" w:cs="Arial"/>
                <w:color w:val="000000"/>
                <w:sz w:val="16"/>
                <w:szCs w:val="16"/>
              </w:rPr>
              <w:t> </w:t>
            </w:r>
          </w:p>
        </w:tc>
        <w:tc>
          <w:tcPr>
            <w:tcW w:w="1191" w:type="dxa"/>
            <w:tcBorders>
              <w:top w:val="single" w:sz="4" w:space="0" w:color="auto"/>
              <w:left w:val="nil"/>
              <w:bottom w:val="single" w:sz="4" w:space="0" w:color="000000"/>
              <w:right w:val="nil"/>
            </w:tcBorders>
            <w:shd w:val="clear" w:color="auto" w:fill="auto"/>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Retained</w:t>
            </w:r>
            <w:r w:rsidRPr="007456D4">
              <w:rPr>
                <w:rFonts w:ascii="Arial" w:hAnsi="Arial" w:cs="Arial"/>
                <w:color w:val="000000"/>
                <w:sz w:val="16"/>
                <w:szCs w:val="16"/>
              </w:rPr>
              <w:br/>
              <w:t>earnings</w:t>
            </w:r>
            <w:r w:rsidRPr="007456D4">
              <w:rPr>
                <w:rFonts w:ascii="Arial" w:hAnsi="Arial" w:cs="Arial"/>
                <w:color w:val="000000"/>
                <w:sz w:val="16"/>
                <w:szCs w:val="16"/>
              </w:rPr>
              <w:br/>
              <w:t>$'000</w:t>
            </w:r>
          </w:p>
        </w:tc>
        <w:tc>
          <w:tcPr>
            <w:tcW w:w="1191" w:type="dxa"/>
            <w:tcBorders>
              <w:top w:val="single" w:sz="4" w:space="0" w:color="auto"/>
              <w:left w:val="nil"/>
              <w:bottom w:val="single" w:sz="4" w:space="0" w:color="000000"/>
              <w:right w:val="nil"/>
            </w:tcBorders>
            <w:shd w:val="clear" w:color="auto" w:fill="auto"/>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Contributed</w:t>
            </w:r>
            <w:r w:rsidRPr="007456D4">
              <w:rPr>
                <w:rFonts w:ascii="Arial" w:hAnsi="Arial" w:cs="Arial"/>
                <w:color w:val="000000"/>
                <w:sz w:val="16"/>
                <w:szCs w:val="16"/>
              </w:rPr>
              <w:br/>
              <w:t>equity/capital</w:t>
            </w:r>
            <w:r w:rsidRPr="007456D4">
              <w:rPr>
                <w:rFonts w:ascii="Arial" w:hAnsi="Arial" w:cs="Arial"/>
                <w:color w:val="000000"/>
                <w:sz w:val="16"/>
                <w:szCs w:val="16"/>
              </w:rPr>
              <w:br/>
              <w:t>$'000</w:t>
            </w:r>
          </w:p>
        </w:tc>
        <w:tc>
          <w:tcPr>
            <w:tcW w:w="1191" w:type="dxa"/>
            <w:tcBorders>
              <w:top w:val="single" w:sz="4" w:space="0" w:color="auto"/>
              <w:left w:val="nil"/>
              <w:bottom w:val="single" w:sz="4" w:space="0" w:color="000000"/>
              <w:right w:val="nil"/>
            </w:tcBorders>
            <w:shd w:val="clear" w:color="auto" w:fill="auto"/>
            <w:vAlign w:val="center"/>
            <w:hideMark/>
          </w:tcPr>
          <w:p w:rsidR="007456D4" w:rsidRPr="007456D4" w:rsidRDefault="007456D4" w:rsidP="0048396B">
            <w:pPr>
              <w:spacing w:after="0" w:line="240" w:lineRule="auto"/>
              <w:jc w:val="right"/>
              <w:rPr>
                <w:rFonts w:ascii="Arial" w:hAnsi="Arial" w:cs="Arial"/>
                <w:color w:val="000000"/>
                <w:sz w:val="16"/>
                <w:szCs w:val="16"/>
              </w:rPr>
            </w:pPr>
            <w:r w:rsidRPr="007456D4">
              <w:rPr>
                <w:rFonts w:ascii="Arial" w:hAnsi="Arial" w:cs="Arial"/>
                <w:color w:val="000000"/>
                <w:sz w:val="16"/>
                <w:szCs w:val="16"/>
              </w:rPr>
              <w:t>Tota</w:t>
            </w:r>
            <w:r w:rsidR="0048396B">
              <w:rPr>
                <w:rFonts w:ascii="Arial" w:hAnsi="Arial" w:cs="Arial"/>
                <w:color w:val="000000"/>
                <w:sz w:val="16"/>
                <w:szCs w:val="16"/>
              </w:rPr>
              <w:t xml:space="preserve">l </w:t>
            </w:r>
            <w:r w:rsidRPr="007456D4">
              <w:rPr>
                <w:rFonts w:ascii="Arial" w:hAnsi="Arial" w:cs="Arial"/>
                <w:color w:val="000000"/>
                <w:sz w:val="16"/>
                <w:szCs w:val="16"/>
              </w:rPr>
              <w:t>equity</w:t>
            </w:r>
            <w:r w:rsidR="0048396B">
              <w:rPr>
                <w:rFonts w:ascii="Arial" w:hAnsi="Arial" w:cs="Arial"/>
                <w:color w:val="000000"/>
                <w:sz w:val="16"/>
                <w:szCs w:val="16"/>
              </w:rPr>
              <w:br/>
            </w:r>
            <w:r w:rsidRPr="007456D4">
              <w:rPr>
                <w:rFonts w:ascii="Arial" w:hAnsi="Arial" w:cs="Arial"/>
                <w:color w:val="000000"/>
                <w:sz w:val="16"/>
                <w:szCs w:val="16"/>
              </w:rPr>
              <w:t xml:space="preserve"> </w:t>
            </w:r>
            <w:r w:rsidRPr="007456D4">
              <w:rPr>
                <w:rFonts w:ascii="Arial" w:hAnsi="Arial" w:cs="Arial"/>
                <w:color w:val="000000"/>
                <w:sz w:val="16"/>
                <w:szCs w:val="16"/>
              </w:rPr>
              <w:br/>
              <w:t>$'000</w:t>
            </w:r>
          </w:p>
        </w:tc>
      </w:tr>
      <w:tr w:rsidR="007456D4" w:rsidRPr="007456D4" w:rsidTr="007456D4">
        <w:trPr>
          <w:trHeight w:val="225"/>
        </w:trPr>
        <w:tc>
          <w:tcPr>
            <w:tcW w:w="4167" w:type="dxa"/>
            <w:tcBorders>
              <w:top w:val="nil"/>
              <w:left w:val="nil"/>
              <w:bottom w:val="nil"/>
              <w:right w:val="nil"/>
            </w:tcBorders>
            <w:shd w:val="clear" w:color="auto" w:fill="auto"/>
            <w:vAlign w:val="center"/>
            <w:hideMark/>
          </w:tcPr>
          <w:p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Opening balance as at 1 July 2018</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r>
      <w:tr w:rsidR="007456D4" w:rsidRPr="007456D4" w:rsidTr="00D74812">
        <w:trPr>
          <w:trHeight w:val="227"/>
        </w:trPr>
        <w:tc>
          <w:tcPr>
            <w:tcW w:w="4167" w:type="dxa"/>
            <w:tcBorders>
              <w:top w:val="nil"/>
              <w:left w:val="nil"/>
              <w:bottom w:val="nil"/>
              <w:right w:val="nil"/>
            </w:tcBorders>
            <w:shd w:val="clear" w:color="auto" w:fill="auto"/>
            <w:vAlign w:val="center"/>
            <w:hideMark/>
          </w:tcPr>
          <w:p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Balance carried forward from previous period</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3,358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302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3,660 </w:t>
            </w:r>
          </w:p>
        </w:tc>
      </w:tr>
      <w:tr w:rsidR="007456D4" w:rsidRPr="007456D4" w:rsidTr="00D74812">
        <w:trPr>
          <w:trHeight w:val="227"/>
        </w:trPr>
        <w:tc>
          <w:tcPr>
            <w:tcW w:w="4167" w:type="dxa"/>
            <w:tcBorders>
              <w:top w:val="nil"/>
              <w:left w:val="nil"/>
              <w:bottom w:val="nil"/>
              <w:right w:val="nil"/>
            </w:tcBorders>
            <w:shd w:val="clear" w:color="auto" w:fill="auto"/>
            <w:vAlign w:val="center"/>
            <w:hideMark/>
          </w:tcPr>
          <w:p w:rsidR="007456D4" w:rsidRPr="007456D4" w:rsidRDefault="007456D4" w:rsidP="007456D4">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Adjusted opening balance</w:t>
            </w:r>
          </w:p>
        </w:tc>
        <w:tc>
          <w:tcPr>
            <w:tcW w:w="1191"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3,358 </w:t>
            </w:r>
          </w:p>
        </w:tc>
        <w:tc>
          <w:tcPr>
            <w:tcW w:w="1191"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302 </w:t>
            </w:r>
          </w:p>
        </w:tc>
        <w:tc>
          <w:tcPr>
            <w:tcW w:w="1191"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3,660 </w:t>
            </w: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Comprehensive income</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Other comprehensive income</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ind w:firstLineChars="100" w:firstLine="160"/>
              <w:rPr>
                <w:rFonts w:ascii="Arial" w:hAnsi="Arial" w:cs="Arial"/>
                <w:sz w:val="16"/>
                <w:szCs w:val="16"/>
              </w:rPr>
            </w:pPr>
            <w:r w:rsidRPr="007456D4">
              <w:rPr>
                <w:rFonts w:ascii="Arial" w:hAnsi="Arial" w:cs="Arial"/>
                <w:sz w:val="16"/>
                <w:szCs w:val="16"/>
              </w:rPr>
              <w:t>Surplus/(deficit) for the period</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(47)</w:t>
            </w:r>
          </w:p>
        </w:tc>
        <w:tc>
          <w:tcPr>
            <w:tcW w:w="1191" w:type="dxa"/>
            <w:tcBorders>
              <w:top w:val="nil"/>
              <w:left w:val="nil"/>
              <w:bottom w:val="nil"/>
              <w:right w:val="nil"/>
            </w:tcBorders>
            <w:shd w:val="clear" w:color="auto" w:fill="auto"/>
            <w:noWrap/>
            <w:vAlign w:val="center"/>
            <w:hideMark/>
          </w:tcPr>
          <w:p w:rsidR="007456D4" w:rsidRPr="007456D4" w:rsidRDefault="00731266" w:rsidP="007456D4">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(47)</w:t>
            </w:r>
          </w:p>
        </w:tc>
      </w:tr>
      <w:tr w:rsidR="007456D4" w:rsidRPr="007456D4" w:rsidTr="00D74812">
        <w:trPr>
          <w:trHeight w:val="227"/>
        </w:trPr>
        <w:tc>
          <w:tcPr>
            <w:tcW w:w="4167" w:type="dxa"/>
            <w:tcBorders>
              <w:top w:val="nil"/>
              <w:left w:val="nil"/>
              <w:bottom w:val="nil"/>
              <w:right w:val="nil"/>
            </w:tcBorders>
            <w:shd w:val="clear" w:color="auto" w:fill="auto"/>
            <w:vAlign w:val="center"/>
            <w:hideMark/>
          </w:tcPr>
          <w:p w:rsidR="007456D4" w:rsidRPr="007456D4" w:rsidRDefault="007456D4" w:rsidP="007456D4">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comprehensive income</w:t>
            </w:r>
          </w:p>
        </w:tc>
        <w:tc>
          <w:tcPr>
            <w:tcW w:w="1191" w:type="dxa"/>
            <w:tcBorders>
              <w:top w:val="single" w:sz="4" w:space="0" w:color="000000"/>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(47)</w:t>
            </w:r>
          </w:p>
        </w:tc>
        <w:tc>
          <w:tcPr>
            <w:tcW w:w="1191" w:type="dxa"/>
            <w:tcBorders>
              <w:top w:val="single" w:sz="4" w:space="0" w:color="000000"/>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 </w:t>
            </w:r>
          </w:p>
        </w:tc>
        <w:tc>
          <w:tcPr>
            <w:tcW w:w="1191" w:type="dxa"/>
            <w:tcBorders>
              <w:top w:val="single" w:sz="4" w:space="0" w:color="000000"/>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(47)</w:t>
            </w: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of which:</w:t>
            </w:r>
          </w:p>
        </w:tc>
        <w:tc>
          <w:tcPr>
            <w:tcW w:w="1191" w:type="dxa"/>
            <w:tcBorders>
              <w:top w:val="single" w:sz="4" w:space="0" w:color="000000"/>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1191" w:type="dxa"/>
            <w:tcBorders>
              <w:top w:val="single" w:sz="4" w:space="0" w:color="000000"/>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1191" w:type="dxa"/>
            <w:tcBorders>
              <w:top w:val="single" w:sz="4" w:space="0" w:color="000000"/>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r>
      <w:tr w:rsidR="007456D4" w:rsidRPr="007456D4" w:rsidTr="00D74812">
        <w:trPr>
          <w:trHeight w:val="227"/>
        </w:trPr>
        <w:tc>
          <w:tcPr>
            <w:tcW w:w="4167" w:type="dxa"/>
            <w:tcBorders>
              <w:top w:val="nil"/>
              <w:left w:val="nil"/>
              <w:bottom w:val="nil"/>
              <w:right w:val="nil"/>
            </w:tcBorders>
            <w:shd w:val="clear" w:color="auto" w:fill="auto"/>
            <w:vAlign w:val="center"/>
            <w:hideMark/>
          </w:tcPr>
          <w:p w:rsidR="007456D4" w:rsidRPr="007456D4" w:rsidRDefault="007456D4" w:rsidP="007456D4">
            <w:pPr>
              <w:spacing w:after="0" w:line="240" w:lineRule="auto"/>
              <w:ind w:firstLineChars="200" w:firstLine="320"/>
              <w:rPr>
                <w:rFonts w:ascii="Arial" w:hAnsi="Arial" w:cs="Arial"/>
                <w:color w:val="000000"/>
                <w:sz w:val="16"/>
                <w:szCs w:val="16"/>
              </w:rPr>
            </w:pPr>
            <w:r w:rsidRPr="007456D4">
              <w:rPr>
                <w:rFonts w:ascii="Arial" w:hAnsi="Arial" w:cs="Arial"/>
                <w:color w:val="000000"/>
                <w:sz w:val="16"/>
                <w:szCs w:val="16"/>
              </w:rPr>
              <w:t>Attributable to the Australian Government</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(47)</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(47)</w:t>
            </w: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Transactions with owners</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Contributions by owners</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ind w:firstLineChars="200" w:firstLine="320"/>
              <w:rPr>
                <w:rFonts w:ascii="Arial" w:hAnsi="Arial" w:cs="Arial"/>
                <w:color w:val="000000"/>
                <w:sz w:val="16"/>
                <w:szCs w:val="16"/>
              </w:rPr>
            </w:pPr>
            <w:r w:rsidRPr="007456D4">
              <w:rPr>
                <w:rFonts w:ascii="Arial" w:hAnsi="Arial" w:cs="Arial"/>
                <w:color w:val="000000"/>
                <w:sz w:val="16"/>
                <w:szCs w:val="16"/>
              </w:rPr>
              <w:t>Departmental Capital Budget (DCB)</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59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59 </w:t>
            </w:r>
          </w:p>
        </w:tc>
      </w:tr>
      <w:tr w:rsidR="007456D4" w:rsidRPr="007456D4" w:rsidTr="00D74812">
        <w:trPr>
          <w:trHeight w:val="227"/>
        </w:trPr>
        <w:tc>
          <w:tcPr>
            <w:tcW w:w="4167" w:type="dxa"/>
            <w:tcBorders>
              <w:top w:val="nil"/>
              <w:left w:val="nil"/>
              <w:bottom w:val="nil"/>
              <w:right w:val="nil"/>
            </w:tcBorders>
            <w:shd w:val="clear" w:color="auto" w:fill="auto"/>
            <w:vAlign w:val="center"/>
            <w:hideMark/>
          </w:tcPr>
          <w:p w:rsidR="007456D4" w:rsidRPr="007456D4" w:rsidRDefault="007456D4" w:rsidP="007456D4">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Sub-total transactions with owners</w:t>
            </w:r>
          </w:p>
        </w:tc>
        <w:tc>
          <w:tcPr>
            <w:tcW w:w="1191"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 </w:t>
            </w:r>
          </w:p>
        </w:tc>
        <w:tc>
          <w:tcPr>
            <w:tcW w:w="1191"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59 </w:t>
            </w:r>
          </w:p>
        </w:tc>
        <w:tc>
          <w:tcPr>
            <w:tcW w:w="1191" w:type="dxa"/>
            <w:tcBorders>
              <w:top w:val="single" w:sz="4" w:space="0" w:color="000000"/>
              <w:left w:val="nil"/>
              <w:bottom w:val="single" w:sz="4" w:space="0" w:color="000000"/>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59 </w:t>
            </w: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Transfers between equity</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p>
        </w:tc>
      </w:tr>
      <w:tr w:rsidR="007456D4" w:rsidRPr="007456D4" w:rsidTr="00D74812">
        <w:trPr>
          <w:trHeight w:val="227"/>
        </w:trPr>
        <w:tc>
          <w:tcPr>
            <w:tcW w:w="4167" w:type="dxa"/>
            <w:tcBorders>
              <w:top w:val="nil"/>
              <w:left w:val="nil"/>
              <w:bottom w:val="nil"/>
              <w:right w:val="nil"/>
            </w:tcBorders>
            <w:shd w:val="clear" w:color="auto" w:fill="auto"/>
            <w:vAlign w:val="center"/>
            <w:hideMark/>
          </w:tcPr>
          <w:p w:rsidR="007456D4" w:rsidRPr="007456D4" w:rsidRDefault="007456D4" w:rsidP="007456D4">
            <w:pPr>
              <w:spacing w:after="0" w:line="240" w:lineRule="auto"/>
              <w:ind w:firstLineChars="200" w:firstLine="320"/>
              <w:rPr>
                <w:rFonts w:ascii="Arial" w:hAnsi="Arial" w:cs="Arial"/>
                <w:color w:val="000000"/>
                <w:sz w:val="16"/>
                <w:szCs w:val="16"/>
              </w:rPr>
            </w:pPr>
            <w:r w:rsidRPr="007456D4">
              <w:rPr>
                <w:rFonts w:ascii="Arial" w:hAnsi="Arial" w:cs="Arial"/>
                <w:color w:val="000000"/>
                <w:sz w:val="16"/>
                <w:szCs w:val="16"/>
              </w:rPr>
              <w:t>Transfers between equity components</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r>
      <w:tr w:rsidR="007456D4" w:rsidRPr="007456D4" w:rsidTr="00D74812">
        <w:trPr>
          <w:trHeight w:val="227"/>
        </w:trPr>
        <w:tc>
          <w:tcPr>
            <w:tcW w:w="4167" w:type="dxa"/>
            <w:tcBorders>
              <w:top w:val="nil"/>
              <w:left w:val="nil"/>
              <w:bottom w:val="nil"/>
              <w:right w:val="nil"/>
            </w:tcBorders>
            <w:shd w:val="clear" w:color="auto" w:fill="auto"/>
            <w:vAlign w:val="center"/>
            <w:hideMark/>
          </w:tcPr>
          <w:p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Estimated closing balance as at 30 June 2019</w:t>
            </w:r>
          </w:p>
        </w:tc>
        <w:tc>
          <w:tcPr>
            <w:tcW w:w="1191" w:type="dxa"/>
            <w:tcBorders>
              <w:top w:val="single" w:sz="4" w:space="0" w:color="auto"/>
              <w:left w:val="nil"/>
              <w:bottom w:val="single" w:sz="4" w:space="0" w:color="auto"/>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3,311 </w:t>
            </w:r>
          </w:p>
        </w:tc>
        <w:tc>
          <w:tcPr>
            <w:tcW w:w="1191" w:type="dxa"/>
            <w:tcBorders>
              <w:top w:val="single" w:sz="4" w:space="0" w:color="auto"/>
              <w:left w:val="nil"/>
              <w:bottom w:val="single" w:sz="4" w:space="0" w:color="auto"/>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361 </w:t>
            </w:r>
          </w:p>
        </w:tc>
        <w:tc>
          <w:tcPr>
            <w:tcW w:w="1191" w:type="dxa"/>
            <w:tcBorders>
              <w:top w:val="single" w:sz="4" w:space="0" w:color="auto"/>
              <w:left w:val="nil"/>
              <w:bottom w:val="single" w:sz="4" w:space="0" w:color="auto"/>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r>
      <w:tr w:rsidR="007456D4" w:rsidRPr="007456D4" w:rsidTr="007456D4">
        <w:trPr>
          <w:trHeight w:val="225"/>
        </w:trPr>
        <w:tc>
          <w:tcPr>
            <w:tcW w:w="4167" w:type="dxa"/>
            <w:tcBorders>
              <w:top w:val="nil"/>
              <w:left w:val="nil"/>
              <w:bottom w:val="nil"/>
              <w:right w:val="nil"/>
            </w:tcBorders>
            <w:shd w:val="clear" w:color="auto" w:fill="auto"/>
            <w:noWrap/>
            <w:vAlign w:val="center"/>
            <w:hideMark/>
          </w:tcPr>
          <w:p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Less: non-controlling interests</w:t>
            </w:r>
          </w:p>
        </w:tc>
        <w:tc>
          <w:tcPr>
            <w:tcW w:w="1191" w:type="dxa"/>
            <w:tcBorders>
              <w:top w:val="nil"/>
              <w:left w:val="nil"/>
              <w:bottom w:val="single" w:sz="4" w:space="0" w:color="auto"/>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single" w:sz="4" w:space="0" w:color="auto"/>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single" w:sz="4" w:space="0" w:color="auto"/>
              <w:right w:val="nil"/>
            </w:tcBorders>
            <w:shd w:val="clear" w:color="auto" w:fill="auto"/>
            <w:noWrap/>
            <w:vAlign w:val="center"/>
            <w:hideMark/>
          </w:tcPr>
          <w:p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r>
      <w:tr w:rsidR="007456D4" w:rsidRPr="007456D4" w:rsidTr="00D74812">
        <w:trPr>
          <w:trHeight w:val="397"/>
        </w:trPr>
        <w:tc>
          <w:tcPr>
            <w:tcW w:w="4167" w:type="dxa"/>
            <w:tcBorders>
              <w:top w:val="nil"/>
              <w:left w:val="nil"/>
              <w:bottom w:val="single" w:sz="4" w:space="0" w:color="000000"/>
              <w:right w:val="nil"/>
            </w:tcBorders>
            <w:shd w:val="clear" w:color="auto" w:fill="auto"/>
            <w:vAlign w:val="bottom"/>
            <w:hideMark/>
          </w:tcPr>
          <w:p w:rsidR="007456D4" w:rsidRPr="007456D4" w:rsidRDefault="007456D4" w:rsidP="007456D4">
            <w:pPr>
              <w:spacing w:after="0" w:line="240" w:lineRule="auto"/>
              <w:ind w:left="191" w:hanging="191"/>
              <w:rPr>
                <w:rFonts w:ascii="Arial" w:hAnsi="Arial" w:cs="Arial"/>
                <w:b/>
                <w:bCs/>
                <w:color w:val="000000"/>
                <w:sz w:val="16"/>
                <w:szCs w:val="16"/>
              </w:rPr>
            </w:pPr>
            <w:r w:rsidRPr="007456D4">
              <w:rPr>
                <w:rFonts w:ascii="Arial" w:hAnsi="Arial" w:cs="Arial"/>
                <w:b/>
                <w:bCs/>
                <w:color w:val="000000"/>
                <w:sz w:val="16"/>
                <w:szCs w:val="16"/>
              </w:rPr>
              <w:t xml:space="preserve">Closing balance attributable to the </w:t>
            </w:r>
            <w:r>
              <w:rPr>
                <w:rFonts w:ascii="Arial" w:hAnsi="Arial" w:cs="Arial"/>
                <w:b/>
                <w:bCs/>
                <w:color w:val="000000"/>
                <w:sz w:val="16"/>
                <w:szCs w:val="16"/>
              </w:rPr>
              <w:br/>
            </w:r>
            <w:r w:rsidRPr="007456D4">
              <w:rPr>
                <w:rFonts w:ascii="Arial" w:hAnsi="Arial" w:cs="Arial"/>
                <w:b/>
                <w:bCs/>
                <w:color w:val="000000"/>
                <w:sz w:val="16"/>
                <w:szCs w:val="16"/>
              </w:rPr>
              <w:t>Australian Government</w:t>
            </w:r>
          </w:p>
        </w:tc>
        <w:tc>
          <w:tcPr>
            <w:tcW w:w="1191" w:type="dxa"/>
            <w:tcBorders>
              <w:top w:val="nil"/>
              <w:left w:val="nil"/>
              <w:bottom w:val="single" w:sz="4" w:space="0" w:color="auto"/>
              <w:right w:val="nil"/>
            </w:tcBorders>
            <w:shd w:val="clear" w:color="auto" w:fill="auto"/>
            <w:noWrap/>
            <w:vAlign w:val="bottom"/>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3,311 </w:t>
            </w:r>
          </w:p>
        </w:tc>
        <w:tc>
          <w:tcPr>
            <w:tcW w:w="1191" w:type="dxa"/>
            <w:tcBorders>
              <w:top w:val="nil"/>
              <w:left w:val="nil"/>
              <w:bottom w:val="single" w:sz="4" w:space="0" w:color="auto"/>
              <w:right w:val="nil"/>
            </w:tcBorders>
            <w:shd w:val="clear" w:color="auto" w:fill="auto"/>
            <w:noWrap/>
            <w:vAlign w:val="bottom"/>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361 </w:t>
            </w:r>
          </w:p>
        </w:tc>
        <w:tc>
          <w:tcPr>
            <w:tcW w:w="1191" w:type="dxa"/>
            <w:tcBorders>
              <w:top w:val="nil"/>
              <w:left w:val="nil"/>
              <w:bottom w:val="single" w:sz="4" w:space="0" w:color="auto"/>
              <w:right w:val="nil"/>
            </w:tcBorders>
            <w:shd w:val="clear" w:color="auto" w:fill="auto"/>
            <w:noWrap/>
            <w:vAlign w:val="bottom"/>
            <w:hideMark/>
          </w:tcPr>
          <w:p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r>
    </w:tbl>
    <w:p w:rsidR="00A02077" w:rsidRDefault="00A02077" w:rsidP="00A02077">
      <w:pPr>
        <w:pStyle w:val="ChartandTableFootnote"/>
      </w:pPr>
      <w:r>
        <w:t>Prepared on Australian Accounting Standards basis.</w:t>
      </w:r>
    </w:p>
    <w:p w:rsidR="00A02077" w:rsidRDefault="00A02077" w:rsidP="00A02077">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59" w:type="dxa"/>
        <w:tblInd w:w="93" w:type="dxa"/>
        <w:tblLook w:val="04A0" w:firstRow="1" w:lastRow="0" w:firstColumn="1" w:lastColumn="0" w:noHBand="0" w:noVBand="1"/>
      </w:tblPr>
      <w:tblGrid>
        <w:gridCol w:w="3203"/>
        <w:gridCol w:w="928"/>
        <w:gridCol w:w="907"/>
        <w:gridCol w:w="907"/>
        <w:gridCol w:w="907"/>
        <w:gridCol w:w="907"/>
      </w:tblGrid>
      <w:tr w:rsidR="00D74812" w:rsidRPr="00D74812" w:rsidTr="00D74812">
        <w:trPr>
          <w:trHeight w:val="794"/>
        </w:trPr>
        <w:tc>
          <w:tcPr>
            <w:tcW w:w="3203" w:type="dxa"/>
            <w:tcBorders>
              <w:top w:val="single" w:sz="4" w:space="0" w:color="auto"/>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sz w:val="16"/>
                <w:szCs w:val="16"/>
              </w:rPr>
            </w:pPr>
            <w:r w:rsidRPr="00D74812">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2017–18 Estimated actual</w:t>
            </w:r>
            <w:r w:rsidRPr="00D7481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2018–19</w:t>
            </w:r>
            <w:r w:rsidRPr="00D74812">
              <w:rPr>
                <w:rFonts w:ascii="Arial" w:hAnsi="Arial" w:cs="Arial"/>
                <w:sz w:val="16"/>
                <w:szCs w:val="16"/>
              </w:rPr>
              <w:br/>
              <w:t>Budget</w:t>
            </w:r>
            <w:r w:rsidRPr="00D74812">
              <w:rPr>
                <w:rFonts w:ascii="Arial" w:hAnsi="Arial" w:cs="Arial"/>
                <w:sz w:val="16"/>
                <w:szCs w:val="16"/>
              </w:rPr>
              <w:br/>
            </w:r>
            <w:r w:rsidRPr="00D7481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2019–20 Forward estimate</w:t>
            </w:r>
            <w:r w:rsidRPr="00D7481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2020–21 Forward estimate</w:t>
            </w:r>
            <w:r w:rsidRPr="00D7481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2021–22</w:t>
            </w:r>
            <w:r w:rsidRPr="00D74812">
              <w:rPr>
                <w:rFonts w:ascii="Arial" w:hAnsi="Arial" w:cs="Arial"/>
                <w:sz w:val="16"/>
                <w:szCs w:val="16"/>
              </w:rPr>
              <w:br/>
              <w:t>Forward estimate</w:t>
            </w:r>
            <w:r w:rsidRPr="00D74812">
              <w:rPr>
                <w:rFonts w:ascii="Arial" w:hAnsi="Arial" w:cs="Arial"/>
                <w:sz w:val="16"/>
                <w:szCs w:val="16"/>
              </w:rPr>
              <w:br/>
              <w:t>$'000</w:t>
            </w: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Appropriations</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3,996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3,318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3,313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3,323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3,333 </w:t>
            </w:r>
          </w:p>
        </w:tc>
      </w:tr>
      <w:tr w:rsidR="00D74812" w:rsidRPr="00D74812" w:rsidTr="00D74812">
        <w:trPr>
          <w:trHeight w:val="227"/>
        </w:trPr>
        <w:tc>
          <w:tcPr>
            <w:tcW w:w="3203" w:type="dxa"/>
            <w:tcBorders>
              <w:top w:val="nil"/>
              <w:left w:val="nil"/>
              <w:bottom w:val="nil"/>
              <w:right w:val="nil"/>
            </w:tcBorders>
            <w:shd w:val="clear" w:color="auto" w:fill="auto"/>
            <w:vAlign w:val="center"/>
            <w:hideMark/>
          </w:tcPr>
          <w:p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Sale of goods and rendering of services</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240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225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225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225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200 </w:t>
            </w:r>
          </w:p>
        </w:tc>
      </w:tr>
      <w:tr w:rsidR="00D74812" w:rsidRPr="00D74812" w:rsidTr="00D74812">
        <w:trPr>
          <w:trHeight w:val="227"/>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4,236 </w:t>
            </w:r>
          </w:p>
        </w:tc>
        <w:tc>
          <w:tcPr>
            <w:tcW w:w="907" w:type="dxa"/>
            <w:tcBorders>
              <w:top w:val="single" w:sz="4" w:space="0" w:color="000000"/>
              <w:left w:val="nil"/>
              <w:bottom w:val="single" w:sz="4" w:space="0" w:color="000000"/>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3,543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3,538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3,548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3,533 </w:t>
            </w: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Employees</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1,583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1,643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1,648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1,691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1,691 </w:t>
            </w: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2,653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1,900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1,890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1,857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1,842 </w:t>
            </w:r>
          </w:p>
        </w:tc>
      </w:tr>
      <w:tr w:rsidR="00D74812" w:rsidRPr="00D74812" w:rsidTr="00D74812">
        <w:trPr>
          <w:trHeight w:val="227"/>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used</w:t>
            </w:r>
          </w:p>
        </w:tc>
        <w:tc>
          <w:tcPr>
            <w:tcW w:w="928" w:type="dxa"/>
            <w:tcBorders>
              <w:top w:val="single" w:sz="4" w:space="0" w:color="000000"/>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4,236 </w:t>
            </w:r>
          </w:p>
        </w:tc>
        <w:tc>
          <w:tcPr>
            <w:tcW w:w="907" w:type="dxa"/>
            <w:tcBorders>
              <w:top w:val="single" w:sz="4" w:space="0" w:color="000000"/>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3,543 </w:t>
            </w:r>
          </w:p>
        </w:tc>
        <w:tc>
          <w:tcPr>
            <w:tcW w:w="907" w:type="dxa"/>
            <w:tcBorders>
              <w:top w:val="single" w:sz="4" w:space="0" w:color="000000"/>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3,538 </w:t>
            </w:r>
          </w:p>
        </w:tc>
        <w:tc>
          <w:tcPr>
            <w:tcW w:w="907" w:type="dxa"/>
            <w:tcBorders>
              <w:top w:val="single" w:sz="4" w:space="0" w:color="000000"/>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3,548 </w:t>
            </w:r>
          </w:p>
        </w:tc>
        <w:tc>
          <w:tcPr>
            <w:tcW w:w="907" w:type="dxa"/>
            <w:tcBorders>
              <w:top w:val="single" w:sz="4" w:space="0" w:color="000000"/>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3,533 </w:t>
            </w:r>
          </w:p>
        </w:tc>
      </w:tr>
      <w:tr w:rsidR="00D74812" w:rsidRPr="00D74812" w:rsidTr="00885E03">
        <w:trPr>
          <w:trHeight w:val="397"/>
        </w:trPr>
        <w:tc>
          <w:tcPr>
            <w:tcW w:w="3203" w:type="dxa"/>
            <w:tcBorders>
              <w:top w:val="nil"/>
              <w:left w:val="nil"/>
              <w:bottom w:val="nil"/>
              <w:right w:val="nil"/>
            </w:tcBorders>
            <w:shd w:val="clear" w:color="auto" w:fill="auto"/>
            <w:vAlign w:val="center"/>
            <w:hideMark/>
          </w:tcPr>
          <w:p w:rsidR="00D74812" w:rsidRPr="00D74812" w:rsidRDefault="00D74812" w:rsidP="00885E03">
            <w:pPr>
              <w:spacing w:after="0" w:line="240" w:lineRule="auto"/>
              <w:ind w:left="191" w:hanging="191"/>
              <w:rPr>
                <w:rFonts w:ascii="Arial" w:hAnsi="Arial" w:cs="Arial"/>
                <w:b/>
                <w:bCs/>
                <w:color w:val="000000"/>
                <w:sz w:val="16"/>
                <w:szCs w:val="16"/>
              </w:rPr>
            </w:pPr>
            <w:r w:rsidRPr="00D74812">
              <w:rPr>
                <w:rFonts w:ascii="Arial" w:hAnsi="Arial" w:cs="Arial"/>
                <w:b/>
                <w:bCs/>
                <w:color w:val="000000"/>
                <w:sz w:val="16"/>
                <w:szCs w:val="16"/>
              </w:rPr>
              <w:t>Net cash from/(used by)</w:t>
            </w:r>
            <w:r>
              <w:rPr>
                <w:rFonts w:ascii="Arial" w:hAnsi="Arial" w:cs="Arial"/>
                <w:b/>
                <w:bCs/>
                <w:color w:val="000000"/>
                <w:sz w:val="16"/>
                <w:szCs w:val="16"/>
              </w:rPr>
              <w:t xml:space="preserve"> </w:t>
            </w:r>
            <w:r w:rsidRPr="00D74812">
              <w:rPr>
                <w:rFonts w:ascii="Arial" w:hAnsi="Arial" w:cs="Arial"/>
                <w:b/>
                <w:bCs/>
                <w:color w:val="000000"/>
                <w:sz w:val="16"/>
                <w:szCs w:val="16"/>
              </w:rPr>
              <w:t>operating activities</w:t>
            </w:r>
          </w:p>
        </w:tc>
        <w:tc>
          <w:tcPr>
            <w:tcW w:w="928" w:type="dxa"/>
            <w:tcBorders>
              <w:top w:val="single" w:sz="4" w:space="0" w:color="auto"/>
              <w:left w:val="nil"/>
              <w:bottom w:val="single" w:sz="4" w:space="0" w:color="auto"/>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INVESTING ACTIVITIES</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r>
      <w:tr w:rsidR="00D74812" w:rsidRPr="00D74812" w:rsidTr="00885E03">
        <w:trPr>
          <w:trHeight w:val="227"/>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r>
      <w:tr w:rsidR="00D74812" w:rsidRPr="00D74812" w:rsidTr="00885E03">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885E03">
        <w:trPr>
          <w:trHeight w:val="397"/>
        </w:trPr>
        <w:tc>
          <w:tcPr>
            <w:tcW w:w="3203" w:type="dxa"/>
            <w:tcBorders>
              <w:top w:val="nil"/>
              <w:left w:val="nil"/>
              <w:bottom w:val="nil"/>
              <w:right w:val="nil"/>
            </w:tcBorders>
            <w:shd w:val="clear" w:color="auto" w:fill="auto"/>
            <w:vAlign w:val="center"/>
            <w:hideMark/>
          </w:tcPr>
          <w:p w:rsidR="00D74812" w:rsidRPr="00D74812" w:rsidRDefault="00D74812" w:rsidP="00885E03">
            <w:pPr>
              <w:spacing w:after="0" w:line="240" w:lineRule="auto"/>
              <w:ind w:leftChars="80" w:left="333" w:hangingChars="108" w:hanging="173"/>
              <w:rPr>
                <w:rFonts w:ascii="Arial" w:hAnsi="Arial" w:cs="Arial"/>
                <w:color w:val="000000"/>
                <w:sz w:val="16"/>
                <w:szCs w:val="16"/>
              </w:rPr>
            </w:pPr>
            <w:r w:rsidRPr="00D74812">
              <w:rPr>
                <w:rFonts w:ascii="Arial" w:hAnsi="Arial" w:cs="Arial"/>
                <w:color w:val="000000"/>
                <w:sz w:val="16"/>
                <w:szCs w:val="16"/>
              </w:rPr>
              <w:t>Purchase of property, plant and</w:t>
            </w:r>
            <w:r w:rsidR="00885E03">
              <w:rPr>
                <w:rFonts w:ascii="Arial" w:hAnsi="Arial" w:cs="Arial"/>
                <w:color w:val="000000"/>
                <w:sz w:val="16"/>
                <w:szCs w:val="16"/>
              </w:rPr>
              <w:t xml:space="preserve"> </w:t>
            </w:r>
            <w:r w:rsidRPr="00D74812">
              <w:rPr>
                <w:rFonts w:ascii="Arial" w:hAnsi="Arial" w:cs="Arial"/>
                <w:color w:val="000000"/>
                <w:sz w:val="16"/>
                <w:szCs w:val="16"/>
              </w:rPr>
              <w:t>equipment and intangibles</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60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58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r>
      <w:tr w:rsidR="00D74812" w:rsidRPr="00D74812" w:rsidTr="00885E03">
        <w:trPr>
          <w:trHeight w:val="227"/>
        </w:trPr>
        <w:tc>
          <w:tcPr>
            <w:tcW w:w="3203" w:type="dxa"/>
            <w:tcBorders>
              <w:top w:val="nil"/>
              <w:left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60 </w:t>
            </w:r>
          </w:p>
        </w:tc>
        <w:tc>
          <w:tcPr>
            <w:tcW w:w="907" w:type="dxa"/>
            <w:tcBorders>
              <w:top w:val="single" w:sz="4" w:space="0" w:color="000000"/>
              <w:left w:val="nil"/>
              <w:bottom w:val="single" w:sz="4" w:space="0" w:color="000000"/>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58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r>
      <w:tr w:rsidR="00D74812" w:rsidRPr="00D74812" w:rsidTr="00885E03">
        <w:trPr>
          <w:trHeight w:val="397"/>
        </w:trPr>
        <w:tc>
          <w:tcPr>
            <w:tcW w:w="3203" w:type="dxa"/>
            <w:tcBorders>
              <w:top w:val="nil"/>
              <w:left w:val="nil"/>
              <w:right w:val="nil"/>
            </w:tcBorders>
            <w:shd w:val="clear" w:color="auto" w:fill="auto"/>
            <w:vAlign w:val="center"/>
            <w:hideMark/>
          </w:tcPr>
          <w:p w:rsidR="00D74812" w:rsidRPr="00D74812" w:rsidRDefault="00D74812" w:rsidP="00885E03">
            <w:pPr>
              <w:spacing w:after="0" w:line="240" w:lineRule="auto"/>
              <w:ind w:left="191" w:hanging="191"/>
              <w:rPr>
                <w:rFonts w:ascii="Arial" w:hAnsi="Arial" w:cs="Arial"/>
                <w:b/>
                <w:bCs/>
                <w:color w:val="000000"/>
                <w:sz w:val="16"/>
                <w:szCs w:val="16"/>
              </w:rPr>
            </w:pPr>
            <w:r w:rsidRPr="00D74812">
              <w:rPr>
                <w:rFonts w:ascii="Arial" w:hAnsi="Arial" w:cs="Arial"/>
                <w:b/>
                <w:bCs/>
                <w:color w:val="000000"/>
                <w:sz w:val="16"/>
                <w:szCs w:val="16"/>
              </w:rPr>
              <w:t>Net cash from/(used by) investing activities</w:t>
            </w:r>
          </w:p>
        </w:tc>
        <w:tc>
          <w:tcPr>
            <w:tcW w:w="928" w:type="dxa"/>
            <w:tcBorders>
              <w:top w:val="nil"/>
              <w:left w:val="nil"/>
              <w:bottom w:val="single" w:sz="4" w:space="0" w:color="auto"/>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(60)</w:t>
            </w:r>
          </w:p>
        </w:tc>
        <w:tc>
          <w:tcPr>
            <w:tcW w:w="907" w:type="dxa"/>
            <w:tcBorders>
              <w:top w:val="nil"/>
              <w:left w:val="nil"/>
              <w:bottom w:val="single" w:sz="4" w:space="0" w:color="auto"/>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(59)</w:t>
            </w:r>
          </w:p>
        </w:tc>
        <w:tc>
          <w:tcPr>
            <w:tcW w:w="907" w:type="dxa"/>
            <w:tcBorders>
              <w:top w:val="nil"/>
              <w:left w:val="nil"/>
              <w:bottom w:val="single" w:sz="4" w:space="0" w:color="auto"/>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(59)</w:t>
            </w:r>
          </w:p>
        </w:tc>
        <w:tc>
          <w:tcPr>
            <w:tcW w:w="907" w:type="dxa"/>
            <w:tcBorders>
              <w:top w:val="nil"/>
              <w:left w:val="nil"/>
              <w:bottom w:val="single" w:sz="4" w:space="0" w:color="auto"/>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(58)</w:t>
            </w:r>
          </w:p>
        </w:tc>
        <w:tc>
          <w:tcPr>
            <w:tcW w:w="907" w:type="dxa"/>
            <w:tcBorders>
              <w:top w:val="nil"/>
              <w:left w:val="nil"/>
              <w:bottom w:val="single" w:sz="4" w:space="0" w:color="auto"/>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(59)</w:t>
            </w:r>
          </w:p>
        </w:tc>
      </w:tr>
      <w:tr w:rsidR="00D74812" w:rsidRPr="00D74812" w:rsidTr="00D74812">
        <w:trPr>
          <w:trHeight w:val="225"/>
        </w:trPr>
        <w:tc>
          <w:tcPr>
            <w:tcW w:w="3203" w:type="dxa"/>
            <w:tcBorders>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FINANCING ACTIVITIES</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60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58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r>
      <w:tr w:rsidR="00D74812" w:rsidRPr="00D74812" w:rsidTr="00885E03">
        <w:trPr>
          <w:trHeight w:val="227"/>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60 </w:t>
            </w:r>
          </w:p>
        </w:tc>
        <w:tc>
          <w:tcPr>
            <w:tcW w:w="907" w:type="dxa"/>
            <w:tcBorders>
              <w:top w:val="single" w:sz="4" w:space="0" w:color="000000"/>
              <w:left w:val="nil"/>
              <w:bottom w:val="single" w:sz="4" w:space="0" w:color="000000"/>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58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p>
        </w:tc>
      </w:tr>
      <w:tr w:rsidR="00D74812" w:rsidRPr="00D74812" w:rsidTr="00D74812">
        <w:trPr>
          <w:trHeight w:val="225"/>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r>
      <w:tr w:rsidR="00D74812" w:rsidRPr="00D74812" w:rsidTr="00885E03">
        <w:trPr>
          <w:trHeight w:val="227"/>
        </w:trPr>
        <w:tc>
          <w:tcPr>
            <w:tcW w:w="3203"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r>
      <w:tr w:rsidR="00D74812" w:rsidRPr="00D74812" w:rsidTr="00885E03">
        <w:trPr>
          <w:trHeight w:val="397"/>
        </w:trPr>
        <w:tc>
          <w:tcPr>
            <w:tcW w:w="3203" w:type="dxa"/>
            <w:tcBorders>
              <w:top w:val="nil"/>
              <w:left w:val="nil"/>
              <w:bottom w:val="nil"/>
              <w:right w:val="nil"/>
            </w:tcBorders>
            <w:shd w:val="clear" w:color="auto" w:fill="auto"/>
            <w:vAlign w:val="center"/>
            <w:hideMark/>
          </w:tcPr>
          <w:p w:rsidR="00D74812" w:rsidRPr="00D74812" w:rsidRDefault="00D74812" w:rsidP="00885E03">
            <w:pPr>
              <w:spacing w:after="0" w:line="240" w:lineRule="auto"/>
              <w:ind w:left="191" w:hanging="191"/>
              <w:rPr>
                <w:rFonts w:ascii="Arial" w:hAnsi="Arial" w:cs="Arial"/>
                <w:b/>
                <w:bCs/>
                <w:color w:val="000000"/>
                <w:sz w:val="16"/>
                <w:szCs w:val="16"/>
              </w:rPr>
            </w:pPr>
            <w:r w:rsidRPr="00D74812">
              <w:rPr>
                <w:rFonts w:ascii="Arial" w:hAnsi="Arial" w:cs="Arial"/>
                <w:b/>
                <w:bCs/>
                <w:color w:val="000000"/>
                <w:sz w:val="16"/>
                <w:szCs w:val="16"/>
              </w:rPr>
              <w:t>Net cash from/(used by)</w:t>
            </w:r>
            <w:r w:rsidR="00885E03">
              <w:rPr>
                <w:rFonts w:ascii="Arial" w:hAnsi="Arial" w:cs="Arial"/>
                <w:b/>
                <w:bCs/>
                <w:color w:val="000000"/>
                <w:sz w:val="16"/>
                <w:szCs w:val="16"/>
              </w:rPr>
              <w:t xml:space="preserve"> </w:t>
            </w:r>
            <w:r w:rsidRPr="00D74812">
              <w:rPr>
                <w:rFonts w:ascii="Arial" w:hAnsi="Arial" w:cs="Arial"/>
                <w:b/>
                <w:bCs/>
                <w:color w:val="000000"/>
                <w:sz w:val="16"/>
                <w:szCs w:val="16"/>
              </w:rPr>
              <w:t>financing activities</w:t>
            </w:r>
          </w:p>
        </w:tc>
        <w:tc>
          <w:tcPr>
            <w:tcW w:w="928" w:type="dxa"/>
            <w:tcBorders>
              <w:top w:val="nil"/>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60 </w:t>
            </w:r>
          </w:p>
        </w:tc>
        <w:tc>
          <w:tcPr>
            <w:tcW w:w="907" w:type="dxa"/>
            <w:tcBorders>
              <w:top w:val="nil"/>
              <w:left w:val="nil"/>
              <w:bottom w:val="single" w:sz="4" w:space="0" w:color="000000"/>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59 </w:t>
            </w:r>
          </w:p>
        </w:tc>
        <w:tc>
          <w:tcPr>
            <w:tcW w:w="907" w:type="dxa"/>
            <w:tcBorders>
              <w:top w:val="nil"/>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59 </w:t>
            </w:r>
          </w:p>
        </w:tc>
        <w:tc>
          <w:tcPr>
            <w:tcW w:w="907" w:type="dxa"/>
            <w:tcBorders>
              <w:top w:val="nil"/>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58 </w:t>
            </w:r>
          </w:p>
        </w:tc>
        <w:tc>
          <w:tcPr>
            <w:tcW w:w="907" w:type="dxa"/>
            <w:tcBorders>
              <w:top w:val="nil"/>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59 </w:t>
            </w:r>
          </w:p>
        </w:tc>
      </w:tr>
      <w:tr w:rsidR="00D74812" w:rsidRPr="00D74812" w:rsidTr="00885E03">
        <w:trPr>
          <w:trHeight w:val="227"/>
        </w:trPr>
        <w:tc>
          <w:tcPr>
            <w:tcW w:w="3203" w:type="dxa"/>
            <w:tcBorders>
              <w:top w:val="nil"/>
              <w:left w:val="nil"/>
              <w:bottom w:val="nil"/>
              <w:right w:val="nil"/>
            </w:tcBorders>
            <w:shd w:val="clear" w:color="auto" w:fill="auto"/>
            <w:vAlign w:val="center"/>
            <w:hideMark/>
          </w:tcPr>
          <w:p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Net increase/(decrease) in cash held</w:t>
            </w:r>
          </w:p>
        </w:tc>
        <w:tc>
          <w:tcPr>
            <w:tcW w:w="928" w:type="dxa"/>
            <w:tcBorders>
              <w:top w:val="nil"/>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r>
      <w:tr w:rsidR="00D74812" w:rsidRPr="00D74812" w:rsidTr="00885E03">
        <w:trPr>
          <w:trHeight w:val="397"/>
        </w:trPr>
        <w:tc>
          <w:tcPr>
            <w:tcW w:w="3203" w:type="dxa"/>
            <w:tcBorders>
              <w:top w:val="nil"/>
              <w:left w:val="nil"/>
              <w:bottom w:val="nil"/>
              <w:right w:val="nil"/>
            </w:tcBorders>
            <w:shd w:val="clear" w:color="auto" w:fill="auto"/>
            <w:vAlign w:val="center"/>
            <w:hideMark/>
          </w:tcPr>
          <w:p w:rsidR="00D74812" w:rsidRPr="00D74812" w:rsidRDefault="00D74812" w:rsidP="00885E03">
            <w:pPr>
              <w:spacing w:after="0" w:line="240" w:lineRule="auto"/>
              <w:ind w:leftChars="80" w:left="333" w:hangingChars="108" w:hanging="173"/>
              <w:rPr>
                <w:rFonts w:ascii="Arial" w:hAnsi="Arial" w:cs="Arial"/>
                <w:color w:val="000000"/>
                <w:sz w:val="16"/>
                <w:szCs w:val="16"/>
              </w:rPr>
            </w:pPr>
            <w:r w:rsidRPr="00D74812">
              <w:rPr>
                <w:rFonts w:ascii="Arial" w:hAnsi="Arial" w:cs="Arial"/>
                <w:color w:val="000000"/>
                <w:sz w:val="16"/>
                <w:szCs w:val="16"/>
              </w:rPr>
              <w:t>Cash and cash equivalents at the beginning of the reporting period</w:t>
            </w:r>
          </w:p>
        </w:tc>
        <w:tc>
          <w:tcPr>
            <w:tcW w:w="928"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c>
          <w:tcPr>
            <w:tcW w:w="907" w:type="dxa"/>
            <w:tcBorders>
              <w:top w:val="nil"/>
              <w:left w:val="nil"/>
              <w:bottom w:val="nil"/>
              <w:right w:val="nil"/>
            </w:tcBorders>
            <w:shd w:val="clear" w:color="000000" w:fill="E6E6E6"/>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c>
          <w:tcPr>
            <w:tcW w:w="907" w:type="dxa"/>
            <w:tcBorders>
              <w:top w:val="nil"/>
              <w:left w:val="nil"/>
              <w:bottom w:val="nil"/>
              <w:right w:val="nil"/>
            </w:tcBorders>
            <w:shd w:val="clear" w:color="auto" w:fill="auto"/>
            <w:noWrap/>
            <w:vAlign w:val="center"/>
            <w:hideMark/>
          </w:tcPr>
          <w:p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r>
      <w:tr w:rsidR="00D74812" w:rsidRPr="00D74812" w:rsidTr="00885E03">
        <w:trPr>
          <w:trHeight w:val="397"/>
        </w:trPr>
        <w:tc>
          <w:tcPr>
            <w:tcW w:w="3203" w:type="dxa"/>
            <w:tcBorders>
              <w:top w:val="nil"/>
              <w:left w:val="nil"/>
              <w:bottom w:val="single" w:sz="4" w:space="0" w:color="auto"/>
              <w:right w:val="nil"/>
            </w:tcBorders>
            <w:shd w:val="clear" w:color="auto" w:fill="auto"/>
            <w:vAlign w:val="bottom"/>
            <w:hideMark/>
          </w:tcPr>
          <w:p w:rsidR="00D74812" w:rsidRPr="00D74812" w:rsidRDefault="00D74812" w:rsidP="00885E03">
            <w:pPr>
              <w:spacing w:after="0" w:line="240" w:lineRule="auto"/>
              <w:ind w:left="191" w:hanging="191"/>
              <w:rPr>
                <w:rFonts w:ascii="Arial" w:hAnsi="Arial" w:cs="Arial"/>
                <w:b/>
                <w:bCs/>
                <w:color w:val="000000"/>
                <w:sz w:val="16"/>
                <w:szCs w:val="16"/>
              </w:rPr>
            </w:pPr>
            <w:r w:rsidRPr="00D74812">
              <w:rPr>
                <w:rFonts w:ascii="Arial" w:hAnsi="Arial" w:cs="Arial"/>
                <w:b/>
                <w:bCs/>
                <w:color w:val="000000"/>
                <w:sz w:val="16"/>
                <w:szCs w:val="16"/>
              </w:rPr>
              <w:t>Cash and cash equivalents at the end of the reporting period</w:t>
            </w:r>
          </w:p>
        </w:tc>
        <w:tc>
          <w:tcPr>
            <w:tcW w:w="928" w:type="dxa"/>
            <w:tcBorders>
              <w:top w:val="single" w:sz="4" w:space="0" w:color="000000"/>
              <w:left w:val="nil"/>
              <w:bottom w:val="single" w:sz="4" w:space="0" w:color="auto"/>
              <w:right w:val="nil"/>
            </w:tcBorders>
            <w:shd w:val="clear" w:color="auto" w:fill="auto"/>
            <w:noWrap/>
            <w:vAlign w:val="bottom"/>
            <w:hideMark/>
          </w:tcPr>
          <w:p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c>
          <w:tcPr>
            <w:tcW w:w="907" w:type="dxa"/>
            <w:tcBorders>
              <w:top w:val="single" w:sz="4" w:space="0" w:color="000000"/>
              <w:left w:val="nil"/>
              <w:bottom w:val="single" w:sz="4" w:space="0" w:color="auto"/>
              <w:right w:val="nil"/>
            </w:tcBorders>
            <w:shd w:val="clear" w:color="000000" w:fill="E6E6E6"/>
            <w:noWrap/>
            <w:vAlign w:val="bottom"/>
            <w:hideMark/>
          </w:tcPr>
          <w:p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c>
          <w:tcPr>
            <w:tcW w:w="907" w:type="dxa"/>
            <w:tcBorders>
              <w:top w:val="single" w:sz="4" w:space="0" w:color="000000"/>
              <w:left w:val="nil"/>
              <w:bottom w:val="single" w:sz="4" w:space="0" w:color="auto"/>
              <w:right w:val="nil"/>
            </w:tcBorders>
            <w:shd w:val="clear" w:color="auto" w:fill="auto"/>
            <w:noWrap/>
            <w:vAlign w:val="bottom"/>
            <w:hideMark/>
          </w:tcPr>
          <w:p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c>
          <w:tcPr>
            <w:tcW w:w="907" w:type="dxa"/>
            <w:tcBorders>
              <w:top w:val="single" w:sz="4" w:space="0" w:color="000000"/>
              <w:left w:val="nil"/>
              <w:bottom w:val="single" w:sz="4" w:space="0" w:color="auto"/>
              <w:right w:val="nil"/>
            </w:tcBorders>
            <w:shd w:val="clear" w:color="auto" w:fill="auto"/>
            <w:noWrap/>
            <w:vAlign w:val="bottom"/>
            <w:hideMark/>
          </w:tcPr>
          <w:p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c>
          <w:tcPr>
            <w:tcW w:w="907" w:type="dxa"/>
            <w:tcBorders>
              <w:top w:val="single" w:sz="4" w:space="0" w:color="000000"/>
              <w:left w:val="nil"/>
              <w:bottom w:val="single" w:sz="4" w:space="0" w:color="auto"/>
              <w:right w:val="nil"/>
            </w:tcBorders>
            <w:shd w:val="clear" w:color="auto" w:fill="auto"/>
            <w:noWrap/>
            <w:vAlign w:val="bottom"/>
            <w:hideMark/>
          </w:tcPr>
          <w:p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r>
    </w:tbl>
    <w:p w:rsidR="00A02077" w:rsidRPr="001C6D8C" w:rsidRDefault="00A02077" w:rsidP="00A02077">
      <w:pPr>
        <w:pStyle w:val="ChartandTableFootnote"/>
        <w:rPr>
          <w:lang w:val="en-AU"/>
        </w:rPr>
      </w:pPr>
      <w:r w:rsidRPr="00132F9E">
        <w:t>Prepared on Austral</w:t>
      </w:r>
      <w:r>
        <w:t>ian Accounting Standards basis.</w:t>
      </w:r>
    </w:p>
    <w:p w:rsidR="00A02077" w:rsidRPr="0041404E" w:rsidRDefault="00A02077" w:rsidP="00A02077">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711" w:type="dxa"/>
        <w:tblInd w:w="93" w:type="dxa"/>
        <w:tblCellMar>
          <w:left w:w="57" w:type="dxa"/>
          <w:right w:w="57" w:type="dxa"/>
        </w:tblCellMar>
        <w:tblLook w:val="04A0" w:firstRow="1" w:lastRow="0" w:firstColumn="1" w:lastColumn="0" w:noHBand="0" w:noVBand="1"/>
      </w:tblPr>
      <w:tblGrid>
        <w:gridCol w:w="3288"/>
        <w:gridCol w:w="907"/>
        <w:gridCol w:w="879"/>
        <w:gridCol w:w="879"/>
        <w:gridCol w:w="879"/>
        <w:gridCol w:w="879"/>
      </w:tblGrid>
      <w:tr w:rsidR="001D0750" w:rsidRPr="001D0750" w:rsidTr="004508F6">
        <w:trPr>
          <w:trHeight w:val="794"/>
        </w:trPr>
        <w:tc>
          <w:tcPr>
            <w:tcW w:w="3288" w:type="dxa"/>
            <w:tcBorders>
              <w:top w:val="single" w:sz="4" w:space="0" w:color="auto"/>
              <w:left w:val="nil"/>
              <w:bottom w:val="nil"/>
              <w:right w:val="nil"/>
            </w:tcBorders>
            <w:shd w:val="clear" w:color="auto" w:fill="auto"/>
            <w:noWrap/>
            <w:vAlign w:val="center"/>
            <w:hideMark/>
          </w:tcPr>
          <w:p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2017–18 Estimated actual</w:t>
            </w:r>
            <w:r w:rsidRPr="001D0750">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2018–19</w:t>
            </w:r>
            <w:r w:rsidRPr="001D0750">
              <w:rPr>
                <w:rFonts w:ascii="Arial" w:hAnsi="Arial" w:cs="Arial"/>
                <w:sz w:val="16"/>
                <w:szCs w:val="16"/>
              </w:rPr>
              <w:br/>
              <w:t>Budget</w:t>
            </w:r>
            <w:r w:rsidRPr="001D0750">
              <w:rPr>
                <w:rFonts w:ascii="Arial" w:hAnsi="Arial" w:cs="Arial"/>
                <w:sz w:val="16"/>
                <w:szCs w:val="16"/>
              </w:rPr>
              <w:br/>
            </w:r>
            <w:r w:rsidRPr="001D0750">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2019–20 Forward estimate</w:t>
            </w:r>
            <w:r w:rsidRPr="001D0750">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2020–21 Forward estimate</w:t>
            </w:r>
            <w:r w:rsidRPr="001D0750">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2021–22</w:t>
            </w:r>
            <w:r w:rsidRPr="001D0750">
              <w:rPr>
                <w:rFonts w:ascii="Arial" w:hAnsi="Arial" w:cs="Arial"/>
                <w:sz w:val="16"/>
                <w:szCs w:val="16"/>
              </w:rPr>
              <w:br/>
              <w:t>Forward estimate</w:t>
            </w:r>
            <w:r w:rsidRPr="001D0750">
              <w:rPr>
                <w:rFonts w:ascii="Arial" w:hAnsi="Arial" w:cs="Arial"/>
                <w:sz w:val="16"/>
                <w:szCs w:val="16"/>
              </w:rPr>
              <w:br/>
              <w:t>$'000</w:t>
            </w:r>
          </w:p>
        </w:tc>
      </w:tr>
      <w:tr w:rsidR="001D0750" w:rsidRPr="001D0750" w:rsidTr="004508F6">
        <w:trPr>
          <w:trHeight w:val="225"/>
        </w:trPr>
        <w:tc>
          <w:tcPr>
            <w:tcW w:w="3288"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NEW CAPITAL APPROPRIATIONS</w:t>
            </w:r>
          </w:p>
        </w:tc>
        <w:tc>
          <w:tcPr>
            <w:tcW w:w="907"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single" w:sz="4" w:space="0" w:color="auto"/>
              <w:left w:val="nil"/>
              <w:bottom w:val="nil"/>
              <w:right w:val="nil"/>
            </w:tcBorders>
            <w:shd w:val="clear" w:color="000000" w:fill="E6E6E6"/>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p>
        </w:tc>
      </w:tr>
      <w:tr w:rsidR="001D0750" w:rsidRPr="001D0750" w:rsidTr="004508F6">
        <w:trPr>
          <w:trHeight w:val="225"/>
        </w:trPr>
        <w:tc>
          <w:tcPr>
            <w:tcW w:w="3288"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ind w:firstLineChars="100" w:firstLine="160"/>
              <w:rPr>
                <w:rFonts w:ascii="Arial" w:hAnsi="Arial" w:cs="Arial"/>
                <w:sz w:val="16"/>
                <w:szCs w:val="16"/>
              </w:rPr>
            </w:pPr>
            <w:r w:rsidRPr="001D0750">
              <w:rPr>
                <w:rFonts w:ascii="Arial" w:hAnsi="Arial" w:cs="Arial"/>
                <w:sz w:val="16"/>
                <w:szCs w:val="16"/>
              </w:rPr>
              <w:t>Capital budget—Bill 1 (DCB)</w:t>
            </w:r>
          </w:p>
        </w:tc>
        <w:tc>
          <w:tcPr>
            <w:tcW w:w="907"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60 </w:t>
            </w:r>
          </w:p>
        </w:tc>
        <w:tc>
          <w:tcPr>
            <w:tcW w:w="879" w:type="dxa"/>
            <w:tcBorders>
              <w:top w:val="nil"/>
              <w:left w:val="nil"/>
              <w:bottom w:val="single" w:sz="4" w:space="0" w:color="auto"/>
              <w:right w:val="nil"/>
            </w:tcBorders>
            <w:shd w:val="clear" w:color="000000" w:fill="E6E6E6"/>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58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r>
      <w:tr w:rsidR="001D0750" w:rsidRPr="001D0750" w:rsidTr="004508F6">
        <w:trPr>
          <w:trHeight w:val="225"/>
        </w:trPr>
        <w:tc>
          <w:tcPr>
            <w:tcW w:w="3288"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Total new capital appropriations</w:t>
            </w:r>
          </w:p>
        </w:tc>
        <w:tc>
          <w:tcPr>
            <w:tcW w:w="907"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60 </w:t>
            </w:r>
          </w:p>
        </w:tc>
        <w:tc>
          <w:tcPr>
            <w:tcW w:w="879" w:type="dxa"/>
            <w:tcBorders>
              <w:top w:val="single" w:sz="4" w:space="0" w:color="auto"/>
              <w:left w:val="nil"/>
              <w:bottom w:val="single" w:sz="4" w:space="0" w:color="auto"/>
              <w:right w:val="nil"/>
            </w:tcBorders>
            <w:shd w:val="clear" w:color="000000" w:fill="E6E6E6"/>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58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r>
      <w:tr w:rsidR="001D0750" w:rsidRPr="001D0750" w:rsidTr="004508F6">
        <w:trPr>
          <w:trHeight w:val="225"/>
        </w:trPr>
        <w:tc>
          <w:tcPr>
            <w:tcW w:w="3288"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rPr>
                <w:rFonts w:ascii="Arial" w:hAnsi="Arial" w:cs="Arial"/>
                <w:b/>
                <w:bCs/>
                <w:i/>
                <w:iCs/>
                <w:sz w:val="16"/>
                <w:szCs w:val="16"/>
              </w:rPr>
            </w:pPr>
            <w:r w:rsidRPr="001D0750">
              <w:rPr>
                <w:rFonts w:ascii="Arial" w:hAnsi="Arial" w:cs="Arial"/>
                <w:b/>
                <w:bCs/>
                <w:i/>
                <w:iCs/>
                <w:sz w:val="16"/>
                <w:szCs w:val="16"/>
              </w:rPr>
              <w:t>Provided for:</w:t>
            </w:r>
          </w:p>
        </w:tc>
        <w:tc>
          <w:tcPr>
            <w:tcW w:w="907"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i/>
                <w:iCs/>
                <w:sz w:val="16"/>
                <w:szCs w:val="16"/>
              </w:rPr>
            </w:pPr>
          </w:p>
        </w:tc>
        <w:tc>
          <w:tcPr>
            <w:tcW w:w="879" w:type="dxa"/>
            <w:tcBorders>
              <w:top w:val="nil"/>
              <w:left w:val="nil"/>
              <w:right w:val="nil"/>
            </w:tcBorders>
            <w:shd w:val="clear" w:color="000000" w:fill="E6E6E6"/>
            <w:noWrap/>
            <w:vAlign w:val="center"/>
            <w:hideMark/>
          </w:tcPr>
          <w:p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i/>
                <w:iCs/>
                <w:sz w:val="16"/>
                <w:szCs w:val="16"/>
              </w:rPr>
            </w:pPr>
          </w:p>
        </w:tc>
      </w:tr>
      <w:tr w:rsidR="001D0750" w:rsidRPr="001D0750" w:rsidTr="004508F6">
        <w:trPr>
          <w:trHeight w:val="225"/>
        </w:trPr>
        <w:tc>
          <w:tcPr>
            <w:tcW w:w="3288"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ind w:firstLineChars="100" w:firstLine="160"/>
              <w:rPr>
                <w:rFonts w:ascii="Arial" w:hAnsi="Arial" w:cs="Arial"/>
                <w:i/>
                <w:iCs/>
                <w:sz w:val="16"/>
                <w:szCs w:val="16"/>
              </w:rPr>
            </w:pPr>
            <w:r w:rsidRPr="001D0750">
              <w:rPr>
                <w:rFonts w:ascii="Arial" w:hAnsi="Arial" w:cs="Arial"/>
                <w:i/>
                <w:iCs/>
                <w:sz w:val="16"/>
                <w:szCs w:val="16"/>
              </w:rPr>
              <w:t>Purchase of non-financial assets</w:t>
            </w:r>
          </w:p>
        </w:tc>
        <w:tc>
          <w:tcPr>
            <w:tcW w:w="907"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60 </w:t>
            </w:r>
          </w:p>
        </w:tc>
        <w:tc>
          <w:tcPr>
            <w:tcW w:w="879" w:type="dxa"/>
            <w:tcBorders>
              <w:top w:val="nil"/>
              <w:left w:val="nil"/>
              <w:bottom w:val="nil"/>
              <w:right w:val="nil"/>
            </w:tcBorders>
            <w:shd w:val="clear" w:color="auto" w:fill="E6E6E6"/>
            <w:noWrap/>
            <w:vAlign w:val="center"/>
            <w:hideMark/>
          </w:tcPr>
          <w:p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59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59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58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59 </w:t>
            </w:r>
          </w:p>
        </w:tc>
      </w:tr>
      <w:tr w:rsidR="001D0750" w:rsidRPr="001D0750" w:rsidTr="004508F6">
        <w:trPr>
          <w:trHeight w:val="225"/>
        </w:trPr>
        <w:tc>
          <w:tcPr>
            <w:tcW w:w="3288"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rPr>
                <w:rFonts w:ascii="Arial" w:hAnsi="Arial" w:cs="Arial"/>
                <w:b/>
                <w:bCs/>
                <w:i/>
                <w:iCs/>
                <w:sz w:val="16"/>
                <w:szCs w:val="16"/>
              </w:rPr>
            </w:pPr>
            <w:r w:rsidRPr="001D0750">
              <w:rPr>
                <w:rFonts w:ascii="Arial" w:hAnsi="Arial" w:cs="Arial"/>
                <w:b/>
                <w:bCs/>
                <w:i/>
                <w:iCs/>
                <w:sz w:val="16"/>
                <w:szCs w:val="16"/>
              </w:rPr>
              <w:t>Total items</w:t>
            </w:r>
          </w:p>
        </w:tc>
        <w:tc>
          <w:tcPr>
            <w:tcW w:w="907"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60 </w:t>
            </w:r>
          </w:p>
        </w:tc>
        <w:tc>
          <w:tcPr>
            <w:tcW w:w="879" w:type="dxa"/>
            <w:tcBorders>
              <w:top w:val="single" w:sz="4" w:space="0" w:color="auto"/>
              <w:left w:val="nil"/>
              <w:bottom w:val="single" w:sz="4" w:space="0" w:color="auto"/>
              <w:right w:val="nil"/>
            </w:tcBorders>
            <w:shd w:val="clear" w:color="auto" w:fill="E6E6E6"/>
            <w:noWrap/>
            <w:vAlign w:val="center"/>
            <w:hideMark/>
          </w:tcPr>
          <w:p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58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59 </w:t>
            </w:r>
          </w:p>
        </w:tc>
      </w:tr>
      <w:tr w:rsidR="001D0750" w:rsidRPr="001D0750" w:rsidTr="004508F6">
        <w:trPr>
          <w:trHeight w:val="227"/>
        </w:trPr>
        <w:tc>
          <w:tcPr>
            <w:tcW w:w="3288" w:type="dxa"/>
            <w:tcBorders>
              <w:top w:val="nil"/>
              <w:left w:val="nil"/>
              <w:bottom w:val="nil"/>
              <w:right w:val="nil"/>
            </w:tcBorders>
            <w:shd w:val="clear" w:color="auto" w:fill="auto"/>
            <w:vAlign w:val="center"/>
            <w:hideMark/>
          </w:tcPr>
          <w:p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PURCHASE OF NON-FINANCIAL ASSETS</w:t>
            </w:r>
          </w:p>
        </w:tc>
        <w:tc>
          <w:tcPr>
            <w:tcW w:w="907" w:type="dxa"/>
            <w:tcBorders>
              <w:top w:val="nil"/>
              <w:left w:val="nil"/>
              <w:bottom w:val="nil"/>
              <w:right w:val="nil"/>
            </w:tcBorders>
            <w:shd w:val="clear" w:color="auto" w:fill="auto"/>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E6E6E6"/>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1D0750" w:rsidRPr="001D0750" w:rsidRDefault="001D0750" w:rsidP="004508F6">
            <w:pPr>
              <w:spacing w:after="0" w:line="240" w:lineRule="auto"/>
              <w:jc w:val="right"/>
              <w:rPr>
                <w:rFonts w:ascii="Arial" w:hAnsi="Arial" w:cs="Arial"/>
                <w:sz w:val="16"/>
                <w:szCs w:val="16"/>
              </w:rPr>
            </w:pPr>
          </w:p>
        </w:tc>
      </w:tr>
      <w:tr w:rsidR="001D0750" w:rsidRPr="001D0750" w:rsidTr="004508F6">
        <w:trPr>
          <w:trHeight w:val="227"/>
        </w:trPr>
        <w:tc>
          <w:tcPr>
            <w:tcW w:w="3288" w:type="dxa"/>
            <w:tcBorders>
              <w:top w:val="nil"/>
              <w:left w:val="nil"/>
              <w:bottom w:val="nil"/>
              <w:right w:val="nil"/>
            </w:tcBorders>
            <w:shd w:val="clear" w:color="auto" w:fill="auto"/>
            <w:vAlign w:val="center"/>
            <w:hideMark/>
          </w:tcPr>
          <w:p w:rsidR="001D0750" w:rsidRPr="001D0750" w:rsidRDefault="001D0750" w:rsidP="004508F6">
            <w:pPr>
              <w:spacing w:after="0" w:line="240" w:lineRule="auto"/>
              <w:ind w:firstLineChars="100" w:firstLine="160"/>
              <w:rPr>
                <w:rFonts w:ascii="Arial" w:hAnsi="Arial" w:cs="Arial"/>
                <w:sz w:val="16"/>
                <w:szCs w:val="16"/>
              </w:rPr>
            </w:pPr>
            <w:r w:rsidRPr="001D0750">
              <w:rPr>
                <w:rFonts w:ascii="Arial" w:hAnsi="Arial" w:cs="Arial"/>
                <w:sz w:val="16"/>
                <w:szCs w:val="16"/>
              </w:rPr>
              <w:t>Funded by capital appropriation—DCB (a)</w:t>
            </w:r>
          </w:p>
        </w:tc>
        <w:tc>
          <w:tcPr>
            <w:tcW w:w="907"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60 </w:t>
            </w:r>
          </w:p>
        </w:tc>
        <w:tc>
          <w:tcPr>
            <w:tcW w:w="879" w:type="dxa"/>
            <w:tcBorders>
              <w:top w:val="nil"/>
              <w:left w:val="nil"/>
              <w:bottom w:val="nil"/>
              <w:right w:val="nil"/>
            </w:tcBorders>
            <w:shd w:val="clear" w:color="auto" w:fill="E6E6E6"/>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58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r>
      <w:tr w:rsidR="001D0750" w:rsidRPr="001D0750" w:rsidTr="004508F6">
        <w:trPr>
          <w:trHeight w:val="225"/>
        </w:trPr>
        <w:tc>
          <w:tcPr>
            <w:tcW w:w="3288"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TOTAL</w:t>
            </w:r>
          </w:p>
        </w:tc>
        <w:tc>
          <w:tcPr>
            <w:tcW w:w="907"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60 </w:t>
            </w:r>
          </w:p>
        </w:tc>
        <w:tc>
          <w:tcPr>
            <w:tcW w:w="879" w:type="dxa"/>
            <w:tcBorders>
              <w:top w:val="single" w:sz="4" w:space="0" w:color="auto"/>
              <w:left w:val="nil"/>
              <w:bottom w:val="single" w:sz="4" w:space="0" w:color="auto"/>
              <w:right w:val="nil"/>
            </w:tcBorders>
            <w:shd w:val="clear" w:color="auto" w:fill="E6E6E6"/>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58 </w:t>
            </w:r>
          </w:p>
        </w:tc>
        <w:tc>
          <w:tcPr>
            <w:tcW w:w="879" w:type="dxa"/>
            <w:tcBorders>
              <w:top w:val="single" w:sz="4" w:space="0" w:color="auto"/>
              <w:left w:val="nil"/>
              <w:bottom w:val="single" w:sz="4" w:space="0" w:color="auto"/>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r>
      <w:tr w:rsidR="001D0750" w:rsidRPr="001D0750" w:rsidTr="004508F6">
        <w:trPr>
          <w:trHeight w:val="624"/>
        </w:trPr>
        <w:tc>
          <w:tcPr>
            <w:tcW w:w="3288" w:type="dxa"/>
            <w:tcBorders>
              <w:top w:val="nil"/>
              <w:left w:val="nil"/>
              <w:bottom w:val="nil"/>
              <w:right w:val="nil"/>
            </w:tcBorders>
            <w:shd w:val="clear" w:color="auto" w:fill="auto"/>
            <w:vAlign w:val="center"/>
            <w:hideMark/>
          </w:tcPr>
          <w:p w:rsidR="001D0750" w:rsidRPr="001D0750" w:rsidRDefault="001D0750" w:rsidP="004508F6">
            <w:pPr>
              <w:spacing w:after="0" w:line="240" w:lineRule="auto"/>
              <w:ind w:left="191" w:hanging="191"/>
              <w:rPr>
                <w:rFonts w:ascii="Arial" w:hAnsi="Arial" w:cs="Arial"/>
                <w:b/>
                <w:bCs/>
                <w:sz w:val="16"/>
                <w:szCs w:val="16"/>
              </w:rPr>
            </w:pPr>
            <w:r w:rsidRPr="001D0750">
              <w:rPr>
                <w:rFonts w:ascii="Arial" w:hAnsi="Arial" w:cs="Arial"/>
                <w:b/>
                <w:bCs/>
                <w:sz w:val="16"/>
                <w:szCs w:val="16"/>
              </w:rPr>
              <w:t>RECONCILIATION OF CASH USED TO ACQUIRE ASSETS TO ASSET MOVEMENT TABLE</w:t>
            </w:r>
          </w:p>
        </w:tc>
        <w:tc>
          <w:tcPr>
            <w:tcW w:w="907"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E6E6E6"/>
            <w:noWrap/>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p>
        </w:tc>
      </w:tr>
      <w:tr w:rsidR="001D0750" w:rsidRPr="001D0750" w:rsidTr="004508F6">
        <w:trPr>
          <w:trHeight w:val="225"/>
        </w:trPr>
        <w:tc>
          <w:tcPr>
            <w:tcW w:w="3288"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ind w:firstLineChars="100" w:firstLine="160"/>
              <w:rPr>
                <w:rFonts w:ascii="Arial" w:hAnsi="Arial" w:cs="Arial"/>
                <w:sz w:val="16"/>
                <w:szCs w:val="16"/>
              </w:rPr>
            </w:pPr>
            <w:r w:rsidRPr="001D0750">
              <w:rPr>
                <w:rFonts w:ascii="Arial" w:hAnsi="Arial" w:cs="Arial"/>
                <w:sz w:val="16"/>
                <w:szCs w:val="16"/>
              </w:rPr>
              <w:t>Total purchases</w:t>
            </w:r>
          </w:p>
        </w:tc>
        <w:tc>
          <w:tcPr>
            <w:tcW w:w="907"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60 </w:t>
            </w:r>
          </w:p>
        </w:tc>
        <w:tc>
          <w:tcPr>
            <w:tcW w:w="879" w:type="dxa"/>
            <w:tcBorders>
              <w:top w:val="nil"/>
              <w:left w:val="nil"/>
              <w:bottom w:val="single" w:sz="4" w:space="0" w:color="auto"/>
              <w:right w:val="nil"/>
            </w:tcBorders>
            <w:shd w:val="clear" w:color="auto" w:fill="E6E6E6"/>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58 </w:t>
            </w:r>
          </w:p>
        </w:tc>
        <w:tc>
          <w:tcPr>
            <w:tcW w:w="879" w:type="dxa"/>
            <w:tcBorders>
              <w:top w:val="nil"/>
              <w:left w:val="nil"/>
              <w:bottom w:val="nil"/>
              <w:right w:val="nil"/>
            </w:tcBorders>
            <w:shd w:val="clear" w:color="auto" w:fill="auto"/>
            <w:noWrap/>
            <w:vAlign w:val="center"/>
            <w:hideMark/>
          </w:tcPr>
          <w:p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r>
      <w:tr w:rsidR="001D0750" w:rsidRPr="001D0750" w:rsidTr="004508F6">
        <w:trPr>
          <w:trHeight w:val="225"/>
        </w:trPr>
        <w:tc>
          <w:tcPr>
            <w:tcW w:w="3288" w:type="dxa"/>
            <w:tcBorders>
              <w:top w:val="nil"/>
              <w:left w:val="nil"/>
              <w:bottom w:val="single" w:sz="4" w:space="0" w:color="auto"/>
              <w:right w:val="nil"/>
            </w:tcBorders>
            <w:shd w:val="clear" w:color="auto" w:fill="auto"/>
            <w:vAlign w:val="bottom"/>
            <w:hideMark/>
          </w:tcPr>
          <w:p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Total cash used to acquire assets</w:t>
            </w:r>
          </w:p>
        </w:tc>
        <w:tc>
          <w:tcPr>
            <w:tcW w:w="907" w:type="dxa"/>
            <w:tcBorders>
              <w:top w:val="single" w:sz="4" w:space="0" w:color="auto"/>
              <w:left w:val="nil"/>
              <w:bottom w:val="single" w:sz="4" w:space="0" w:color="auto"/>
              <w:right w:val="nil"/>
            </w:tcBorders>
            <w:shd w:val="clear" w:color="auto" w:fill="auto"/>
            <w:noWrap/>
            <w:vAlign w:val="bottom"/>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60 </w:t>
            </w:r>
          </w:p>
        </w:tc>
        <w:tc>
          <w:tcPr>
            <w:tcW w:w="879" w:type="dxa"/>
            <w:tcBorders>
              <w:top w:val="single" w:sz="4" w:space="0" w:color="auto"/>
              <w:left w:val="nil"/>
              <w:bottom w:val="single" w:sz="4" w:space="0" w:color="auto"/>
              <w:right w:val="nil"/>
            </w:tcBorders>
            <w:shd w:val="clear" w:color="000000" w:fill="E6E6E6"/>
            <w:noWrap/>
            <w:vAlign w:val="bottom"/>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bottom"/>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bottom"/>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58 </w:t>
            </w:r>
          </w:p>
        </w:tc>
        <w:tc>
          <w:tcPr>
            <w:tcW w:w="879" w:type="dxa"/>
            <w:tcBorders>
              <w:top w:val="single" w:sz="4" w:space="0" w:color="auto"/>
              <w:left w:val="nil"/>
              <w:bottom w:val="single" w:sz="4" w:space="0" w:color="auto"/>
              <w:right w:val="nil"/>
            </w:tcBorders>
            <w:shd w:val="clear" w:color="auto" w:fill="auto"/>
            <w:noWrap/>
            <w:vAlign w:val="bottom"/>
            <w:hideMark/>
          </w:tcPr>
          <w:p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r>
    </w:tbl>
    <w:p w:rsidR="00A02077" w:rsidRPr="004508F6" w:rsidRDefault="00A02077" w:rsidP="00E01B4E">
      <w:pPr>
        <w:pStyle w:val="ChartandTableFootnoteAlpha"/>
        <w:numPr>
          <w:ilvl w:val="0"/>
          <w:numId w:val="24"/>
        </w:numPr>
        <w:rPr>
          <w:rFonts w:cs="Arial"/>
          <w:szCs w:val="16"/>
        </w:rPr>
      </w:pPr>
      <w:r w:rsidRPr="004508F6">
        <w:rPr>
          <w:rFonts w:cs="Arial"/>
          <w:szCs w:val="16"/>
        </w:rPr>
        <w:t>Does not include annual finance lease costs. Includes purchases from current an</w:t>
      </w:r>
      <w:r w:rsidR="00BE1D7C">
        <w:rPr>
          <w:rFonts w:cs="Arial"/>
          <w:szCs w:val="16"/>
        </w:rPr>
        <w:t xml:space="preserve">d previous years’ Departmental </w:t>
      </w:r>
      <w:r w:rsidR="00BE1D7C">
        <w:rPr>
          <w:rFonts w:cs="Arial"/>
          <w:szCs w:val="16"/>
          <w:lang w:val="en-AU"/>
        </w:rPr>
        <w:t>Capital</w:t>
      </w:r>
      <w:r w:rsidR="00BE1D7C">
        <w:rPr>
          <w:rFonts w:cs="Arial"/>
          <w:szCs w:val="16"/>
        </w:rPr>
        <w:t xml:space="preserve"> </w:t>
      </w:r>
      <w:r w:rsidR="00BE1D7C">
        <w:rPr>
          <w:rFonts w:cs="Arial"/>
          <w:szCs w:val="16"/>
          <w:lang w:val="en-AU"/>
        </w:rPr>
        <w:t>Budgets</w:t>
      </w:r>
      <w:r w:rsidRPr="004508F6">
        <w:rPr>
          <w:rFonts w:cs="Arial"/>
          <w:szCs w:val="16"/>
        </w:rPr>
        <w:t xml:space="preserve"> (DCBs).</w:t>
      </w:r>
    </w:p>
    <w:p w:rsidR="009576BF" w:rsidRDefault="00A02077" w:rsidP="00EB77C1">
      <w:pPr>
        <w:pStyle w:val="ChartandTableFootnote"/>
        <w:spacing w:after="600"/>
      </w:pPr>
      <w:r w:rsidRPr="00132F9E">
        <w:t>Prepared on Australian Accounting Standards basis.</w:t>
      </w:r>
    </w:p>
    <w:p w:rsidR="00A02077" w:rsidRDefault="00A02077" w:rsidP="00A02077">
      <w:pPr>
        <w:pStyle w:val="TableHeading"/>
      </w:pPr>
      <w:r w:rsidRPr="00D30CBA">
        <w:t>Table</w:t>
      </w:r>
      <w:r>
        <w:t xml:space="preserve"> 3.6</w:t>
      </w:r>
      <w:r w:rsidRPr="00D30CBA">
        <w:t xml:space="preserve">: </w:t>
      </w:r>
      <w:r>
        <w:t>Statement of asset movements (Budget year 2018</w:t>
      </w:r>
      <w:r>
        <w:rPr>
          <w:lang w:val="en-AU"/>
        </w:rPr>
        <w:t>–</w:t>
      </w:r>
      <w:r>
        <w:t>19)</w:t>
      </w:r>
    </w:p>
    <w:tbl>
      <w:tblPr>
        <w:tblW w:w="7710" w:type="dxa"/>
        <w:tblInd w:w="93" w:type="dxa"/>
        <w:tblLook w:val="04A0" w:firstRow="1" w:lastRow="0" w:firstColumn="1" w:lastColumn="0" w:noHBand="0" w:noVBand="1"/>
      </w:tblPr>
      <w:tblGrid>
        <w:gridCol w:w="4762"/>
        <w:gridCol w:w="1701"/>
        <w:gridCol w:w="1247"/>
      </w:tblGrid>
      <w:tr w:rsidR="009576BF" w:rsidRPr="009576BF" w:rsidTr="009576BF">
        <w:trPr>
          <w:trHeight w:val="624"/>
        </w:trPr>
        <w:tc>
          <w:tcPr>
            <w:tcW w:w="4762" w:type="dxa"/>
            <w:tcBorders>
              <w:top w:val="single" w:sz="4" w:space="0" w:color="auto"/>
              <w:left w:val="nil"/>
              <w:bottom w:val="nil"/>
              <w:right w:val="nil"/>
            </w:tcBorders>
            <w:shd w:val="clear" w:color="auto" w:fill="auto"/>
            <w:noWrap/>
            <w:vAlign w:val="center"/>
            <w:hideMark/>
          </w:tcPr>
          <w:p w:rsidR="009576BF" w:rsidRPr="009576BF" w:rsidRDefault="009576BF" w:rsidP="009576BF">
            <w:pPr>
              <w:spacing w:after="0" w:line="240" w:lineRule="auto"/>
              <w:rPr>
                <w:rFonts w:ascii="Arial" w:hAnsi="Arial" w:cs="Arial"/>
                <w:sz w:val="16"/>
                <w:szCs w:val="16"/>
              </w:rPr>
            </w:pPr>
            <w:r w:rsidRPr="009576BF">
              <w:rPr>
                <w:rFonts w:ascii="Arial" w:hAnsi="Arial" w:cs="Arial"/>
                <w:sz w:val="16"/>
                <w:szCs w:val="16"/>
              </w:rPr>
              <w:t> </w:t>
            </w:r>
          </w:p>
        </w:tc>
        <w:tc>
          <w:tcPr>
            <w:tcW w:w="1701" w:type="dxa"/>
            <w:tcBorders>
              <w:top w:val="single" w:sz="4" w:space="0" w:color="auto"/>
              <w:left w:val="nil"/>
              <w:bottom w:val="single" w:sz="4" w:space="0" w:color="auto"/>
              <w:right w:val="nil"/>
            </w:tcBorders>
            <w:shd w:val="clear" w:color="auto" w:fill="auto"/>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Other</w:t>
            </w:r>
            <w:r>
              <w:rPr>
                <w:rFonts w:ascii="Arial" w:hAnsi="Arial" w:cs="Arial"/>
                <w:sz w:val="16"/>
                <w:szCs w:val="16"/>
              </w:rPr>
              <w:t xml:space="preserve"> </w:t>
            </w:r>
            <w:r w:rsidRPr="009576BF">
              <w:rPr>
                <w:rFonts w:ascii="Arial" w:hAnsi="Arial" w:cs="Arial"/>
                <w:sz w:val="16"/>
                <w:szCs w:val="16"/>
              </w:rPr>
              <w:t>property,</w:t>
            </w:r>
            <w:r>
              <w:rPr>
                <w:rFonts w:ascii="Arial" w:hAnsi="Arial" w:cs="Arial"/>
                <w:sz w:val="16"/>
                <w:szCs w:val="16"/>
              </w:rPr>
              <w:t xml:space="preserve"> </w:t>
            </w:r>
            <w:r w:rsidRPr="009576BF">
              <w:rPr>
                <w:rFonts w:ascii="Arial" w:hAnsi="Arial" w:cs="Arial"/>
                <w:sz w:val="16"/>
                <w:szCs w:val="16"/>
              </w:rPr>
              <w:t>plant and</w:t>
            </w:r>
            <w:r>
              <w:rPr>
                <w:rFonts w:ascii="Arial" w:hAnsi="Arial" w:cs="Arial"/>
                <w:sz w:val="16"/>
                <w:szCs w:val="16"/>
              </w:rPr>
              <w:t xml:space="preserve"> </w:t>
            </w:r>
            <w:r w:rsidRPr="009576BF">
              <w:rPr>
                <w:rFonts w:ascii="Arial" w:hAnsi="Arial" w:cs="Arial"/>
                <w:sz w:val="16"/>
                <w:szCs w:val="16"/>
              </w:rPr>
              <w:t>equipment</w:t>
            </w:r>
            <w:r w:rsidRPr="009576BF">
              <w:rPr>
                <w:rFonts w:ascii="Arial" w:hAnsi="Arial" w:cs="Arial"/>
                <w:sz w:val="16"/>
                <w:szCs w:val="16"/>
              </w:rPr>
              <w:br/>
              <w:t>$'000</w:t>
            </w:r>
          </w:p>
        </w:tc>
        <w:tc>
          <w:tcPr>
            <w:tcW w:w="1247" w:type="dxa"/>
            <w:tcBorders>
              <w:top w:val="single" w:sz="4" w:space="0" w:color="auto"/>
              <w:left w:val="nil"/>
              <w:bottom w:val="single" w:sz="4" w:space="0" w:color="auto"/>
              <w:right w:val="nil"/>
            </w:tcBorders>
            <w:shd w:val="clear" w:color="auto" w:fill="auto"/>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Total</w:t>
            </w:r>
            <w:r w:rsidRPr="009576BF">
              <w:rPr>
                <w:rFonts w:ascii="Arial" w:hAnsi="Arial" w:cs="Arial"/>
                <w:sz w:val="16"/>
                <w:szCs w:val="16"/>
              </w:rPr>
              <w:br/>
            </w:r>
            <w:r w:rsidRPr="009576BF">
              <w:rPr>
                <w:rFonts w:ascii="Arial" w:hAnsi="Arial" w:cs="Arial"/>
                <w:sz w:val="16"/>
                <w:szCs w:val="16"/>
              </w:rPr>
              <w:br/>
              <w:t>$'000</w:t>
            </w:r>
          </w:p>
        </w:tc>
      </w:tr>
      <w:tr w:rsidR="009576BF" w:rsidRPr="009576BF" w:rsidTr="009576BF">
        <w:trPr>
          <w:trHeight w:val="225"/>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As at 1 July 2018</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p>
        </w:tc>
      </w:tr>
      <w:tr w:rsidR="009576BF" w:rsidRPr="009576BF" w:rsidTr="009576BF">
        <w:trPr>
          <w:trHeight w:val="225"/>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 xml:space="preserve">Gross book value </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214 </w:t>
            </w: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214 </w:t>
            </w:r>
          </w:p>
        </w:tc>
      </w:tr>
      <w:tr w:rsidR="009576BF" w:rsidRPr="009576BF" w:rsidTr="009576BF">
        <w:trPr>
          <w:trHeight w:val="227"/>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Accumulated depreciation/amortisation and impairment</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(56)</w:t>
            </w: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(56)</w:t>
            </w:r>
          </w:p>
        </w:tc>
      </w:tr>
      <w:tr w:rsidR="009576BF" w:rsidRPr="009576BF" w:rsidTr="009576BF">
        <w:trPr>
          <w:trHeight w:val="225"/>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Opening net book balance</w:t>
            </w:r>
          </w:p>
        </w:tc>
        <w:tc>
          <w:tcPr>
            <w:tcW w:w="1701" w:type="dxa"/>
            <w:tcBorders>
              <w:top w:val="single" w:sz="4" w:space="0" w:color="auto"/>
              <w:left w:val="nil"/>
              <w:bottom w:val="single" w:sz="4" w:space="0" w:color="auto"/>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158 </w:t>
            </w:r>
          </w:p>
        </w:tc>
        <w:tc>
          <w:tcPr>
            <w:tcW w:w="1247" w:type="dxa"/>
            <w:tcBorders>
              <w:top w:val="single" w:sz="4" w:space="0" w:color="auto"/>
              <w:left w:val="nil"/>
              <w:bottom w:val="single" w:sz="4" w:space="0" w:color="auto"/>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158 </w:t>
            </w:r>
          </w:p>
        </w:tc>
      </w:tr>
      <w:tr w:rsidR="009576BF" w:rsidRPr="009576BF" w:rsidTr="009576BF">
        <w:trPr>
          <w:trHeight w:val="225"/>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Capital asset additions</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p>
        </w:tc>
      </w:tr>
      <w:tr w:rsidR="009576BF" w:rsidRPr="009576BF" w:rsidTr="009576BF">
        <w:trPr>
          <w:trHeight w:val="227"/>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b/>
                <w:bCs/>
                <w:sz w:val="16"/>
                <w:szCs w:val="16"/>
              </w:rPr>
            </w:pPr>
            <w:r w:rsidRPr="009576BF">
              <w:rPr>
                <w:rFonts w:ascii="Arial" w:hAnsi="Arial" w:cs="Arial"/>
                <w:b/>
                <w:bCs/>
                <w:sz w:val="16"/>
                <w:szCs w:val="16"/>
              </w:rPr>
              <w:t>Estimated expenditure on new or replacement assets</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p>
        </w:tc>
      </w:tr>
      <w:tr w:rsidR="009576BF" w:rsidRPr="009576BF" w:rsidTr="009576BF">
        <w:trPr>
          <w:trHeight w:val="225"/>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By purchase—appropriation equity (a)</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59 </w:t>
            </w: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59 </w:t>
            </w:r>
          </w:p>
        </w:tc>
      </w:tr>
      <w:tr w:rsidR="009576BF" w:rsidRPr="009576BF" w:rsidTr="009576BF">
        <w:trPr>
          <w:trHeight w:val="225"/>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b/>
                <w:bCs/>
                <w:sz w:val="16"/>
                <w:szCs w:val="16"/>
              </w:rPr>
            </w:pPr>
            <w:r w:rsidRPr="009576BF">
              <w:rPr>
                <w:rFonts w:ascii="Arial" w:hAnsi="Arial" w:cs="Arial"/>
                <w:b/>
                <w:bCs/>
                <w:sz w:val="16"/>
                <w:szCs w:val="16"/>
              </w:rPr>
              <w:t>Total additions</w:t>
            </w:r>
          </w:p>
        </w:tc>
        <w:tc>
          <w:tcPr>
            <w:tcW w:w="1701" w:type="dxa"/>
            <w:tcBorders>
              <w:top w:val="single" w:sz="4" w:space="0" w:color="auto"/>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59 </w:t>
            </w:r>
          </w:p>
        </w:tc>
        <w:tc>
          <w:tcPr>
            <w:tcW w:w="1247" w:type="dxa"/>
            <w:tcBorders>
              <w:top w:val="single" w:sz="4" w:space="0" w:color="auto"/>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59 </w:t>
            </w:r>
          </w:p>
        </w:tc>
      </w:tr>
      <w:tr w:rsidR="009576BF" w:rsidRPr="009576BF" w:rsidTr="009576BF">
        <w:trPr>
          <w:trHeight w:val="225"/>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b/>
                <w:bCs/>
                <w:sz w:val="16"/>
                <w:szCs w:val="16"/>
              </w:rPr>
            </w:pPr>
            <w:r w:rsidRPr="009576BF">
              <w:rPr>
                <w:rFonts w:ascii="Arial" w:hAnsi="Arial" w:cs="Arial"/>
                <w:b/>
                <w:bCs/>
                <w:sz w:val="16"/>
                <w:szCs w:val="16"/>
              </w:rPr>
              <w:t>Other movements</w:t>
            </w:r>
          </w:p>
        </w:tc>
        <w:tc>
          <w:tcPr>
            <w:tcW w:w="1701" w:type="dxa"/>
            <w:tcBorders>
              <w:top w:val="single" w:sz="4" w:space="0" w:color="auto"/>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w:t>
            </w:r>
          </w:p>
        </w:tc>
        <w:tc>
          <w:tcPr>
            <w:tcW w:w="1247" w:type="dxa"/>
            <w:tcBorders>
              <w:top w:val="single" w:sz="4" w:space="0" w:color="auto"/>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w:t>
            </w:r>
          </w:p>
        </w:tc>
      </w:tr>
      <w:tr w:rsidR="009576BF" w:rsidRPr="009576BF" w:rsidTr="009576BF">
        <w:trPr>
          <w:trHeight w:val="225"/>
        </w:trPr>
        <w:tc>
          <w:tcPr>
            <w:tcW w:w="4762" w:type="dxa"/>
            <w:tcBorders>
              <w:top w:val="nil"/>
              <w:left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Depreciation/amortisation expense</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(47)</w:t>
            </w: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(47)</w:t>
            </w:r>
          </w:p>
        </w:tc>
      </w:tr>
      <w:tr w:rsidR="009576BF" w:rsidRPr="009576BF" w:rsidTr="009576BF">
        <w:trPr>
          <w:trHeight w:val="225"/>
        </w:trPr>
        <w:tc>
          <w:tcPr>
            <w:tcW w:w="4762" w:type="dxa"/>
            <w:tcBorders>
              <w:top w:val="nil"/>
              <w:left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b/>
                <w:bCs/>
                <w:sz w:val="16"/>
                <w:szCs w:val="16"/>
              </w:rPr>
            </w:pPr>
            <w:r w:rsidRPr="009576BF">
              <w:rPr>
                <w:rFonts w:ascii="Arial" w:hAnsi="Arial" w:cs="Arial"/>
                <w:b/>
                <w:bCs/>
                <w:sz w:val="16"/>
                <w:szCs w:val="16"/>
              </w:rPr>
              <w:t>Total other movements</w:t>
            </w:r>
          </w:p>
        </w:tc>
        <w:tc>
          <w:tcPr>
            <w:tcW w:w="1701" w:type="dxa"/>
            <w:tcBorders>
              <w:top w:val="single" w:sz="4" w:space="0" w:color="auto"/>
              <w:left w:val="nil"/>
              <w:bottom w:val="single" w:sz="4" w:space="0" w:color="auto"/>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(47)</w:t>
            </w:r>
          </w:p>
        </w:tc>
        <w:tc>
          <w:tcPr>
            <w:tcW w:w="1247" w:type="dxa"/>
            <w:tcBorders>
              <w:top w:val="single" w:sz="4" w:space="0" w:color="auto"/>
              <w:left w:val="nil"/>
              <w:bottom w:val="single" w:sz="4" w:space="0" w:color="auto"/>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(47)</w:t>
            </w:r>
          </w:p>
        </w:tc>
      </w:tr>
      <w:tr w:rsidR="009576BF" w:rsidRPr="009576BF" w:rsidTr="009576BF">
        <w:trPr>
          <w:trHeight w:val="225"/>
        </w:trPr>
        <w:tc>
          <w:tcPr>
            <w:tcW w:w="4762" w:type="dxa"/>
            <w:tcBorders>
              <w:left w:val="nil"/>
              <w:bottom w:val="nil"/>
              <w:right w:val="nil"/>
            </w:tcBorders>
            <w:shd w:val="clear" w:color="auto" w:fill="auto"/>
            <w:vAlign w:val="center"/>
            <w:hideMark/>
          </w:tcPr>
          <w:p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As at 30 June 2019</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p>
        </w:tc>
      </w:tr>
      <w:tr w:rsidR="009576BF" w:rsidRPr="009576BF" w:rsidTr="009576BF">
        <w:trPr>
          <w:trHeight w:val="225"/>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Gross book value</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273 </w:t>
            </w: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273 </w:t>
            </w:r>
          </w:p>
        </w:tc>
      </w:tr>
      <w:tr w:rsidR="009576BF" w:rsidRPr="009576BF" w:rsidTr="009576BF">
        <w:trPr>
          <w:trHeight w:val="227"/>
        </w:trPr>
        <w:tc>
          <w:tcPr>
            <w:tcW w:w="4762" w:type="dxa"/>
            <w:tcBorders>
              <w:top w:val="nil"/>
              <w:left w:val="nil"/>
              <w:bottom w:val="nil"/>
              <w:right w:val="nil"/>
            </w:tcBorders>
            <w:shd w:val="clear" w:color="auto" w:fill="auto"/>
            <w:vAlign w:val="center"/>
            <w:hideMark/>
          </w:tcPr>
          <w:p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Accumulated depreciation/amortisation and impairment</w:t>
            </w:r>
          </w:p>
        </w:tc>
        <w:tc>
          <w:tcPr>
            <w:tcW w:w="1701"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(103)</w:t>
            </w:r>
          </w:p>
        </w:tc>
        <w:tc>
          <w:tcPr>
            <w:tcW w:w="1247" w:type="dxa"/>
            <w:tcBorders>
              <w:top w:val="nil"/>
              <w:left w:val="nil"/>
              <w:bottom w:val="nil"/>
              <w:right w:val="nil"/>
            </w:tcBorders>
            <w:shd w:val="clear" w:color="auto" w:fill="auto"/>
            <w:noWrap/>
            <w:vAlign w:val="center"/>
            <w:hideMark/>
          </w:tcPr>
          <w:p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(103)</w:t>
            </w:r>
          </w:p>
        </w:tc>
      </w:tr>
      <w:tr w:rsidR="009576BF" w:rsidRPr="009576BF" w:rsidTr="009576BF">
        <w:trPr>
          <w:trHeight w:val="225"/>
        </w:trPr>
        <w:tc>
          <w:tcPr>
            <w:tcW w:w="4762" w:type="dxa"/>
            <w:tcBorders>
              <w:top w:val="nil"/>
              <w:left w:val="nil"/>
              <w:bottom w:val="single" w:sz="4" w:space="0" w:color="auto"/>
              <w:right w:val="nil"/>
            </w:tcBorders>
            <w:shd w:val="clear" w:color="auto" w:fill="auto"/>
            <w:noWrap/>
            <w:vAlign w:val="bottom"/>
            <w:hideMark/>
          </w:tcPr>
          <w:p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Closing net book balance</w:t>
            </w:r>
          </w:p>
        </w:tc>
        <w:tc>
          <w:tcPr>
            <w:tcW w:w="1701" w:type="dxa"/>
            <w:tcBorders>
              <w:top w:val="single" w:sz="4" w:space="0" w:color="auto"/>
              <w:left w:val="nil"/>
              <w:bottom w:val="single" w:sz="4" w:space="0" w:color="auto"/>
              <w:right w:val="nil"/>
            </w:tcBorders>
            <w:shd w:val="clear" w:color="auto" w:fill="auto"/>
            <w:noWrap/>
            <w:vAlign w:val="bottom"/>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170 </w:t>
            </w:r>
          </w:p>
        </w:tc>
        <w:tc>
          <w:tcPr>
            <w:tcW w:w="1247" w:type="dxa"/>
            <w:tcBorders>
              <w:top w:val="single" w:sz="4" w:space="0" w:color="auto"/>
              <w:left w:val="nil"/>
              <w:bottom w:val="single" w:sz="4" w:space="0" w:color="auto"/>
              <w:right w:val="nil"/>
            </w:tcBorders>
            <w:shd w:val="clear" w:color="auto" w:fill="auto"/>
            <w:noWrap/>
            <w:vAlign w:val="bottom"/>
            <w:hideMark/>
          </w:tcPr>
          <w:p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170 </w:t>
            </w:r>
          </w:p>
        </w:tc>
      </w:tr>
    </w:tbl>
    <w:p w:rsidR="00A02077" w:rsidRPr="009576BF" w:rsidRDefault="00A02077" w:rsidP="00E01B4E">
      <w:pPr>
        <w:pStyle w:val="ChartandTableFootnoteAlpha"/>
        <w:numPr>
          <w:ilvl w:val="0"/>
          <w:numId w:val="25"/>
        </w:numPr>
        <w:rPr>
          <w:rFonts w:cs="Arial"/>
          <w:szCs w:val="16"/>
        </w:rPr>
      </w:pPr>
      <w:r w:rsidRPr="009576BF">
        <w:rPr>
          <w:rFonts w:cs="Arial"/>
          <w:szCs w:val="16"/>
        </w:rPr>
        <w:t xml:space="preserve">‘Appropriation ordinary annual services’ refers to funding provided through </w:t>
      </w:r>
      <w:r w:rsidR="009576BF">
        <w:rPr>
          <w:rFonts w:cs="Arial"/>
          <w:szCs w:val="16"/>
        </w:rPr>
        <w:t>Appropriation Bill (No. 1) 2018</w:t>
      </w:r>
      <w:r w:rsidR="009576BF">
        <w:t>–</w:t>
      </w:r>
      <w:r w:rsidRPr="009576BF">
        <w:rPr>
          <w:rFonts w:cs="Arial"/>
          <w:szCs w:val="16"/>
        </w:rPr>
        <w:t>19 for depreciation/amortisation expenses, DCBs or other operational expenses.</w:t>
      </w:r>
    </w:p>
    <w:p w:rsidR="00A02077" w:rsidRDefault="00A02077" w:rsidP="00A02077">
      <w:pPr>
        <w:pStyle w:val="ChartandTableFootnote"/>
      </w:pPr>
      <w:r w:rsidRPr="00132F9E">
        <w:t>Prepared on Australian Accounting Standards basis.</w:t>
      </w:r>
    </w:p>
    <w:p w:rsidR="00A02077" w:rsidRDefault="00A02077" w:rsidP="00A02077">
      <w:pPr>
        <w:pStyle w:val="TableHeading"/>
      </w:pPr>
      <w:r>
        <w:rPr>
          <w:rFonts w:cs="Arial"/>
          <w:szCs w:val="16"/>
        </w:rPr>
        <w:br w:type="page"/>
      </w: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A02077" w:rsidRDefault="00A02077" w:rsidP="00A02077">
      <w:pPr>
        <w:pStyle w:val="TableGraphic"/>
      </w:pPr>
      <w:r>
        <w:t xml:space="preserve">The Asbestos Safety and Eradication Agency has no income and expenses administered on behalf of government. For this reason, Table 3.7 is not presented. </w:t>
      </w:r>
    </w:p>
    <w:p w:rsidR="00A02077" w:rsidRDefault="00A02077" w:rsidP="00300D89">
      <w:pPr>
        <w:pStyle w:val="TableHeading"/>
        <w:spacing w:before="360"/>
        <w:rPr>
          <w:lang w:val="en-AU"/>
        </w:rPr>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A02077" w:rsidRDefault="00A02077" w:rsidP="00A02077">
      <w:pPr>
        <w:pStyle w:val="TableGraphic"/>
        <w:rPr>
          <w:lang w:eastAsia="x-none"/>
        </w:rPr>
      </w:pPr>
      <w:r>
        <w:rPr>
          <w:lang w:eastAsia="x-none"/>
        </w:rPr>
        <w:t xml:space="preserve">The Asbestos Safety and Eradication Agency has no administered assets or liabilities. For this reason, Table 3.8 is not presented. </w:t>
      </w:r>
    </w:p>
    <w:p w:rsidR="00A02077" w:rsidRDefault="00A02077" w:rsidP="00300D89">
      <w:pPr>
        <w:pStyle w:val="TableHeading"/>
        <w:spacing w:before="360"/>
      </w:pPr>
      <w:r>
        <w:t xml:space="preserve">Table 3.9: </w:t>
      </w:r>
      <w:r w:rsidRPr="00C41D55">
        <w:t xml:space="preserve">Schedule of </w:t>
      </w:r>
      <w:r>
        <w:t xml:space="preserve">budgeted administered cash flows </w:t>
      </w:r>
      <w:r w:rsidRPr="00C41D55">
        <w:t>(for</w:t>
      </w:r>
      <w:r>
        <w:t> the </w:t>
      </w:r>
      <w:r w:rsidRPr="00C41D55">
        <w:t>period ended 30 June)</w:t>
      </w:r>
    </w:p>
    <w:p w:rsidR="00A02077" w:rsidRDefault="00A02077" w:rsidP="00A02077">
      <w:pPr>
        <w:pStyle w:val="TableGraphic"/>
      </w:pPr>
      <w:r>
        <w:t xml:space="preserve">The Asbestos Safety and Eradication Agency has no administered cash flows. For this reason, Table 3.9 is not presented. </w:t>
      </w:r>
    </w:p>
    <w:p w:rsidR="00A02077" w:rsidRDefault="00A02077" w:rsidP="00300D89">
      <w:pPr>
        <w:pStyle w:val="TableHeading"/>
        <w:spacing w:before="360"/>
      </w:pPr>
      <w:r w:rsidRPr="00D30CBA">
        <w:t>Table</w:t>
      </w:r>
      <w:r>
        <w:t xml:space="preserve"> 3.10</w:t>
      </w:r>
      <w:r w:rsidRPr="00D30CBA">
        <w:t xml:space="preserve">: </w:t>
      </w:r>
      <w:r>
        <w:t>Administered capital budget statement (for the period ended 30 June)</w:t>
      </w:r>
    </w:p>
    <w:p w:rsidR="00A02077" w:rsidRDefault="00A02077" w:rsidP="00A02077">
      <w:pPr>
        <w:pStyle w:val="TableGraphic"/>
      </w:pPr>
      <w:r>
        <w:t xml:space="preserve">The Asbestos Safety and Eradication Agency has no administered capital budget. For this reason, Table 3.10 is not presented. </w:t>
      </w:r>
    </w:p>
    <w:p w:rsidR="00A02077" w:rsidRDefault="00A02077" w:rsidP="00300D89">
      <w:pPr>
        <w:pStyle w:val="TableHeading"/>
        <w:spacing w:before="360" w:after="0"/>
        <w:rPr>
          <w:lang w:val="en-AU"/>
        </w:rPr>
      </w:pPr>
      <w:r>
        <w:t>Table 3.11: Statement of administered asset movements (Budget year 2018</w:t>
      </w:r>
      <w:r>
        <w:rPr>
          <w:lang w:val="en-AU"/>
        </w:rPr>
        <w:t>–</w:t>
      </w:r>
      <w:r>
        <w:t>19)</w:t>
      </w:r>
    </w:p>
    <w:p w:rsidR="00A02077" w:rsidRPr="008C6AE3" w:rsidRDefault="00A02077" w:rsidP="00A02077">
      <w:pPr>
        <w:pStyle w:val="TableGraphic"/>
        <w:rPr>
          <w:lang w:eastAsia="x-none"/>
        </w:rPr>
      </w:pPr>
      <w:r>
        <w:rPr>
          <w:lang w:eastAsia="x-none"/>
        </w:rPr>
        <w:t xml:space="preserve">The Asbestos Safety and Eradication Agency has no administered non-financial assets. For this reason, Table 3.11 is not presented. </w:t>
      </w:r>
    </w:p>
    <w:p w:rsidR="00A02077" w:rsidRDefault="00A02077" w:rsidP="003F3839"/>
    <w:p w:rsidR="008935FC" w:rsidRDefault="008935FC" w:rsidP="003F3839"/>
    <w:p w:rsidR="008935FC" w:rsidRDefault="008935FC" w:rsidP="003F3839">
      <w:pPr>
        <w:sectPr w:rsidR="008935FC" w:rsidSect="0050346A">
          <w:headerReference w:type="even" r:id="rId81"/>
          <w:headerReference w:type="first" r:id="rId82"/>
          <w:footnotePr>
            <w:numRestart w:val="eachPage"/>
          </w:footnotePr>
          <w:type w:val="oddPage"/>
          <w:pgSz w:w="11906" w:h="16838" w:code="9"/>
          <w:pgMar w:top="2466" w:right="2098" w:bottom="2466" w:left="2098" w:header="1899" w:footer="1899" w:gutter="0"/>
          <w:cols w:space="708"/>
          <w:titlePg/>
          <w:docGrid w:linePitch="360"/>
        </w:sectPr>
      </w:pPr>
    </w:p>
    <w:p w:rsidR="003F3839" w:rsidRPr="005A7C0B" w:rsidRDefault="003F3839" w:rsidP="00EB77C1">
      <w:pPr>
        <w:pStyle w:val="PartHeading"/>
        <w:spacing w:after="2160"/>
      </w:pPr>
      <w:r>
        <w:lastRenderedPageBreak/>
        <w:t>Australian Building and Construction Commission</w:t>
      </w:r>
    </w:p>
    <w:p w:rsidR="003F3839" w:rsidRDefault="003F3839" w:rsidP="00EB77C1">
      <w:pPr>
        <w:pStyle w:val="PartHeading-TOC"/>
        <w:spacing w:after="1200"/>
      </w:pPr>
      <w:bookmarkStart w:id="205" w:name="_Toc511634915"/>
      <w:bookmarkStart w:id="206" w:name="_Toc511635310"/>
      <w:bookmarkStart w:id="207" w:name="_Toc511651059"/>
      <w:r>
        <w:t>Entity resources and planned performance</w:t>
      </w:r>
      <w:bookmarkEnd w:id="205"/>
      <w:bookmarkEnd w:id="206"/>
      <w:bookmarkEnd w:id="207"/>
    </w:p>
    <w:p w:rsidR="00240B29" w:rsidRPr="00240B29" w:rsidRDefault="00240B29" w:rsidP="00240B29">
      <w:pPr>
        <w:sectPr w:rsidR="00240B29" w:rsidRPr="00240B29" w:rsidSect="005A7C0B">
          <w:headerReference w:type="even" r:id="rId83"/>
          <w:headerReference w:type="default" r:id="rId84"/>
          <w:headerReference w:type="first" r:id="rId85"/>
          <w:footerReference w:type="first" r:id="rId86"/>
          <w:footnotePr>
            <w:numRestart w:val="eachPage"/>
          </w:footnotePr>
          <w:type w:val="oddPage"/>
          <w:pgSz w:w="11906" w:h="16838" w:code="9"/>
          <w:pgMar w:top="2466" w:right="2098" w:bottom="2466" w:left="2098" w:header="1899" w:footer="1899" w:gutter="0"/>
          <w:cols w:space="708"/>
          <w:vAlign w:val="center"/>
          <w:titlePg/>
          <w:docGrid w:linePitch="360"/>
        </w:sectPr>
      </w:pPr>
    </w:p>
    <w:p w:rsidR="003F3839" w:rsidRPr="002A32FD" w:rsidRDefault="003F3839" w:rsidP="003F3839">
      <w:pPr>
        <w:pStyle w:val="ContentsHeading"/>
      </w:pPr>
      <w:r>
        <w:lastRenderedPageBreak/>
        <w:t>Australian Building and Construction Commission</w:t>
      </w:r>
    </w:p>
    <w:p w:rsidR="00C1522D" w:rsidRPr="000A6D23" w:rsidRDefault="003F3839">
      <w:pPr>
        <w:pStyle w:val="TOC1"/>
        <w:rPr>
          <w:rFonts w:ascii="Calibri" w:hAnsi="Calibri"/>
          <w:noProof/>
          <w:sz w:val="22"/>
          <w:szCs w:val="22"/>
        </w:rPr>
      </w:pPr>
      <w:r w:rsidRPr="00BF51E9">
        <w:fldChar w:fldCharType="begin"/>
      </w:r>
      <w:r w:rsidRPr="00BF51E9">
        <w:instrText xml:space="preserve"> TOC \h \z \t "Heading 2,1,Heading 3,2" </w:instrText>
      </w:r>
      <w:r w:rsidRPr="00BF51E9">
        <w:fldChar w:fldCharType="separate"/>
      </w:r>
      <w:hyperlink w:anchor="_Toc511902533" w:history="1">
        <w:r w:rsidR="00C1522D" w:rsidRPr="008E53D8">
          <w:rPr>
            <w:rStyle w:val="Hyperlink"/>
            <w:noProof/>
          </w:rPr>
          <w:t>Section 1: Entity overview and resources</w:t>
        </w:r>
        <w:r w:rsidR="00C1522D">
          <w:rPr>
            <w:noProof/>
            <w:webHidden/>
          </w:rPr>
          <w:tab/>
        </w:r>
        <w:r w:rsidR="00C1522D">
          <w:rPr>
            <w:noProof/>
            <w:webHidden/>
          </w:rPr>
          <w:fldChar w:fldCharType="begin"/>
        </w:r>
        <w:r w:rsidR="00C1522D">
          <w:rPr>
            <w:noProof/>
            <w:webHidden/>
          </w:rPr>
          <w:instrText xml:space="preserve"> PAGEREF _Toc511902533 \h </w:instrText>
        </w:r>
        <w:r w:rsidR="00C1522D">
          <w:rPr>
            <w:noProof/>
            <w:webHidden/>
          </w:rPr>
        </w:r>
        <w:r w:rsidR="00C1522D">
          <w:rPr>
            <w:noProof/>
            <w:webHidden/>
          </w:rPr>
          <w:fldChar w:fldCharType="separate"/>
        </w:r>
        <w:r w:rsidR="007212DF">
          <w:rPr>
            <w:noProof/>
            <w:webHidden/>
          </w:rPr>
          <w:t>67</w:t>
        </w:r>
        <w:r w:rsidR="00C1522D">
          <w:rPr>
            <w:noProof/>
            <w:webHidden/>
          </w:rPr>
          <w:fldChar w:fldCharType="end"/>
        </w:r>
      </w:hyperlink>
    </w:p>
    <w:p w:rsidR="00C1522D" w:rsidRPr="00107F05" w:rsidRDefault="00C1522D">
      <w:pPr>
        <w:pStyle w:val="TOC2"/>
        <w:tabs>
          <w:tab w:val="left" w:pos="800"/>
        </w:tabs>
        <w:rPr>
          <w:rFonts w:ascii="Calibri" w:hAnsi="Calibri"/>
          <w:noProof/>
          <w:sz w:val="22"/>
          <w:szCs w:val="22"/>
        </w:rPr>
      </w:pPr>
      <w:hyperlink w:anchor="_Toc511902534" w:history="1">
        <w:r w:rsidRPr="008E53D8">
          <w:rPr>
            <w:rStyle w:val="Hyperlink"/>
            <w:noProof/>
          </w:rPr>
          <w:t>1.1</w:t>
        </w:r>
        <w:r w:rsidRPr="00107F05">
          <w:rPr>
            <w:rFonts w:ascii="Calibri" w:hAnsi="Calibri"/>
            <w:noProof/>
            <w:sz w:val="22"/>
            <w:szCs w:val="22"/>
          </w:rPr>
          <w:tab/>
        </w:r>
        <w:r w:rsidRPr="008E53D8">
          <w:rPr>
            <w:rStyle w:val="Hyperlink"/>
            <w:noProof/>
          </w:rPr>
          <w:t>Strategic direction statement</w:t>
        </w:r>
        <w:r>
          <w:rPr>
            <w:noProof/>
            <w:webHidden/>
          </w:rPr>
          <w:tab/>
        </w:r>
        <w:r>
          <w:rPr>
            <w:noProof/>
            <w:webHidden/>
          </w:rPr>
          <w:fldChar w:fldCharType="begin"/>
        </w:r>
        <w:r>
          <w:rPr>
            <w:noProof/>
            <w:webHidden/>
          </w:rPr>
          <w:instrText xml:space="preserve"> PAGEREF _Toc511902534 \h </w:instrText>
        </w:r>
        <w:r>
          <w:rPr>
            <w:noProof/>
            <w:webHidden/>
          </w:rPr>
        </w:r>
        <w:r>
          <w:rPr>
            <w:noProof/>
            <w:webHidden/>
          </w:rPr>
          <w:fldChar w:fldCharType="separate"/>
        </w:r>
        <w:r w:rsidR="007212DF">
          <w:rPr>
            <w:noProof/>
            <w:webHidden/>
          </w:rPr>
          <w:t>67</w:t>
        </w:r>
        <w:r>
          <w:rPr>
            <w:noProof/>
            <w:webHidden/>
          </w:rPr>
          <w:fldChar w:fldCharType="end"/>
        </w:r>
      </w:hyperlink>
    </w:p>
    <w:p w:rsidR="00C1522D" w:rsidRPr="00107F05" w:rsidRDefault="00C1522D">
      <w:pPr>
        <w:pStyle w:val="TOC2"/>
        <w:tabs>
          <w:tab w:val="left" w:pos="800"/>
        </w:tabs>
        <w:rPr>
          <w:rFonts w:ascii="Calibri" w:hAnsi="Calibri"/>
          <w:noProof/>
          <w:sz w:val="22"/>
          <w:szCs w:val="22"/>
        </w:rPr>
      </w:pPr>
      <w:hyperlink w:anchor="_Toc511902535" w:history="1">
        <w:r w:rsidRPr="008E53D8">
          <w:rPr>
            <w:rStyle w:val="Hyperlink"/>
            <w:noProof/>
          </w:rPr>
          <w:t>1.2</w:t>
        </w:r>
        <w:r w:rsidRPr="00107F05">
          <w:rPr>
            <w:rFonts w:ascii="Calibri" w:hAnsi="Calibri"/>
            <w:noProof/>
            <w:sz w:val="22"/>
            <w:szCs w:val="22"/>
          </w:rPr>
          <w:tab/>
        </w:r>
        <w:r w:rsidRPr="008E53D8">
          <w:rPr>
            <w:rStyle w:val="Hyperlink"/>
            <w:noProof/>
          </w:rPr>
          <w:t>Entity resource statement</w:t>
        </w:r>
        <w:r>
          <w:rPr>
            <w:noProof/>
            <w:webHidden/>
          </w:rPr>
          <w:tab/>
        </w:r>
        <w:r>
          <w:rPr>
            <w:noProof/>
            <w:webHidden/>
          </w:rPr>
          <w:fldChar w:fldCharType="begin"/>
        </w:r>
        <w:r>
          <w:rPr>
            <w:noProof/>
            <w:webHidden/>
          </w:rPr>
          <w:instrText xml:space="preserve"> PAGEREF _Toc511902535 \h </w:instrText>
        </w:r>
        <w:r>
          <w:rPr>
            <w:noProof/>
            <w:webHidden/>
          </w:rPr>
        </w:r>
        <w:r>
          <w:rPr>
            <w:noProof/>
            <w:webHidden/>
          </w:rPr>
          <w:fldChar w:fldCharType="separate"/>
        </w:r>
        <w:r w:rsidR="007212DF">
          <w:rPr>
            <w:noProof/>
            <w:webHidden/>
          </w:rPr>
          <w:t>68</w:t>
        </w:r>
        <w:r>
          <w:rPr>
            <w:noProof/>
            <w:webHidden/>
          </w:rPr>
          <w:fldChar w:fldCharType="end"/>
        </w:r>
      </w:hyperlink>
    </w:p>
    <w:p w:rsidR="00C1522D" w:rsidRPr="00107F05" w:rsidRDefault="00C1522D">
      <w:pPr>
        <w:pStyle w:val="TOC2"/>
        <w:tabs>
          <w:tab w:val="left" w:pos="800"/>
        </w:tabs>
        <w:rPr>
          <w:rFonts w:ascii="Calibri" w:hAnsi="Calibri"/>
          <w:noProof/>
          <w:sz w:val="22"/>
          <w:szCs w:val="22"/>
        </w:rPr>
      </w:pPr>
      <w:hyperlink w:anchor="_Toc511902536" w:history="1">
        <w:r w:rsidRPr="008E53D8">
          <w:rPr>
            <w:rStyle w:val="Hyperlink"/>
            <w:noProof/>
          </w:rPr>
          <w:t>1.3</w:t>
        </w:r>
        <w:r w:rsidRPr="00107F05">
          <w:rPr>
            <w:rFonts w:ascii="Calibri" w:hAnsi="Calibri"/>
            <w:noProof/>
            <w:sz w:val="22"/>
            <w:szCs w:val="22"/>
          </w:rPr>
          <w:tab/>
        </w:r>
        <w:r w:rsidRPr="008E53D8">
          <w:rPr>
            <w:rStyle w:val="Hyperlink"/>
            <w:noProof/>
          </w:rPr>
          <w:t>Budget measures</w:t>
        </w:r>
        <w:r>
          <w:rPr>
            <w:noProof/>
            <w:webHidden/>
          </w:rPr>
          <w:tab/>
        </w:r>
        <w:r>
          <w:rPr>
            <w:noProof/>
            <w:webHidden/>
          </w:rPr>
          <w:fldChar w:fldCharType="begin"/>
        </w:r>
        <w:r>
          <w:rPr>
            <w:noProof/>
            <w:webHidden/>
          </w:rPr>
          <w:instrText xml:space="preserve"> PAGEREF _Toc511902536 \h </w:instrText>
        </w:r>
        <w:r>
          <w:rPr>
            <w:noProof/>
            <w:webHidden/>
          </w:rPr>
        </w:r>
        <w:r>
          <w:rPr>
            <w:noProof/>
            <w:webHidden/>
          </w:rPr>
          <w:fldChar w:fldCharType="separate"/>
        </w:r>
        <w:r w:rsidR="007212DF">
          <w:rPr>
            <w:noProof/>
            <w:webHidden/>
          </w:rPr>
          <w:t>69</w:t>
        </w:r>
        <w:r>
          <w:rPr>
            <w:noProof/>
            <w:webHidden/>
          </w:rPr>
          <w:fldChar w:fldCharType="end"/>
        </w:r>
      </w:hyperlink>
    </w:p>
    <w:p w:rsidR="00C1522D" w:rsidRPr="00107F05" w:rsidRDefault="00C1522D">
      <w:pPr>
        <w:pStyle w:val="TOC1"/>
        <w:rPr>
          <w:rFonts w:ascii="Calibri" w:hAnsi="Calibri"/>
          <w:b w:val="0"/>
          <w:caps w:val="0"/>
          <w:noProof/>
          <w:sz w:val="22"/>
          <w:szCs w:val="22"/>
        </w:rPr>
      </w:pPr>
      <w:hyperlink w:anchor="_Toc511902537" w:history="1">
        <w:r w:rsidRPr="008E53D8">
          <w:rPr>
            <w:rStyle w:val="Hyperlink"/>
            <w:noProof/>
          </w:rPr>
          <w:t>Section 2: Outcomes and planned performance</w:t>
        </w:r>
        <w:r>
          <w:rPr>
            <w:noProof/>
            <w:webHidden/>
          </w:rPr>
          <w:tab/>
        </w:r>
        <w:r>
          <w:rPr>
            <w:noProof/>
            <w:webHidden/>
          </w:rPr>
          <w:fldChar w:fldCharType="begin"/>
        </w:r>
        <w:r>
          <w:rPr>
            <w:noProof/>
            <w:webHidden/>
          </w:rPr>
          <w:instrText xml:space="preserve"> PAGEREF _Toc511902537 \h </w:instrText>
        </w:r>
        <w:r>
          <w:rPr>
            <w:noProof/>
            <w:webHidden/>
          </w:rPr>
        </w:r>
        <w:r>
          <w:rPr>
            <w:noProof/>
            <w:webHidden/>
          </w:rPr>
          <w:fldChar w:fldCharType="separate"/>
        </w:r>
        <w:r w:rsidR="007212DF">
          <w:rPr>
            <w:noProof/>
            <w:webHidden/>
          </w:rPr>
          <w:t>70</w:t>
        </w:r>
        <w:r>
          <w:rPr>
            <w:noProof/>
            <w:webHidden/>
          </w:rPr>
          <w:fldChar w:fldCharType="end"/>
        </w:r>
      </w:hyperlink>
    </w:p>
    <w:p w:rsidR="00C1522D" w:rsidRPr="00107F05" w:rsidRDefault="00C1522D">
      <w:pPr>
        <w:pStyle w:val="TOC2"/>
        <w:tabs>
          <w:tab w:val="left" w:pos="800"/>
        </w:tabs>
        <w:rPr>
          <w:rFonts w:ascii="Calibri" w:hAnsi="Calibri"/>
          <w:noProof/>
          <w:sz w:val="22"/>
          <w:szCs w:val="22"/>
        </w:rPr>
      </w:pPr>
      <w:hyperlink w:anchor="_Toc511902538" w:history="1">
        <w:r w:rsidRPr="008E53D8">
          <w:rPr>
            <w:rStyle w:val="Hyperlink"/>
            <w:noProof/>
          </w:rPr>
          <w:t xml:space="preserve">2.1 </w:t>
        </w:r>
        <w:r w:rsidRPr="00107F05">
          <w:rPr>
            <w:rFonts w:ascii="Calibri" w:hAnsi="Calibri"/>
            <w:noProof/>
            <w:sz w:val="22"/>
            <w:szCs w:val="22"/>
          </w:rPr>
          <w:tab/>
        </w:r>
        <w:r w:rsidRPr="008E53D8">
          <w:rPr>
            <w:rStyle w:val="Hyperlink"/>
            <w:noProof/>
          </w:rPr>
          <w:t>Budgeted expenses and performance for Outcome 1</w:t>
        </w:r>
        <w:r>
          <w:rPr>
            <w:noProof/>
            <w:webHidden/>
          </w:rPr>
          <w:tab/>
        </w:r>
        <w:r>
          <w:rPr>
            <w:noProof/>
            <w:webHidden/>
          </w:rPr>
          <w:fldChar w:fldCharType="begin"/>
        </w:r>
        <w:r>
          <w:rPr>
            <w:noProof/>
            <w:webHidden/>
          </w:rPr>
          <w:instrText xml:space="preserve"> PAGEREF _Toc511902538 \h </w:instrText>
        </w:r>
        <w:r>
          <w:rPr>
            <w:noProof/>
            <w:webHidden/>
          </w:rPr>
        </w:r>
        <w:r>
          <w:rPr>
            <w:noProof/>
            <w:webHidden/>
          </w:rPr>
          <w:fldChar w:fldCharType="separate"/>
        </w:r>
        <w:r w:rsidR="007212DF">
          <w:rPr>
            <w:noProof/>
            <w:webHidden/>
          </w:rPr>
          <w:t>71</w:t>
        </w:r>
        <w:r>
          <w:rPr>
            <w:noProof/>
            <w:webHidden/>
          </w:rPr>
          <w:fldChar w:fldCharType="end"/>
        </w:r>
      </w:hyperlink>
    </w:p>
    <w:p w:rsidR="00C1522D" w:rsidRPr="00107F05" w:rsidRDefault="00C1522D">
      <w:pPr>
        <w:pStyle w:val="TOC1"/>
        <w:rPr>
          <w:rFonts w:ascii="Calibri" w:hAnsi="Calibri"/>
          <w:b w:val="0"/>
          <w:caps w:val="0"/>
          <w:noProof/>
          <w:sz w:val="22"/>
          <w:szCs w:val="22"/>
        </w:rPr>
      </w:pPr>
      <w:hyperlink w:anchor="_Toc511902539" w:history="1">
        <w:r w:rsidRPr="008E53D8">
          <w:rPr>
            <w:rStyle w:val="Hyperlink"/>
            <w:noProof/>
          </w:rPr>
          <w:t>Section 3: Budgeted financial statements</w:t>
        </w:r>
        <w:r>
          <w:rPr>
            <w:noProof/>
            <w:webHidden/>
          </w:rPr>
          <w:tab/>
        </w:r>
        <w:r>
          <w:rPr>
            <w:noProof/>
            <w:webHidden/>
          </w:rPr>
          <w:fldChar w:fldCharType="begin"/>
        </w:r>
        <w:r>
          <w:rPr>
            <w:noProof/>
            <w:webHidden/>
          </w:rPr>
          <w:instrText xml:space="preserve"> PAGEREF _Toc511902539 \h </w:instrText>
        </w:r>
        <w:r>
          <w:rPr>
            <w:noProof/>
            <w:webHidden/>
          </w:rPr>
        </w:r>
        <w:r>
          <w:rPr>
            <w:noProof/>
            <w:webHidden/>
          </w:rPr>
          <w:fldChar w:fldCharType="separate"/>
        </w:r>
        <w:r w:rsidR="007212DF">
          <w:rPr>
            <w:noProof/>
            <w:webHidden/>
          </w:rPr>
          <w:t>74</w:t>
        </w:r>
        <w:r>
          <w:rPr>
            <w:noProof/>
            <w:webHidden/>
          </w:rPr>
          <w:fldChar w:fldCharType="end"/>
        </w:r>
      </w:hyperlink>
    </w:p>
    <w:p w:rsidR="00C1522D" w:rsidRPr="00107F05" w:rsidRDefault="00C1522D">
      <w:pPr>
        <w:pStyle w:val="TOC2"/>
        <w:tabs>
          <w:tab w:val="left" w:pos="800"/>
        </w:tabs>
        <w:rPr>
          <w:rFonts w:ascii="Calibri" w:hAnsi="Calibri"/>
          <w:noProof/>
          <w:sz w:val="22"/>
          <w:szCs w:val="22"/>
        </w:rPr>
      </w:pPr>
      <w:hyperlink w:anchor="_Toc511902540" w:history="1">
        <w:r w:rsidRPr="008E53D8">
          <w:rPr>
            <w:rStyle w:val="Hyperlink"/>
            <w:noProof/>
          </w:rPr>
          <w:t>3.1</w:t>
        </w:r>
        <w:r w:rsidRPr="00107F05">
          <w:rPr>
            <w:rFonts w:ascii="Calibri" w:hAnsi="Calibri"/>
            <w:noProof/>
            <w:sz w:val="22"/>
            <w:szCs w:val="22"/>
          </w:rPr>
          <w:tab/>
        </w:r>
        <w:r w:rsidRPr="008E53D8">
          <w:rPr>
            <w:rStyle w:val="Hyperlink"/>
            <w:noProof/>
          </w:rPr>
          <w:t>Budgeted financial statements</w:t>
        </w:r>
        <w:r>
          <w:rPr>
            <w:noProof/>
            <w:webHidden/>
          </w:rPr>
          <w:tab/>
        </w:r>
        <w:r>
          <w:rPr>
            <w:noProof/>
            <w:webHidden/>
          </w:rPr>
          <w:fldChar w:fldCharType="begin"/>
        </w:r>
        <w:r>
          <w:rPr>
            <w:noProof/>
            <w:webHidden/>
          </w:rPr>
          <w:instrText xml:space="preserve"> PAGEREF _Toc511902540 \h </w:instrText>
        </w:r>
        <w:r>
          <w:rPr>
            <w:noProof/>
            <w:webHidden/>
          </w:rPr>
        </w:r>
        <w:r>
          <w:rPr>
            <w:noProof/>
            <w:webHidden/>
          </w:rPr>
          <w:fldChar w:fldCharType="separate"/>
        </w:r>
        <w:r w:rsidR="007212DF">
          <w:rPr>
            <w:noProof/>
            <w:webHidden/>
          </w:rPr>
          <w:t>74</w:t>
        </w:r>
        <w:r>
          <w:rPr>
            <w:noProof/>
            <w:webHidden/>
          </w:rPr>
          <w:fldChar w:fldCharType="end"/>
        </w:r>
      </w:hyperlink>
    </w:p>
    <w:p w:rsidR="00C1522D" w:rsidRPr="00107F05" w:rsidRDefault="00C1522D">
      <w:pPr>
        <w:pStyle w:val="TOC2"/>
        <w:tabs>
          <w:tab w:val="left" w:pos="800"/>
        </w:tabs>
        <w:rPr>
          <w:rFonts w:ascii="Calibri" w:hAnsi="Calibri"/>
          <w:noProof/>
          <w:sz w:val="22"/>
          <w:szCs w:val="22"/>
        </w:rPr>
      </w:pPr>
      <w:hyperlink w:anchor="_Toc511902541" w:history="1">
        <w:r w:rsidRPr="008E53D8">
          <w:rPr>
            <w:rStyle w:val="Hyperlink"/>
            <w:noProof/>
          </w:rPr>
          <w:t>3.2.</w:t>
        </w:r>
        <w:r w:rsidRPr="00107F05">
          <w:rPr>
            <w:rFonts w:ascii="Calibri" w:hAnsi="Calibri"/>
            <w:noProof/>
            <w:sz w:val="22"/>
            <w:szCs w:val="22"/>
          </w:rPr>
          <w:tab/>
        </w:r>
        <w:r w:rsidRPr="008E53D8">
          <w:rPr>
            <w:rStyle w:val="Hyperlink"/>
            <w:noProof/>
          </w:rPr>
          <w:t>Budgeted financial statements tables</w:t>
        </w:r>
        <w:r>
          <w:rPr>
            <w:noProof/>
            <w:webHidden/>
          </w:rPr>
          <w:tab/>
        </w:r>
        <w:r>
          <w:rPr>
            <w:noProof/>
            <w:webHidden/>
          </w:rPr>
          <w:fldChar w:fldCharType="begin"/>
        </w:r>
        <w:r>
          <w:rPr>
            <w:noProof/>
            <w:webHidden/>
          </w:rPr>
          <w:instrText xml:space="preserve"> PAGEREF _Toc511902541 \h </w:instrText>
        </w:r>
        <w:r>
          <w:rPr>
            <w:noProof/>
            <w:webHidden/>
          </w:rPr>
        </w:r>
        <w:r>
          <w:rPr>
            <w:noProof/>
            <w:webHidden/>
          </w:rPr>
          <w:fldChar w:fldCharType="separate"/>
        </w:r>
        <w:r w:rsidR="007212DF">
          <w:rPr>
            <w:noProof/>
            <w:webHidden/>
          </w:rPr>
          <w:t>75</w:t>
        </w:r>
        <w:r>
          <w:rPr>
            <w:noProof/>
            <w:webHidden/>
          </w:rPr>
          <w:fldChar w:fldCharType="end"/>
        </w:r>
      </w:hyperlink>
    </w:p>
    <w:p w:rsidR="003F3839" w:rsidRPr="00BF51E9" w:rsidRDefault="003F3839" w:rsidP="003F3839">
      <w:pPr>
        <w:pStyle w:val="TOC1"/>
      </w:pPr>
      <w:r w:rsidRPr="00BF51E9">
        <w:fldChar w:fldCharType="end"/>
      </w:r>
    </w:p>
    <w:p w:rsidR="00240B29" w:rsidRDefault="00240B29" w:rsidP="003F3839">
      <w:pPr>
        <w:sectPr w:rsidR="00240B29" w:rsidSect="0050346A">
          <w:headerReference w:type="even" r:id="rId87"/>
          <w:headerReference w:type="default" r:id="rId88"/>
          <w:headerReference w:type="first" r:id="rId89"/>
          <w:footerReference w:type="first" r:id="rId90"/>
          <w:footnotePr>
            <w:numRestart w:val="eachPage"/>
          </w:footnotePr>
          <w:type w:val="oddPage"/>
          <w:pgSz w:w="11906" w:h="16838" w:code="9"/>
          <w:pgMar w:top="2466" w:right="2098" w:bottom="2466" w:left="2098" w:header="1899" w:footer="1899" w:gutter="0"/>
          <w:cols w:space="708"/>
          <w:titlePg/>
          <w:docGrid w:linePitch="360"/>
        </w:sectPr>
      </w:pPr>
    </w:p>
    <w:p w:rsidR="00240B29" w:rsidRPr="00240B29" w:rsidRDefault="00240B29" w:rsidP="00B834F1">
      <w:pPr>
        <w:pStyle w:val="Heading1"/>
      </w:pPr>
      <w:bookmarkStart w:id="208" w:name="_Toc511635311"/>
      <w:bookmarkStart w:id="209" w:name="_Toc511651060"/>
      <w:r w:rsidRPr="00240B29">
        <w:lastRenderedPageBreak/>
        <w:t>Australian Building and Construction Commission</w:t>
      </w:r>
      <w:bookmarkEnd w:id="208"/>
      <w:bookmarkEnd w:id="209"/>
    </w:p>
    <w:p w:rsidR="00240B29" w:rsidRPr="00240B29" w:rsidRDefault="00240B29" w:rsidP="00B834F1">
      <w:pPr>
        <w:pStyle w:val="Heading2"/>
      </w:pPr>
      <w:bookmarkStart w:id="210" w:name="_Toc511656263"/>
      <w:bookmarkStart w:id="211" w:name="_Toc511722636"/>
      <w:bookmarkStart w:id="212" w:name="_Toc511736967"/>
      <w:bookmarkStart w:id="213" w:name="_Toc511747229"/>
      <w:bookmarkStart w:id="214" w:name="_Toc511765632"/>
      <w:bookmarkStart w:id="215" w:name="_Toc511828688"/>
      <w:bookmarkStart w:id="216" w:name="_Toc511836827"/>
      <w:bookmarkStart w:id="217" w:name="_Toc511902533"/>
      <w:r w:rsidRPr="00240B29">
        <w:t>Section 1: Entity overview and resources</w:t>
      </w:r>
      <w:bookmarkEnd w:id="210"/>
      <w:bookmarkEnd w:id="211"/>
      <w:bookmarkEnd w:id="212"/>
      <w:bookmarkEnd w:id="213"/>
      <w:bookmarkEnd w:id="214"/>
      <w:bookmarkEnd w:id="215"/>
      <w:bookmarkEnd w:id="216"/>
      <w:bookmarkEnd w:id="217"/>
    </w:p>
    <w:p w:rsidR="00240B29" w:rsidRPr="00240B29" w:rsidRDefault="00240B29" w:rsidP="00B834F1">
      <w:pPr>
        <w:pStyle w:val="Heading3"/>
      </w:pPr>
      <w:bookmarkStart w:id="218" w:name="_Toc511656264"/>
      <w:bookmarkStart w:id="219" w:name="_Toc511722637"/>
      <w:bookmarkStart w:id="220" w:name="_Toc511736968"/>
      <w:bookmarkStart w:id="221" w:name="_Toc511747230"/>
      <w:bookmarkStart w:id="222" w:name="_Toc511765633"/>
      <w:bookmarkStart w:id="223" w:name="_Toc511828689"/>
      <w:bookmarkStart w:id="224" w:name="_Toc511836828"/>
      <w:bookmarkStart w:id="225" w:name="_Toc511902534"/>
      <w:r w:rsidRPr="00240B29">
        <w:t>1.1</w:t>
      </w:r>
      <w:r w:rsidRPr="00240B29">
        <w:tab/>
        <w:t>Strategic direction statement</w:t>
      </w:r>
      <w:bookmarkEnd w:id="218"/>
      <w:bookmarkEnd w:id="219"/>
      <w:bookmarkEnd w:id="220"/>
      <w:bookmarkEnd w:id="221"/>
      <w:bookmarkEnd w:id="222"/>
      <w:bookmarkEnd w:id="223"/>
      <w:bookmarkEnd w:id="224"/>
      <w:bookmarkEnd w:id="225"/>
    </w:p>
    <w:p w:rsidR="00240B29" w:rsidRPr="00240B29" w:rsidRDefault="00240B29" w:rsidP="00240B29">
      <w:pPr>
        <w:spacing w:after="200"/>
      </w:pPr>
      <w:r w:rsidRPr="00240B29">
        <w:t xml:space="preserve">The Australian Building and Construction Commission (ABCC) was re-established by the </w:t>
      </w:r>
      <w:r w:rsidRPr="00240B29">
        <w:rPr>
          <w:i/>
        </w:rPr>
        <w:t xml:space="preserve">Building and Construction Industry (Improving Productivity) Act 2016 </w:t>
      </w:r>
      <w:r w:rsidRPr="00240B29">
        <w:t>(BCIIP Act). The ABCC commenced operations on 2 December 2016, transitioning from its predecessor agency</w:t>
      </w:r>
      <w:r w:rsidR="000A6D23">
        <w:t>,</w:t>
      </w:r>
      <w:r w:rsidRPr="00240B29">
        <w:t xml:space="preserve"> the Office of the Fair Work Building Industry Inspectorate, known as Fair Work Building and Construction. </w:t>
      </w:r>
    </w:p>
    <w:p w:rsidR="00240B29" w:rsidRPr="00240B29" w:rsidRDefault="00240B29" w:rsidP="00240B29">
      <w:pPr>
        <w:spacing w:after="200"/>
      </w:pPr>
      <w:r w:rsidRPr="00240B29">
        <w:t xml:space="preserve">The ABCC’s main objective is to impartially contribute to an improved workplace relations framework for building work to ensure that building work is carried out fairly, efficiently and productively. </w:t>
      </w:r>
    </w:p>
    <w:p w:rsidR="00240B29" w:rsidRPr="00240B29" w:rsidRDefault="00240B29" w:rsidP="00702EC1">
      <w:pPr>
        <w:spacing w:after="120"/>
      </w:pPr>
      <w:r w:rsidRPr="00240B29">
        <w:t>In accordance with its responsibilities under the BCIIP Act, the ABCC:</w:t>
      </w:r>
    </w:p>
    <w:p w:rsidR="00240B29" w:rsidRPr="00240B29" w:rsidRDefault="00240B29" w:rsidP="00702EC1">
      <w:pPr>
        <w:pStyle w:val="Bullet"/>
        <w:spacing w:after="120"/>
      </w:pPr>
      <w:r w:rsidRPr="00240B29">
        <w:t>enforces workplace relations laws in the building and construction industry through the provision of education, assistance and advice, and where necessary, civil penalty litigation in the courts</w:t>
      </w:r>
      <w:r w:rsidR="00985AAE">
        <w:rPr>
          <w:lang w:val="en-AU"/>
        </w:rPr>
        <w:t>, and</w:t>
      </w:r>
    </w:p>
    <w:p w:rsidR="00240B29" w:rsidRPr="00240B29" w:rsidRDefault="00240B29" w:rsidP="00B834F1">
      <w:pPr>
        <w:pStyle w:val="Bullet"/>
      </w:pPr>
      <w:r w:rsidRPr="00240B29">
        <w:t xml:space="preserve">ensures compliance with Commonwealth Building Codes by educating the industry, monitoring compliance, and where appropriate, seeking rectification by, or sanctions against, non-compliant contractors. </w:t>
      </w:r>
    </w:p>
    <w:p w:rsidR="00240B29" w:rsidRPr="00240B29" w:rsidRDefault="00240B29" w:rsidP="00B834F1">
      <w:pPr>
        <w:pStyle w:val="Heading3"/>
      </w:pPr>
      <w:r w:rsidRPr="00240B29">
        <w:br w:type="page"/>
      </w:r>
      <w:bookmarkStart w:id="226" w:name="_Toc511656265"/>
      <w:bookmarkStart w:id="227" w:name="_Toc511722638"/>
      <w:bookmarkStart w:id="228" w:name="_Toc511736969"/>
      <w:bookmarkStart w:id="229" w:name="_Toc511747231"/>
      <w:bookmarkStart w:id="230" w:name="_Toc511765634"/>
      <w:bookmarkStart w:id="231" w:name="_Toc511828690"/>
      <w:bookmarkStart w:id="232" w:name="_Toc511836829"/>
      <w:bookmarkStart w:id="233" w:name="_Toc511902535"/>
      <w:r w:rsidRPr="00240B29">
        <w:lastRenderedPageBreak/>
        <w:t>1.2</w:t>
      </w:r>
      <w:r w:rsidRPr="00240B29">
        <w:tab/>
        <w:t>Entity resource statement</w:t>
      </w:r>
      <w:bookmarkEnd w:id="226"/>
      <w:bookmarkEnd w:id="227"/>
      <w:bookmarkEnd w:id="228"/>
      <w:bookmarkEnd w:id="229"/>
      <w:bookmarkEnd w:id="230"/>
      <w:bookmarkEnd w:id="231"/>
      <w:bookmarkEnd w:id="232"/>
      <w:bookmarkEnd w:id="233"/>
    </w:p>
    <w:p w:rsidR="00240B29" w:rsidRPr="00240B29" w:rsidRDefault="00240B29" w:rsidP="00240B29">
      <w:r w:rsidRPr="00240B29">
        <w:t>Table 1.1 shows the total funding from all sources available to the entity for its operations and to deliver programs and services on behalf of the Government.</w:t>
      </w:r>
    </w:p>
    <w:p w:rsidR="00240B29" w:rsidRPr="00240B29" w:rsidRDefault="00240B29" w:rsidP="00240B29">
      <w:r w:rsidRPr="00240B29">
        <w:t>The table summarises how resources will be applied by outcome (government strategic policy objectives) and by administered (on behalf of the Government or the public) and departmental (for the entity’s operations) classification.</w:t>
      </w:r>
    </w:p>
    <w:p w:rsidR="00240B29" w:rsidRPr="00240B29" w:rsidRDefault="00240B29" w:rsidP="00240B29">
      <w:r w:rsidRPr="00240B29">
        <w:t xml:space="preserve">For more detailed information on special accounts and special appropriations, please refer to </w:t>
      </w:r>
      <w:r w:rsidRPr="00240B29">
        <w:rPr>
          <w:i/>
        </w:rPr>
        <w:t>Budget Paper No. 4—Agency Resourcing</w:t>
      </w:r>
      <w:r w:rsidRPr="00240B29">
        <w:t>.</w:t>
      </w:r>
    </w:p>
    <w:p w:rsidR="00240B29" w:rsidRPr="00240B29" w:rsidRDefault="00240B29" w:rsidP="00240B29">
      <w:r w:rsidRPr="00240B29">
        <w:t>Information in this table is presented on a resourcing (that is, appropriations/cash available) basis, whilst the ‘Budgeted expenses by Outcome’ table in Section 2 and the financial statements in Section 3 are presented on an accrual basis.</w:t>
      </w:r>
    </w:p>
    <w:p w:rsidR="00240B29" w:rsidRPr="00240B29" w:rsidRDefault="00240B29" w:rsidP="00B834F1">
      <w:pPr>
        <w:pStyle w:val="TableHeading"/>
      </w:pPr>
      <w:r w:rsidRPr="00240B29">
        <w:t>Table 1.1: Australian Building and Construction Commission resource statement—Budget estimates for 2018–19 as at Budget</w:t>
      </w:r>
      <w:r w:rsidR="00C5333D">
        <w:rPr>
          <w:lang w:val="en-AU"/>
        </w:rPr>
        <w:t>,</w:t>
      </w:r>
      <w:r w:rsidRPr="00240B29">
        <w:t xml:space="preserve"> May 2018</w:t>
      </w:r>
    </w:p>
    <w:tbl>
      <w:tblPr>
        <w:tblW w:w="7738" w:type="dxa"/>
        <w:tblInd w:w="93" w:type="dxa"/>
        <w:tblCellMar>
          <w:left w:w="85" w:type="dxa"/>
          <w:right w:w="85" w:type="dxa"/>
        </w:tblCellMar>
        <w:tblLook w:val="04A0" w:firstRow="1" w:lastRow="0" w:firstColumn="1" w:lastColumn="0" w:noHBand="0" w:noVBand="1"/>
      </w:tblPr>
      <w:tblGrid>
        <w:gridCol w:w="5584"/>
        <w:gridCol w:w="1077"/>
        <w:gridCol w:w="1077"/>
      </w:tblGrid>
      <w:tr w:rsidR="00240B29" w:rsidRPr="00240B29" w:rsidTr="00AB179B">
        <w:trPr>
          <w:trHeight w:val="794"/>
        </w:trPr>
        <w:tc>
          <w:tcPr>
            <w:tcW w:w="5584" w:type="dxa"/>
            <w:tcBorders>
              <w:top w:val="single" w:sz="4" w:space="0" w:color="auto"/>
              <w:left w:val="nil"/>
              <w:bottom w:val="nil"/>
              <w:right w:val="nil"/>
            </w:tcBorders>
            <w:shd w:val="clear" w:color="000000" w:fill="FFFFFF"/>
            <w:vAlign w:val="bottom"/>
            <w:hideMark/>
          </w:tcPr>
          <w:p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1077" w:type="dxa"/>
            <w:tcBorders>
              <w:top w:val="single" w:sz="4" w:space="0" w:color="auto"/>
              <w:left w:val="nil"/>
              <w:bottom w:val="single" w:sz="4" w:space="0" w:color="auto"/>
              <w:right w:val="nil"/>
            </w:tcBorders>
            <w:shd w:val="clear" w:color="000000" w:fill="FFFFFF"/>
            <w:vAlign w:val="center"/>
            <w:hideMark/>
          </w:tcPr>
          <w:p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 xml:space="preserve">2017–18 Estimated actual </w:t>
            </w:r>
            <w:r w:rsidRPr="00240B29">
              <w:rPr>
                <w:rFonts w:ascii="Arial" w:hAnsi="Arial" w:cs="Arial"/>
                <w:i/>
                <w:iCs/>
                <w:color w:val="000000"/>
                <w:sz w:val="16"/>
                <w:szCs w:val="16"/>
              </w:rPr>
              <w:br/>
              <w:t>$'000</w:t>
            </w:r>
          </w:p>
        </w:tc>
        <w:tc>
          <w:tcPr>
            <w:tcW w:w="1077" w:type="dxa"/>
            <w:tcBorders>
              <w:top w:val="single" w:sz="4" w:space="0" w:color="auto"/>
              <w:left w:val="nil"/>
              <w:bottom w:val="single" w:sz="4" w:space="0" w:color="auto"/>
              <w:right w:val="nil"/>
            </w:tcBorders>
            <w:shd w:val="clear" w:color="000000" w:fill="E6E6E6"/>
            <w:vAlign w:val="center"/>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2018–19 Estimate</w:t>
            </w:r>
            <w:r w:rsidRPr="00240B29">
              <w:rPr>
                <w:rFonts w:ascii="Arial" w:hAnsi="Arial" w:cs="Arial"/>
                <w:color w:val="000000"/>
                <w:sz w:val="16"/>
                <w:szCs w:val="16"/>
              </w:rPr>
              <w:br/>
            </w:r>
            <w:r w:rsidRPr="00240B29">
              <w:rPr>
                <w:rFonts w:ascii="Arial" w:hAnsi="Arial" w:cs="Arial"/>
                <w:color w:val="000000"/>
                <w:sz w:val="16"/>
                <w:szCs w:val="16"/>
              </w:rPr>
              <w:br/>
              <w:t>$'000</w:t>
            </w:r>
          </w:p>
        </w:tc>
      </w:tr>
      <w:tr w:rsidR="00240B29" w:rsidRPr="00240B29" w:rsidTr="00AB179B">
        <w:trPr>
          <w:trHeight w:val="225"/>
        </w:trPr>
        <w:tc>
          <w:tcPr>
            <w:tcW w:w="5584" w:type="dxa"/>
            <w:tcBorders>
              <w:top w:val="nil"/>
              <w:left w:val="nil"/>
              <w:bottom w:val="nil"/>
              <w:right w:val="nil"/>
            </w:tcBorders>
            <w:shd w:val="clear" w:color="000000" w:fill="FFFFFF"/>
            <w:vAlign w:val="bottom"/>
            <w:hideMark/>
          </w:tcPr>
          <w:p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Departmental</w:t>
            </w:r>
          </w:p>
        </w:tc>
        <w:tc>
          <w:tcPr>
            <w:tcW w:w="1077" w:type="dxa"/>
            <w:tcBorders>
              <w:top w:val="nil"/>
              <w:left w:val="nil"/>
              <w:bottom w:val="nil"/>
              <w:right w:val="nil"/>
            </w:tcBorders>
            <w:shd w:val="clear" w:color="000000" w:fill="FFFFFF"/>
            <w:vAlign w:val="center"/>
            <w:hideMark/>
          </w:tcPr>
          <w:p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 </w:t>
            </w:r>
          </w:p>
        </w:tc>
        <w:tc>
          <w:tcPr>
            <w:tcW w:w="1077" w:type="dxa"/>
            <w:tcBorders>
              <w:top w:val="nil"/>
              <w:left w:val="nil"/>
              <w:bottom w:val="nil"/>
              <w:right w:val="nil"/>
            </w:tcBorders>
            <w:shd w:val="clear" w:color="000000" w:fill="E6E6E6"/>
            <w:vAlign w:val="center"/>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r>
      <w:tr w:rsidR="00240B29" w:rsidRPr="00240B29" w:rsidTr="00AB179B">
        <w:trPr>
          <w:trHeight w:val="225"/>
        </w:trPr>
        <w:tc>
          <w:tcPr>
            <w:tcW w:w="5584" w:type="dxa"/>
            <w:tcBorders>
              <w:top w:val="nil"/>
              <w:left w:val="nil"/>
              <w:bottom w:val="nil"/>
              <w:right w:val="nil"/>
            </w:tcBorders>
            <w:shd w:val="clear" w:color="000000" w:fill="FFFFFF"/>
            <w:vAlign w:val="bottom"/>
            <w:hideMark/>
          </w:tcPr>
          <w:p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Annual appropriations—ordinary annual services (a)</w:t>
            </w:r>
          </w:p>
        </w:tc>
        <w:tc>
          <w:tcPr>
            <w:tcW w:w="1077" w:type="dxa"/>
            <w:tcBorders>
              <w:top w:val="nil"/>
              <w:left w:val="nil"/>
              <w:bottom w:val="nil"/>
              <w:right w:val="nil"/>
            </w:tcBorders>
            <w:shd w:val="clear" w:color="000000" w:fill="FFFFFF"/>
            <w:vAlign w:val="center"/>
            <w:hideMark/>
          </w:tcPr>
          <w:p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 </w:t>
            </w:r>
          </w:p>
        </w:tc>
        <w:tc>
          <w:tcPr>
            <w:tcW w:w="1077" w:type="dxa"/>
            <w:tcBorders>
              <w:top w:val="nil"/>
              <w:left w:val="nil"/>
              <w:bottom w:val="nil"/>
              <w:right w:val="nil"/>
            </w:tcBorders>
            <w:shd w:val="clear" w:color="000000" w:fill="E6E6E6"/>
            <w:vAlign w:val="center"/>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r>
      <w:tr w:rsidR="009067FF" w:rsidRPr="00240B29" w:rsidTr="00AB179B">
        <w:trPr>
          <w:trHeight w:val="225"/>
        </w:trPr>
        <w:tc>
          <w:tcPr>
            <w:tcW w:w="5584" w:type="dxa"/>
            <w:tcBorders>
              <w:top w:val="nil"/>
              <w:left w:val="nil"/>
              <w:bottom w:val="nil"/>
              <w:right w:val="nil"/>
            </w:tcBorders>
            <w:shd w:val="clear" w:color="000000" w:fill="FFFFFF"/>
            <w:vAlign w:val="bottom"/>
            <w:hideMark/>
          </w:tcPr>
          <w:p w:rsidR="009067FF" w:rsidRPr="00240B29" w:rsidRDefault="009067FF" w:rsidP="00240B29">
            <w:pPr>
              <w:spacing w:after="0" w:line="240" w:lineRule="auto"/>
              <w:rPr>
                <w:rFonts w:ascii="Arial" w:hAnsi="Arial" w:cs="Arial"/>
                <w:color w:val="000000"/>
                <w:sz w:val="16"/>
                <w:szCs w:val="16"/>
              </w:rPr>
            </w:pPr>
            <w:r w:rsidRPr="00240B29">
              <w:rPr>
                <w:rFonts w:ascii="Arial" w:hAnsi="Arial" w:cs="Arial"/>
                <w:color w:val="000000"/>
                <w:sz w:val="16"/>
                <w:szCs w:val="16"/>
              </w:rPr>
              <w:t xml:space="preserve">    Prior year appropriations available</w:t>
            </w:r>
          </w:p>
        </w:tc>
        <w:tc>
          <w:tcPr>
            <w:tcW w:w="1077" w:type="dxa"/>
            <w:tcBorders>
              <w:top w:val="nil"/>
              <w:left w:val="nil"/>
              <w:bottom w:val="nil"/>
              <w:right w:val="nil"/>
            </w:tcBorders>
            <w:shd w:val="clear" w:color="000000" w:fill="FFFFFF"/>
            <w:vAlign w:val="center"/>
            <w:hideMark/>
          </w:tcPr>
          <w:p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41,817 </w:t>
            </w:r>
          </w:p>
        </w:tc>
        <w:tc>
          <w:tcPr>
            <w:tcW w:w="1077" w:type="dxa"/>
            <w:tcBorders>
              <w:top w:val="nil"/>
              <w:left w:val="nil"/>
              <w:bottom w:val="nil"/>
              <w:right w:val="nil"/>
            </w:tcBorders>
            <w:shd w:val="clear" w:color="000000" w:fill="E6E6E6"/>
            <w:vAlign w:val="center"/>
            <w:hideMark/>
          </w:tcPr>
          <w:p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41,206 </w:t>
            </w:r>
          </w:p>
        </w:tc>
      </w:tr>
      <w:tr w:rsidR="009067FF" w:rsidRPr="00240B29" w:rsidTr="00AB179B">
        <w:trPr>
          <w:trHeight w:val="225"/>
        </w:trPr>
        <w:tc>
          <w:tcPr>
            <w:tcW w:w="5584" w:type="dxa"/>
            <w:tcBorders>
              <w:top w:val="nil"/>
              <w:left w:val="nil"/>
              <w:bottom w:val="nil"/>
              <w:right w:val="nil"/>
            </w:tcBorders>
            <w:shd w:val="clear" w:color="000000" w:fill="FFFFFF"/>
            <w:vAlign w:val="bottom"/>
            <w:hideMark/>
          </w:tcPr>
          <w:p w:rsidR="009067FF" w:rsidRPr="00240B29" w:rsidRDefault="009067FF" w:rsidP="00240B29">
            <w:pPr>
              <w:spacing w:after="0" w:line="240" w:lineRule="auto"/>
              <w:rPr>
                <w:rFonts w:ascii="Arial" w:hAnsi="Arial" w:cs="Arial"/>
                <w:color w:val="000000"/>
                <w:sz w:val="16"/>
                <w:szCs w:val="16"/>
              </w:rPr>
            </w:pPr>
            <w:r w:rsidRPr="00240B29">
              <w:rPr>
                <w:rFonts w:ascii="Arial" w:hAnsi="Arial" w:cs="Arial"/>
                <w:color w:val="000000"/>
                <w:sz w:val="16"/>
                <w:szCs w:val="16"/>
              </w:rPr>
              <w:t xml:space="preserve">    Departmental appropriation (b)</w:t>
            </w:r>
          </w:p>
        </w:tc>
        <w:tc>
          <w:tcPr>
            <w:tcW w:w="1077" w:type="dxa"/>
            <w:tcBorders>
              <w:top w:val="nil"/>
              <w:left w:val="nil"/>
              <w:bottom w:val="nil"/>
              <w:right w:val="nil"/>
            </w:tcBorders>
            <w:shd w:val="clear" w:color="000000" w:fill="FFFFFF"/>
            <w:vAlign w:val="center"/>
            <w:hideMark/>
          </w:tcPr>
          <w:p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32,412 </w:t>
            </w:r>
          </w:p>
        </w:tc>
        <w:tc>
          <w:tcPr>
            <w:tcW w:w="1077" w:type="dxa"/>
            <w:tcBorders>
              <w:top w:val="nil"/>
              <w:left w:val="nil"/>
              <w:bottom w:val="nil"/>
              <w:right w:val="nil"/>
            </w:tcBorders>
            <w:shd w:val="clear" w:color="000000" w:fill="E6E6E6"/>
            <w:vAlign w:val="center"/>
            <w:hideMark/>
          </w:tcPr>
          <w:p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32,280 </w:t>
            </w:r>
          </w:p>
        </w:tc>
      </w:tr>
      <w:tr w:rsidR="009067FF" w:rsidRPr="00240B29" w:rsidTr="00AB179B">
        <w:trPr>
          <w:trHeight w:val="225"/>
        </w:trPr>
        <w:tc>
          <w:tcPr>
            <w:tcW w:w="5584" w:type="dxa"/>
            <w:tcBorders>
              <w:top w:val="nil"/>
              <w:left w:val="nil"/>
              <w:bottom w:val="nil"/>
              <w:right w:val="nil"/>
            </w:tcBorders>
            <w:shd w:val="clear" w:color="000000" w:fill="FFFFFF"/>
            <w:vAlign w:val="bottom"/>
            <w:hideMark/>
          </w:tcPr>
          <w:p w:rsidR="009067FF" w:rsidRPr="00240B29" w:rsidRDefault="009067FF" w:rsidP="00240B29">
            <w:pPr>
              <w:spacing w:after="0" w:line="240" w:lineRule="auto"/>
              <w:rPr>
                <w:rFonts w:ascii="Arial" w:hAnsi="Arial" w:cs="Arial"/>
                <w:color w:val="000000"/>
                <w:sz w:val="16"/>
                <w:szCs w:val="16"/>
              </w:rPr>
            </w:pPr>
            <w:r w:rsidRPr="00240B29">
              <w:rPr>
                <w:rFonts w:ascii="Arial" w:hAnsi="Arial" w:cs="Arial"/>
                <w:color w:val="000000"/>
                <w:sz w:val="16"/>
                <w:szCs w:val="16"/>
              </w:rPr>
              <w:t xml:space="preserve">    s74 Retained revenue receipts (c)</w:t>
            </w:r>
          </w:p>
        </w:tc>
        <w:tc>
          <w:tcPr>
            <w:tcW w:w="1077" w:type="dxa"/>
            <w:tcBorders>
              <w:top w:val="nil"/>
              <w:left w:val="nil"/>
              <w:bottom w:val="nil"/>
              <w:right w:val="nil"/>
            </w:tcBorders>
            <w:shd w:val="clear" w:color="000000" w:fill="FFFFFF"/>
            <w:vAlign w:val="center"/>
            <w:hideMark/>
          </w:tcPr>
          <w:p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370 </w:t>
            </w:r>
          </w:p>
        </w:tc>
        <w:tc>
          <w:tcPr>
            <w:tcW w:w="1077" w:type="dxa"/>
            <w:tcBorders>
              <w:top w:val="nil"/>
              <w:left w:val="nil"/>
              <w:bottom w:val="nil"/>
              <w:right w:val="nil"/>
            </w:tcBorders>
            <w:shd w:val="clear" w:color="000000" w:fill="E6E6E6"/>
            <w:vAlign w:val="center"/>
            <w:hideMark/>
          </w:tcPr>
          <w:p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370 </w:t>
            </w:r>
          </w:p>
        </w:tc>
      </w:tr>
      <w:tr w:rsidR="009067FF" w:rsidRPr="00240B29" w:rsidTr="00AB179B">
        <w:trPr>
          <w:trHeight w:val="225"/>
        </w:trPr>
        <w:tc>
          <w:tcPr>
            <w:tcW w:w="5584" w:type="dxa"/>
            <w:tcBorders>
              <w:top w:val="nil"/>
              <w:left w:val="nil"/>
              <w:bottom w:val="nil"/>
              <w:right w:val="nil"/>
            </w:tcBorders>
            <w:shd w:val="clear" w:color="000000" w:fill="FFFFFF"/>
            <w:vAlign w:val="bottom"/>
            <w:hideMark/>
          </w:tcPr>
          <w:p w:rsidR="009067FF" w:rsidRPr="00240B29" w:rsidRDefault="00672459" w:rsidP="00240B29">
            <w:pPr>
              <w:spacing w:after="0" w:line="240" w:lineRule="auto"/>
              <w:rPr>
                <w:rFonts w:ascii="Arial" w:hAnsi="Arial" w:cs="Arial"/>
                <w:color w:val="000000"/>
                <w:sz w:val="16"/>
                <w:szCs w:val="16"/>
              </w:rPr>
            </w:pPr>
            <w:r>
              <w:rPr>
                <w:rFonts w:ascii="Arial" w:hAnsi="Arial" w:cs="Arial"/>
                <w:color w:val="000000"/>
                <w:sz w:val="16"/>
                <w:szCs w:val="16"/>
              </w:rPr>
              <w:t xml:space="preserve">    Departmental Capital B</w:t>
            </w:r>
            <w:r w:rsidR="009067FF" w:rsidRPr="00240B29">
              <w:rPr>
                <w:rFonts w:ascii="Arial" w:hAnsi="Arial" w:cs="Arial"/>
                <w:color w:val="000000"/>
                <w:sz w:val="16"/>
                <w:szCs w:val="16"/>
              </w:rPr>
              <w:t>udget (d)</w:t>
            </w:r>
          </w:p>
        </w:tc>
        <w:tc>
          <w:tcPr>
            <w:tcW w:w="1077" w:type="dxa"/>
            <w:tcBorders>
              <w:top w:val="nil"/>
              <w:left w:val="nil"/>
              <w:bottom w:val="nil"/>
              <w:right w:val="nil"/>
            </w:tcBorders>
            <w:shd w:val="clear" w:color="000000" w:fill="FFFFFF"/>
            <w:vAlign w:val="center"/>
            <w:hideMark/>
          </w:tcPr>
          <w:p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441 </w:t>
            </w:r>
          </w:p>
        </w:tc>
        <w:tc>
          <w:tcPr>
            <w:tcW w:w="1077" w:type="dxa"/>
            <w:tcBorders>
              <w:top w:val="nil"/>
              <w:left w:val="nil"/>
              <w:bottom w:val="nil"/>
              <w:right w:val="nil"/>
            </w:tcBorders>
            <w:shd w:val="clear" w:color="000000" w:fill="E6E6E6"/>
            <w:vAlign w:val="center"/>
            <w:hideMark/>
          </w:tcPr>
          <w:p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441 </w:t>
            </w:r>
          </w:p>
        </w:tc>
      </w:tr>
      <w:tr w:rsidR="009067FF" w:rsidRPr="00240B29" w:rsidTr="00AB179B">
        <w:trPr>
          <w:trHeight w:val="225"/>
        </w:trPr>
        <w:tc>
          <w:tcPr>
            <w:tcW w:w="5584" w:type="dxa"/>
            <w:tcBorders>
              <w:top w:val="nil"/>
              <w:left w:val="nil"/>
              <w:bottom w:val="nil"/>
              <w:right w:val="nil"/>
            </w:tcBorders>
            <w:shd w:val="clear" w:color="000000" w:fill="FFFFFF"/>
            <w:vAlign w:val="bottom"/>
            <w:hideMark/>
          </w:tcPr>
          <w:p w:rsidR="009067FF" w:rsidRPr="00240B29" w:rsidRDefault="009067FF" w:rsidP="00240B29">
            <w:pPr>
              <w:spacing w:after="0" w:line="240" w:lineRule="auto"/>
              <w:rPr>
                <w:rFonts w:ascii="Arial" w:hAnsi="Arial" w:cs="Arial"/>
                <w:color w:val="000000"/>
                <w:sz w:val="16"/>
                <w:szCs w:val="16"/>
              </w:rPr>
            </w:pPr>
            <w:r w:rsidRPr="00240B29">
              <w:rPr>
                <w:rFonts w:ascii="Arial" w:hAnsi="Arial" w:cs="Arial"/>
                <w:color w:val="000000"/>
                <w:sz w:val="16"/>
                <w:szCs w:val="16"/>
              </w:rPr>
              <w:t>Total departmental annual appropriations</w:t>
            </w:r>
          </w:p>
        </w:tc>
        <w:tc>
          <w:tcPr>
            <w:tcW w:w="1077" w:type="dxa"/>
            <w:tcBorders>
              <w:top w:val="single" w:sz="4" w:space="0" w:color="auto"/>
              <w:left w:val="nil"/>
              <w:bottom w:val="single" w:sz="4" w:space="0" w:color="auto"/>
              <w:right w:val="nil"/>
            </w:tcBorders>
            <w:shd w:val="clear" w:color="000000" w:fill="FFFFFF"/>
            <w:vAlign w:val="center"/>
            <w:hideMark/>
          </w:tcPr>
          <w:p w:rsidR="009067FF" w:rsidRDefault="009067FF" w:rsidP="003242D6">
            <w:pPr>
              <w:spacing w:after="0"/>
              <w:jc w:val="right"/>
              <w:rPr>
                <w:rFonts w:ascii="Arial" w:hAnsi="Arial" w:cs="Arial"/>
                <w:i/>
                <w:iCs/>
                <w:color w:val="000000"/>
                <w:sz w:val="16"/>
                <w:szCs w:val="16"/>
              </w:rPr>
            </w:pPr>
            <w:r>
              <w:rPr>
                <w:rFonts w:ascii="Arial" w:hAnsi="Arial" w:cs="Arial"/>
                <w:i/>
                <w:iCs/>
                <w:color w:val="000000"/>
                <w:sz w:val="16"/>
                <w:szCs w:val="16"/>
              </w:rPr>
              <w:t xml:space="preserve">75,040 </w:t>
            </w:r>
          </w:p>
        </w:tc>
        <w:tc>
          <w:tcPr>
            <w:tcW w:w="1077" w:type="dxa"/>
            <w:tcBorders>
              <w:top w:val="single" w:sz="4" w:space="0" w:color="auto"/>
              <w:left w:val="nil"/>
              <w:bottom w:val="single" w:sz="4" w:space="0" w:color="auto"/>
              <w:right w:val="nil"/>
            </w:tcBorders>
            <w:shd w:val="clear" w:color="000000" w:fill="E6E6E6"/>
            <w:vAlign w:val="center"/>
            <w:hideMark/>
          </w:tcPr>
          <w:p w:rsidR="009067FF" w:rsidRDefault="009067FF" w:rsidP="003242D6">
            <w:pPr>
              <w:spacing w:after="0"/>
              <w:jc w:val="right"/>
              <w:rPr>
                <w:rFonts w:ascii="Arial" w:hAnsi="Arial" w:cs="Arial"/>
                <w:color w:val="000000"/>
                <w:sz w:val="16"/>
                <w:szCs w:val="16"/>
              </w:rPr>
            </w:pPr>
            <w:r>
              <w:rPr>
                <w:rFonts w:ascii="Arial" w:hAnsi="Arial" w:cs="Arial"/>
                <w:color w:val="000000"/>
                <w:sz w:val="16"/>
                <w:szCs w:val="16"/>
              </w:rPr>
              <w:t xml:space="preserve">74,297 </w:t>
            </w:r>
          </w:p>
        </w:tc>
      </w:tr>
      <w:tr w:rsidR="009067FF" w:rsidRPr="00240B29" w:rsidTr="00AB179B">
        <w:trPr>
          <w:trHeight w:val="225"/>
        </w:trPr>
        <w:tc>
          <w:tcPr>
            <w:tcW w:w="5584" w:type="dxa"/>
            <w:tcBorders>
              <w:top w:val="nil"/>
              <w:left w:val="nil"/>
              <w:bottom w:val="nil"/>
              <w:right w:val="nil"/>
            </w:tcBorders>
            <w:shd w:val="clear" w:color="000000" w:fill="FFFFFF"/>
            <w:vAlign w:val="bottom"/>
            <w:hideMark/>
          </w:tcPr>
          <w:p w:rsidR="009067FF" w:rsidRPr="00240B29" w:rsidRDefault="009067FF" w:rsidP="00240B29">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departmental resourcing</w:t>
            </w:r>
          </w:p>
        </w:tc>
        <w:tc>
          <w:tcPr>
            <w:tcW w:w="1077" w:type="dxa"/>
            <w:tcBorders>
              <w:top w:val="single" w:sz="4" w:space="0" w:color="auto"/>
              <w:left w:val="nil"/>
              <w:bottom w:val="single" w:sz="4" w:space="0" w:color="auto"/>
              <w:right w:val="nil"/>
            </w:tcBorders>
            <w:shd w:val="clear" w:color="000000" w:fill="FFFFFF"/>
            <w:vAlign w:val="center"/>
            <w:hideMark/>
          </w:tcPr>
          <w:p w:rsidR="009067FF" w:rsidRDefault="009067FF" w:rsidP="003242D6">
            <w:pPr>
              <w:spacing w:after="0"/>
              <w:jc w:val="right"/>
              <w:rPr>
                <w:rFonts w:ascii="Arial" w:hAnsi="Arial" w:cs="Arial"/>
                <w:b/>
                <w:bCs/>
                <w:i/>
                <w:iCs/>
                <w:color w:val="000000"/>
                <w:sz w:val="16"/>
                <w:szCs w:val="16"/>
              </w:rPr>
            </w:pPr>
            <w:r>
              <w:rPr>
                <w:rFonts w:ascii="Arial" w:hAnsi="Arial" w:cs="Arial"/>
                <w:b/>
                <w:bCs/>
                <w:i/>
                <w:iCs/>
                <w:color w:val="000000"/>
                <w:sz w:val="16"/>
                <w:szCs w:val="16"/>
              </w:rPr>
              <w:t xml:space="preserve">75,040 </w:t>
            </w:r>
          </w:p>
        </w:tc>
        <w:tc>
          <w:tcPr>
            <w:tcW w:w="1077" w:type="dxa"/>
            <w:tcBorders>
              <w:top w:val="single" w:sz="4" w:space="0" w:color="auto"/>
              <w:left w:val="nil"/>
              <w:bottom w:val="single" w:sz="4" w:space="0" w:color="auto"/>
              <w:right w:val="nil"/>
            </w:tcBorders>
            <w:shd w:val="clear" w:color="000000" w:fill="E6E6E6"/>
            <w:vAlign w:val="center"/>
            <w:hideMark/>
          </w:tcPr>
          <w:p w:rsidR="009067FF" w:rsidRDefault="009067FF" w:rsidP="003242D6">
            <w:pPr>
              <w:spacing w:after="0"/>
              <w:jc w:val="right"/>
              <w:rPr>
                <w:rFonts w:ascii="Arial" w:hAnsi="Arial" w:cs="Arial"/>
                <w:b/>
                <w:bCs/>
                <w:color w:val="000000"/>
                <w:sz w:val="16"/>
                <w:szCs w:val="16"/>
              </w:rPr>
            </w:pPr>
            <w:r>
              <w:rPr>
                <w:rFonts w:ascii="Arial" w:hAnsi="Arial" w:cs="Arial"/>
                <w:b/>
                <w:bCs/>
                <w:color w:val="000000"/>
                <w:sz w:val="16"/>
                <w:szCs w:val="16"/>
              </w:rPr>
              <w:t xml:space="preserve">74,297 </w:t>
            </w:r>
          </w:p>
        </w:tc>
      </w:tr>
      <w:tr w:rsidR="009067FF" w:rsidRPr="00240B29" w:rsidTr="00AB179B">
        <w:trPr>
          <w:trHeight w:val="227"/>
        </w:trPr>
        <w:tc>
          <w:tcPr>
            <w:tcW w:w="5584" w:type="dxa"/>
            <w:tcBorders>
              <w:top w:val="nil"/>
              <w:left w:val="nil"/>
              <w:bottom w:val="single" w:sz="4" w:space="0" w:color="auto"/>
              <w:right w:val="nil"/>
            </w:tcBorders>
            <w:shd w:val="clear" w:color="000000" w:fill="FFFFFF"/>
            <w:vAlign w:val="bottom"/>
            <w:hideMark/>
          </w:tcPr>
          <w:p w:rsidR="009067FF" w:rsidRPr="00240B29" w:rsidRDefault="009067FF"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resourcing for Australian Building and Construction Commission</w:t>
            </w:r>
          </w:p>
        </w:tc>
        <w:tc>
          <w:tcPr>
            <w:tcW w:w="1077" w:type="dxa"/>
            <w:tcBorders>
              <w:top w:val="nil"/>
              <w:left w:val="nil"/>
              <w:bottom w:val="single" w:sz="4" w:space="0" w:color="auto"/>
              <w:right w:val="nil"/>
            </w:tcBorders>
            <w:shd w:val="clear" w:color="000000" w:fill="FFFFFF"/>
            <w:vAlign w:val="bottom"/>
            <w:hideMark/>
          </w:tcPr>
          <w:p w:rsidR="009067FF" w:rsidRDefault="009067FF" w:rsidP="003242D6">
            <w:pPr>
              <w:spacing w:after="0"/>
              <w:jc w:val="right"/>
              <w:rPr>
                <w:rFonts w:ascii="Arial" w:hAnsi="Arial" w:cs="Arial"/>
                <w:b/>
                <w:bCs/>
                <w:i/>
                <w:iCs/>
                <w:color w:val="000000"/>
                <w:sz w:val="16"/>
                <w:szCs w:val="16"/>
              </w:rPr>
            </w:pPr>
            <w:r>
              <w:rPr>
                <w:rFonts w:ascii="Arial" w:hAnsi="Arial" w:cs="Arial"/>
                <w:b/>
                <w:bCs/>
                <w:i/>
                <w:iCs/>
                <w:color w:val="000000"/>
                <w:sz w:val="16"/>
                <w:szCs w:val="16"/>
              </w:rPr>
              <w:t xml:space="preserve">75,040 </w:t>
            </w:r>
          </w:p>
        </w:tc>
        <w:tc>
          <w:tcPr>
            <w:tcW w:w="1077" w:type="dxa"/>
            <w:tcBorders>
              <w:top w:val="nil"/>
              <w:left w:val="nil"/>
              <w:bottom w:val="single" w:sz="4" w:space="0" w:color="auto"/>
              <w:right w:val="nil"/>
            </w:tcBorders>
            <w:shd w:val="clear" w:color="000000" w:fill="E6E6E6"/>
            <w:vAlign w:val="bottom"/>
            <w:hideMark/>
          </w:tcPr>
          <w:p w:rsidR="009067FF" w:rsidRDefault="009067FF" w:rsidP="003242D6">
            <w:pPr>
              <w:spacing w:after="0"/>
              <w:jc w:val="right"/>
              <w:rPr>
                <w:rFonts w:ascii="Arial" w:hAnsi="Arial" w:cs="Arial"/>
                <w:b/>
                <w:bCs/>
                <w:color w:val="000000"/>
                <w:sz w:val="16"/>
                <w:szCs w:val="16"/>
              </w:rPr>
            </w:pPr>
            <w:r>
              <w:rPr>
                <w:rFonts w:ascii="Arial" w:hAnsi="Arial" w:cs="Arial"/>
                <w:b/>
                <w:bCs/>
                <w:color w:val="000000"/>
                <w:sz w:val="16"/>
                <w:szCs w:val="16"/>
              </w:rPr>
              <w:t xml:space="preserve">74,297 </w:t>
            </w:r>
          </w:p>
        </w:tc>
      </w:tr>
      <w:tr w:rsidR="00240B29" w:rsidRPr="00240B29" w:rsidTr="00AB179B">
        <w:trPr>
          <w:trHeight w:val="64"/>
        </w:trPr>
        <w:tc>
          <w:tcPr>
            <w:tcW w:w="5584" w:type="dxa"/>
            <w:tcBorders>
              <w:top w:val="nil"/>
              <w:left w:val="nil"/>
              <w:bottom w:val="nil"/>
              <w:right w:val="nil"/>
            </w:tcBorders>
            <w:shd w:val="clear" w:color="000000" w:fill="FFFFFF"/>
            <w:vAlign w:val="bottom"/>
            <w:hideMark/>
          </w:tcPr>
          <w:p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1077" w:type="dxa"/>
            <w:tcBorders>
              <w:top w:val="nil"/>
              <w:left w:val="nil"/>
              <w:bottom w:val="nil"/>
              <w:right w:val="nil"/>
            </w:tcBorders>
            <w:shd w:val="clear" w:color="000000" w:fill="FFFFFF"/>
            <w:vAlign w:val="bottom"/>
            <w:hideMark/>
          </w:tcPr>
          <w:p w:rsidR="00240B29" w:rsidRPr="00240B29" w:rsidRDefault="00240B29" w:rsidP="00240B29">
            <w:pPr>
              <w:spacing w:after="0" w:line="240" w:lineRule="auto"/>
              <w:rPr>
                <w:rFonts w:ascii="Arial" w:hAnsi="Arial" w:cs="Arial"/>
                <w:i/>
                <w:iCs/>
                <w:color w:val="000000"/>
                <w:sz w:val="16"/>
                <w:szCs w:val="16"/>
              </w:rPr>
            </w:pPr>
            <w:r w:rsidRPr="00240B29">
              <w:rPr>
                <w:rFonts w:ascii="Arial" w:hAnsi="Arial" w:cs="Arial"/>
                <w:i/>
                <w:iCs/>
                <w:color w:val="000000"/>
                <w:sz w:val="16"/>
                <w:szCs w:val="16"/>
              </w:rPr>
              <w:t> </w:t>
            </w:r>
          </w:p>
        </w:tc>
        <w:tc>
          <w:tcPr>
            <w:tcW w:w="1077" w:type="dxa"/>
            <w:tcBorders>
              <w:top w:val="nil"/>
              <w:left w:val="nil"/>
              <w:bottom w:val="nil"/>
              <w:right w:val="nil"/>
            </w:tcBorders>
            <w:shd w:val="clear" w:color="000000" w:fill="FFFFFF"/>
            <w:vAlign w:val="bottom"/>
            <w:hideMark/>
          </w:tcPr>
          <w:p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r>
      <w:tr w:rsidR="00240B29" w:rsidRPr="00240B29" w:rsidTr="00AB179B">
        <w:trPr>
          <w:trHeight w:val="225"/>
        </w:trPr>
        <w:tc>
          <w:tcPr>
            <w:tcW w:w="5584" w:type="dxa"/>
            <w:tcBorders>
              <w:top w:val="single" w:sz="4" w:space="0" w:color="auto"/>
              <w:left w:val="nil"/>
              <w:bottom w:val="nil"/>
              <w:right w:val="nil"/>
            </w:tcBorders>
            <w:shd w:val="clear" w:color="000000" w:fill="FFFFFF"/>
            <w:vAlign w:val="bottom"/>
            <w:hideMark/>
          </w:tcPr>
          <w:p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1077" w:type="dxa"/>
            <w:tcBorders>
              <w:top w:val="single" w:sz="4" w:space="0" w:color="auto"/>
              <w:left w:val="nil"/>
              <w:bottom w:val="single" w:sz="4" w:space="0" w:color="auto"/>
              <w:right w:val="nil"/>
            </w:tcBorders>
            <w:shd w:val="clear" w:color="000000" w:fill="FFFFFF"/>
            <w:vAlign w:val="bottom"/>
            <w:hideMark/>
          </w:tcPr>
          <w:p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2017–18</w:t>
            </w:r>
          </w:p>
        </w:tc>
        <w:tc>
          <w:tcPr>
            <w:tcW w:w="1077" w:type="dxa"/>
            <w:tcBorders>
              <w:top w:val="single" w:sz="4" w:space="0" w:color="auto"/>
              <w:left w:val="nil"/>
              <w:bottom w:val="single" w:sz="4" w:space="0" w:color="auto"/>
              <w:right w:val="nil"/>
            </w:tcBorders>
            <w:shd w:val="clear" w:color="000000" w:fill="E6E6E6"/>
            <w:vAlign w:val="bottom"/>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2018–19</w:t>
            </w:r>
          </w:p>
        </w:tc>
      </w:tr>
      <w:tr w:rsidR="00240B29" w:rsidRPr="00240B29" w:rsidTr="00AB179B">
        <w:trPr>
          <w:trHeight w:val="225"/>
        </w:trPr>
        <w:tc>
          <w:tcPr>
            <w:tcW w:w="5584" w:type="dxa"/>
            <w:tcBorders>
              <w:top w:val="nil"/>
              <w:left w:val="nil"/>
              <w:bottom w:val="single" w:sz="4" w:space="0" w:color="auto"/>
              <w:right w:val="nil"/>
            </w:tcBorders>
            <w:shd w:val="clear" w:color="000000" w:fill="FFFFFF"/>
            <w:vAlign w:val="bottom"/>
            <w:hideMark/>
          </w:tcPr>
          <w:p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Average staffing level (number)</w:t>
            </w:r>
          </w:p>
        </w:tc>
        <w:tc>
          <w:tcPr>
            <w:tcW w:w="1077" w:type="dxa"/>
            <w:tcBorders>
              <w:top w:val="nil"/>
              <w:left w:val="nil"/>
              <w:bottom w:val="single" w:sz="4" w:space="0" w:color="auto"/>
              <w:right w:val="nil"/>
            </w:tcBorders>
            <w:shd w:val="clear" w:color="auto" w:fill="auto"/>
            <w:vAlign w:val="bottom"/>
            <w:hideMark/>
          </w:tcPr>
          <w:p w:rsidR="00240B29" w:rsidRPr="00240B29" w:rsidRDefault="00240B29" w:rsidP="00240B29">
            <w:pPr>
              <w:spacing w:after="0" w:line="240" w:lineRule="auto"/>
              <w:jc w:val="right"/>
              <w:rPr>
                <w:rFonts w:ascii="Arial" w:hAnsi="Arial" w:cs="Arial"/>
                <w:i/>
                <w:iCs/>
                <w:color w:val="000000"/>
                <w:sz w:val="16"/>
                <w:szCs w:val="16"/>
              </w:rPr>
            </w:pPr>
            <w:r w:rsidRPr="00240B29">
              <w:rPr>
                <w:rFonts w:ascii="Arial" w:hAnsi="Arial" w:cs="Arial"/>
                <w:i/>
                <w:iCs/>
                <w:color w:val="000000"/>
                <w:sz w:val="16"/>
                <w:szCs w:val="16"/>
              </w:rPr>
              <w:t xml:space="preserve">155 </w:t>
            </w:r>
          </w:p>
        </w:tc>
        <w:tc>
          <w:tcPr>
            <w:tcW w:w="1077" w:type="dxa"/>
            <w:tcBorders>
              <w:top w:val="nil"/>
              <w:left w:val="nil"/>
              <w:bottom w:val="single" w:sz="4" w:space="0" w:color="auto"/>
              <w:right w:val="nil"/>
            </w:tcBorders>
            <w:shd w:val="clear" w:color="000000" w:fill="E6E6E6"/>
            <w:vAlign w:val="bottom"/>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155 </w:t>
            </w:r>
          </w:p>
        </w:tc>
      </w:tr>
    </w:tbl>
    <w:p w:rsidR="00240B29" w:rsidRPr="00240B29" w:rsidRDefault="00240B29" w:rsidP="00B834F1">
      <w:pPr>
        <w:pStyle w:val="ChartandTableFootnote"/>
      </w:pPr>
      <w:r w:rsidRPr="00240B29">
        <w:t>Prepared on a resourcing (that is, appropriations available) basis.</w:t>
      </w:r>
    </w:p>
    <w:p w:rsidR="00240B29" w:rsidRPr="00240B29" w:rsidRDefault="00240B29" w:rsidP="00B834F1">
      <w:pPr>
        <w:pStyle w:val="ChartandTableFootnote"/>
      </w:pPr>
      <w:r w:rsidRPr="00240B29">
        <w:rPr>
          <w:u w:val="single"/>
        </w:rPr>
        <w:t>Please note</w:t>
      </w:r>
      <w:r w:rsidRPr="00240B29">
        <w:t>: All figures shown above are GST exclusive—these may not match figures in the cash flow statement.</w:t>
      </w:r>
    </w:p>
    <w:p w:rsidR="00240B29" w:rsidRPr="00240B29" w:rsidRDefault="00240B29" w:rsidP="00E01B4E">
      <w:pPr>
        <w:pStyle w:val="ChartandTableFootnoteAlpha"/>
        <w:numPr>
          <w:ilvl w:val="0"/>
          <w:numId w:val="26"/>
        </w:numPr>
      </w:pPr>
      <w:r w:rsidRPr="00240B29">
        <w:t>Appropriation Bill (No.1) 2018–19.</w:t>
      </w:r>
    </w:p>
    <w:p w:rsidR="00240B29" w:rsidRPr="00240B29" w:rsidRDefault="00ED6CF7" w:rsidP="00B834F1">
      <w:pPr>
        <w:pStyle w:val="ChartandTableFootnoteAlpha"/>
      </w:pPr>
      <w:r>
        <w:t xml:space="preserve">Excludes </w:t>
      </w:r>
      <w:r w:rsidR="002451AD">
        <w:rPr>
          <w:lang w:val="en-AU"/>
        </w:rPr>
        <w:t>Departmental</w:t>
      </w:r>
      <w:r>
        <w:t xml:space="preserve"> </w:t>
      </w:r>
      <w:r w:rsidR="002451AD">
        <w:rPr>
          <w:lang w:val="en-AU"/>
        </w:rPr>
        <w:t>Capital</w:t>
      </w:r>
      <w:r>
        <w:t xml:space="preserve"> </w:t>
      </w:r>
      <w:r w:rsidR="002451AD">
        <w:rPr>
          <w:lang w:val="en-AU"/>
        </w:rPr>
        <w:t>Budget</w:t>
      </w:r>
      <w:r w:rsidR="00240B29" w:rsidRPr="00240B29">
        <w:t xml:space="preserve"> (DCB).</w:t>
      </w:r>
    </w:p>
    <w:p w:rsidR="00240B29" w:rsidRPr="00240B29" w:rsidRDefault="00240B29" w:rsidP="00B834F1">
      <w:pPr>
        <w:pStyle w:val="ChartandTableFootnoteAlpha"/>
      </w:pPr>
      <w:r w:rsidRPr="00240B29">
        <w:t>Estimated retained revenue receipts under section 74 of the PGPA Act.</w:t>
      </w:r>
    </w:p>
    <w:p w:rsidR="00240B29" w:rsidRPr="00240B29" w:rsidRDefault="00672459" w:rsidP="00B834F1">
      <w:pPr>
        <w:pStyle w:val="ChartandTableFootnoteAlpha"/>
      </w:pPr>
      <w:r>
        <w:rPr>
          <w:lang w:val="en-AU"/>
        </w:rPr>
        <w:t>DCBs</w:t>
      </w:r>
      <w:r w:rsidR="00240B29" w:rsidRPr="00240B29">
        <w:t xml:space="preserve"> are not separately identified in Appropriation Bill (No.1) and form part of ordinary annual services items. Please refer to Table 3.5 for further details. For accounting purposes, this amount has been designated as a 'contribution by owner’.</w:t>
      </w:r>
      <w:r w:rsidR="00240B29" w:rsidRPr="00240B29">
        <w:rPr>
          <w:i/>
        </w:rPr>
        <w:t xml:space="preserve"> </w:t>
      </w:r>
    </w:p>
    <w:p w:rsidR="00240B29" w:rsidRPr="00240B29" w:rsidRDefault="00240B29" w:rsidP="00B834F1">
      <w:pPr>
        <w:pStyle w:val="Heading3"/>
      </w:pPr>
      <w:r w:rsidRPr="00240B29">
        <w:br w:type="page"/>
      </w:r>
      <w:bookmarkStart w:id="234" w:name="_Toc511656266"/>
      <w:bookmarkStart w:id="235" w:name="_Toc511722639"/>
      <w:bookmarkStart w:id="236" w:name="_Toc511736970"/>
      <w:bookmarkStart w:id="237" w:name="_Toc511747232"/>
      <w:bookmarkStart w:id="238" w:name="_Toc511765635"/>
      <w:bookmarkStart w:id="239" w:name="_Toc511828691"/>
      <w:bookmarkStart w:id="240" w:name="_Toc511836830"/>
      <w:bookmarkStart w:id="241" w:name="_Toc511902536"/>
      <w:r w:rsidRPr="00240B29">
        <w:lastRenderedPageBreak/>
        <w:t>1.3</w:t>
      </w:r>
      <w:r w:rsidRPr="00240B29">
        <w:tab/>
        <w:t>Budget measures</w:t>
      </w:r>
      <w:bookmarkEnd w:id="234"/>
      <w:bookmarkEnd w:id="235"/>
      <w:bookmarkEnd w:id="236"/>
      <w:bookmarkEnd w:id="237"/>
      <w:bookmarkEnd w:id="238"/>
      <w:bookmarkEnd w:id="239"/>
      <w:bookmarkEnd w:id="240"/>
      <w:bookmarkEnd w:id="241"/>
    </w:p>
    <w:p w:rsidR="00240B29" w:rsidRPr="00240B29" w:rsidRDefault="00240B29" w:rsidP="00240B29">
      <w:r w:rsidRPr="00240B29">
        <w:t>Budget measures in Part 1 relating to the Australian Building and Construction Commission are detailed in Budget Paper No. 2 and are summarised below.</w:t>
      </w:r>
    </w:p>
    <w:p w:rsidR="00240B29" w:rsidRPr="00240B29" w:rsidRDefault="00240B29" w:rsidP="00B834F1">
      <w:pPr>
        <w:pStyle w:val="TableHeading"/>
      </w:pPr>
      <w:r w:rsidRPr="00240B29">
        <w:t>Table 1.2: Entity 2018–19 Budget measures</w:t>
      </w:r>
    </w:p>
    <w:p w:rsidR="003B4548" w:rsidRPr="009A40DD" w:rsidRDefault="003B4548" w:rsidP="003B4548">
      <w:pPr>
        <w:pStyle w:val="TableHeadingcontinued"/>
      </w:pPr>
      <w:r w:rsidRPr="009A40DD">
        <w:t xml:space="preserve">Part 1: Measures announced since the </w:t>
      </w:r>
      <w:r>
        <w:t>2017–18</w:t>
      </w:r>
      <w:r w:rsidRPr="009A40DD">
        <w:t xml:space="preserve"> M</w:t>
      </w:r>
      <w:r>
        <w:t>id-</w:t>
      </w:r>
      <w:r w:rsidRPr="009A40DD">
        <w:t>Year Economic and Fiscal Outlook (MYEFO)</w:t>
      </w:r>
    </w:p>
    <w:tbl>
      <w:tblPr>
        <w:tblW w:w="7709" w:type="dxa"/>
        <w:tblInd w:w="93" w:type="dxa"/>
        <w:tblCellMar>
          <w:left w:w="85" w:type="dxa"/>
          <w:right w:w="85" w:type="dxa"/>
        </w:tblCellMar>
        <w:tblLook w:val="04A0" w:firstRow="1" w:lastRow="0" w:firstColumn="1" w:lastColumn="0" w:noHBand="0" w:noVBand="1"/>
      </w:tblPr>
      <w:tblGrid>
        <w:gridCol w:w="2665"/>
        <w:gridCol w:w="794"/>
        <w:gridCol w:w="850"/>
        <w:gridCol w:w="850"/>
        <w:gridCol w:w="850"/>
        <w:gridCol w:w="850"/>
        <w:gridCol w:w="850"/>
      </w:tblGrid>
      <w:tr w:rsidR="003B4548" w:rsidRPr="00DC5D5A" w:rsidTr="003B4548">
        <w:trPr>
          <w:trHeight w:val="397"/>
        </w:trPr>
        <w:tc>
          <w:tcPr>
            <w:tcW w:w="2665" w:type="dxa"/>
            <w:tcBorders>
              <w:top w:val="single" w:sz="4" w:space="0" w:color="auto"/>
              <w:left w:val="nil"/>
              <w:bottom w:val="nil"/>
              <w:right w:val="nil"/>
            </w:tcBorders>
            <w:shd w:val="clear" w:color="auto" w:fill="auto"/>
            <w:noWrap/>
            <w:vAlign w:val="center"/>
            <w:hideMark/>
          </w:tcPr>
          <w:p w:rsidR="003B4548" w:rsidRPr="00DC5D5A" w:rsidRDefault="003B4548" w:rsidP="003B4548">
            <w:pPr>
              <w:spacing w:after="0" w:line="240" w:lineRule="auto"/>
              <w:rPr>
                <w:rFonts w:ascii="Arial" w:hAnsi="Arial" w:cs="Arial"/>
                <w:sz w:val="16"/>
                <w:szCs w:val="16"/>
              </w:rPr>
            </w:pPr>
            <w:r w:rsidRPr="00DC5D5A">
              <w:rPr>
                <w:rFonts w:ascii="Arial" w:hAnsi="Arial" w:cs="Arial"/>
                <w:sz w:val="16"/>
                <w:szCs w:val="16"/>
              </w:rPr>
              <w:t> </w:t>
            </w:r>
          </w:p>
        </w:tc>
        <w:tc>
          <w:tcPr>
            <w:tcW w:w="794" w:type="dxa"/>
            <w:tcBorders>
              <w:top w:val="single" w:sz="4" w:space="0" w:color="auto"/>
              <w:left w:val="nil"/>
              <w:bottom w:val="single" w:sz="4" w:space="0" w:color="auto"/>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r w:rsidRPr="00DC5D5A">
              <w:rPr>
                <w:rFonts w:ascii="Arial" w:hAnsi="Arial" w:cs="Arial"/>
                <w:sz w:val="16"/>
                <w:szCs w:val="16"/>
              </w:rPr>
              <w:t>Program</w:t>
            </w:r>
          </w:p>
        </w:tc>
        <w:tc>
          <w:tcPr>
            <w:tcW w:w="850" w:type="dxa"/>
            <w:tcBorders>
              <w:top w:val="single" w:sz="4" w:space="0" w:color="auto"/>
              <w:left w:val="nil"/>
              <w:bottom w:val="single" w:sz="4" w:space="0" w:color="auto"/>
              <w:right w:val="nil"/>
            </w:tcBorders>
            <w:shd w:val="clear" w:color="000000" w:fill="E6E6E6"/>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2017–18</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2018–19</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2019–20</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2020–21</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2021–22</w:t>
            </w:r>
            <w:r w:rsidRPr="00DC5D5A">
              <w:rPr>
                <w:rFonts w:ascii="Arial" w:hAnsi="Arial" w:cs="Arial"/>
                <w:sz w:val="16"/>
                <w:szCs w:val="16"/>
              </w:rPr>
              <w:br/>
              <w:t>$'000</w:t>
            </w:r>
          </w:p>
        </w:tc>
      </w:tr>
      <w:tr w:rsidR="003B4548" w:rsidRPr="00DC5D5A" w:rsidTr="003B4548">
        <w:trPr>
          <w:trHeight w:val="225"/>
        </w:trPr>
        <w:tc>
          <w:tcPr>
            <w:tcW w:w="2665" w:type="dxa"/>
            <w:tcBorders>
              <w:top w:val="nil"/>
              <w:left w:val="nil"/>
              <w:bottom w:val="nil"/>
              <w:right w:val="nil"/>
            </w:tcBorders>
            <w:shd w:val="clear" w:color="auto" w:fill="auto"/>
            <w:vAlign w:val="center"/>
            <w:hideMark/>
          </w:tcPr>
          <w:p w:rsidR="003B4548" w:rsidRPr="00DC5D5A" w:rsidRDefault="003B4548" w:rsidP="003B4548">
            <w:pPr>
              <w:spacing w:after="0" w:line="240" w:lineRule="auto"/>
              <w:rPr>
                <w:rFonts w:ascii="Arial" w:hAnsi="Arial" w:cs="Arial"/>
                <w:b/>
                <w:bCs/>
                <w:sz w:val="16"/>
                <w:szCs w:val="16"/>
              </w:rPr>
            </w:pPr>
            <w:r w:rsidRPr="00DC5D5A">
              <w:rPr>
                <w:rFonts w:ascii="Arial" w:hAnsi="Arial" w:cs="Arial"/>
                <w:b/>
                <w:bCs/>
                <w:sz w:val="16"/>
                <w:szCs w:val="16"/>
              </w:rPr>
              <w:t>Expense measures</w:t>
            </w:r>
          </w:p>
        </w:tc>
        <w:tc>
          <w:tcPr>
            <w:tcW w:w="794"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r>
      <w:tr w:rsidR="003B4548" w:rsidRPr="00DC5D5A" w:rsidTr="003B4548">
        <w:trPr>
          <w:trHeight w:val="340"/>
        </w:trPr>
        <w:tc>
          <w:tcPr>
            <w:tcW w:w="2665" w:type="dxa"/>
            <w:tcBorders>
              <w:top w:val="nil"/>
              <w:left w:val="nil"/>
              <w:bottom w:val="nil"/>
              <w:right w:val="nil"/>
            </w:tcBorders>
            <w:shd w:val="clear" w:color="auto" w:fill="auto"/>
            <w:vAlign w:val="center"/>
            <w:hideMark/>
          </w:tcPr>
          <w:p w:rsidR="003B4548" w:rsidRPr="00DC5D5A" w:rsidRDefault="003B4548" w:rsidP="003B4548">
            <w:pPr>
              <w:spacing w:after="0" w:line="240" w:lineRule="auto"/>
              <w:rPr>
                <w:rFonts w:ascii="Arial" w:hAnsi="Arial" w:cs="Arial"/>
                <w:sz w:val="16"/>
                <w:szCs w:val="16"/>
              </w:rPr>
            </w:pPr>
            <w:r>
              <w:rPr>
                <w:rFonts w:ascii="Arial" w:hAnsi="Arial" w:cs="Arial"/>
                <w:sz w:val="16"/>
                <w:szCs w:val="16"/>
              </w:rPr>
              <w:t>Commonwealth Ombudsman</w:t>
            </w:r>
            <w:r w:rsidRPr="00DC5D5A">
              <w:rPr>
                <w:rFonts w:ascii="Arial" w:hAnsi="Arial" w:cs="Arial"/>
                <w:sz w:val="16"/>
                <w:szCs w:val="16"/>
              </w:rPr>
              <w:t xml:space="preserve"> </w:t>
            </w:r>
            <w:r>
              <w:rPr>
                <w:rFonts w:ascii="Arial" w:hAnsi="Arial" w:cs="Arial"/>
                <w:sz w:val="16"/>
                <w:szCs w:val="16"/>
              </w:rPr>
              <w:t>— a</w:t>
            </w:r>
            <w:r w:rsidRPr="00DC5D5A">
              <w:rPr>
                <w:rFonts w:ascii="Arial" w:hAnsi="Arial" w:cs="Arial"/>
                <w:sz w:val="16"/>
                <w:szCs w:val="16"/>
              </w:rPr>
              <w:t xml:space="preserve">dditional </w:t>
            </w:r>
            <w:r>
              <w:rPr>
                <w:rFonts w:ascii="Arial" w:hAnsi="Arial" w:cs="Arial"/>
                <w:sz w:val="16"/>
                <w:szCs w:val="16"/>
              </w:rPr>
              <w:t>funding</w:t>
            </w:r>
            <w:r w:rsidRPr="00DC5D5A">
              <w:rPr>
                <w:rFonts w:ascii="Arial" w:hAnsi="Arial" w:cs="Arial"/>
                <w:sz w:val="16"/>
                <w:szCs w:val="16"/>
              </w:rPr>
              <w:t xml:space="preserve"> </w:t>
            </w:r>
            <w:r w:rsidR="0034703E">
              <w:rPr>
                <w:rFonts w:ascii="Arial" w:hAnsi="Arial" w:cs="Arial"/>
                <w:sz w:val="16"/>
                <w:szCs w:val="16"/>
              </w:rPr>
              <w:t>(a)</w:t>
            </w:r>
          </w:p>
        </w:tc>
        <w:tc>
          <w:tcPr>
            <w:tcW w:w="794"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r>
              <w:rPr>
                <w:rFonts w:ascii="Arial" w:hAnsi="Arial" w:cs="Arial"/>
                <w:sz w:val="16"/>
                <w:szCs w:val="16"/>
              </w:rPr>
              <w:t>1</w:t>
            </w:r>
            <w:r w:rsidRPr="00DC5D5A">
              <w:rPr>
                <w:rFonts w:ascii="Arial" w:hAnsi="Arial" w:cs="Arial"/>
                <w:sz w:val="16"/>
                <w:szCs w:val="16"/>
              </w:rPr>
              <w:t>.1</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r>
      <w:tr w:rsidR="003B4548" w:rsidRPr="00DC5D5A" w:rsidTr="003B4548">
        <w:trPr>
          <w:trHeight w:val="225"/>
        </w:trPr>
        <w:tc>
          <w:tcPr>
            <w:tcW w:w="2665"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ind w:firstLineChars="100" w:firstLine="160"/>
              <w:rPr>
                <w:rFonts w:ascii="Arial" w:hAnsi="Arial" w:cs="Arial"/>
                <w:sz w:val="16"/>
                <w:szCs w:val="16"/>
              </w:rPr>
            </w:pPr>
            <w:r>
              <w:rPr>
                <w:rFonts w:ascii="Arial" w:hAnsi="Arial" w:cs="Arial"/>
                <w:sz w:val="16"/>
                <w:szCs w:val="16"/>
              </w:rPr>
              <w:t>Administered</w:t>
            </w:r>
            <w:r w:rsidRPr="00DC5D5A">
              <w:rPr>
                <w:rFonts w:ascii="Arial" w:hAnsi="Arial" w:cs="Arial"/>
                <w:sz w:val="16"/>
                <w:szCs w:val="16"/>
              </w:rPr>
              <w:t xml:space="preserve"> expenses</w:t>
            </w:r>
          </w:p>
        </w:tc>
        <w:tc>
          <w:tcPr>
            <w:tcW w:w="794"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r>
      <w:tr w:rsidR="003B4548" w:rsidRPr="00DC5D5A" w:rsidTr="003B4548">
        <w:trPr>
          <w:trHeight w:val="225"/>
        </w:trPr>
        <w:tc>
          <w:tcPr>
            <w:tcW w:w="2665"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ind w:firstLineChars="100" w:firstLine="160"/>
              <w:rPr>
                <w:rFonts w:ascii="Arial" w:hAnsi="Arial" w:cs="Arial"/>
                <w:sz w:val="16"/>
                <w:szCs w:val="16"/>
              </w:rPr>
            </w:pPr>
            <w:r w:rsidRPr="00DC5D5A">
              <w:rPr>
                <w:rFonts w:ascii="Arial" w:hAnsi="Arial" w:cs="Arial"/>
                <w:sz w:val="16"/>
                <w:szCs w:val="16"/>
              </w:rPr>
              <w:t>Departmental expenses</w:t>
            </w:r>
          </w:p>
        </w:tc>
        <w:tc>
          <w:tcPr>
            <w:tcW w:w="794"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92C31" w:rsidP="003B4548">
            <w:pPr>
              <w:spacing w:after="0" w:line="240" w:lineRule="auto"/>
              <w:jc w:val="right"/>
              <w:rPr>
                <w:rFonts w:ascii="Arial" w:hAnsi="Arial" w:cs="Arial"/>
                <w:sz w:val="16"/>
                <w:szCs w:val="16"/>
              </w:rPr>
            </w:pPr>
            <w:r>
              <w:rPr>
                <w:rFonts w:ascii="Arial" w:hAnsi="Arial" w:cs="Arial"/>
                <w:sz w:val="16"/>
                <w:szCs w:val="16"/>
              </w:rPr>
              <w:t>(11</w:t>
            </w:r>
            <w:r w:rsidR="00923B55">
              <w:rPr>
                <w:rFonts w:ascii="Arial" w:hAnsi="Arial" w:cs="Arial"/>
                <w:sz w:val="16"/>
                <w:szCs w:val="16"/>
              </w:rPr>
              <w:t>0)</w:t>
            </w:r>
            <w:r w:rsidR="003B4548"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r>
      <w:tr w:rsidR="003B4548" w:rsidRPr="00DC5D5A" w:rsidTr="003B4548">
        <w:trPr>
          <w:trHeight w:val="227"/>
        </w:trPr>
        <w:tc>
          <w:tcPr>
            <w:tcW w:w="2665"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rPr>
                <w:rFonts w:ascii="Arial" w:hAnsi="Arial" w:cs="Arial"/>
                <w:b/>
                <w:bCs/>
                <w:sz w:val="16"/>
                <w:szCs w:val="16"/>
              </w:rPr>
            </w:pPr>
            <w:r w:rsidRPr="00DC5D5A">
              <w:rPr>
                <w:rFonts w:ascii="Arial" w:hAnsi="Arial" w:cs="Arial"/>
                <w:b/>
                <w:bCs/>
                <w:sz w:val="16"/>
                <w:szCs w:val="16"/>
              </w:rPr>
              <w:t xml:space="preserve">Total </w:t>
            </w:r>
          </w:p>
        </w:tc>
        <w:tc>
          <w:tcPr>
            <w:tcW w:w="794"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92C31" w:rsidP="003B4548">
            <w:pPr>
              <w:spacing w:after="0" w:line="240" w:lineRule="auto"/>
              <w:jc w:val="right"/>
              <w:rPr>
                <w:rFonts w:ascii="Arial" w:hAnsi="Arial" w:cs="Arial"/>
                <w:b/>
                <w:bCs/>
                <w:sz w:val="16"/>
                <w:szCs w:val="16"/>
              </w:rPr>
            </w:pPr>
            <w:r>
              <w:rPr>
                <w:rFonts w:ascii="Arial" w:hAnsi="Arial" w:cs="Arial"/>
                <w:b/>
                <w:bCs/>
                <w:sz w:val="16"/>
                <w:szCs w:val="16"/>
              </w:rPr>
              <w:t>(11</w:t>
            </w:r>
            <w:r w:rsidR="00923B55">
              <w:rPr>
                <w:rFonts w:ascii="Arial" w:hAnsi="Arial" w:cs="Arial"/>
                <w:b/>
                <w:bCs/>
                <w:sz w:val="16"/>
                <w:szCs w:val="16"/>
              </w:rPr>
              <w:t>0)</w:t>
            </w:r>
            <w:r w:rsidR="003B4548"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nil"/>
              <w:right w:val="nil"/>
            </w:tcBorders>
            <w:shd w:val="clear" w:color="000000" w:fill="E6E6E6"/>
            <w:noWrap/>
            <w:vAlign w:val="center"/>
            <w:hideMark/>
          </w:tcPr>
          <w:p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nil"/>
              <w:right w:val="nil"/>
            </w:tcBorders>
            <w:shd w:val="clear" w:color="auto" w:fill="auto"/>
            <w:noWrap/>
            <w:vAlign w:val="center"/>
            <w:hideMark/>
          </w:tcPr>
          <w:p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nil"/>
              <w:right w:val="nil"/>
            </w:tcBorders>
            <w:shd w:val="clear" w:color="000000" w:fill="E6E6E6"/>
            <w:noWrap/>
            <w:vAlign w:val="center"/>
            <w:hideMark/>
          </w:tcPr>
          <w:p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r>
      <w:tr w:rsidR="003B4548" w:rsidRPr="00DC5D5A" w:rsidTr="003B4548">
        <w:trPr>
          <w:trHeight w:val="225"/>
        </w:trPr>
        <w:tc>
          <w:tcPr>
            <w:tcW w:w="2665"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rPr>
                <w:rFonts w:ascii="Arial" w:hAnsi="Arial" w:cs="Arial"/>
                <w:b/>
                <w:bCs/>
                <w:sz w:val="16"/>
                <w:szCs w:val="16"/>
              </w:rPr>
            </w:pPr>
            <w:r w:rsidRPr="00DC5D5A">
              <w:rPr>
                <w:rFonts w:ascii="Arial" w:hAnsi="Arial" w:cs="Arial"/>
                <w:b/>
                <w:bCs/>
                <w:sz w:val="16"/>
                <w:szCs w:val="16"/>
              </w:rPr>
              <w:t>Total expense measures</w:t>
            </w:r>
          </w:p>
        </w:tc>
        <w:tc>
          <w:tcPr>
            <w:tcW w:w="794"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w:t>
            </w:r>
          </w:p>
        </w:tc>
      </w:tr>
      <w:tr w:rsidR="003B4548" w:rsidRPr="00DC5D5A" w:rsidTr="003B4548">
        <w:trPr>
          <w:trHeight w:val="225"/>
        </w:trPr>
        <w:tc>
          <w:tcPr>
            <w:tcW w:w="2665"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ind w:firstLineChars="100" w:firstLine="160"/>
              <w:rPr>
                <w:rFonts w:ascii="Arial" w:hAnsi="Arial" w:cs="Arial"/>
                <w:sz w:val="16"/>
                <w:szCs w:val="16"/>
              </w:rPr>
            </w:pPr>
            <w:r>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w:t>
            </w:r>
          </w:p>
        </w:tc>
      </w:tr>
      <w:tr w:rsidR="003B4548" w:rsidRPr="00DC5D5A" w:rsidTr="003B4548">
        <w:trPr>
          <w:trHeight w:val="225"/>
        </w:trPr>
        <w:tc>
          <w:tcPr>
            <w:tcW w:w="2665"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ind w:firstLineChars="100" w:firstLine="160"/>
              <w:rPr>
                <w:rFonts w:ascii="Arial" w:hAnsi="Arial" w:cs="Arial"/>
                <w:sz w:val="16"/>
                <w:szCs w:val="16"/>
              </w:rPr>
            </w:pPr>
            <w:r w:rsidRPr="00DC5D5A">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3B4548" w:rsidRPr="00DC5D5A" w:rsidRDefault="00923B55" w:rsidP="003B4548">
            <w:pPr>
              <w:spacing w:after="0" w:line="240" w:lineRule="auto"/>
              <w:jc w:val="right"/>
              <w:rPr>
                <w:rFonts w:ascii="Arial" w:hAnsi="Arial" w:cs="Arial"/>
                <w:sz w:val="16"/>
                <w:szCs w:val="16"/>
              </w:rPr>
            </w:pPr>
            <w:r>
              <w:rPr>
                <w:rFonts w:ascii="Arial" w:hAnsi="Arial" w:cs="Arial"/>
                <w:sz w:val="16"/>
                <w:szCs w:val="16"/>
              </w:rPr>
              <w:t>(110)</w:t>
            </w:r>
            <w:r w:rsidR="003B4548"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auto" w:fill="auto"/>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c>
          <w:tcPr>
            <w:tcW w:w="850" w:type="dxa"/>
            <w:tcBorders>
              <w:top w:val="nil"/>
              <w:left w:val="nil"/>
              <w:bottom w:val="nil"/>
              <w:right w:val="nil"/>
            </w:tcBorders>
            <w:shd w:val="clear" w:color="000000" w:fill="E6E6E6"/>
            <w:noWrap/>
            <w:vAlign w:val="center"/>
            <w:hideMark/>
          </w:tcPr>
          <w:p w:rsidR="003B4548" w:rsidRPr="00DC5D5A" w:rsidRDefault="003B4548" w:rsidP="003B4548">
            <w:pPr>
              <w:spacing w:after="0" w:line="240" w:lineRule="auto"/>
              <w:jc w:val="right"/>
              <w:rPr>
                <w:rFonts w:ascii="Arial" w:hAnsi="Arial" w:cs="Arial"/>
                <w:sz w:val="16"/>
                <w:szCs w:val="16"/>
              </w:rPr>
            </w:pPr>
            <w:r>
              <w:rPr>
                <w:rFonts w:ascii="Arial" w:hAnsi="Arial" w:cs="Arial"/>
                <w:sz w:val="16"/>
                <w:szCs w:val="16"/>
              </w:rPr>
              <w:t>(110)</w:t>
            </w:r>
          </w:p>
        </w:tc>
      </w:tr>
      <w:tr w:rsidR="003B4548" w:rsidRPr="00DC5D5A" w:rsidTr="003B4548">
        <w:trPr>
          <w:trHeight w:val="227"/>
        </w:trPr>
        <w:tc>
          <w:tcPr>
            <w:tcW w:w="2665" w:type="dxa"/>
            <w:tcBorders>
              <w:top w:val="nil"/>
              <w:left w:val="nil"/>
              <w:bottom w:val="single" w:sz="4" w:space="0" w:color="auto"/>
              <w:right w:val="nil"/>
            </w:tcBorders>
            <w:shd w:val="clear" w:color="auto" w:fill="auto"/>
            <w:noWrap/>
            <w:vAlign w:val="bottom"/>
            <w:hideMark/>
          </w:tcPr>
          <w:p w:rsidR="003B4548" w:rsidRPr="00DC5D5A" w:rsidRDefault="003B4548" w:rsidP="003B4548">
            <w:pPr>
              <w:spacing w:after="0" w:line="240" w:lineRule="auto"/>
              <w:rPr>
                <w:rFonts w:ascii="Arial" w:hAnsi="Arial" w:cs="Arial"/>
                <w:b/>
                <w:bCs/>
                <w:sz w:val="16"/>
                <w:szCs w:val="16"/>
              </w:rPr>
            </w:pPr>
            <w:r w:rsidRPr="00DC5D5A">
              <w:rPr>
                <w:rFonts w:ascii="Arial" w:hAnsi="Arial" w:cs="Arial"/>
                <w:b/>
                <w:bCs/>
                <w:sz w:val="16"/>
                <w:szCs w:val="16"/>
              </w:rPr>
              <w:t>Total</w:t>
            </w:r>
          </w:p>
        </w:tc>
        <w:tc>
          <w:tcPr>
            <w:tcW w:w="794" w:type="dxa"/>
            <w:tcBorders>
              <w:top w:val="nil"/>
              <w:left w:val="nil"/>
              <w:bottom w:val="single" w:sz="4" w:space="0" w:color="auto"/>
              <w:right w:val="nil"/>
            </w:tcBorders>
            <w:shd w:val="clear" w:color="auto" w:fill="auto"/>
            <w:noWrap/>
            <w:vAlign w:val="center"/>
            <w:hideMark/>
          </w:tcPr>
          <w:p w:rsidR="003B4548" w:rsidRPr="00DC5D5A" w:rsidRDefault="003B4548" w:rsidP="003B4548">
            <w:pPr>
              <w:spacing w:after="0" w:line="240" w:lineRule="auto"/>
              <w:jc w:val="center"/>
              <w:rPr>
                <w:rFonts w:ascii="Arial" w:hAnsi="Arial" w:cs="Arial"/>
                <w:b/>
                <w:bCs/>
                <w:sz w:val="16"/>
                <w:szCs w:val="16"/>
              </w:rPr>
            </w:pPr>
          </w:p>
        </w:tc>
        <w:tc>
          <w:tcPr>
            <w:tcW w:w="850" w:type="dxa"/>
            <w:tcBorders>
              <w:top w:val="nil"/>
              <w:left w:val="nil"/>
              <w:bottom w:val="single" w:sz="4" w:space="0" w:color="auto"/>
              <w:right w:val="nil"/>
            </w:tcBorders>
            <w:shd w:val="clear" w:color="000000" w:fill="E6E6E6"/>
            <w:noWrap/>
            <w:vAlign w:val="bottom"/>
            <w:hideMark/>
          </w:tcPr>
          <w:p w:rsidR="003B4548" w:rsidRPr="00DC5D5A" w:rsidRDefault="00923B55" w:rsidP="003B4548">
            <w:pPr>
              <w:spacing w:after="0" w:line="240" w:lineRule="auto"/>
              <w:jc w:val="right"/>
              <w:rPr>
                <w:rFonts w:ascii="Arial" w:hAnsi="Arial" w:cs="Arial"/>
                <w:b/>
                <w:bCs/>
                <w:sz w:val="16"/>
                <w:szCs w:val="16"/>
              </w:rPr>
            </w:pPr>
            <w:r>
              <w:rPr>
                <w:rFonts w:ascii="Arial" w:hAnsi="Arial" w:cs="Arial"/>
                <w:b/>
                <w:bCs/>
                <w:sz w:val="16"/>
                <w:szCs w:val="16"/>
              </w:rPr>
              <w:t>(110)</w:t>
            </w:r>
            <w:r w:rsidR="003B4548" w:rsidRPr="00DC5D5A">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single" w:sz="4" w:space="0" w:color="auto"/>
              <w:right w:val="nil"/>
            </w:tcBorders>
            <w:shd w:val="clear" w:color="000000" w:fill="E6E6E6"/>
            <w:noWrap/>
            <w:vAlign w:val="bottom"/>
            <w:hideMark/>
          </w:tcPr>
          <w:p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single" w:sz="4" w:space="0" w:color="auto"/>
              <w:right w:val="nil"/>
            </w:tcBorders>
            <w:shd w:val="clear" w:color="auto" w:fill="auto"/>
            <w:noWrap/>
            <w:vAlign w:val="bottom"/>
            <w:hideMark/>
          </w:tcPr>
          <w:p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c>
          <w:tcPr>
            <w:tcW w:w="850" w:type="dxa"/>
            <w:tcBorders>
              <w:top w:val="nil"/>
              <w:left w:val="nil"/>
              <w:bottom w:val="single" w:sz="4" w:space="0" w:color="auto"/>
              <w:right w:val="nil"/>
            </w:tcBorders>
            <w:shd w:val="clear" w:color="000000" w:fill="E6E6E6"/>
            <w:noWrap/>
            <w:vAlign w:val="bottom"/>
            <w:hideMark/>
          </w:tcPr>
          <w:p w:rsidR="003B4548" w:rsidRPr="003B4548" w:rsidRDefault="003B4548" w:rsidP="003B4548">
            <w:pPr>
              <w:spacing w:after="0" w:line="240" w:lineRule="auto"/>
              <w:jc w:val="right"/>
              <w:rPr>
                <w:rFonts w:ascii="Arial" w:hAnsi="Arial" w:cs="Arial"/>
                <w:b/>
                <w:sz w:val="16"/>
                <w:szCs w:val="16"/>
              </w:rPr>
            </w:pPr>
            <w:r w:rsidRPr="003B4548">
              <w:rPr>
                <w:rFonts w:ascii="Arial" w:hAnsi="Arial" w:cs="Arial"/>
                <w:b/>
                <w:sz w:val="16"/>
                <w:szCs w:val="16"/>
              </w:rPr>
              <w:t>(110)</w:t>
            </w:r>
          </w:p>
        </w:tc>
      </w:tr>
    </w:tbl>
    <w:p w:rsidR="003B4548" w:rsidRDefault="003B4548" w:rsidP="003B4548">
      <w:pPr>
        <w:pStyle w:val="ChartandTableFootnote"/>
        <w:rPr>
          <w:lang w:val="en-AU"/>
        </w:rPr>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rsidR="0034703E" w:rsidRDefault="0034703E" w:rsidP="0034703E">
      <w:pPr>
        <w:pStyle w:val="ChartandTableFootnoteAlpha"/>
        <w:numPr>
          <w:ilvl w:val="0"/>
          <w:numId w:val="65"/>
        </w:numPr>
      </w:pPr>
      <w:r>
        <w:t xml:space="preserve">The lead entity for this measure is the Department of the Prime Minister and Cabinet. </w:t>
      </w:r>
      <w:r w:rsidRPr="002B779E">
        <w:t xml:space="preserve">The full measure description and package details appear in </w:t>
      </w:r>
      <w:r w:rsidRPr="0034703E">
        <w:rPr>
          <w:i/>
        </w:rPr>
        <w:t>Budget Paper No. 2</w:t>
      </w:r>
      <w:r w:rsidRPr="002B779E">
        <w:t xml:space="preserve"> under the </w:t>
      </w:r>
      <w:r>
        <w:t>Prime Minister and Cabinet</w:t>
      </w:r>
      <w:r w:rsidRPr="002B779E">
        <w:t xml:space="preserve"> portfolio.</w:t>
      </w:r>
    </w:p>
    <w:p w:rsidR="003B4548" w:rsidRPr="00E5444F" w:rsidRDefault="003B4548" w:rsidP="00EB77C1">
      <w:pPr>
        <w:pStyle w:val="TableHeadingcontinued"/>
        <w:spacing w:before="840"/>
      </w:pPr>
      <w:r w:rsidRPr="00E5444F">
        <w:t>Part 2: Other measures not previously reported in a portfolio statement</w:t>
      </w:r>
    </w:p>
    <w:p w:rsidR="003B4548" w:rsidRDefault="003B4548" w:rsidP="003B4548">
      <w:r>
        <w:t>The Australian Building and Construction Commission have no other measures not previously reported in a portfolio statement. For this reason, Part 2 of Table 1.2 is not presented.</w:t>
      </w:r>
    </w:p>
    <w:p w:rsidR="00240B29" w:rsidRPr="00240B29" w:rsidRDefault="00240B29" w:rsidP="00B834F1">
      <w:pPr>
        <w:pStyle w:val="Heading2"/>
      </w:pPr>
      <w:r w:rsidRPr="00240B29">
        <w:br w:type="page"/>
      </w:r>
      <w:bookmarkStart w:id="242" w:name="_Toc511656267"/>
      <w:bookmarkStart w:id="243" w:name="_Toc511722640"/>
      <w:bookmarkStart w:id="244" w:name="_Toc511736971"/>
      <w:bookmarkStart w:id="245" w:name="_Toc511747233"/>
      <w:bookmarkStart w:id="246" w:name="_Toc511765636"/>
      <w:bookmarkStart w:id="247" w:name="_Toc511828692"/>
      <w:bookmarkStart w:id="248" w:name="_Toc511836831"/>
      <w:bookmarkStart w:id="249" w:name="_Toc511902537"/>
      <w:r w:rsidRPr="00240B29">
        <w:lastRenderedPageBreak/>
        <w:t>Section 2: Outcomes and planned performance</w:t>
      </w:r>
      <w:bookmarkEnd w:id="242"/>
      <w:bookmarkEnd w:id="243"/>
      <w:bookmarkEnd w:id="244"/>
      <w:bookmarkEnd w:id="245"/>
      <w:bookmarkEnd w:id="246"/>
      <w:bookmarkEnd w:id="247"/>
      <w:bookmarkEnd w:id="248"/>
      <w:bookmarkEnd w:id="249"/>
    </w:p>
    <w:p w:rsidR="00240B29" w:rsidRPr="00240B29" w:rsidRDefault="00240B29" w:rsidP="00240B29">
      <w:r w:rsidRPr="00240B29">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240B29" w:rsidRPr="00240B29" w:rsidRDefault="00240B29" w:rsidP="00240B29">
      <w:r w:rsidRPr="00240B29">
        <w:t xml:space="preserve">Each outcome is described below together with its related programs. The following provides detailed information on expenses for each outcome and program, further broken down by funding source. </w:t>
      </w:r>
    </w:p>
    <w:p w:rsidR="00240B29" w:rsidRPr="00240B29" w:rsidRDefault="00240B29" w:rsidP="00240B29">
      <w:pPr>
        <w:pBdr>
          <w:top w:val="single" w:sz="2" w:space="6" w:color="auto"/>
          <w:left w:val="single" w:sz="2" w:space="4" w:color="auto"/>
          <w:bottom w:val="single" w:sz="2" w:space="6" w:color="auto"/>
          <w:right w:val="single" w:sz="2" w:space="4" w:color="auto"/>
        </w:pBdr>
        <w:spacing w:after="120" w:line="240" w:lineRule="auto"/>
        <w:rPr>
          <w:b/>
        </w:rPr>
      </w:pPr>
      <w:r w:rsidRPr="00240B29">
        <w:rPr>
          <w:b/>
        </w:rPr>
        <w:t>Note:</w:t>
      </w:r>
    </w:p>
    <w:p w:rsidR="00240B29" w:rsidRPr="00240B29" w:rsidRDefault="00240B29" w:rsidP="00240B29">
      <w:pPr>
        <w:pBdr>
          <w:top w:val="single" w:sz="2" w:space="6" w:color="auto"/>
          <w:left w:val="single" w:sz="2" w:space="4" w:color="auto"/>
          <w:bottom w:val="single" w:sz="2" w:space="6" w:color="auto"/>
          <w:right w:val="single" w:sz="2" w:space="4" w:color="auto"/>
        </w:pBdr>
      </w:pPr>
      <w:r w:rsidRPr="00240B29">
        <w:t xml:space="preserve">Performance reporting requirements in the Portfolio Budget Statements are part of the enhanced Commonwealth performance framework established by the </w:t>
      </w:r>
      <w:r w:rsidRPr="00240B29">
        <w:rPr>
          <w:i/>
        </w:rPr>
        <w:t>Public Governance, Performance and Accountability Act 2013</w:t>
      </w:r>
      <w:r w:rsidRPr="00240B29">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240B29" w:rsidRPr="00240B29" w:rsidRDefault="00240B29" w:rsidP="00240B29">
      <w:pPr>
        <w:pBdr>
          <w:top w:val="single" w:sz="2" w:space="6" w:color="auto"/>
          <w:left w:val="single" w:sz="2" w:space="4" w:color="auto"/>
          <w:bottom w:val="single" w:sz="2" w:space="6" w:color="auto"/>
          <w:right w:val="single" w:sz="2" w:space="4" w:color="auto"/>
        </w:pBdr>
      </w:pPr>
      <w:r w:rsidRPr="00240B29">
        <w:t xml:space="preserve">The most recent corporate plan for Australian Building and Construction Commission can be found at: </w:t>
      </w:r>
      <w:hyperlink r:id="rId91" w:history="1">
        <w:r w:rsidRPr="00240B29">
          <w:rPr>
            <w:color w:val="000000"/>
            <w:u w:val="single"/>
          </w:rPr>
          <w:t>www.abcc.gov.au/about/accountability-and-reporting/corporate-plan-2016-17</w:t>
        </w:r>
      </w:hyperlink>
      <w:r w:rsidRPr="00240B29">
        <w:t>.</w:t>
      </w:r>
    </w:p>
    <w:p w:rsidR="00240B29" w:rsidRPr="00240B29" w:rsidRDefault="00240B29" w:rsidP="00240B29">
      <w:pPr>
        <w:pBdr>
          <w:top w:val="single" w:sz="2" w:space="6" w:color="auto"/>
          <w:left w:val="single" w:sz="2" w:space="4" w:color="auto"/>
          <w:bottom w:val="single" w:sz="2" w:space="6" w:color="auto"/>
          <w:right w:val="single" w:sz="2" w:space="4" w:color="auto"/>
        </w:pBdr>
        <w:rPr>
          <w:highlight w:val="yellow"/>
        </w:rPr>
      </w:pPr>
      <w:r w:rsidRPr="00240B29">
        <w:t xml:space="preserve">The most recent annual performance statement can be found at: </w:t>
      </w:r>
      <w:hyperlink r:id="rId92" w:history="1">
        <w:r w:rsidRPr="00240B29">
          <w:rPr>
            <w:color w:val="000000"/>
            <w:u w:val="single"/>
          </w:rPr>
          <w:t>https://www.abcc.gov.au/about/accountability-and-reporting/annual-report-series/abcc-annual-report-2016-17</w:t>
        </w:r>
      </w:hyperlink>
      <w:r w:rsidRPr="00240B29">
        <w:t>.</w:t>
      </w:r>
    </w:p>
    <w:p w:rsidR="00240B29" w:rsidRPr="00240B29" w:rsidRDefault="00240B29" w:rsidP="00B834F1">
      <w:pPr>
        <w:pStyle w:val="Heading3"/>
      </w:pPr>
      <w:r w:rsidRPr="00240B29">
        <w:rPr>
          <w:highlight w:val="yellow"/>
        </w:rPr>
        <w:br w:type="page"/>
      </w:r>
      <w:bookmarkStart w:id="250" w:name="_Toc511656268"/>
      <w:bookmarkStart w:id="251" w:name="_Toc511722641"/>
      <w:bookmarkStart w:id="252" w:name="_Toc511736972"/>
      <w:bookmarkStart w:id="253" w:name="_Toc511747234"/>
      <w:bookmarkStart w:id="254" w:name="_Toc511765637"/>
      <w:bookmarkStart w:id="255" w:name="_Toc511828693"/>
      <w:bookmarkStart w:id="256" w:name="_Toc511836832"/>
      <w:bookmarkStart w:id="257" w:name="_Toc511902538"/>
      <w:r w:rsidRPr="00240B29">
        <w:lastRenderedPageBreak/>
        <w:t xml:space="preserve">2.1 </w:t>
      </w:r>
      <w:r w:rsidRPr="00240B29">
        <w:tab/>
        <w:t>Budgeted expenses and performance for Outcome 1</w:t>
      </w:r>
      <w:bookmarkEnd w:id="250"/>
      <w:bookmarkEnd w:id="251"/>
      <w:bookmarkEnd w:id="252"/>
      <w:bookmarkEnd w:id="253"/>
      <w:bookmarkEnd w:id="254"/>
      <w:bookmarkEnd w:id="255"/>
      <w:bookmarkEnd w:id="256"/>
      <w:bookmarkEnd w:id="257"/>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240B29" w:rsidRPr="00240B29" w:rsidTr="00C01AF6">
        <w:tc>
          <w:tcPr>
            <w:tcW w:w="7713" w:type="dxa"/>
            <w:shd w:val="clear" w:color="auto" w:fill="E6E6E6"/>
          </w:tcPr>
          <w:p w:rsidR="00240B29" w:rsidRPr="00240B29" w:rsidRDefault="00240B29" w:rsidP="00B834F1">
            <w:pPr>
              <w:pStyle w:val="TableColumnHeadingLeft"/>
            </w:pPr>
            <w:r w:rsidRPr="00240B29">
              <w:t>Outcome 1: Enforce workplace relations law</w:t>
            </w:r>
            <w:r w:rsidR="00035246">
              <w:t>s</w:t>
            </w:r>
            <w:r w:rsidRPr="00240B29">
              <w:t xml:space="preserve"> in the building and construction industry and ensure compliance with those laws by all participants in the building and construction industry through the provision of education, assistance and advice.</w:t>
            </w:r>
          </w:p>
        </w:tc>
      </w:tr>
    </w:tbl>
    <w:p w:rsidR="00240B29" w:rsidRPr="00240B29" w:rsidRDefault="00B834F1" w:rsidP="00EB77C1">
      <w:pPr>
        <w:pStyle w:val="Heading4"/>
        <w:spacing w:before="480"/>
      </w:pPr>
      <w:r>
        <w:t>Budgeted expenses for Outcome 1</w:t>
      </w:r>
    </w:p>
    <w:p w:rsidR="00240B29" w:rsidRPr="00240B29" w:rsidRDefault="00240B29" w:rsidP="00240B29">
      <w:r w:rsidRPr="00240B29">
        <w:t>This table shows how much the entity intends to spend (on an accrual basis) on achieving the outcome, broken down by program, as well as by Administered and Departmental funding sources.</w:t>
      </w:r>
    </w:p>
    <w:p w:rsidR="00240B29" w:rsidRPr="00240B29" w:rsidRDefault="00240B29" w:rsidP="00B834F1">
      <w:pPr>
        <w:pStyle w:val="TableHeading"/>
      </w:pPr>
      <w:r w:rsidRPr="00240B29">
        <w:t>Table 2.1.1: Budgeted expenses for Outcome 1</w:t>
      </w:r>
    </w:p>
    <w:tbl>
      <w:tblPr>
        <w:tblW w:w="7767" w:type="dxa"/>
        <w:tblInd w:w="93" w:type="dxa"/>
        <w:tblLook w:val="04A0" w:firstRow="1" w:lastRow="0" w:firstColumn="1" w:lastColumn="0" w:noHBand="0" w:noVBand="1"/>
      </w:tblPr>
      <w:tblGrid>
        <w:gridCol w:w="3061"/>
        <w:gridCol w:w="964"/>
        <w:gridCol w:w="935"/>
        <w:gridCol w:w="935"/>
        <w:gridCol w:w="935"/>
        <w:gridCol w:w="937"/>
      </w:tblGrid>
      <w:tr w:rsidR="00240B29" w:rsidRPr="00240B29" w:rsidTr="00985AAE">
        <w:trPr>
          <w:trHeight w:val="624"/>
        </w:trPr>
        <w:tc>
          <w:tcPr>
            <w:tcW w:w="7767" w:type="dxa"/>
            <w:gridSpan w:val="6"/>
            <w:tcBorders>
              <w:top w:val="single" w:sz="4" w:space="0" w:color="auto"/>
              <w:left w:val="nil"/>
              <w:bottom w:val="nil"/>
              <w:right w:val="nil"/>
            </w:tcBorders>
            <w:shd w:val="clear" w:color="auto" w:fill="auto"/>
            <w:vAlign w:val="center"/>
            <w:hideMark/>
          </w:tcPr>
          <w:p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 xml:space="preserve">Outcome 1: </w:t>
            </w:r>
            <w:r w:rsidR="00E26086" w:rsidRPr="00E26086">
              <w:rPr>
                <w:rFonts w:ascii="Arial" w:hAnsi="Arial" w:cs="Arial"/>
                <w:b/>
                <w:bCs/>
                <w:sz w:val="16"/>
                <w:szCs w:val="16"/>
              </w:rPr>
              <w:t>Enforce workplace relations laws in the building and construction industry and ensure compliance with those laws by all participants in the building and construction industry through the provision of education, assistance and advice.</w:t>
            </w:r>
          </w:p>
        </w:tc>
      </w:tr>
      <w:tr w:rsidR="00240B29" w:rsidRPr="00240B29" w:rsidTr="003D53BE">
        <w:trPr>
          <w:trHeight w:val="794"/>
        </w:trPr>
        <w:tc>
          <w:tcPr>
            <w:tcW w:w="3061"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2017–18 Estimated actual</w:t>
            </w:r>
            <w:r w:rsidRPr="00240B29">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000000" w:fill="E6E6E6"/>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2018–19</w:t>
            </w:r>
            <w:r w:rsidRPr="00240B29">
              <w:rPr>
                <w:rFonts w:ascii="Arial" w:hAnsi="Arial" w:cs="Arial"/>
                <w:sz w:val="16"/>
                <w:szCs w:val="16"/>
              </w:rPr>
              <w:br/>
              <w:t>Budget</w:t>
            </w:r>
            <w:r w:rsidRPr="00240B29">
              <w:rPr>
                <w:rFonts w:ascii="Arial" w:hAnsi="Arial" w:cs="Arial"/>
                <w:sz w:val="16"/>
                <w:szCs w:val="16"/>
              </w:rPr>
              <w:br/>
            </w:r>
            <w:r w:rsidRPr="00240B29">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2019–20 Forward estimate</w:t>
            </w:r>
            <w:r w:rsidRPr="00240B29">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2020–21 Forward estimate</w:t>
            </w:r>
            <w:r w:rsidRPr="00240B29">
              <w:rPr>
                <w:rFonts w:ascii="Arial" w:hAnsi="Arial" w:cs="Arial"/>
                <w:sz w:val="16"/>
                <w:szCs w:val="16"/>
              </w:rPr>
              <w:br/>
              <w:t>$'000</w:t>
            </w:r>
          </w:p>
        </w:tc>
        <w:tc>
          <w:tcPr>
            <w:tcW w:w="937"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2021–22</w:t>
            </w:r>
            <w:r w:rsidRPr="00240B29">
              <w:rPr>
                <w:rFonts w:ascii="Arial" w:hAnsi="Arial" w:cs="Arial"/>
                <w:sz w:val="16"/>
                <w:szCs w:val="16"/>
              </w:rPr>
              <w:br/>
              <w:t>Forward estimate</w:t>
            </w:r>
            <w:r w:rsidRPr="00240B29">
              <w:rPr>
                <w:rFonts w:ascii="Arial" w:hAnsi="Arial" w:cs="Arial"/>
                <w:sz w:val="16"/>
                <w:szCs w:val="16"/>
              </w:rPr>
              <w:br/>
              <w:t>$'000</w:t>
            </w:r>
          </w:p>
        </w:tc>
      </w:tr>
      <w:tr w:rsidR="00240B29" w:rsidRPr="00240B29" w:rsidTr="003D53BE">
        <w:trPr>
          <w:trHeight w:val="283"/>
        </w:trPr>
        <w:tc>
          <w:tcPr>
            <w:tcW w:w="7767" w:type="dxa"/>
            <w:gridSpan w:val="6"/>
            <w:tcBorders>
              <w:top w:val="single" w:sz="4" w:space="0" w:color="auto"/>
              <w:left w:val="nil"/>
              <w:bottom w:val="single" w:sz="4" w:space="0" w:color="auto"/>
              <w:right w:val="nil"/>
            </w:tcBorders>
            <w:shd w:val="clear" w:color="000000" w:fill="E6E6E6"/>
            <w:vAlign w:val="center"/>
            <w:hideMark/>
          </w:tcPr>
          <w:p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Program 1.1: Education Services and Compliance Activities</w:t>
            </w:r>
          </w:p>
        </w:tc>
      </w:tr>
      <w:tr w:rsidR="00240B29" w:rsidRPr="00240B29" w:rsidTr="003D53BE">
        <w:trPr>
          <w:trHeight w:val="225"/>
        </w:trPr>
        <w:tc>
          <w:tcPr>
            <w:tcW w:w="3061" w:type="dxa"/>
            <w:tcBorders>
              <w:top w:val="single" w:sz="4" w:space="0" w:color="auto"/>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sz w:val="16"/>
                <w:szCs w:val="16"/>
              </w:rPr>
            </w:pPr>
            <w:r w:rsidRPr="00240B29">
              <w:rPr>
                <w:rFonts w:ascii="Arial" w:hAnsi="Arial" w:cs="Arial"/>
                <w:sz w:val="16"/>
                <w:szCs w:val="16"/>
              </w:rPr>
              <w:t>Departmental expenses</w:t>
            </w:r>
          </w:p>
        </w:tc>
        <w:tc>
          <w:tcPr>
            <w:tcW w:w="964" w:type="dxa"/>
            <w:tcBorders>
              <w:top w:val="single" w:sz="4" w:space="0" w:color="auto"/>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color w:val="000000"/>
                <w:sz w:val="16"/>
                <w:szCs w:val="16"/>
              </w:rPr>
            </w:pPr>
          </w:p>
        </w:tc>
        <w:tc>
          <w:tcPr>
            <w:tcW w:w="935" w:type="dxa"/>
            <w:tcBorders>
              <w:top w:val="single" w:sz="4" w:space="0" w:color="auto"/>
              <w:left w:val="nil"/>
              <w:bottom w:val="nil"/>
              <w:right w:val="nil"/>
            </w:tcBorders>
            <w:shd w:val="clear" w:color="000000" w:fill="E6E6E6"/>
            <w:noWrap/>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w:t>
            </w:r>
          </w:p>
        </w:tc>
        <w:tc>
          <w:tcPr>
            <w:tcW w:w="935" w:type="dxa"/>
            <w:tcBorders>
              <w:top w:val="single" w:sz="4" w:space="0" w:color="auto"/>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p>
        </w:tc>
        <w:tc>
          <w:tcPr>
            <w:tcW w:w="935" w:type="dxa"/>
            <w:tcBorders>
              <w:top w:val="single" w:sz="4" w:space="0" w:color="auto"/>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p>
        </w:tc>
        <w:tc>
          <w:tcPr>
            <w:tcW w:w="937" w:type="dxa"/>
            <w:tcBorders>
              <w:top w:val="single" w:sz="4" w:space="0" w:color="auto"/>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p>
        </w:tc>
      </w:tr>
      <w:tr w:rsidR="003242D6" w:rsidRPr="00240B29" w:rsidTr="00C01AF6">
        <w:trPr>
          <w:trHeight w:val="225"/>
        </w:trPr>
        <w:tc>
          <w:tcPr>
            <w:tcW w:w="3061"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32,412 </w:t>
            </w:r>
          </w:p>
        </w:tc>
        <w:tc>
          <w:tcPr>
            <w:tcW w:w="935" w:type="dxa"/>
            <w:tcBorders>
              <w:top w:val="nil"/>
              <w:left w:val="nil"/>
              <w:bottom w:val="nil"/>
              <w:right w:val="nil"/>
            </w:tcBorders>
            <w:shd w:val="clear" w:color="000000" w:fill="E6E6E6"/>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32,280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32,293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33,026 </w:t>
            </w:r>
          </w:p>
        </w:tc>
        <w:tc>
          <w:tcPr>
            <w:tcW w:w="937"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33,807 </w:t>
            </w:r>
          </w:p>
        </w:tc>
      </w:tr>
      <w:tr w:rsidR="003242D6" w:rsidRPr="00240B29" w:rsidTr="00C01AF6">
        <w:trPr>
          <w:trHeight w:val="225"/>
        </w:trPr>
        <w:tc>
          <w:tcPr>
            <w:tcW w:w="3061" w:type="dxa"/>
            <w:tcBorders>
              <w:top w:val="nil"/>
              <w:left w:val="nil"/>
              <w:bottom w:val="nil"/>
              <w:right w:val="nil"/>
            </w:tcBorders>
            <w:shd w:val="clear" w:color="auto" w:fill="auto"/>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s74 Retained revenue receipts (a)</w:t>
            </w:r>
          </w:p>
        </w:tc>
        <w:tc>
          <w:tcPr>
            <w:tcW w:w="964"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370 </w:t>
            </w:r>
          </w:p>
        </w:tc>
        <w:tc>
          <w:tcPr>
            <w:tcW w:w="935" w:type="dxa"/>
            <w:tcBorders>
              <w:top w:val="nil"/>
              <w:left w:val="nil"/>
              <w:bottom w:val="nil"/>
              <w:right w:val="nil"/>
            </w:tcBorders>
            <w:shd w:val="clear" w:color="000000" w:fill="E6E6E6"/>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7"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r>
      <w:tr w:rsidR="003242D6" w:rsidRPr="00240B29" w:rsidTr="00C01AF6">
        <w:trPr>
          <w:trHeight w:val="397"/>
        </w:trPr>
        <w:tc>
          <w:tcPr>
            <w:tcW w:w="3061" w:type="dxa"/>
            <w:tcBorders>
              <w:top w:val="nil"/>
              <w:left w:val="nil"/>
              <w:bottom w:val="nil"/>
              <w:right w:val="nil"/>
            </w:tcBorders>
            <w:shd w:val="clear" w:color="auto" w:fill="auto"/>
            <w:vAlign w:val="center"/>
            <w:hideMark/>
          </w:tcPr>
          <w:p w:rsidR="003242D6" w:rsidRPr="00240B29" w:rsidRDefault="003242D6" w:rsidP="00240B29">
            <w:pPr>
              <w:spacing w:after="0" w:line="240" w:lineRule="auto"/>
              <w:ind w:leftChars="80" w:left="333" w:hangingChars="108" w:hanging="173"/>
              <w:rPr>
                <w:rFonts w:ascii="Arial" w:hAnsi="Arial" w:cs="Arial"/>
                <w:sz w:val="16"/>
                <w:szCs w:val="16"/>
              </w:rPr>
            </w:pPr>
            <w:r w:rsidRPr="00240B29">
              <w:rPr>
                <w:rFonts w:ascii="Arial" w:hAnsi="Arial" w:cs="Arial"/>
                <w:sz w:val="16"/>
                <w:szCs w:val="16"/>
              </w:rPr>
              <w:t>Expenses not requiring appropriation in the Budget year (b)</w:t>
            </w:r>
          </w:p>
        </w:tc>
        <w:tc>
          <w:tcPr>
            <w:tcW w:w="964"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1,372 </w:t>
            </w:r>
          </w:p>
        </w:tc>
        <w:tc>
          <w:tcPr>
            <w:tcW w:w="935" w:type="dxa"/>
            <w:tcBorders>
              <w:top w:val="nil"/>
              <w:left w:val="nil"/>
              <w:bottom w:val="nil"/>
              <w:right w:val="nil"/>
            </w:tcBorders>
            <w:shd w:val="clear" w:color="000000" w:fill="E6E6E6"/>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1,334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1,452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1,479 </w:t>
            </w:r>
          </w:p>
        </w:tc>
        <w:tc>
          <w:tcPr>
            <w:tcW w:w="937"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1,479 </w:t>
            </w:r>
          </w:p>
        </w:tc>
      </w:tr>
      <w:tr w:rsidR="003242D6" w:rsidRPr="00240B29" w:rsidTr="00C01AF6">
        <w:trPr>
          <w:trHeight w:val="225"/>
        </w:trPr>
        <w:tc>
          <w:tcPr>
            <w:tcW w:w="3061" w:type="dxa"/>
            <w:tcBorders>
              <w:top w:val="nil"/>
              <w:left w:val="nil"/>
              <w:bottom w:val="nil"/>
              <w:right w:val="nil"/>
            </w:tcBorders>
            <w:shd w:val="clear" w:color="auto" w:fill="auto"/>
            <w:vAlign w:val="center"/>
            <w:hideMark/>
          </w:tcPr>
          <w:p w:rsidR="003242D6" w:rsidRPr="00240B29" w:rsidRDefault="003242D6" w:rsidP="00240B29">
            <w:pPr>
              <w:spacing w:after="0" w:line="240" w:lineRule="auto"/>
              <w:jc w:val="right"/>
              <w:rPr>
                <w:rFonts w:ascii="Arial" w:hAnsi="Arial" w:cs="Arial"/>
                <w:b/>
                <w:bCs/>
                <w:sz w:val="16"/>
                <w:szCs w:val="16"/>
              </w:rPr>
            </w:pPr>
            <w:r w:rsidRPr="00240B29">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34,154 </w:t>
            </w:r>
          </w:p>
        </w:tc>
        <w:tc>
          <w:tcPr>
            <w:tcW w:w="935" w:type="dxa"/>
            <w:tcBorders>
              <w:top w:val="single" w:sz="4" w:space="0" w:color="000000"/>
              <w:left w:val="nil"/>
              <w:bottom w:val="single" w:sz="4" w:space="0" w:color="000000"/>
              <w:right w:val="nil"/>
            </w:tcBorders>
            <w:shd w:val="clear" w:color="000000" w:fill="E6E6E6"/>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33,984 </w:t>
            </w:r>
          </w:p>
        </w:tc>
        <w:tc>
          <w:tcPr>
            <w:tcW w:w="935" w:type="dxa"/>
            <w:tcBorders>
              <w:top w:val="single" w:sz="4" w:space="0" w:color="000000"/>
              <w:left w:val="nil"/>
              <w:bottom w:val="single" w:sz="4" w:space="0" w:color="000000"/>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34,115 </w:t>
            </w:r>
          </w:p>
        </w:tc>
        <w:tc>
          <w:tcPr>
            <w:tcW w:w="935" w:type="dxa"/>
            <w:tcBorders>
              <w:top w:val="single" w:sz="4" w:space="0" w:color="000000"/>
              <w:left w:val="nil"/>
              <w:bottom w:val="single" w:sz="4" w:space="0" w:color="000000"/>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34,875 </w:t>
            </w:r>
          </w:p>
        </w:tc>
        <w:tc>
          <w:tcPr>
            <w:tcW w:w="937" w:type="dxa"/>
            <w:tcBorders>
              <w:top w:val="single" w:sz="4" w:space="0" w:color="000000"/>
              <w:left w:val="nil"/>
              <w:bottom w:val="single" w:sz="4" w:space="0" w:color="000000"/>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35,656 </w:t>
            </w:r>
          </w:p>
        </w:tc>
      </w:tr>
      <w:tr w:rsidR="003242D6" w:rsidRPr="00240B29" w:rsidTr="00C01AF6">
        <w:trPr>
          <w:trHeight w:val="225"/>
        </w:trPr>
        <w:tc>
          <w:tcPr>
            <w:tcW w:w="3061" w:type="dxa"/>
            <w:tcBorders>
              <w:top w:val="nil"/>
              <w:left w:val="nil"/>
              <w:bottom w:val="single" w:sz="4" w:space="0" w:color="000000"/>
              <w:right w:val="nil"/>
            </w:tcBorders>
            <w:shd w:val="clear" w:color="auto" w:fill="auto"/>
            <w:vAlign w:val="center"/>
            <w:hideMark/>
          </w:tcPr>
          <w:p w:rsidR="003242D6" w:rsidRPr="00240B29" w:rsidRDefault="00C5333D" w:rsidP="00240B29">
            <w:pPr>
              <w:spacing w:after="0" w:line="240" w:lineRule="auto"/>
              <w:rPr>
                <w:rFonts w:ascii="Arial" w:hAnsi="Arial" w:cs="Arial"/>
                <w:b/>
                <w:bCs/>
                <w:sz w:val="16"/>
                <w:szCs w:val="16"/>
              </w:rPr>
            </w:pPr>
            <w:r>
              <w:rPr>
                <w:rFonts w:ascii="Arial" w:hAnsi="Arial" w:cs="Arial"/>
                <w:b/>
                <w:bCs/>
                <w:sz w:val="16"/>
                <w:szCs w:val="16"/>
              </w:rPr>
              <w:t>Total expenses for P</w:t>
            </w:r>
            <w:r w:rsidR="003242D6" w:rsidRPr="00240B29">
              <w:rPr>
                <w:rFonts w:ascii="Arial" w:hAnsi="Arial" w:cs="Arial"/>
                <w:b/>
                <w:bCs/>
                <w:sz w:val="16"/>
                <w:szCs w:val="16"/>
              </w:rPr>
              <w:t>rogram 1.1</w:t>
            </w:r>
          </w:p>
        </w:tc>
        <w:tc>
          <w:tcPr>
            <w:tcW w:w="964" w:type="dxa"/>
            <w:tcBorders>
              <w:top w:val="nil"/>
              <w:left w:val="nil"/>
              <w:bottom w:val="single" w:sz="4" w:space="0" w:color="000000"/>
              <w:right w:val="nil"/>
            </w:tcBorders>
            <w:shd w:val="clear" w:color="auto" w:fill="auto"/>
            <w:noWrap/>
            <w:vAlign w:val="center"/>
            <w:hideMark/>
          </w:tcPr>
          <w:p w:rsidR="003242D6" w:rsidRDefault="003242D6" w:rsidP="003242D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34,154 </w:t>
            </w:r>
          </w:p>
        </w:tc>
        <w:tc>
          <w:tcPr>
            <w:tcW w:w="935" w:type="dxa"/>
            <w:tcBorders>
              <w:top w:val="nil"/>
              <w:left w:val="nil"/>
              <w:bottom w:val="single" w:sz="4" w:space="0" w:color="000000"/>
              <w:right w:val="nil"/>
            </w:tcBorders>
            <w:shd w:val="clear" w:color="000000" w:fill="E6E6E6"/>
            <w:noWrap/>
            <w:vAlign w:val="center"/>
            <w:hideMark/>
          </w:tcPr>
          <w:p w:rsidR="003242D6" w:rsidRDefault="003242D6" w:rsidP="003242D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33,984 </w:t>
            </w:r>
          </w:p>
        </w:tc>
        <w:tc>
          <w:tcPr>
            <w:tcW w:w="935" w:type="dxa"/>
            <w:tcBorders>
              <w:top w:val="nil"/>
              <w:left w:val="nil"/>
              <w:bottom w:val="single" w:sz="4" w:space="0" w:color="000000"/>
              <w:right w:val="nil"/>
            </w:tcBorders>
            <w:shd w:val="clear" w:color="auto" w:fill="auto"/>
            <w:noWrap/>
            <w:vAlign w:val="center"/>
            <w:hideMark/>
          </w:tcPr>
          <w:p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34,115 </w:t>
            </w:r>
          </w:p>
        </w:tc>
        <w:tc>
          <w:tcPr>
            <w:tcW w:w="935" w:type="dxa"/>
            <w:tcBorders>
              <w:top w:val="nil"/>
              <w:left w:val="nil"/>
              <w:bottom w:val="single" w:sz="4" w:space="0" w:color="000000"/>
              <w:right w:val="nil"/>
            </w:tcBorders>
            <w:shd w:val="clear" w:color="auto" w:fill="auto"/>
            <w:noWrap/>
            <w:vAlign w:val="center"/>
            <w:hideMark/>
          </w:tcPr>
          <w:p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34,875 </w:t>
            </w:r>
          </w:p>
        </w:tc>
        <w:tc>
          <w:tcPr>
            <w:tcW w:w="937" w:type="dxa"/>
            <w:tcBorders>
              <w:top w:val="nil"/>
              <w:left w:val="nil"/>
              <w:bottom w:val="single" w:sz="4" w:space="0" w:color="000000"/>
              <w:right w:val="nil"/>
            </w:tcBorders>
            <w:shd w:val="clear" w:color="auto" w:fill="auto"/>
            <w:noWrap/>
            <w:vAlign w:val="center"/>
            <w:hideMark/>
          </w:tcPr>
          <w:p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35,656 </w:t>
            </w:r>
          </w:p>
        </w:tc>
      </w:tr>
      <w:tr w:rsidR="00240B29" w:rsidRPr="00240B29" w:rsidTr="00C01AF6">
        <w:trPr>
          <w:trHeight w:val="283"/>
        </w:trPr>
        <w:tc>
          <w:tcPr>
            <w:tcW w:w="7767" w:type="dxa"/>
            <w:gridSpan w:val="6"/>
            <w:tcBorders>
              <w:top w:val="single" w:sz="4" w:space="0" w:color="auto"/>
              <w:left w:val="nil"/>
              <w:bottom w:val="single" w:sz="4" w:space="0" w:color="auto"/>
              <w:right w:val="nil"/>
            </w:tcBorders>
            <w:shd w:val="clear" w:color="000000" w:fill="E6E6E6"/>
            <w:vAlign w:val="center"/>
            <w:hideMark/>
          </w:tcPr>
          <w:p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Outcome 1 Totals by appropriation type</w:t>
            </w:r>
          </w:p>
        </w:tc>
      </w:tr>
      <w:tr w:rsidR="00240B29" w:rsidRPr="00240B29" w:rsidTr="00C01AF6">
        <w:trPr>
          <w:trHeight w:val="225"/>
        </w:trPr>
        <w:tc>
          <w:tcPr>
            <w:tcW w:w="3061"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sz w:val="16"/>
                <w:szCs w:val="16"/>
              </w:rPr>
            </w:pPr>
            <w:r w:rsidRPr="00240B29">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w:t>
            </w:r>
          </w:p>
        </w:tc>
        <w:tc>
          <w:tcPr>
            <w:tcW w:w="935"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p>
        </w:tc>
        <w:tc>
          <w:tcPr>
            <w:tcW w:w="937"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p>
        </w:tc>
      </w:tr>
      <w:tr w:rsidR="003242D6" w:rsidRPr="00240B29" w:rsidTr="00C01AF6">
        <w:trPr>
          <w:trHeight w:val="225"/>
        </w:trPr>
        <w:tc>
          <w:tcPr>
            <w:tcW w:w="3061"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32,412 </w:t>
            </w:r>
          </w:p>
        </w:tc>
        <w:tc>
          <w:tcPr>
            <w:tcW w:w="935" w:type="dxa"/>
            <w:tcBorders>
              <w:top w:val="nil"/>
              <w:left w:val="nil"/>
              <w:bottom w:val="nil"/>
              <w:right w:val="nil"/>
            </w:tcBorders>
            <w:shd w:val="clear" w:color="000000" w:fill="E6E6E6"/>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32,280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32,293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33,026 </w:t>
            </w:r>
          </w:p>
        </w:tc>
        <w:tc>
          <w:tcPr>
            <w:tcW w:w="937"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33,807 </w:t>
            </w:r>
          </w:p>
        </w:tc>
      </w:tr>
      <w:tr w:rsidR="003242D6" w:rsidRPr="00240B29" w:rsidTr="00C01AF6">
        <w:trPr>
          <w:trHeight w:val="225"/>
        </w:trPr>
        <w:tc>
          <w:tcPr>
            <w:tcW w:w="3061" w:type="dxa"/>
            <w:tcBorders>
              <w:top w:val="nil"/>
              <w:left w:val="nil"/>
              <w:bottom w:val="nil"/>
              <w:right w:val="nil"/>
            </w:tcBorders>
            <w:shd w:val="clear" w:color="auto" w:fill="auto"/>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s74 Retained revenue receipts (a)</w:t>
            </w:r>
          </w:p>
        </w:tc>
        <w:tc>
          <w:tcPr>
            <w:tcW w:w="964"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370 </w:t>
            </w:r>
          </w:p>
        </w:tc>
        <w:tc>
          <w:tcPr>
            <w:tcW w:w="935" w:type="dxa"/>
            <w:tcBorders>
              <w:top w:val="nil"/>
              <w:left w:val="nil"/>
              <w:bottom w:val="nil"/>
              <w:right w:val="nil"/>
            </w:tcBorders>
            <w:shd w:val="clear" w:color="000000" w:fill="E6E6E6"/>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c>
          <w:tcPr>
            <w:tcW w:w="937"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370 </w:t>
            </w:r>
          </w:p>
        </w:tc>
      </w:tr>
      <w:tr w:rsidR="003242D6" w:rsidRPr="00240B29" w:rsidTr="00C01AF6">
        <w:trPr>
          <w:trHeight w:val="397"/>
        </w:trPr>
        <w:tc>
          <w:tcPr>
            <w:tcW w:w="3061" w:type="dxa"/>
            <w:tcBorders>
              <w:top w:val="nil"/>
              <w:left w:val="nil"/>
              <w:bottom w:val="nil"/>
              <w:right w:val="nil"/>
            </w:tcBorders>
            <w:shd w:val="clear" w:color="auto" w:fill="auto"/>
            <w:vAlign w:val="center"/>
            <w:hideMark/>
          </w:tcPr>
          <w:p w:rsidR="003242D6" w:rsidRPr="00240B29" w:rsidRDefault="003242D6" w:rsidP="00240B29">
            <w:pPr>
              <w:spacing w:after="0" w:line="240" w:lineRule="auto"/>
              <w:ind w:leftChars="80" w:left="333" w:hangingChars="108" w:hanging="173"/>
              <w:rPr>
                <w:rFonts w:ascii="Arial" w:hAnsi="Arial" w:cs="Arial"/>
                <w:sz w:val="16"/>
                <w:szCs w:val="16"/>
              </w:rPr>
            </w:pPr>
            <w:r w:rsidRPr="00240B29">
              <w:rPr>
                <w:rFonts w:ascii="Arial" w:hAnsi="Arial" w:cs="Arial"/>
                <w:sz w:val="16"/>
                <w:szCs w:val="16"/>
              </w:rPr>
              <w:t>Expenses not requiring appropriation  in the Budget year (b)</w:t>
            </w:r>
          </w:p>
        </w:tc>
        <w:tc>
          <w:tcPr>
            <w:tcW w:w="964"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1,372 </w:t>
            </w:r>
          </w:p>
        </w:tc>
        <w:tc>
          <w:tcPr>
            <w:tcW w:w="935" w:type="dxa"/>
            <w:tcBorders>
              <w:top w:val="nil"/>
              <w:left w:val="nil"/>
              <w:bottom w:val="nil"/>
              <w:right w:val="nil"/>
            </w:tcBorders>
            <w:shd w:val="clear" w:color="000000" w:fill="E6E6E6"/>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1,334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1,452 </w:t>
            </w:r>
          </w:p>
        </w:tc>
        <w:tc>
          <w:tcPr>
            <w:tcW w:w="935"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1,479 </w:t>
            </w:r>
          </w:p>
        </w:tc>
        <w:tc>
          <w:tcPr>
            <w:tcW w:w="937" w:type="dxa"/>
            <w:tcBorders>
              <w:top w:val="nil"/>
              <w:left w:val="nil"/>
              <w:bottom w:val="nil"/>
              <w:right w:val="nil"/>
            </w:tcBorders>
            <w:shd w:val="clear" w:color="auto" w:fill="auto"/>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1,479 </w:t>
            </w:r>
          </w:p>
        </w:tc>
      </w:tr>
      <w:tr w:rsidR="003242D6" w:rsidRPr="00240B29" w:rsidTr="00C01AF6">
        <w:trPr>
          <w:trHeight w:val="225"/>
        </w:trPr>
        <w:tc>
          <w:tcPr>
            <w:tcW w:w="3061" w:type="dxa"/>
            <w:tcBorders>
              <w:top w:val="nil"/>
              <w:left w:val="nil"/>
              <w:bottom w:val="nil"/>
              <w:right w:val="nil"/>
            </w:tcBorders>
            <w:shd w:val="clear" w:color="auto" w:fill="auto"/>
            <w:vAlign w:val="center"/>
            <w:hideMark/>
          </w:tcPr>
          <w:p w:rsidR="003242D6" w:rsidRPr="00240B29" w:rsidRDefault="003242D6" w:rsidP="00240B29">
            <w:pPr>
              <w:spacing w:after="0" w:line="240" w:lineRule="auto"/>
              <w:jc w:val="right"/>
              <w:rPr>
                <w:rFonts w:ascii="Arial" w:hAnsi="Arial" w:cs="Arial"/>
                <w:b/>
                <w:bCs/>
                <w:sz w:val="16"/>
                <w:szCs w:val="16"/>
              </w:rPr>
            </w:pPr>
            <w:r w:rsidRPr="00240B29">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34,154 </w:t>
            </w:r>
          </w:p>
        </w:tc>
        <w:tc>
          <w:tcPr>
            <w:tcW w:w="935" w:type="dxa"/>
            <w:tcBorders>
              <w:top w:val="single" w:sz="4" w:space="0" w:color="auto"/>
              <w:left w:val="nil"/>
              <w:bottom w:val="single" w:sz="4" w:space="0" w:color="auto"/>
              <w:right w:val="nil"/>
            </w:tcBorders>
            <w:shd w:val="clear" w:color="000000" w:fill="E6E6E6"/>
            <w:noWrap/>
            <w:vAlign w:val="center"/>
            <w:hideMark/>
          </w:tcPr>
          <w:p w:rsidR="003242D6" w:rsidRDefault="003242D6" w:rsidP="003242D6">
            <w:pPr>
              <w:spacing w:after="0" w:line="240" w:lineRule="auto"/>
              <w:jc w:val="right"/>
              <w:rPr>
                <w:rFonts w:ascii="Arial" w:hAnsi="Arial" w:cs="Arial"/>
                <w:sz w:val="16"/>
                <w:szCs w:val="16"/>
              </w:rPr>
            </w:pPr>
            <w:r>
              <w:rPr>
                <w:rFonts w:ascii="Arial" w:hAnsi="Arial" w:cs="Arial"/>
                <w:sz w:val="16"/>
                <w:szCs w:val="16"/>
              </w:rPr>
              <w:t xml:space="preserve">33,984 </w:t>
            </w:r>
          </w:p>
        </w:tc>
        <w:tc>
          <w:tcPr>
            <w:tcW w:w="935" w:type="dxa"/>
            <w:tcBorders>
              <w:top w:val="single" w:sz="4" w:space="0" w:color="auto"/>
              <w:left w:val="nil"/>
              <w:bottom w:val="single" w:sz="4" w:space="0" w:color="auto"/>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34,115 </w:t>
            </w:r>
          </w:p>
        </w:tc>
        <w:tc>
          <w:tcPr>
            <w:tcW w:w="935" w:type="dxa"/>
            <w:tcBorders>
              <w:top w:val="single" w:sz="4" w:space="0" w:color="auto"/>
              <w:left w:val="nil"/>
              <w:bottom w:val="single" w:sz="4" w:space="0" w:color="auto"/>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34,875 </w:t>
            </w:r>
          </w:p>
        </w:tc>
        <w:tc>
          <w:tcPr>
            <w:tcW w:w="937" w:type="dxa"/>
            <w:tcBorders>
              <w:top w:val="single" w:sz="4" w:space="0" w:color="auto"/>
              <w:left w:val="nil"/>
              <w:bottom w:val="single" w:sz="4" w:space="0" w:color="auto"/>
              <w:right w:val="nil"/>
            </w:tcBorders>
            <w:shd w:val="clear" w:color="auto" w:fill="auto"/>
            <w:noWrap/>
            <w:vAlign w:val="center"/>
            <w:hideMark/>
          </w:tcPr>
          <w:p w:rsidR="003242D6" w:rsidRDefault="003242D6" w:rsidP="003242D6">
            <w:pPr>
              <w:spacing w:after="0" w:line="240" w:lineRule="auto"/>
              <w:jc w:val="right"/>
              <w:rPr>
                <w:rFonts w:ascii="Arial" w:hAnsi="Arial" w:cs="Arial"/>
                <w:color w:val="000000"/>
                <w:sz w:val="16"/>
                <w:szCs w:val="16"/>
              </w:rPr>
            </w:pPr>
            <w:r>
              <w:rPr>
                <w:rFonts w:ascii="Arial" w:hAnsi="Arial" w:cs="Arial"/>
                <w:color w:val="000000"/>
                <w:sz w:val="16"/>
                <w:szCs w:val="16"/>
              </w:rPr>
              <w:t xml:space="preserve">35,656 </w:t>
            </w:r>
          </w:p>
        </w:tc>
      </w:tr>
      <w:tr w:rsidR="003242D6" w:rsidRPr="00240B29" w:rsidTr="003242D6">
        <w:trPr>
          <w:trHeight w:val="225"/>
        </w:trPr>
        <w:tc>
          <w:tcPr>
            <w:tcW w:w="3061" w:type="dxa"/>
            <w:tcBorders>
              <w:top w:val="nil"/>
              <w:left w:val="nil"/>
              <w:bottom w:val="single" w:sz="4" w:space="0" w:color="auto"/>
              <w:right w:val="nil"/>
            </w:tcBorders>
            <w:shd w:val="clear" w:color="auto" w:fill="auto"/>
            <w:noWrap/>
            <w:vAlign w:val="bottom"/>
            <w:hideMark/>
          </w:tcPr>
          <w:p w:rsidR="003242D6" w:rsidRPr="00240B29" w:rsidRDefault="003242D6"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expenses for Outcome 1</w:t>
            </w:r>
          </w:p>
        </w:tc>
        <w:tc>
          <w:tcPr>
            <w:tcW w:w="964" w:type="dxa"/>
            <w:tcBorders>
              <w:top w:val="nil"/>
              <w:left w:val="nil"/>
              <w:bottom w:val="single" w:sz="4" w:space="0" w:color="auto"/>
              <w:right w:val="nil"/>
            </w:tcBorders>
            <w:shd w:val="clear" w:color="auto" w:fill="auto"/>
            <w:noWrap/>
            <w:vAlign w:val="center"/>
            <w:hideMark/>
          </w:tcPr>
          <w:p w:rsidR="003242D6" w:rsidRDefault="003242D6" w:rsidP="003242D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34,154 </w:t>
            </w:r>
          </w:p>
        </w:tc>
        <w:tc>
          <w:tcPr>
            <w:tcW w:w="935" w:type="dxa"/>
            <w:tcBorders>
              <w:top w:val="nil"/>
              <w:left w:val="nil"/>
              <w:bottom w:val="single" w:sz="4" w:space="0" w:color="auto"/>
              <w:right w:val="nil"/>
            </w:tcBorders>
            <w:shd w:val="clear" w:color="000000" w:fill="E6E6E6"/>
            <w:noWrap/>
            <w:vAlign w:val="center"/>
            <w:hideMark/>
          </w:tcPr>
          <w:p w:rsidR="003242D6" w:rsidRDefault="003242D6" w:rsidP="003242D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33,984 </w:t>
            </w:r>
          </w:p>
        </w:tc>
        <w:tc>
          <w:tcPr>
            <w:tcW w:w="935" w:type="dxa"/>
            <w:tcBorders>
              <w:top w:val="nil"/>
              <w:left w:val="nil"/>
              <w:bottom w:val="single" w:sz="4" w:space="0" w:color="auto"/>
              <w:right w:val="nil"/>
            </w:tcBorders>
            <w:shd w:val="clear" w:color="auto" w:fill="auto"/>
            <w:noWrap/>
            <w:vAlign w:val="center"/>
            <w:hideMark/>
          </w:tcPr>
          <w:p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34,115 </w:t>
            </w:r>
          </w:p>
        </w:tc>
        <w:tc>
          <w:tcPr>
            <w:tcW w:w="935" w:type="dxa"/>
            <w:tcBorders>
              <w:top w:val="nil"/>
              <w:left w:val="nil"/>
              <w:bottom w:val="single" w:sz="4" w:space="0" w:color="auto"/>
              <w:right w:val="nil"/>
            </w:tcBorders>
            <w:shd w:val="clear" w:color="auto" w:fill="auto"/>
            <w:noWrap/>
            <w:vAlign w:val="center"/>
            <w:hideMark/>
          </w:tcPr>
          <w:p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34,875 </w:t>
            </w:r>
          </w:p>
        </w:tc>
        <w:tc>
          <w:tcPr>
            <w:tcW w:w="937" w:type="dxa"/>
            <w:tcBorders>
              <w:top w:val="nil"/>
              <w:left w:val="nil"/>
              <w:bottom w:val="single" w:sz="4" w:space="0" w:color="auto"/>
              <w:right w:val="nil"/>
            </w:tcBorders>
            <w:shd w:val="clear" w:color="auto" w:fill="auto"/>
            <w:noWrap/>
            <w:vAlign w:val="center"/>
            <w:hideMark/>
          </w:tcPr>
          <w:p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 xml:space="preserve">35,656 </w:t>
            </w:r>
          </w:p>
        </w:tc>
      </w:tr>
      <w:tr w:rsidR="00473DB1" w:rsidRPr="00240B29" w:rsidTr="00473DB1">
        <w:trPr>
          <w:trHeight w:val="225"/>
        </w:trPr>
        <w:tc>
          <w:tcPr>
            <w:tcW w:w="3061" w:type="dxa"/>
            <w:tcBorders>
              <w:top w:val="single" w:sz="4" w:space="0" w:color="000000"/>
              <w:left w:val="nil"/>
              <w:bottom w:val="nil"/>
              <w:right w:val="nil"/>
            </w:tcBorders>
            <w:shd w:val="clear" w:color="auto" w:fill="auto"/>
            <w:noWrap/>
            <w:vAlign w:val="center"/>
          </w:tcPr>
          <w:p w:rsidR="00473DB1" w:rsidRPr="00240B29" w:rsidRDefault="00473DB1" w:rsidP="00240B29">
            <w:pPr>
              <w:spacing w:after="0" w:line="240" w:lineRule="auto"/>
              <w:rPr>
                <w:rFonts w:ascii="Arial" w:hAnsi="Arial" w:cs="Arial"/>
                <w:color w:val="000000"/>
                <w:sz w:val="16"/>
                <w:szCs w:val="16"/>
              </w:rPr>
            </w:pPr>
          </w:p>
        </w:tc>
        <w:tc>
          <w:tcPr>
            <w:tcW w:w="964" w:type="dxa"/>
            <w:tcBorders>
              <w:top w:val="single" w:sz="4" w:space="0" w:color="auto"/>
              <w:left w:val="nil"/>
              <w:bottom w:val="single" w:sz="4" w:space="0" w:color="auto"/>
              <w:right w:val="nil"/>
            </w:tcBorders>
            <w:shd w:val="clear" w:color="auto" w:fill="auto"/>
            <w:noWrap/>
            <w:vAlign w:val="center"/>
          </w:tcPr>
          <w:p w:rsidR="00473DB1" w:rsidRPr="00240B29" w:rsidRDefault="00473DB1" w:rsidP="00240B29">
            <w:pPr>
              <w:spacing w:after="0" w:line="240" w:lineRule="auto"/>
              <w:jc w:val="right"/>
              <w:rPr>
                <w:rFonts w:ascii="Arial" w:hAnsi="Arial" w:cs="Arial"/>
                <w:sz w:val="16"/>
                <w:szCs w:val="16"/>
              </w:rPr>
            </w:pPr>
          </w:p>
        </w:tc>
        <w:tc>
          <w:tcPr>
            <w:tcW w:w="935" w:type="dxa"/>
            <w:tcBorders>
              <w:top w:val="single" w:sz="4" w:space="0" w:color="auto"/>
              <w:left w:val="nil"/>
              <w:bottom w:val="single" w:sz="4" w:space="0" w:color="auto"/>
              <w:right w:val="nil"/>
            </w:tcBorders>
            <w:shd w:val="clear" w:color="auto" w:fill="auto"/>
            <w:noWrap/>
            <w:vAlign w:val="center"/>
          </w:tcPr>
          <w:p w:rsidR="00473DB1" w:rsidRPr="00240B29" w:rsidRDefault="00473DB1" w:rsidP="00240B29">
            <w:pPr>
              <w:spacing w:after="0" w:line="240" w:lineRule="auto"/>
              <w:jc w:val="right"/>
              <w:rPr>
                <w:rFonts w:ascii="Arial" w:hAnsi="Arial" w:cs="Arial"/>
                <w:sz w:val="16"/>
                <w:szCs w:val="16"/>
              </w:rPr>
            </w:pPr>
          </w:p>
        </w:tc>
        <w:tc>
          <w:tcPr>
            <w:tcW w:w="935" w:type="dxa"/>
            <w:tcBorders>
              <w:top w:val="nil"/>
              <w:left w:val="nil"/>
              <w:bottom w:val="nil"/>
              <w:right w:val="nil"/>
            </w:tcBorders>
            <w:shd w:val="clear" w:color="auto" w:fill="auto"/>
            <w:noWrap/>
            <w:vAlign w:val="center"/>
          </w:tcPr>
          <w:p w:rsidR="00473DB1" w:rsidRPr="00240B29" w:rsidRDefault="00473DB1" w:rsidP="00240B29">
            <w:pPr>
              <w:spacing w:after="0" w:line="240" w:lineRule="auto"/>
              <w:rPr>
                <w:rFonts w:ascii="Arial" w:hAnsi="Arial" w:cs="Arial"/>
                <w:sz w:val="16"/>
                <w:szCs w:val="16"/>
              </w:rPr>
            </w:pPr>
          </w:p>
        </w:tc>
        <w:tc>
          <w:tcPr>
            <w:tcW w:w="935" w:type="dxa"/>
            <w:tcBorders>
              <w:top w:val="nil"/>
              <w:left w:val="nil"/>
              <w:bottom w:val="nil"/>
              <w:right w:val="nil"/>
            </w:tcBorders>
            <w:shd w:val="clear" w:color="auto" w:fill="auto"/>
            <w:noWrap/>
            <w:vAlign w:val="center"/>
          </w:tcPr>
          <w:p w:rsidR="00473DB1" w:rsidRPr="00240B29" w:rsidRDefault="00473DB1" w:rsidP="00240B29">
            <w:pPr>
              <w:spacing w:after="0" w:line="240" w:lineRule="auto"/>
              <w:rPr>
                <w:rFonts w:ascii="Arial" w:hAnsi="Arial" w:cs="Arial"/>
                <w:sz w:val="16"/>
                <w:szCs w:val="16"/>
              </w:rPr>
            </w:pPr>
          </w:p>
        </w:tc>
        <w:tc>
          <w:tcPr>
            <w:tcW w:w="937" w:type="dxa"/>
            <w:tcBorders>
              <w:top w:val="nil"/>
              <w:left w:val="nil"/>
              <w:bottom w:val="nil"/>
              <w:right w:val="nil"/>
            </w:tcBorders>
            <w:shd w:val="clear" w:color="auto" w:fill="auto"/>
            <w:noWrap/>
            <w:vAlign w:val="center"/>
          </w:tcPr>
          <w:p w:rsidR="00473DB1" w:rsidRPr="00240B29" w:rsidRDefault="00473DB1" w:rsidP="00240B29">
            <w:pPr>
              <w:spacing w:after="0" w:line="240" w:lineRule="auto"/>
              <w:rPr>
                <w:rFonts w:ascii="Arial" w:hAnsi="Arial" w:cs="Arial"/>
                <w:sz w:val="16"/>
                <w:szCs w:val="16"/>
              </w:rPr>
            </w:pPr>
          </w:p>
        </w:tc>
      </w:tr>
      <w:tr w:rsidR="00240B29" w:rsidRPr="00240B29" w:rsidTr="00C01AF6">
        <w:trPr>
          <w:trHeight w:val="225"/>
        </w:trPr>
        <w:tc>
          <w:tcPr>
            <w:tcW w:w="3061" w:type="dxa"/>
            <w:tcBorders>
              <w:top w:val="single" w:sz="4" w:space="0" w:color="000000"/>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2017–18</w:t>
            </w:r>
          </w:p>
        </w:tc>
        <w:tc>
          <w:tcPr>
            <w:tcW w:w="935" w:type="dxa"/>
            <w:tcBorders>
              <w:top w:val="single" w:sz="4" w:space="0" w:color="auto"/>
              <w:left w:val="nil"/>
              <w:bottom w:val="single" w:sz="4" w:space="0" w:color="auto"/>
              <w:right w:val="nil"/>
            </w:tcBorders>
            <w:shd w:val="clear" w:color="000000" w:fill="E6E6E6"/>
            <w:noWrap/>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2018–19</w:t>
            </w:r>
          </w:p>
        </w:tc>
        <w:tc>
          <w:tcPr>
            <w:tcW w:w="935"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sz w:val="16"/>
                <w:szCs w:val="16"/>
              </w:rPr>
            </w:pPr>
          </w:p>
        </w:tc>
        <w:tc>
          <w:tcPr>
            <w:tcW w:w="937"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sz w:val="16"/>
                <w:szCs w:val="16"/>
              </w:rPr>
            </w:pPr>
          </w:p>
        </w:tc>
      </w:tr>
      <w:tr w:rsidR="00240B29" w:rsidRPr="00240B29" w:rsidTr="00C01AF6">
        <w:trPr>
          <w:trHeight w:val="225"/>
        </w:trPr>
        <w:tc>
          <w:tcPr>
            <w:tcW w:w="3061" w:type="dxa"/>
            <w:tcBorders>
              <w:top w:val="nil"/>
              <w:left w:val="nil"/>
              <w:bottom w:val="single" w:sz="4" w:space="0" w:color="000000"/>
              <w:right w:val="nil"/>
            </w:tcBorders>
            <w:shd w:val="clear" w:color="auto" w:fill="auto"/>
            <w:noWrap/>
            <w:vAlign w:val="bottom"/>
            <w:hideMark/>
          </w:tcPr>
          <w:p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155 </w:t>
            </w:r>
          </w:p>
        </w:tc>
        <w:tc>
          <w:tcPr>
            <w:tcW w:w="935" w:type="dxa"/>
            <w:tcBorders>
              <w:top w:val="nil"/>
              <w:left w:val="nil"/>
              <w:bottom w:val="single" w:sz="4" w:space="0" w:color="auto"/>
              <w:right w:val="nil"/>
            </w:tcBorders>
            <w:shd w:val="clear" w:color="000000" w:fill="E6E6E6"/>
            <w:noWrap/>
            <w:vAlign w:val="bottom"/>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155 </w:t>
            </w:r>
          </w:p>
        </w:tc>
        <w:tc>
          <w:tcPr>
            <w:tcW w:w="935"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sz w:val="16"/>
                <w:szCs w:val="16"/>
              </w:rPr>
            </w:pPr>
          </w:p>
        </w:tc>
        <w:tc>
          <w:tcPr>
            <w:tcW w:w="935"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sz w:val="16"/>
                <w:szCs w:val="16"/>
              </w:rPr>
            </w:pPr>
          </w:p>
        </w:tc>
        <w:tc>
          <w:tcPr>
            <w:tcW w:w="937"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sz w:val="16"/>
                <w:szCs w:val="16"/>
              </w:rPr>
            </w:pPr>
          </w:p>
        </w:tc>
      </w:tr>
    </w:tbl>
    <w:p w:rsidR="00240B29" w:rsidRPr="00240B29" w:rsidRDefault="00240B29" w:rsidP="00E01B4E">
      <w:pPr>
        <w:pStyle w:val="ChartandTableFootnoteAlpha"/>
        <w:numPr>
          <w:ilvl w:val="0"/>
          <w:numId w:val="27"/>
        </w:numPr>
      </w:pPr>
      <w:r w:rsidRPr="00240B29">
        <w:t>Estimated expenses incurred in relation to receipts retained under section 74 of the PGPA Act.</w:t>
      </w:r>
    </w:p>
    <w:p w:rsidR="00240B29" w:rsidRPr="00240B29" w:rsidRDefault="00240B29" w:rsidP="00B834F1">
      <w:pPr>
        <w:pStyle w:val="ChartandTableFootnoteAlpha"/>
      </w:pPr>
      <w:r w:rsidRPr="00240B29">
        <w:t xml:space="preserve">Expenses not requiring appropriation in the Budget year are made up of depreciation expenses, amortisation expenses, make good expenses, and audit fees. </w:t>
      </w:r>
    </w:p>
    <w:p w:rsidR="00240B29" w:rsidRPr="00240B29" w:rsidRDefault="00240B29" w:rsidP="00B834F1">
      <w:pPr>
        <w:pStyle w:val="ChartandTableFootnote"/>
      </w:pPr>
      <w:r w:rsidRPr="00240B29">
        <w:t>Note: Departmental appropriation splits and totals are indicative estimates and may change in the course of the budget year as government priorities change.</w:t>
      </w:r>
    </w:p>
    <w:p w:rsidR="00240B29" w:rsidRPr="00240B29" w:rsidRDefault="00240B29" w:rsidP="00B834F1">
      <w:pPr>
        <w:pStyle w:val="TableHeading"/>
      </w:pPr>
      <w:r w:rsidRPr="00240B29">
        <w:rPr>
          <w:highlight w:val="yellow"/>
          <w:lang w:val="en-US"/>
        </w:rPr>
        <w:br w:type="page"/>
      </w:r>
      <w:r w:rsidRPr="00240B29">
        <w:lastRenderedPageBreak/>
        <w:t>Table 2.1.2: Performance criteria for Outcome 1</w:t>
      </w:r>
    </w:p>
    <w:p w:rsidR="00240B29" w:rsidRPr="00240B29" w:rsidRDefault="00240B29" w:rsidP="00240B29">
      <w:r w:rsidRPr="00240B29">
        <w:t>Table 2.1.2 below details the performance criteria for each program associated with Outcome 1. It also summarises how each program is delivered and where 2018–19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686"/>
        <w:gridCol w:w="2779"/>
      </w:tblGrid>
      <w:tr w:rsidR="00240B29" w:rsidRPr="00240B29" w:rsidTr="00C01AF6">
        <w:trPr>
          <w:tblHeader/>
        </w:trPr>
        <w:tc>
          <w:tcPr>
            <w:tcW w:w="7741" w:type="dxa"/>
            <w:gridSpan w:val="3"/>
            <w:shd w:val="clear" w:color="auto" w:fill="F2F2F2"/>
          </w:tcPr>
          <w:p w:rsidR="00240B29" w:rsidRPr="00240B29" w:rsidRDefault="00240B29" w:rsidP="00B834F1">
            <w:pPr>
              <w:pStyle w:val="TableColumnHeadingLeft"/>
            </w:pPr>
            <w:r w:rsidRPr="00240B29">
              <w:t xml:space="preserve">Outcome 1—Enforce workplace relations laws in the building and construction industry and ensure compliance with those laws by all participants in the building and construction industry through the provision of education, assistance and advice. </w:t>
            </w:r>
          </w:p>
        </w:tc>
      </w:tr>
      <w:tr w:rsidR="00240B29" w:rsidRPr="00240B29" w:rsidTr="00C01AF6">
        <w:trPr>
          <w:tblHeader/>
        </w:trPr>
        <w:tc>
          <w:tcPr>
            <w:tcW w:w="7741" w:type="dxa"/>
            <w:gridSpan w:val="3"/>
            <w:shd w:val="clear" w:color="auto" w:fill="F2F2F2"/>
          </w:tcPr>
          <w:p w:rsidR="00240B29" w:rsidRPr="00B834F1" w:rsidRDefault="00240B29" w:rsidP="00B834F1">
            <w:pPr>
              <w:pStyle w:val="TableTextLeft"/>
              <w:rPr>
                <w:b/>
              </w:rPr>
            </w:pPr>
            <w:r w:rsidRPr="00B834F1">
              <w:rPr>
                <w:b/>
                <w:sz w:val="16"/>
                <w:szCs w:val="16"/>
              </w:rPr>
              <w:t>Program 1.1</w:t>
            </w:r>
            <w:r w:rsidRPr="00B834F1">
              <w:rPr>
                <w:b/>
              </w:rPr>
              <w:t>—Education, compliance and enforcement</w:t>
            </w:r>
          </w:p>
          <w:p w:rsidR="00240B29" w:rsidRPr="00240B29" w:rsidRDefault="00240B29" w:rsidP="00B834F1">
            <w:pPr>
              <w:pStyle w:val="TableTextLeft"/>
              <w:rPr>
                <w:sz w:val="16"/>
                <w:szCs w:val="16"/>
              </w:rPr>
            </w:pPr>
            <w:r w:rsidRPr="00240B29">
              <w:t xml:space="preserve">To educate building industry participants in order to promote compliance with workplace laws. </w:t>
            </w:r>
          </w:p>
        </w:tc>
      </w:tr>
      <w:tr w:rsidR="00240B29" w:rsidRPr="00240B29" w:rsidTr="00C01AF6">
        <w:tc>
          <w:tcPr>
            <w:tcW w:w="1276" w:type="dxa"/>
          </w:tcPr>
          <w:p w:rsidR="00240B29" w:rsidRPr="00B834F1" w:rsidRDefault="00240B29" w:rsidP="009067FF">
            <w:pPr>
              <w:pStyle w:val="TableTextLeft"/>
              <w:spacing w:before="120"/>
              <w:rPr>
                <w:b/>
              </w:rPr>
            </w:pPr>
            <w:r w:rsidRPr="00B834F1">
              <w:rPr>
                <w:b/>
              </w:rPr>
              <w:t>Purpose</w:t>
            </w:r>
          </w:p>
        </w:tc>
        <w:tc>
          <w:tcPr>
            <w:tcW w:w="6465" w:type="dxa"/>
            <w:gridSpan w:val="2"/>
          </w:tcPr>
          <w:p w:rsidR="00240B29" w:rsidRPr="00240B29" w:rsidRDefault="00240B29" w:rsidP="009067FF">
            <w:pPr>
              <w:pStyle w:val="TableTextLeft"/>
              <w:spacing w:before="120"/>
            </w:pPr>
            <w:r w:rsidRPr="00240B29">
              <w:t>In accordance with its responsibilities under the Building and Construction Industry (Improving Productivity) Act 2016, the ABCC:</w:t>
            </w:r>
          </w:p>
          <w:p w:rsidR="00240B29" w:rsidRPr="00240B29" w:rsidRDefault="00240B29" w:rsidP="00206B18">
            <w:pPr>
              <w:pStyle w:val="TableTextNumbered"/>
              <w:numPr>
                <w:ilvl w:val="0"/>
                <w:numId w:val="28"/>
              </w:numPr>
              <w:ind w:left="317" w:hanging="283"/>
            </w:pPr>
            <w:r w:rsidRPr="00240B29">
              <w:t>enforces workplace relations laws in the building and construction industry through the provision of education, assistance and advice, and where necessary, civil penalty litigation in the courts</w:t>
            </w:r>
            <w:r w:rsidR="00931196">
              <w:t>,</w:t>
            </w:r>
            <w:r w:rsidRPr="00240B29">
              <w:t xml:space="preserve"> and</w:t>
            </w:r>
          </w:p>
          <w:p w:rsidR="00240B29" w:rsidRPr="00B834F1" w:rsidRDefault="00240B29" w:rsidP="00206B18">
            <w:pPr>
              <w:pStyle w:val="TableTextNumbered"/>
              <w:tabs>
                <w:tab w:val="clear" w:pos="360"/>
              </w:tabs>
              <w:spacing w:after="120"/>
              <w:ind w:left="317" w:hanging="283"/>
              <w:rPr>
                <w:rFonts w:eastAsia="Calibri"/>
              </w:rPr>
            </w:pPr>
            <w:r w:rsidRPr="00B834F1">
              <w:rPr>
                <w:rFonts w:eastAsia="Calibri"/>
              </w:rPr>
              <w:t>ensures compliance with Building Codes by educating the industry, monitoring compliance, and where appropriate, seeking rectification by, or sanctions against, non-compliant contractors.</w:t>
            </w:r>
          </w:p>
        </w:tc>
      </w:tr>
      <w:tr w:rsidR="00240B29" w:rsidRPr="00240B29" w:rsidTr="009067FF">
        <w:trPr>
          <w:trHeight w:val="1701"/>
        </w:trPr>
        <w:tc>
          <w:tcPr>
            <w:tcW w:w="1276" w:type="dxa"/>
            <w:tcBorders>
              <w:bottom w:val="double" w:sz="4" w:space="0" w:color="auto"/>
            </w:tcBorders>
          </w:tcPr>
          <w:p w:rsidR="00240B29" w:rsidRPr="00B834F1" w:rsidRDefault="00240B29" w:rsidP="009067FF">
            <w:pPr>
              <w:pStyle w:val="TableTextLeft"/>
              <w:spacing w:before="120"/>
              <w:rPr>
                <w:b/>
              </w:rPr>
            </w:pPr>
            <w:r w:rsidRPr="00B834F1">
              <w:rPr>
                <w:b/>
              </w:rPr>
              <w:t>Delivery</w:t>
            </w:r>
          </w:p>
        </w:tc>
        <w:tc>
          <w:tcPr>
            <w:tcW w:w="6465" w:type="dxa"/>
            <w:gridSpan w:val="2"/>
            <w:tcBorders>
              <w:bottom w:val="double" w:sz="4" w:space="0" w:color="auto"/>
            </w:tcBorders>
          </w:tcPr>
          <w:p w:rsidR="00240B29" w:rsidRPr="00240B29" w:rsidRDefault="00240B29" w:rsidP="00206B18">
            <w:pPr>
              <w:pStyle w:val="TableTextBullet"/>
              <w:spacing w:before="120"/>
              <w:ind w:hanging="250"/>
            </w:pPr>
            <w:r w:rsidRPr="00240B29">
              <w:t>Provide education, assistance and advice to building industry participants.</w:t>
            </w:r>
          </w:p>
          <w:p w:rsidR="00240B29" w:rsidRPr="00240B29" w:rsidRDefault="00240B29" w:rsidP="00206B18">
            <w:pPr>
              <w:pStyle w:val="TableTextBullet"/>
              <w:ind w:hanging="250"/>
            </w:pPr>
            <w:r w:rsidRPr="00240B29">
              <w:t>Conduct inspections and audits involving Building Codes, and where appropriate, seek rectification by or sanctions against non-compliant contractors.</w:t>
            </w:r>
          </w:p>
          <w:p w:rsidR="00240B29" w:rsidRPr="00240B29" w:rsidRDefault="00240B29" w:rsidP="00206B18">
            <w:pPr>
              <w:pStyle w:val="TableTextBullet"/>
              <w:spacing w:after="120"/>
              <w:ind w:hanging="250"/>
              <w:rPr>
                <w:rFonts w:cs="Arial"/>
                <w:i/>
                <w:color w:val="FF0000"/>
                <w:sz w:val="16"/>
                <w:szCs w:val="16"/>
              </w:rPr>
            </w:pPr>
            <w:r w:rsidRPr="00240B29">
              <w:t>Investigate claims regarding alleged breaches of workplace laws and undertake targeted activities, and where necessary, litigate to enforce compliance with workplace laws.</w:t>
            </w:r>
          </w:p>
        </w:tc>
      </w:tr>
      <w:tr w:rsidR="00240B29" w:rsidRPr="00240B29" w:rsidTr="00C01AF6">
        <w:tc>
          <w:tcPr>
            <w:tcW w:w="7741" w:type="dxa"/>
            <w:gridSpan w:val="3"/>
            <w:tcBorders>
              <w:top w:val="double" w:sz="4" w:space="0" w:color="auto"/>
              <w:bottom w:val="double" w:sz="4" w:space="0" w:color="auto"/>
            </w:tcBorders>
          </w:tcPr>
          <w:p w:rsidR="00240B29" w:rsidRPr="00240B29" w:rsidRDefault="00240B29" w:rsidP="00240B29">
            <w:pPr>
              <w:tabs>
                <w:tab w:val="left" w:pos="709"/>
              </w:tabs>
              <w:spacing w:before="60" w:after="60" w:line="240" w:lineRule="auto"/>
              <w:rPr>
                <w:rFonts w:ascii="Arial" w:hAnsi="Arial" w:cs="Arial"/>
                <w:b/>
                <w:sz w:val="16"/>
                <w:szCs w:val="16"/>
              </w:rPr>
            </w:pPr>
            <w:r w:rsidRPr="00240B29">
              <w:rPr>
                <w:rFonts w:ascii="Arial" w:hAnsi="Arial" w:cs="Arial"/>
                <w:b/>
                <w:sz w:val="16"/>
                <w:szCs w:val="16"/>
              </w:rPr>
              <w:t>Performance information</w:t>
            </w:r>
          </w:p>
        </w:tc>
      </w:tr>
      <w:tr w:rsidR="00240B29" w:rsidRPr="00240B29" w:rsidTr="00CB388E">
        <w:tc>
          <w:tcPr>
            <w:tcW w:w="1276" w:type="dxa"/>
            <w:tcBorders>
              <w:top w:val="double" w:sz="4" w:space="0" w:color="auto"/>
              <w:bottom w:val="single" w:sz="4" w:space="0" w:color="auto"/>
              <w:right w:val="single" w:sz="4" w:space="0" w:color="auto"/>
            </w:tcBorders>
          </w:tcPr>
          <w:p w:rsidR="00240B29" w:rsidRPr="00240B29" w:rsidRDefault="00240B29" w:rsidP="00240B29">
            <w:pPr>
              <w:tabs>
                <w:tab w:val="left" w:pos="709"/>
              </w:tabs>
              <w:spacing w:before="60" w:after="60" w:line="240" w:lineRule="auto"/>
              <w:rPr>
                <w:rFonts w:ascii="Arial" w:hAnsi="Arial" w:cs="Arial"/>
                <w:b/>
                <w:sz w:val="16"/>
                <w:szCs w:val="16"/>
              </w:rPr>
            </w:pPr>
            <w:r w:rsidRPr="00240B29">
              <w:rPr>
                <w:rFonts w:ascii="Arial" w:hAnsi="Arial" w:cs="Arial"/>
                <w:b/>
                <w:sz w:val="16"/>
                <w:szCs w:val="16"/>
              </w:rPr>
              <w:t>Year</w:t>
            </w:r>
          </w:p>
        </w:tc>
        <w:tc>
          <w:tcPr>
            <w:tcW w:w="3686" w:type="dxa"/>
            <w:tcBorders>
              <w:top w:val="double" w:sz="4" w:space="0" w:color="auto"/>
              <w:left w:val="single" w:sz="4" w:space="0" w:color="auto"/>
              <w:bottom w:val="single" w:sz="4" w:space="0" w:color="auto"/>
              <w:right w:val="single" w:sz="4" w:space="0" w:color="auto"/>
            </w:tcBorders>
          </w:tcPr>
          <w:p w:rsidR="00240B29" w:rsidRPr="00240B29" w:rsidRDefault="00240B29" w:rsidP="00240B29">
            <w:pPr>
              <w:tabs>
                <w:tab w:val="left" w:pos="709"/>
              </w:tabs>
              <w:spacing w:before="60" w:after="60" w:line="240" w:lineRule="auto"/>
              <w:rPr>
                <w:rFonts w:ascii="Arial" w:hAnsi="Arial" w:cs="Arial"/>
                <w:b/>
                <w:sz w:val="16"/>
                <w:szCs w:val="16"/>
              </w:rPr>
            </w:pPr>
            <w:r w:rsidRPr="00240B29">
              <w:rPr>
                <w:rFonts w:ascii="Arial" w:hAnsi="Arial" w:cs="Arial"/>
                <w:b/>
                <w:sz w:val="16"/>
                <w:szCs w:val="16"/>
              </w:rPr>
              <w:t>Performance criteria</w:t>
            </w:r>
            <w:r w:rsidRPr="00240B29">
              <w:rPr>
                <w:rFonts w:ascii="Arial" w:hAnsi="Arial" w:cs="Arial"/>
                <w:sz w:val="16"/>
                <w:szCs w:val="16"/>
              </w:rPr>
              <w:t xml:space="preserve"> </w:t>
            </w:r>
          </w:p>
        </w:tc>
        <w:tc>
          <w:tcPr>
            <w:tcW w:w="2779" w:type="dxa"/>
            <w:tcBorders>
              <w:top w:val="double" w:sz="4" w:space="0" w:color="auto"/>
              <w:left w:val="single" w:sz="4" w:space="0" w:color="auto"/>
              <w:bottom w:val="single" w:sz="4" w:space="0" w:color="auto"/>
            </w:tcBorders>
          </w:tcPr>
          <w:p w:rsidR="00240B29" w:rsidRPr="00240B29" w:rsidRDefault="00240B29" w:rsidP="00240B29">
            <w:pPr>
              <w:tabs>
                <w:tab w:val="left" w:pos="709"/>
              </w:tabs>
              <w:spacing w:before="60" w:after="60" w:line="240" w:lineRule="auto"/>
              <w:rPr>
                <w:rFonts w:ascii="Arial" w:hAnsi="Arial" w:cs="Arial"/>
                <w:b/>
                <w:sz w:val="16"/>
                <w:szCs w:val="16"/>
              </w:rPr>
            </w:pPr>
            <w:r w:rsidRPr="00240B29">
              <w:rPr>
                <w:rFonts w:ascii="Arial" w:hAnsi="Arial" w:cs="Arial"/>
                <w:b/>
                <w:sz w:val="16"/>
                <w:szCs w:val="16"/>
              </w:rPr>
              <w:t>Targets</w:t>
            </w:r>
          </w:p>
        </w:tc>
      </w:tr>
      <w:tr w:rsidR="00B834F1" w:rsidRPr="00240B29" w:rsidTr="00CB388E">
        <w:trPr>
          <w:trHeight w:val="60"/>
        </w:trPr>
        <w:tc>
          <w:tcPr>
            <w:tcW w:w="1276" w:type="dxa"/>
            <w:tcBorders>
              <w:top w:val="single" w:sz="4" w:space="0" w:color="auto"/>
              <w:bottom w:val="nil"/>
              <w:right w:val="single" w:sz="4" w:space="0" w:color="auto"/>
            </w:tcBorders>
          </w:tcPr>
          <w:p w:rsidR="00B834F1" w:rsidRPr="00240B29" w:rsidRDefault="00B834F1" w:rsidP="009067FF">
            <w:pPr>
              <w:tabs>
                <w:tab w:val="left" w:pos="709"/>
              </w:tabs>
              <w:spacing w:before="120" w:after="60" w:line="240" w:lineRule="auto"/>
              <w:rPr>
                <w:rFonts w:ascii="Arial" w:hAnsi="Arial" w:cs="Arial"/>
                <w:sz w:val="16"/>
                <w:szCs w:val="16"/>
              </w:rPr>
            </w:pPr>
            <w:r w:rsidRPr="00240B29">
              <w:rPr>
                <w:rFonts w:ascii="Arial" w:hAnsi="Arial" w:cs="Arial"/>
                <w:sz w:val="16"/>
                <w:szCs w:val="16"/>
              </w:rPr>
              <w:t>2017–18</w:t>
            </w:r>
          </w:p>
        </w:tc>
        <w:tc>
          <w:tcPr>
            <w:tcW w:w="3686" w:type="dxa"/>
            <w:tcBorders>
              <w:top w:val="single" w:sz="4" w:space="0" w:color="auto"/>
              <w:left w:val="single" w:sz="4" w:space="0" w:color="auto"/>
              <w:bottom w:val="dotted" w:sz="4" w:space="0" w:color="auto"/>
              <w:right w:val="single" w:sz="4" w:space="0" w:color="auto"/>
            </w:tcBorders>
          </w:tcPr>
          <w:p w:rsidR="00B834F1" w:rsidRPr="008847A3" w:rsidRDefault="00B834F1" w:rsidP="009067FF">
            <w:pPr>
              <w:pStyle w:val="TableTextLeft"/>
              <w:spacing w:before="120" w:after="120"/>
              <w:rPr>
                <w:rFonts w:eastAsia="Calibri"/>
              </w:rPr>
            </w:pPr>
            <w:r w:rsidRPr="00B834F1">
              <w:t>Surveyed stakeholders are satisfied or highly satisfied with the quality and timeliness of</w:t>
            </w:r>
            <w:r w:rsidR="00747FC3">
              <w:t xml:space="preserve"> advice and assistance provided</w:t>
            </w:r>
          </w:p>
        </w:tc>
        <w:tc>
          <w:tcPr>
            <w:tcW w:w="2779" w:type="dxa"/>
            <w:tcBorders>
              <w:top w:val="single" w:sz="4" w:space="0" w:color="auto"/>
              <w:left w:val="single" w:sz="4" w:space="0" w:color="auto"/>
              <w:bottom w:val="dotted" w:sz="4" w:space="0" w:color="auto"/>
            </w:tcBorders>
          </w:tcPr>
          <w:p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75%</w:t>
            </w:r>
            <w:r w:rsidR="009067FF">
              <w:rPr>
                <w:rFonts w:eastAsia="Calibri"/>
                <w:szCs w:val="17"/>
                <w:lang w:eastAsia="en-US"/>
              </w:rPr>
              <w:t xml:space="preserve"> </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B834F1" w:rsidRPr="00240B29" w:rsidTr="00CB388E">
        <w:trPr>
          <w:trHeight w:val="60"/>
        </w:trPr>
        <w:tc>
          <w:tcPr>
            <w:tcW w:w="1276" w:type="dxa"/>
            <w:tcBorders>
              <w:top w:val="nil"/>
              <w:bottom w:val="nil"/>
              <w:right w:val="single" w:sz="4" w:space="0" w:color="auto"/>
            </w:tcBorders>
          </w:tcPr>
          <w:p w:rsidR="00B834F1" w:rsidRPr="00240B29" w:rsidRDefault="00B834F1"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rsidR="00B834F1" w:rsidRPr="008847A3" w:rsidRDefault="00B834F1" w:rsidP="009067FF">
            <w:pPr>
              <w:pStyle w:val="TableTextLeft"/>
              <w:spacing w:before="120" w:after="120"/>
              <w:rPr>
                <w:rFonts w:eastAsia="Calibri"/>
              </w:rPr>
            </w:pPr>
            <w:r w:rsidRPr="00B834F1">
              <w:t>Number of formal presenta</w:t>
            </w:r>
            <w:r w:rsidR="00747FC3">
              <w:t>tions delivered to stakeholders</w:t>
            </w:r>
          </w:p>
        </w:tc>
        <w:tc>
          <w:tcPr>
            <w:tcW w:w="2779" w:type="dxa"/>
            <w:tcBorders>
              <w:top w:val="dotted" w:sz="4" w:space="0" w:color="auto"/>
              <w:left w:val="single" w:sz="4" w:space="0" w:color="auto"/>
              <w:bottom w:val="dotted" w:sz="4" w:space="0" w:color="auto"/>
            </w:tcBorders>
          </w:tcPr>
          <w:p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150</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B834F1" w:rsidRPr="00240B29" w:rsidTr="00CB388E">
        <w:trPr>
          <w:trHeight w:val="60"/>
        </w:trPr>
        <w:tc>
          <w:tcPr>
            <w:tcW w:w="1276" w:type="dxa"/>
            <w:tcBorders>
              <w:top w:val="nil"/>
              <w:bottom w:val="nil"/>
              <w:right w:val="single" w:sz="4" w:space="0" w:color="auto"/>
            </w:tcBorders>
          </w:tcPr>
          <w:p w:rsidR="00B834F1" w:rsidRPr="00240B29" w:rsidRDefault="00B834F1"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rsidR="00B834F1" w:rsidRPr="008847A3" w:rsidRDefault="00B834F1" w:rsidP="009067FF">
            <w:pPr>
              <w:pStyle w:val="TableTextLeft"/>
              <w:spacing w:before="120" w:after="120"/>
              <w:rPr>
                <w:rFonts w:eastAsia="Calibri"/>
              </w:rPr>
            </w:pPr>
            <w:r w:rsidRPr="00B834F1">
              <w:t>Surveyed stakeholders indicate that presentations, advice and/or materials provided by ABCC have improved their understanding of workpl</w:t>
            </w:r>
            <w:r w:rsidR="00747FC3">
              <w:t>ace rights and responsibilities</w:t>
            </w:r>
          </w:p>
        </w:tc>
        <w:tc>
          <w:tcPr>
            <w:tcW w:w="2779" w:type="dxa"/>
            <w:tcBorders>
              <w:top w:val="dotted" w:sz="4" w:space="0" w:color="auto"/>
              <w:left w:val="single" w:sz="4" w:space="0" w:color="auto"/>
              <w:bottom w:val="dotted" w:sz="4" w:space="0" w:color="auto"/>
            </w:tcBorders>
          </w:tcPr>
          <w:p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75%</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B834F1" w:rsidRPr="00240B29" w:rsidTr="00CB388E">
        <w:trPr>
          <w:trHeight w:val="60"/>
        </w:trPr>
        <w:tc>
          <w:tcPr>
            <w:tcW w:w="1276" w:type="dxa"/>
            <w:tcBorders>
              <w:top w:val="nil"/>
              <w:bottom w:val="nil"/>
              <w:right w:val="single" w:sz="4" w:space="0" w:color="auto"/>
            </w:tcBorders>
          </w:tcPr>
          <w:p w:rsidR="00B834F1" w:rsidRPr="00240B29" w:rsidRDefault="00B834F1"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rsidR="00B834F1" w:rsidRPr="008847A3" w:rsidRDefault="00B834F1" w:rsidP="009067FF">
            <w:pPr>
              <w:pStyle w:val="TableTextLeft"/>
              <w:spacing w:before="120" w:after="120"/>
              <w:rPr>
                <w:rFonts w:eastAsia="Calibri"/>
              </w:rPr>
            </w:pPr>
            <w:r w:rsidRPr="00B834F1">
              <w:t>Compliance activities to improve compliance with the Building Codes</w:t>
            </w:r>
          </w:p>
        </w:tc>
        <w:tc>
          <w:tcPr>
            <w:tcW w:w="2779" w:type="dxa"/>
            <w:tcBorders>
              <w:top w:val="dotted" w:sz="4" w:space="0" w:color="auto"/>
              <w:left w:val="single" w:sz="4" w:space="0" w:color="auto"/>
              <w:bottom w:val="dotted" w:sz="4" w:space="0" w:color="auto"/>
            </w:tcBorders>
          </w:tcPr>
          <w:p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300</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B834F1" w:rsidRPr="00240B29" w:rsidTr="00CB388E">
        <w:tc>
          <w:tcPr>
            <w:tcW w:w="1276" w:type="dxa"/>
            <w:tcBorders>
              <w:top w:val="nil"/>
              <w:bottom w:val="single" w:sz="4" w:space="0" w:color="auto"/>
              <w:right w:val="single" w:sz="4" w:space="0" w:color="auto"/>
            </w:tcBorders>
          </w:tcPr>
          <w:p w:rsidR="00B834F1" w:rsidRPr="00240B29" w:rsidRDefault="00B834F1"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single" w:sz="4" w:space="0" w:color="auto"/>
              <w:right w:val="single" w:sz="4" w:space="0" w:color="auto"/>
            </w:tcBorders>
          </w:tcPr>
          <w:p w:rsidR="00B834F1" w:rsidRPr="008847A3" w:rsidRDefault="00B834F1" w:rsidP="009067FF">
            <w:pPr>
              <w:pStyle w:val="TableTextLeft"/>
              <w:spacing w:before="120" w:after="120"/>
              <w:rPr>
                <w:rFonts w:eastAsia="Calibri"/>
              </w:rPr>
            </w:pPr>
            <w:r w:rsidRPr="00B834F1">
              <w:t>Legal proceedings in court within 12 months of complaint being initiated</w:t>
            </w:r>
          </w:p>
        </w:tc>
        <w:tc>
          <w:tcPr>
            <w:tcW w:w="2779" w:type="dxa"/>
            <w:tcBorders>
              <w:top w:val="dotted" w:sz="4" w:space="0" w:color="auto"/>
              <w:left w:val="single" w:sz="4" w:space="0" w:color="auto"/>
              <w:bottom w:val="single" w:sz="4" w:space="0" w:color="auto"/>
            </w:tcBorders>
          </w:tcPr>
          <w:p w:rsidR="00B834F1" w:rsidRDefault="00B834F1" w:rsidP="009067FF">
            <w:pPr>
              <w:pStyle w:val="TableTextLeft"/>
              <w:spacing w:before="120" w:after="120" w:line="276" w:lineRule="auto"/>
              <w:rPr>
                <w:rFonts w:eastAsia="Calibri"/>
                <w:szCs w:val="17"/>
                <w:lang w:eastAsia="en-US"/>
              </w:rPr>
            </w:pPr>
            <w:r>
              <w:rPr>
                <w:rFonts w:eastAsia="Calibri"/>
                <w:szCs w:val="17"/>
                <w:lang w:eastAsia="en-US"/>
              </w:rPr>
              <w:t>75%</w:t>
            </w:r>
            <w:r w:rsidR="009067FF">
              <w:rPr>
                <w:rFonts w:eastAsia="Calibri"/>
                <w:szCs w:val="17"/>
                <w:lang w:eastAsia="en-US"/>
              </w:rPr>
              <w:t xml:space="preserve"> </w:t>
            </w:r>
            <w:r w:rsidR="009067FF">
              <w:rPr>
                <w:rFonts w:eastAsia="Calibri"/>
                <w:szCs w:val="17"/>
                <w:lang w:eastAsia="en-US"/>
              </w:rPr>
              <w:br/>
            </w:r>
            <w:r>
              <w:rPr>
                <w:rFonts w:eastAsia="Calibri"/>
                <w:b/>
                <w:szCs w:val="17"/>
                <w:lang w:eastAsia="en-US"/>
              </w:rPr>
              <w:t xml:space="preserve">Assessment: </w:t>
            </w:r>
            <w:r>
              <w:rPr>
                <w:rFonts w:eastAsia="Calibri"/>
                <w:szCs w:val="17"/>
                <w:lang w:eastAsia="en-US"/>
              </w:rPr>
              <w:t>On track</w:t>
            </w:r>
          </w:p>
        </w:tc>
      </w:tr>
      <w:tr w:rsidR="00240B29" w:rsidRPr="00240B29" w:rsidTr="00C01AF6">
        <w:tc>
          <w:tcPr>
            <w:tcW w:w="1276" w:type="dxa"/>
            <w:tcBorders>
              <w:top w:val="single" w:sz="4" w:space="0" w:color="auto"/>
              <w:bottom w:val="nil"/>
              <w:right w:val="single" w:sz="4" w:space="0" w:color="auto"/>
            </w:tcBorders>
          </w:tcPr>
          <w:p w:rsidR="00240B29" w:rsidRPr="00240B29" w:rsidRDefault="00240B29" w:rsidP="00240B29">
            <w:pPr>
              <w:tabs>
                <w:tab w:val="left" w:pos="709"/>
              </w:tabs>
              <w:spacing w:before="60" w:after="60" w:line="240" w:lineRule="auto"/>
              <w:rPr>
                <w:rFonts w:ascii="Arial" w:hAnsi="Arial" w:cs="Arial"/>
                <w:sz w:val="16"/>
                <w:szCs w:val="16"/>
              </w:rPr>
            </w:pPr>
            <w:r w:rsidRPr="00240B29">
              <w:rPr>
                <w:rFonts w:ascii="Arial" w:hAnsi="Arial" w:cs="Arial"/>
                <w:sz w:val="16"/>
                <w:szCs w:val="16"/>
              </w:rPr>
              <w:lastRenderedPageBreak/>
              <w:t>2018–19</w:t>
            </w:r>
          </w:p>
        </w:tc>
        <w:tc>
          <w:tcPr>
            <w:tcW w:w="3686" w:type="dxa"/>
            <w:tcBorders>
              <w:top w:val="single" w:sz="4" w:space="0" w:color="auto"/>
              <w:left w:val="single" w:sz="4" w:space="0" w:color="auto"/>
              <w:bottom w:val="dotted" w:sz="4" w:space="0" w:color="auto"/>
              <w:right w:val="single" w:sz="4" w:space="0" w:color="auto"/>
            </w:tcBorders>
          </w:tcPr>
          <w:p w:rsidR="00240B29" w:rsidRPr="00240B29" w:rsidRDefault="00240B29" w:rsidP="00B834F1">
            <w:pPr>
              <w:pStyle w:val="TableTextLeft"/>
              <w:rPr>
                <w:rFonts w:eastAsia="Calibri"/>
                <w:lang w:eastAsia="en-US"/>
              </w:rPr>
            </w:pPr>
            <w:r w:rsidRPr="00240B29">
              <w:rPr>
                <w:lang w:eastAsia="en-US"/>
              </w:rPr>
              <w:t>Surveyed stakeholders are satisfied or highly satisfied with the quality and timeliness of</w:t>
            </w:r>
            <w:r w:rsidR="00747FC3">
              <w:rPr>
                <w:lang w:eastAsia="en-US"/>
              </w:rPr>
              <w:t xml:space="preserve"> advice and assistance provided</w:t>
            </w:r>
          </w:p>
        </w:tc>
        <w:tc>
          <w:tcPr>
            <w:tcW w:w="2779" w:type="dxa"/>
            <w:tcBorders>
              <w:top w:val="single" w:sz="4" w:space="0" w:color="auto"/>
              <w:left w:val="single" w:sz="4" w:space="0" w:color="auto"/>
              <w:bottom w:val="dotted" w:sz="4" w:space="0" w:color="auto"/>
            </w:tcBorders>
          </w:tcPr>
          <w:p w:rsidR="00240B29" w:rsidRPr="00240B29" w:rsidRDefault="00240B29" w:rsidP="00B834F1">
            <w:pPr>
              <w:pStyle w:val="TableTextLeft"/>
              <w:rPr>
                <w:rFonts w:eastAsia="Calibri"/>
                <w:lang w:eastAsia="en-US"/>
              </w:rPr>
            </w:pPr>
            <w:r w:rsidRPr="00240B29">
              <w:rPr>
                <w:rFonts w:eastAsia="Calibri"/>
                <w:lang w:eastAsia="en-US"/>
              </w:rPr>
              <w:t>80%</w:t>
            </w:r>
          </w:p>
        </w:tc>
      </w:tr>
      <w:tr w:rsidR="00240B29" w:rsidRPr="00240B29" w:rsidTr="00C01AF6">
        <w:tc>
          <w:tcPr>
            <w:tcW w:w="1276" w:type="dxa"/>
            <w:tcBorders>
              <w:top w:val="nil"/>
              <w:bottom w:val="nil"/>
              <w:right w:val="single" w:sz="4" w:space="0" w:color="auto"/>
            </w:tcBorders>
          </w:tcPr>
          <w:p w:rsidR="00240B29" w:rsidRPr="00240B29" w:rsidRDefault="00240B29"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rsidR="00240B29" w:rsidRPr="00240B29" w:rsidRDefault="00240B29" w:rsidP="00B834F1">
            <w:pPr>
              <w:pStyle w:val="TableTextLeft"/>
              <w:rPr>
                <w:lang w:eastAsia="en-US"/>
              </w:rPr>
            </w:pPr>
            <w:r w:rsidRPr="00240B29">
              <w:rPr>
                <w:lang w:eastAsia="en-US"/>
              </w:rPr>
              <w:t>Number of formal presenta</w:t>
            </w:r>
            <w:r w:rsidR="00747FC3">
              <w:rPr>
                <w:lang w:eastAsia="en-US"/>
              </w:rPr>
              <w:t>tions delivered to stakeholders</w:t>
            </w:r>
          </w:p>
        </w:tc>
        <w:tc>
          <w:tcPr>
            <w:tcW w:w="2779" w:type="dxa"/>
            <w:tcBorders>
              <w:top w:val="dotted" w:sz="4" w:space="0" w:color="auto"/>
              <w:left w:val="single" w:sz="4" w:space="0" w:color="auto"/>
              <w:bottom w:val="dotted" w:sz="4" w:space="0" w:color="auto"/>
            </w:tcBorders>
          </w:tcPr>
          <w:p w:rsidR="00240B29" w:rsidRPr="00240B29" w:rsidRDefault="00240B29" w:rsidP="00B834F1">
            <w:pPr>
              <w:pStyle w:val="TableTextLeft"/>
              <w:rPr>
                <w:rFonts w:eastAsia="Calibri"/>
                <w:lang w:eastAsia="en-US"/>
              </w:rPr>
            </w:pPr>
            <w:r w:rsidRPr="00240B29">
              <w:rPr>
                <w:rFonts w:eastAsia="Calibri"/>
                <w:lang w:eastAsia="en-US"/>
              </w:rPr>
              <w:t>150</w:t>
            </w:r>
          </w:p>
        </w:tc>
      </w:tr>
      <w:tr w:rsidR="00240B29" w:rsidRPr="00240B29" w:rsidTr="00C01AF6">
        <w:tc>
          <w:tcPr>
            <w:tcW w:w="1276" w:type="dxa"/>
            <w:tcBorders>
              <w:top w:val="nil"/>
              <w:bottom w:val="nil"/>
              <w:right w:val="single" w:sz="4" w:space="0" w:color="auto"/>
            </w:tcBorders>
          </w:tcPr>
          <w:p w:rsidR="00240B29" w:rsidRPr="00240B29" w:rsidRDefault="00240B29"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rsidR="00240B29" w:rsidRPr="00240B29" w:rsidRDefault="00240B29" w:rsidP="00B834F1">
            <w:pPr>
              <w:pStyle w:val="TableTextLeft"/>
              <w:rPr>
                <w:rFonts w:eastAsia="Calibri"/>
                <w:lang w:eastAsia="en-US"/>
              </w:rPr>
            </w:pPr>
            <w:r w:rsidRPr="00240B29">
              <w:rPr>
                <w:lang w:eastAsia="en-US"/>
              </w:rPr>
              <w:t>Surveyed stakeholders indicate that tools and resources provided by ABCC have improved their understanding of workpl</w:t>
            </w:r>
            <w:r w:rsidR="00747FC3">
              <w:rPr>
                <w:lang w:eastAsia="en-US"/>
              </w:rPr>
              <w:t>ace rights and responsibilities</w:t>
            </w:r>
          </w:p>
        </w:tc>
        <w:tc>
          <w:tcPr>
            <w:tcW w:w="2779" w:type="dxa"/>
            <w:tcBorders>
              <w:top w:val="dotted" w:sz="4" w:space="0" w:color="auto"/>
              <w:left w:val="single" w:sz="4" w:space="0" w:color="auto"/>
              <w:bottom w:val="dotted" w:sz="4" w:space="0" w:color="auto"/>
            </w:tcBorders>
          </w:tcPr>
          <w:p w:rsidR="00240B29" w:rsidRPr="00240B29" w:rsidRDefault="00240B29" w:rsidP="00B834F1">
            <w:pPr>
              <w:pStyle w:val="TableTextLeft"/>
              <w:rPr>
                <w:rFonts w:eastAsia="Calibri"/>
                <w:lang w:eastAsia="en-US"/>
              </w:rPr>
            </w:pPr>
            <w:r w:rsidRPr="00240B29">
              <w:rPr>
                <w:rFonts w:eastAsia="Calibri"/>
                <w:lang w:eastAsia="en-US"/>
              </w:rPr>
              <w:t xml:space="preserve">75% </w:t>
            </w:r>
          </w:p>
        </w:tc>
      </w:tr>
      <w:tr w:rsidR="00240B29" w:rsidRPr="00240B29" w:rsidTr="00C01AF6">
        <w:tc>
          <w:tcPr>
            <w:tcW w:w="1276" w:type="dxa"/>
            <w:tcBorders>
              <w:top w:val="nil"/>
              <w:bottom w:val="nil"/>
              <w:right w:val="single" w:sz="4" w:space="0" w:color="auto"/>
            </w:tcBorders>
          </w:tcPr>
          <w:p w:rsidR="00240B29" w:rsidRPr="00240B29" w:rsidRDefault="00240B29"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dotted" w:sz="4" w:space="0" w:color="auto"/>
              <w:right w:val="single" w:sz="4" w:space="0" w:color="auto"/>
            </w:tcBorders>
          </w:tcPr>
          <w:p w:rsidR="00240B29" w:rsidRPr="00240B29" w:rsidRDefault="00240B29" w:rsidP="00B834F1">
            <w:pPr>
              <w:pStyle w:val="TableTextLeft"/>
              <w:rPr>
                <w:rFonts w:eastAsia="Calibri"/>
                <w:lang w:eastAsia="en-US"/>
              </w:rPr>
            </w:pPr>
            <w:r w:rsidRPr="00240B29">
              <w:rPr>
                <w:rFonts w:eastAsia="Calibri"/>
                <w:lang w:eastAsia="en-US"/>
              </w:rPr>
              <w:t xml:space="preserve">Activities to improve compliance with designated building </w:t>
            </w:r>
            <w:r w:rsidR="00747FC3">
              <w:rPr>
                <w:rFonts w:eastAsia="Calibri"/>
                <w:lang w:eastAsia="en-US"/>
              </w:rPr>
              <w:t>laws and the Building Codes</w:t>
            </w:r>
          </w:p>
        </w:tc>
        <w:tc>
          <w:tcPr>
            <w:tcW w:w="2779" w:type="dxa"/>
            <w:tcBorders>
              <w:top w:val="dotted" w:sz="4" w:space="0" w:color="auto"/>
              <w:left w:val="single" w:sz="4" w:space="0" w:color="auto"/>
              <w:bottom w:val="dotted" w:sz="4" w:space="0" w:color="auto"/>
            </w:tcBorders>
          </w:tcPr>
          <w:p w:rsidR="00240B29" w:rsidRPr="00240B29" w:rsidRDefault="00240B29" w:rsidP="00B834F1">
            <w:pPr>
              <w:pStyle w:val="TableTextLeft"/>
              <w:rPr>
                <w:rFonts w:eastAsia="Calibri"/>
                <w:lang w:eastAsia="en-US"/>
              </w:rPr>
            </w:pPr>
            <w:r w:rsidRPr="00240B29">
              <w:rPr>
                <w:rFonts w:eastAsia="Calibri"/>
                <w:lang w:eastAsia="en-US"/>
              </w:rPr>
              <w:t>450</w:t>
            </w:r>
          </w:p>
        </w:tc>
      </w:tr>
      <w:tr w:rsidR="00240B29" w:rsidRPr="00240B29" w:rsidTr="00C01AF6">
        <w:tc>
          <w:tcPr>
            <w:tcW w:w="1276" w:type="dxa"/>
            <w:tcBorders>
              <w:top w:val="nil"/>
              <w:bottom w:val="single" w:sz="4" w:space="0" w:color="auto"/>
              <w:right w:val="single" w:sz="4" w:space="0" w:color="auto"/>
            </w:tcBorders>
          </w:tcPr>
          <w:p w:rsidR="00240B29" w:rsidRPr="00240B29" w:rsidRDefault="00240B29" w:rsidP="00240B29">
            <w:pPr>
              <w:tabs>
                <w:tab w:val="left" w:pos="709"/>
              </w:tabs>
              <w:spacing w:before="60" w:after="60" w:line="240" w:lineRule="auto"/>
              <w:rPr>
                <w:rFonts w:ascii="Arial" w:hAnsi="Arial" w:cs="Arial"/>
                <w:sz w:val="16"/>
                <w:szCs w:val="16"/>
              </w:rPr>
            </w:pPr>
          </w:p>
        </w:tc>
        <w:tc>
          <w:tcPr>
            <w:tcW w:w="3686" w:type="dxa"/>
            <w:tcBorders>
              <w:top w:val="dotted" w:sz="4" w:space="0" w:color="auto"/>
              <w:left w:val="single" w:sz="4" w:space="0" w:color="auto"/>
              <w:bottom w:val="single" w:sz="4" w:space="0" w:color="auto"/>
              <w:right w:val="single" w:sz="4" w:space="0" w:color="auto"/>
            </w:tcBorders>
          </w:tcPr>
          <w:p w:rsidR="00240B29" w:rsidRPr="00240B29" w:rsidRDefault="00240B29" w:rsidP="00B834F1">
            <w:pPr>
              <w:pStyle w:val="TableTextLeft"/>
              <w:rPr>
                <w:rFonts w:eastAsia="Calibri"/>
                <w:lang w:eastAsia="en-US"/>
              </w:rPr>
            </w:pPr>
            <w:r w:rsidRPr="00240B29">
              <w:rPr>
                <w:lang w:eastAsia="en-US"/>
              </w:rPr>
              <w:t>Average time taken to co</w:t>
            </w:r>
            <w:r w:rsidR="00747FC3">
              <w:rPr>
                <w:lang w:eastAsia="en-US"/>
              </w:rPr>
              <w:t>mmence civil penalty proceeding</w:t>
            </w:r>
          </w:p>
        </w:tc>
        <w:tc>
          <w:tcPr>
            <w:tcW w:w="2779" w:type="dxa"/>
            <w:tcBorders>
              <w:top w:val="dotted" w:sz="4" w:space="0" w:color="auto"/>
              <w:left w:val="single" w:sz="4" w:space="0" w:color="auto"/>
              <w:bottom w:val="single" w:sz="4" w:space="0" w:color="auto"/>
            </w:tcBorders>
          </w:tcPr>
          <w:p w:rsidR="00240B29" w:rsidRPr="00240B29" w:rsidRDefault="00240B29" w:rsidP="00B834F1">
            <w:pPr>
              <w:pStyle w:val="TableTextLeft"/>
              <w:rPr>
                <w:rFonts w:eastAsia="Calibri"/>
                <w:lang w:eastAsia="en-US"/>
              </w:rPr>
            </w:pPr>
            <w:r w:rsidRPr="00240B29">
              <w:rPr>
                <w:rFonts w:eastAsia="Calibri"/>
                <w:lang w:eastAsia="en-US"/>
              </w:rPr>
              <w:t>&lt;12 months</w:t>
            </w:r>
          </w:p>
        </w:tc>
      </w:tr>
      <w:tr w:rsidR="00240B29" w:rsidRPr="00240B29" w:rsidTr="00C01AF6">
        <w:tc>
          <w:tcPr>
            <w:tcW w:w="1276" w:type="dxa"/>
            <w:tcBorders>
              <w:top w:val="single" w:sz="4" w:space="0" w:color="auto"/>
              <w:right w:val="single" w:sz="4" w:space="0" w:color="auto"/>
            </w:tcBorders>
          </w:tcPr>
          <w:p w:rsidR="00240B29" w:rsidRPr="00240B29" w:rsidRDefault="00240B29" w:rsidP="00B834F1">
            <w:pPr>
              <w:pStyle w:val="TableTextLeft"/>
            </w:pPr>
            <w:r w:rsidRPr="00240B29">
              <w:t>2019–20 and beyond</w:t>
            </w:r>
          </w:p>
        </w:tc>
        <w:tc>
          <w:tcPr>
            <w:tcW w:w="3686" w:type="dxa"/>
            <w:tcBorders>
              <w:top w:val="single" w:sz="4" w:space="0" w:color="auto"/>
              <w:left w:val="single" w:sz="4" w:space="0" w:color="auto"/>
              <w:right w:val="single" w:sz="4" w:space="0" w:color="auto"/>
            </w:tcBorders>
          </w:tcPr>
          <w:p w:rsidR="00240B29" w:rsidRPr="00240B29" w:rsidRDefault="00240B29" w:rsidP="00B834F1">
            <w:pPr>
              <w:pStyle w:val="TableTextLeft"/>
              <w:rPr>
                <w:lang w:eastAsia="en-US"/>
              </w:rPr>
            </w:pPr>
            <w:r w:rsidRPr="00240B29">
              <w:rPr>
                <w:lang w:eastAsia="en-US"/>
              </w:rPr>
              <w:t>As per 2018–19</w:t>
            </w:r>
          </w:p>
        </w:tc>
        <w:tc>
          <w:tcPr>
            <w:tcW w:w="2779" w:type="dxa"/>
            <w:tcBorders>
              <w:top w:val="single" w:sz="4" w:space="0" w:color="auto"/>
              <w:left w:val="single" w:sz="4" w:space="0" w:color="auto"/>
            </w:tcBorders>
          </w:tcPr>
          <w:p w:rsidR="00240B29" w:rsidRPr="00240B29" w:rsidRDefault="00240B29" w:rsidP="00B834F1">
            <w:pPr>
              <w:pStyle w:val="TableTextLeft"/>
              <w:rPr>
                <w:lang w:eastAsia="en-US"/>
              </w:rPr>
            </w:pPr>
            <w:r w:rsidRPr="00240B29">
              <w:rPr>
                <w:lang w:eastAsia="en-US"/>
              </w:rPr>
              <w:t>As per 2018–19</w:t>
            </w:r>
          </w:p>
        </w:tc>
      </w:tr>
      <w:tr w:rsidR="00240B29" w:rsidRPr="00240B29" w:rsidTr="00C01AF6">
        <w:tc>
          <w:tcPr>
            <w:tcW w:w="7741" w:type="dxa"/>
            <w:gridSpan w:val="3"/>
          </w:tcPr>
          <w:p w:rsidR="00240B29" w:rsidRPr="00B834F1" w:rsidRDefault="00240B29" w:rsidP="00B834F1">
            <w:pPr>
              <w:pStyle w:val="TableTextLeft"/>
              <w:rPr>
                <w:rFonts w:eastAsia="Cambria"/>
                <w:b/>
                <w:lang w:eastAsia="en-US"/>
              </w:rPr>
            </w:pPr>
            <w:r w:rsidRPr="00B834F1">
              <w:rPr>
                <w:rFonts w:eastAsia="Cambria"/>
                <w:b/>
                <w:lang w:eastAsia="en-US"/>
              </w:rPr>
              <w:t>Material changes to Program 1.1 resulting from the following measures:</w:t>
            </w:r>
          </w:p>
          <w:p w:rsidR="00240B29" w:rsidRPr="00B834F1" w:rsidRDefault="00240B29" w:rsidP="00B834F1">
            <w:pPr>
              <w:pStyle w:val="TableTextLeft"/>
              <w:rPr>
                <w:rFonts w:eastAsia="Cambria"/>
              </w:rPr>
            </w:pPr>
            <w:r w:rsidRPr="00B834F1">
              <w:rPr>
                <w:rFonts w:eastAsia="Cambria"/>
              </w:rPr>
              <w:t>Nil</w:t>
            </w:r>
          </w:p>
        </w:tc>
      </w:tr>
    </w:tbl>
    <w:p w:rsidR="00240B29" w:rsidRPr="00240B29" w:rsidRDefault="00240B29" w:rsidP="009067FF">
      <w:pPr>
        <w:pStyle w:val="Heading2"/>
      </w:pPr>
      <w:r w:rsidRPr="00240B29">
        <w:rPr>
          <w:i/>
          <w:color w:val="FF0000"/>
        </w:rPr>
        <w:br w:type="page"/>
      </w:r>
      <w:bookmarkStart w:id="258" w:name="_Toc511656269"/>
      <w:bookmarkStart w:id="259" w:name="_Toc511722642"/>
      <w:bookmarkStart w:id="260" w:name="_Toc511736973"/>
      <w:bookmarkStart w:id="261" w:name="_Toc511747235"/>
      <w:bookmarkStart w:id="262" w:name="_Toc511765638"/>
      <w:bookmarkStart w:id="263" w:name="_Toc511828694"/>
      <w:bookmarkStart w:id="264" w:name="_Toc511836833"/>
      <w:bookmarkStart w:id="265" w:name="_Toc511902539"/>
      <w:r w:rsidRPr="00240B29">
        <w:lastRenderedPageBreak/>
        <w:t>Section 3: Budgeted financial statements</w:t>
      </w:r>
      <w:bookmarkEnd w:id="258"/>
      <w:bookmarkEnd w:id="259"/>
      <w:bookmarkEnd w:id="260"/>
      <w:bookmarkEnd w:id="261"/>
      <w:bookmarkEnd w:id="262"/>
      <w:bookmarkEnd w:id="263"/>
      <w:bookmarkEnd w:id="264"/>
      <w:bookmarkEnd w:id="265"/>
    </w:p>
    <w:p w:rsidR="00240B29" w:rsidRPr="00240B29" w:rsidRDefault="00240B29" w:rsidP="00240B29">
      <w:r w:rsidRPr="00240B29">
        <w:t>Section 3 presents budgeted financial statements which provide a comprehensive snapshot of entity finances for the 2018–19</w:t>
      </w:r>
      <w:r w:rsidRPr="00240B29">
        <w:rPr>
          <w:color w:val="00B050"/>
        </w:rPr>
        <w:t xml:space="preserve"> </w:t>
      </w:r>
      <w:r w:rsidRPr="00240B29">
        <w:t>budget year, including the impact of budget measures and resourcing on financial statements.</w:t>
      </w:r>
    </w:p>
    <w:p w:rsidR="00240B29" w:rsidRPr="00240B29" w:rsidRDefault="00240B29" w:rsidP="009067FF">
      <w:pPr>
        <w:pStyle w:val="Heading3"/>
      </w:pPr>
      <w:bookmarkStart w:id="266" w:name="_Toc511656270"/>
      <w:bookmarkStart w:id="267" w:name="_Toc511722643"/>
      <w:bookmarkStart w:id="268" w:name="_Toc511736974"/>
      <w:bookmarkStart w:id="269" w:name="_Toc511747236"/>
      <w:bookmarkStart w:id="270" w:name="_Toc511765639"/>
      <w:bookmarkStart w:id="271" w:name="_Toc511828695"/>
      <w:bookmarkStart w:id="272" w:name="_Toc511836834"/>
      <w:bookmarkStart w:id="273" w:name="_Toc511902540"/>
      <w:r w:rsidRPr="00240B29">
        <w:t>3.1</w:t>
      </w:r>
      <w:r w:rsidRPr="00240B29">
        <w:tab/>
        <w:t>Budgeted financial statements</w:t>
      </w:r>
      <w:bookmarkEnd w:id="266"/>
      <w:bookmarkEnd w:id="267"/>
      <w:bookmarkEnd w:id="268"/>
      <w:bookmarkEnd w:id="269"/>
      <w:bookmarkEnd w:id="270"/>
      <w:bookmarkEnd w:id="271"/>
      <w:bookmarkEnd w:id="272"/>
      <w:bookmarkEnd w:id="273"/>
    </w:p>
    <w:p w:rsidR="00240B29" w:rsidRPr="00240B29" w:rsidRDefault="00240B29" w:rsidP="009067FF">
      <w:pPr>
        <w:pStyle w:val="Heading4"/>
      </w:pPr>
      <w:r w:rsidRPr="00240B29">
        <w:t>3.1.1</w:t>
      </w:r>
      <w:r w:rsidRPr="00240B29">
        <w:tab/>
        <w:t>Differences between entity resourcing and financial statements</w:t>
      </w:r>
    </w:p>
    <w:p w:rsidR="00240B29" w:rsidRPr="00240B29" w:rsidRDefault="00240B29" w:rsidP="00240B29">
      <w:r w:rsidRPr="00240B29">
        <w:t>The Agency Resource Statement (Table 1.1) details the total appropriation available to an agency from all sources. For departmental operating appropriations (outputs) this includes carry-forward amounts as well as amounts appropriated at Budget. The difference between the agency resource statement and the sum of all payments made at the departmental outputs level is the expected carry-forward amount of resources for the 2018–19 Budget year, including amounts related to meeting future employee entitlement obligations.</w:t>
      </w:r>
    </w:p>
    <w:p w:rsidR="00240B29" w:rsidRPr="00240B29" w:rsidRDefault="00240B29" w:rsidP="009067FF">
      <w:pPr>
        <w:pStyle w:val="Heading4"/>
      </w:pPr>
      <w:r w:rsidRPr="00240B29">
        <w:t>3.1.2</w:t>
      </w:r>
      <w:r w:rsidRPr="00240B29">
        <w:tab/>
        <w:t>Explanatory notes and analysis of budgeted financial statements</w:t>
      </w:r>
    </w:p>
    <w:p w:rsidR="00240B29" w:rsidRPr="00240B29" w:rsidRDefault="00240B29" w:rsidP="00240B29">
      <w:r w:rsidRPr="00240B29">
        <w:t xml:space="preserve">The Australian Building and Construction Commission is budgeting for an operating loss equal to the unappropriated depreciation </w:t>
      </w:r>
      <w:r w:rsidR="00686A76">
        <w:t>and amortisation expense of $1.3</w:t>
      </w:r>
      <w:r w:rsidRPr="00240B29">
        <w:t xml:space="preserve"> million for the 2018–19 financial year. </w:t>
      </w:r>
    </w:p>
    <w:p w:rsidR="00240B29" w:rsidRPr="00240B29" w:rsidRDefault="00240B29" w:rsidP="00240B29">
      <w:r w:rsidRPr="00240B29">
        <w:t>Total revenues are estimated to be $32.</w:t>
      </w:r>
      <w:r w:rsidR="00686A76">
        <w:t>7</w:t>
      </w:r>
      <w:r w:rsidRPr="00240B29">
        <w:t> </w:t>
      </w:r>
      <w:r w:rsidR="00686A76">
        <w:t>million and total expenses $34.0</w:t>
      </w:r>
      <w:r w:rsidRPr="00240B29">
        <w:t xml:space="preserve"> million. </w:t>
      </w:r>
    </w:p>
    <w:p w:rsidR="00240B29" w:rsidRPr="00240B29" w:rsidRDefault="00240B29" w:rsidP="00240B29">
      <w:r w:rsidRPr="00240B29">
        <w:t xml:space="preserve">Total assets at the end of the 2018–19 financial year are estimated to be $47.5 million. The majority of the assets represent receivables (appropriations receivable) and property fit outs. Asset acquisitions are planned in Information Technology equipment and systems. </w:t>
      </w:r>
    </w:p>
    <w:p w:rsidR="00240B29" w:rsidRPr="00240B29" w:rsidRDefault="00240B29" w:rsidP="00240B29">
      <w:r w:rsidRPr="00240B29">
        <w:t>Total liabilities for 2018–19 are estimated at $6.8 million. The largest liability item is accrued employee entitlements.</w:t>
      </w:r>
    </w:p>
    <w:p w:rsidR="00240B29" w:rsidRPr="00240B29" w:rsidRDefault="00240B29" w:rsidP="009067FF">
      <w:pPr>
        <w:pStyle w:val="Heading3"/>
      </w:pPr>
      <w:r w:rsidRPr="00240B29">
        <w:br w:type="page"/>
      </w:r>
      <w:bookmarkStart w:id="274" w:name="_Toc511656271"/>
      <w:bookmarkStart w:id="275" w:name="_Toc511722644"/>
      <w:bookmarkStart w:id="276" w:name="_Toc511736975"/>
      <w:bookmarkStart w:id="277" w:name="_Toc511747237"/>
      <w:bookmarkStart w:id="278" w:name="_Toc511765640"/>
      <w:bookmarkStart w:id="279" w:name="_Toc511828696"/>
      <w:bookmarkStart w:id="280" w:name="_Toc511836835"/>
      <w:bookmarkStart w:id="281" w:name="_Toc511902541"/>
      <w:r w:rsidRPr="00240B29">
        <w:lastRenderedPageBreak/>
        <w:t>3.2.</w:t>
      </w:r>
      <w:r w:rsidRPr="00240B29">
        <w:tab/>
        <w:t>Budgeted financial statements tables</w:t>
      </w:r>
      <w:bookmarkEnd w:id="274"/>
      <w:bookmarkEnd w:id="275"/>
      <w:bookmarkEnd w:id="276"/>
      <w:bookmarkEnd w:id="277"/>
      <w:bookmarkEnd w:id="278"/>
      <w:bookmarkEnd w:id="279"/>
      <w:bookmarkEnd w:id="280"/>
      <w:bookmarkEnd w:id="281"/>
    </w:p>
    <w:p w:rsidR="00240B29" w:rsidRPr="00240B29" w:rsidRDefault="00240B29" w:rsidP="009067FF">
      <w:pPr>
        <w:pStyle w:val="TableHeading"/>
        <w:rPr>
          <w:snapToGrid w:val="0"/>
        </w:rPr>
      </w:pPr>
      <w:r w:rsidRPr="00240B29">
        <w:t xml:space="preserve">Table 3.1: Comprehensive income statement (showing net cost of services) </w:t>
      </w:r>
      <w:r w:rsidRPr="00240B29">
        <w:rPr>
          <w:snapToGrid w:val="0"/>
        </w:rPr>
        <w:t>for the period ended 30 June</w:t>
      </w:r>
    </w:p>
    <w:tbl>
      <w:tblPr>
        <w:tblW w:w="7761" w:type="dxa"/>
        <w:tblInd w:w="93" w:type="dxa"/>
        <w:tblCellMar>
          <w:left w:w="28" w:type="dxa"/>
          <w:right w:w="28" w:type="dxa"/>
        </w:tblCellMar>
        <w:tblLook w:val="04A0" w:firstRow="1" w:lastRow="0" w:firstColumn="1" w:lastColumn="0" w:noHBand="0" w:noVBand="1"/>
      </w:tblPr>
      <w:tblGrid>
        <w:gridCol w:w="3317"/>
        <w:gridCol w:w="928"/>
        <w:gridCol w:w="663"/>
        <w:gridCol w:w="216"/>
        <w:gridCol w:w="605"/>
        <w:gridCol w:w="274"/>
        <w:gridCol w:w="547"/>
        <w:gridCol w:w="332"/>
        <w:gridCol w:w="489"/>
        <w:gridCol w:w="390"/>
      </w:tblGrid>
      <w:tr w:rsidR="00240B29" w:rsidRPr="00240B29" w:rsidTr="00C01AF6">
        <w:trPr>
          <w:trHeight w:val="794"/>
        </w:trPr>
        <w:tc>
          <w:tcPr>
            <w:tcW w:w="3317" w:type="dxa"/>
            <w:tcBorders>
              <w:top w:val="single" w:sz="4" w:space="0" w:color="auto"/>
              <w:left w:val="nil"/>
              <w:bottom w:val="nil"/>
              <w:right w:val="nil"/>
            </w:tcBorders>
            <w:shd w:val="clear" w:color="auto" w:fill="auto"/>
            <w:noWrap/>
            <w:hideMark/>
          </w:tcPr>
          <w:p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2017–18 Estimated actual</w:t>
            </w:r>
            <w:r w:rsidRPr="00240B2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000000" w:fill="E6E6E6"/>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2018–19</w:t>
            </w:r>
            <w:r w:rsidRPr="00240B29">
              <w:rPr>
                <w:rFonts w:ascii="Arial" w:hAnsi="Arial" w:cs="Arial"/>
                <w:sz w:val="16"/>
                <w:szCs w:val="16"/>
              </w:rPr>
              <w:br/>
              <w:t>Budget</w:t>
            </w:r>
            <w:r w:rsidRPr="00240B29">
              <w:rPr>
                <w:rFonts w:ascii="Arial" w:hAnsi="Arial" w:cs="Arial"/>
                <w:sz w:val="16"/>
                <w:szCs w:val="16"/>
              </w:rPr>
              <w:br/>
            </w:r>
            <w:r w:rsidRPr="00240B2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2019–20 Forward estimate</w:t>
            </w:r>
            <w:r w:rsidRPr="00240B2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2020–21 Forward estimate</w:t>
            </w:r>
            <w:r w:rsidRPr="00240B2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2021–22</w:t>
            </w:r>
            <w:r w:rsidRPr="00240B29">
              <w:rPr>
                <w:rFonts w:ascii="Arial" w:hAnsi="Arial" w:cs="Arial"/>
                <w:sz w:val="16"/>
                <w:szCs w:val="16"/>
              </w:rPr>
              <w:br/>
              <w:t>Forward estimate</w:t>
            </w:r>
            <w:r w:rsidRPr="00240B29">
              <w:rPr>
                <w:rFonts w:ascii="Arial" w:hAnsi="Arial" w:cs="Arial"/>
                <w:sz w:val="16"/>
                <w:szCs w:val="16"/>
              </w:rPr>
              <w:br/>
              <w:t>$'000</w:t>
            </w:r>
          </w:p>
        </w:tc>
      </w:tr>
      <w:tr w:rsidR="00240B29" w:rsidRPr="00240B29" w:rsidTr="00C01AF6">
        <w:trPr>
          <w:trHeight w:val="225"/>
        </w:trPr>
        <w:tc>
          <w:tcPr>
            <w:tcW w:w="3317"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b/>
                <w:bCs/>
                <w:sz w:val="16"/>
                <w:szCs w:val="16"/>
              </w:rPr>
            </w:pPr>
            <w:r w:rsidRPr="00240B29">
              <w:rPr>
                <w:rFonts w:ascii="Arial" w:hAnsi="Arial" w:cs="Arial"/>
                <w:b/>
                <w:bCs/>
                <w:sz w:val="16"/>
                <w:szCs w:val="16"/>
              </w:rPr>
              <w:t>EXPENSES</w:t>
            </w:r>
          </w:p>
        </w:tc>
        <w:tc>
          <w:tcPr>
            <w:tcW w:w="928"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 </w:t>
            </w: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b/>
                <w:bCs/>
                <w:sz w:val="16"/>
                <w:szCs w:val="16"/>
              </w:rPr>
            </w:pP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Employee benefits</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18,637 </w:t>
            </w: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18,936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19,079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19,237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19,750 </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14,180 </w:t>
            </w: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13,749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13,619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14,194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14,462 </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Depreciation and amortisation (a)</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1,337 </w:t>
            </w: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1,299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1,417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1,444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1,444 </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34,154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33,984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34,115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34,875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35,656 </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 xml:space="preserve">LESS: </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OWN-SOURCE INCOME</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Own-source revenue</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Other</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405 </w:t>
            </w: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405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405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405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405 </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nil"/>
              <w:left w:val="nil"/>
              <w:bottom w:val="single" w:sz="4" w:space="0" w:color="auto"/>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405 </w:t>
            </w:r>
          </w:p>
        </w:tc>
      </w:tr>
      <w:tr w:rsidR="003242D6" w:rsidRPr="00240B29" w:rsidTr="003242D6">
        <w:trPr>
          <w:trHeight w:val="227"/>
        </w:trPr>
        <w:tc>
          <w:tcPr>
            <w:tcW w:w="3317" w:type="dxa"/>
            <w:tcBorders>
              <w:top w:val="nil"/>
              <w:left w:val="nil"/>
              <w:bottom w:val="nil"/>
              <w:right w:val="nil"/>
            </w:tcBorders>
            <w:shd w:val="clear" w:color="auto" w:fill="auto"/>
            <w:vAlign w:val="center"/>
            <w:hideMark/>
          </w:tcPr>
          <w:p w:rsidR="003242D6" w:rsidRPr="00240B29" w:rsidRDefault="003242D6"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Net (cost of)/contribution by services</w:t>
            </w:r>
          </w:p>
        </w:tc>
        <w:tc>
          <w:tcPr>
            <w:tcW w:w="928" w:type="dxa"/>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(33,749)</w:t>
            </w:r>
          </w:p>
        </w:tc>
        <w:tc>
          <w:tcPr>
            <w:tcW w:w="879" w:type="dxa"/>
            <w:gridSpan w:val="2"/>
            <w:tcBorders>
              <w:top w:val="nil"/>
              <w:left w:val="nil"/>
              <w:bottom w:val="single" w:sz="4" w:space="0" w:color="auto"/>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(33,579)</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(33,710)</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(34,470)</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(35,251)</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32,412 </w:t>
            </w:r>
          </w:p>
        </w:tc>
        <w:tc>
          <w:tcPr>
            <w:tcW w:w="879" w:type="dxa"/>
            <w:gridSpan w:val="2"/>
            <w:tcBorders>
              <w:top w:val="nil"/>
              <w:left w:val="nil"/>
              <w:bottom w:val="single" w:sz="4" w:space="0" w:color="auto"/>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32,280 </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32,293 </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33,026 </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r w:rsidRPr="003242D6">
              <w:rPr>
                <w:rFonts w:ascii="Arial" w:hAnsi="Arial" w:cs="Arial"/>
                <w:sz w:val="16"/>
                <w:szCs w:val="16"/>
              </w:rPr>
              <w:t xml:space="preserve">33,807 </w:t>
            </w:r>
          </w:p>
        </w:tc>
      </w:tr>
      <w:tr w:rsidR="003242D6" w:rsidRPr="00240B29" w:rsidTr="003242D6">
        <w:trPr>
          <w:trHeight w:val="397"/>
        </w:trPr>
        <w:tc>
          <w:tcPr>
            <w:tcW w:w="3317" w:type="dxa"/>
            <w:tcBorders>
              <w:top w:val="nil"/>
              <w:left w:val="nil"/>
              <w:bottom w:val="nil"/>
              <w:right w:val="nil"/>
            </w:tcBorders>
            <w:shd w:val="clear" w:color="auto" w:fill="auto"/>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Surplus/(deficit) attributable to the</w:t>
            </w:r>
            <w:r w:rsidRPr="00240B29">
              <w:rPr>
                <w:rFonts w:ascii="Arial" w:hAnsi="Arial" w:cs="Arial"/>
                <w:b/>
                <w:bCs/>
                <w:sz w:val="16"/>
                <w:szCs w:val="16"/>
              </w:rPr>
              <w:br/>
              <w:t xml:space="preserve">  Australian Government</w:t>
            </w:r>
          </w:p>
        </w:tc>
        <w:tc>
          <w:tcPr>
            <w:tcW w:w="928" w:type="dxa"/>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(1,337)</w:t>
            </w:r>
          </w:p>
        </w:tc>
        <w:tc>
          <w:tcPr>
            <w:tcW w:w="879" w:type="dxa"/>
            <w:gridSpan w:val="2"/>
            <w:tcBorders>
              <w:top w:val="nil"/>
              <w:left w:val="nil"/>
              <w:bottom w:val="single" w:sz="4" w:space="0" w:color="auto"/>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(1,299)</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(1,417)</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c>
          <w:tcPr>
            <w:tcW w:w="879" w:type="dxa"/>
            <w:gridSpan w:val="2"/>
            <w:tcBorders>
              <w:top w:val="nil"/>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OTHER COMPREHENSIVE INCOME</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sz w:val="16"/>
                <w:szCs w:val="16"/>
              </w:rPr>
            </w:pP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ind w:firstLineChars="100" w:firstLine="160"/>
              <w:rPr>
                <w:rFonts w:ascii="Arial" w:hAnsi="Arial" w:cs="Arial"/>
                <w:sz w:val="16"/>
                <w:szCs w:val="16"/>
              </w:rPr>
            </w:pPr>
            <w:r w:rsidRPr="00240B29">
              <w:rPr>
                <w:rFonts w:ascii="Arial" w:hAnsi="Arial" w:cs="Arial"/>
                <w:sz w:val="16"/>
                <w:szCs w:val="16"/>
              </w:rPr>
              <w:t>Changes in asset revaluation surplus</w:t>
            </w:r>
          </w:p>
        </w:tc>
        <w:tc>
          <w:tcPr>
            <w:tcW w:w="928" w:type="dxa"/>
            <w:tcBorders>
              <w:top w:val="nil"/>
              <w:left w:val="nil"/>
              <w:bottom w:val="single" w:sz="4" w:space="0" w:color="auto"/>
              <w:right w:val="nil"/>
            </w:tcBorders>
            <w:shd w:val="clear" w:color="auto" w:fill="auto"/>
            <w:noWrap/>
            <w:vAlign w:val="center"/>
            <w:hideMark/>
          </w:tcPr>
          <w:p w:rsidR="003242D6" w:rsidRPr="008C42C4" w:rsidRDefault="003242D6" w:rsidP="003242D6">
            <w:pPr>
              <w:spacing w:after="0" w:line="240" w:lineRule="auto"/>
              <w:jc w:val="right"/>
              <w:rPr>
                <w:rFonts w:ascii="Arial" w:hAnsi="Arial" w:cs="Arial"/>
                <w:sz w:val="16"/>
                <w:szCs w:val="16"/>
              </w:rPr>
            </w:pPr>
            <w:r w:rsidRPr="008C42C4">
              <w:rPr>
                <w:rFonts w:ascii="Arial" w:hAnsi="Arial" w:cs="Arial"/>
                <w:sz w:val="16"/>
                <w:szCs w:val="16"/>
              </w:rPr>
              <w:t xml:space="preserve">- </w:t>
            </w:r>
          </w:p>
        </w:tc>
        <w:tc>
          <w:tcPr>
            <w:tcW w:w="879" w:type="dxa"/>
            <w:gridSpan w:val="2"/>
            <w:tcBorders>
              <w:top w:val="nil"/>
              <w:left w:val="nil"/>
              <w:bottom w:val="single" w:sz="4" w:space="0" w:color="auto"/>
              <w:right w:val="nil"/>
            </w:tcBorders>
            <w:shd w:val="clear" w:color="000000" w:fill="E6E6E6"/>
            <w:noWrap/>
            <w:vAlign w:val="center"/>
            <w:hideMark/>
          </w:tcPr>
          <w:p w:rsidR="003242D6" w:rsidRPr="008C42C4" w:rsidRDefault="003242D6" w:rsidP="003242D6">
            <w:pPr>
              <w:spacing w:after="0" w:line="240" w:lineRule="auto"/>
              <w:jc w:val="right"/>
              <w:rPr>
                <w:rFonts w:ascii="Arial" w:hAnsi="Arial" w:cs="Arial"/>
                <w:bCs/>
                <w:sz w:val="16"/>
                <w:szCs w:val="16"/>
              </w:rPr>
            </w:pPr>
            <w:r w:rsidRPr="008C42C4">
              <w:rPr>
                <w:rFonts w:ascii="Arial" w:hAnsi="Arial" w:cs="Arial"/>
                <w:bCs/>
                <w:sz w:val="16"/>
                <w:szCs w:val="16"/>
              </w:rPr>
              <w:t xml:space="preserve">- </w:t>
            </w:r>
          </w:p>
        </w:tc>
        <w:tc>
          <w:tcPr>
            <w:tcW w:w="879" w:type="dxa"/>
            <w:gridSpan w:val="2"/>
            <w:tcBorders>
              <w:top w:val="nil"/>
              <w:left w:val="nil"/>
              <w:bottom w:val="single" w:sz="4" w:space="0" w:color="auto"/>
              <w:right w:val="nil"/>
            </w:tcBorders>
            <w:shd w:val="clear" w:color="auto" w:fill="auto"/>
            <w:noWrap/>
            <w:vAlign w:val="center"/>
            <w:hideMark/>
          </w:tcPr>
          <w:p w:rsidR="003242D6" w:rsidRPr="008C42C4" w:rsidRDefault="003242D6" w:rsidP="003242D6">
            <w:pPr>
              <w:spacing w:after="0" w:line="240" w:lineRule="auto"/>
              <w:jc w:val="right"/>
              <w:rPr>
                <w:rFonts w:ascii="Arial" w:hAnsi="Arial" w:cs="Arial"/>
                <w:bCs/>
                <w:sz w:val="16"/>
                <w:szCs w:val="16"/>
              </w:rPr>
            </w:pPr>
            <w:r w:rsidRPr="008C42C4">
              <w:rPr>
                <w:rFonts w:ascii="Arial" w:hAnsi="Arial" w:cs="Arial"/>
                <w:bCs/>
                <w:sz w:val="16"/>
                <w:szCs w:val="16"/>
              </w:rPr>
              <w:t xml:space="preserve">- </w:t>
            </w:r>
          </w:p>
        </w:tc>
        <w:tc>
          <w:tcPr>
            <w:tcW w:w="879" w:type="dxa"/>
            <w:gridSpan w:val="2"/>
            <w:tcBorders>
              <w:top w:val="nil"/>
              <w:left w:val="nil"/>
              <w:bottom w:val="single" w:sz="4" w:space="0" w:color="auto"/>
              <w:right w:val="nil"/>
            </w:tcBorders>
            <w:shd w:val="clear" w:color="auto" w:fill="auto"/>
            <w:noWrap/>
            <w:vAlign w:val="center"/>
            <w:hideMark/>
          </w:tcPr>
          <w:p w:rsidR="003242D6" w:rsidRPr="008C42C4" w:rsidRDefault="003242D6" w:rsidP="003242D6">
            <w:pPr>
              <w:spacing w:after="0" w:line="240" w:lineRule="auto"/>
              <w:jc w:val="right"/>
              <w:rPr>
                <w:rFonts w:ascii="Arial" w:hAnsi="Arial" w:cs="Arial"/>
                <w:bCs/>
                <w:sz w:val="16"/>
                <w:szCs w:val="16"/>
              </w:rPr>
            </w:pPr>
            <w:r w:rsidRPr="008C42C4">
              <w:rPr>
                <w:rFonts w:ascii="Arial" w:hAnsi="Arial" w:cs="Arial"/>
                <w:bCs/>
                <w:sz w:val="16"/>
                <w:szCs w:val="16"/>
              </w:rPr>
              <w:t xml:space="preserve">- </w:t>
            </w:r>
          </w:p>
        </w:tc>
        <w:tc>
          <w:tcPr>
            <w:tcW w:w="879" w:type="dxa"/>
            <w:gridSpan w:val="2"/>
            <w:tcBorders>
              <w:top w:val="nil"/>
              <w:left w:val="nil"/>
              <w:bottom w:val="single" w:sz="4" w:space="0" w:color="auto"/>
              <w:right w:val="nil"/>
            </w:tcBorders>
            <w:shd w:val="clear" w:color="auto" w:fill="auto"/>
            <w:noWrap/>
            <w:vAlign w:val="center"/>
            <w:hideMark/>
          </w:tcPr>
          <w:p w:rsidR="003242D6" w:rsidRPr="008C42C4" w:rsidRDefault="003242D6" w:rsidP="003242D6">
            <w:pPr>
              <w:spacing w:after="0" w:line="240" w:lineRule="auto"/>
              <w:jc w:val="right"/>
              <w:rPr>
                <w:rFonts w:ascii="Arial" w:hAnsi="Arial" w:cs="Arial"/>
                <w:bCs/>
                <w:sz w:val="16"/>
                <w:szCs w:val="16"/>
              </w:rPr>
            </w:pPr>
            <w:r w:rsidRPr="008C42C4">
              <w:rPr>
                <w:rFonts w:ascii="Arial" w:hAnsi="Arial" w:cs="Arial"/>
                <w:bCs/>
                <w:sz w:val="16"/>
                <w:szCs w:val="16"/>
              </w:rPr>
              <w:t xml:space="preserve">- </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 </w:t>
            </w:r>
          </w:p>
        </w:tc>
        <w:tc>
          <w:tcPr>
            <w:tcW w:w="879" w:type="dxa"/>
            <w:gridSpan w:val="2"/>
            <w:tcBorders>
              <w:top w:val="nil"/>
              <w:left w:val="nil"/>
              <w:bottom w:val="nil"/>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Cs/>
                <w:sz w:val="16"/>
                <w:szCs w:val="16"/>
              </w:rPr>
            </w:pPr>
            <w:r w:rsidRPr="003242D6">
              <w:rPr>
                <w:rFonts w:ascii="Arial" w:hAnsi="Arial" w:cs="Arial"/>
                <w:bCs/>
                <w:sz w:val="16"/>
                <w:szCs w:val="16"/>
              </w:rPr>
              <w:t xml:space="preserve">-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 </w:t>
            </w:r>
          </w:p>
        </w:tc>
        <w:tc>
          <w:tcPr>
            <w:tcW w:w="879" w:type="dxa"/>
            <w:gridSpan w:val="2"/>
            <w:tcBorders>
              <w:top w:val="nil"/>
              <w:left w:val="nil"/>
              <w:bottom w:val="nil"/>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 xml:space="preserve">- </w:t>
            </w:r>
          </w:p>
        </w:tc>
      </w:tr>
      <w:tr w:rsidR="003242D6" w:rsidRPr="00240B29" w:rsidTr="003242D6">
        <w:trPr>
          <w:trHeight w:val="225"/>
        </w:trPr>
        <w:tc>
          <w:tcPr>
            <w:tcW w:w="3317" w:type="dxa"/>
            <w:tcBorders>
              <w:top w:val="nil"/>
              <w:left w:val="nil"/>
              <w:bottom w:val="nil"/>
              <w:right w:val="nil"/>
            </w:tcBorders>
            <w:shd w:val="clear" w:color="auto" w:fill="auto"/>
            <w:noWrap/>
            <w:vAlign w:val="center"/>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(1,337)</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(1,299)</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(1,417)</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r>
      <w:tr w:rsidR="003242D6" w:rsidRPr="00240B29" w:rsidTr="00C01AF6">
        <w:trPr>
          <w:trHeight w:val="397"/>
        </w:trPr>
        <w:tc>
          <w:tcPr>
            <w:tcW w:w="3317" w:type="dxa"/>
            <w:tcBorders>
              <w:top w:val="nil"/>
              <w:left w:val="nil"/>
              <w:bottom w:val="single" w:sz="4" w:space="0" w:color="auto"/>
              <w:right w:val="nil"/>
            </w:tcBorders>
            <w:shd w:val="clear" w:color="auto" w:fill="auto"/>
            <w:vAlign w:val="bottom"/>
            <w:hideMark/>
          </w:tcPr>
          <w:p w:rsidR="003242D6" w:rsidRPr="00240B29" w:rsidRDefault="003242D6" w:rsidP="00240B29">
            <w:pPr>
              <w:spacing w:after="0" w:line="240" w:lineRule="auto"/>
              <w:rPr>
                <w:rFonts w:ascii="Arial" w:hAnsi="Arial" w:cs="Arial"/>
                <w:b/>
                <w:bCs/>
                <w:sz w:val="16"/>
                <w:szCs w:val="16"/>
              </w:rPr>
            </w:pPr>
            <w:r w:rsidRPr="00240B29">
              <w:rPr>
                <w:rFonts w:ascii="Arial" w:hAnsi="Arial" w:cs="Arial"/>
                <w:b/>
                <w:bCs/>
                <w:sz w:val="16"/>
                <w:szCs w:val="16"/>
              </w:rPr>
              <w:t>Total comprehensive income/(loss)</w:t>
            </w:r>
            <w:r w:rsidRPr="00240B29">
              <w:rPr>
                <w:rFonts w:ascii="Arial" w:hAnsi="Arial" w:cs="Arial"/>
                <w:b/>
                <w:bCs/>
                <w:sz w:val="16"/>
                <w:szCs w:val="16"/>
              </w:rPr>
              <w:br/>
              <w:t xml:space="preserve">  attributable to the Australian Government</w:t>
            </w:r>
          </w:p>
        </w:tc>
        <w:tc>
          <w:tcPr>
            <w:tcW w:w="928" w:type="dxa"/>
            <w:tcBorders>
              <w:top w:val="nil"/>
              <w:left w:val="nil"/>
              <w:bottom w:val="single" w:sz="4" w:space="0" w:color="auto"/>
              <w:right w:val="nil"/>
            </w:tcBorders>
            <w:shd w:val="clear" w:color="auto" w:fill="auto"/>
            <w:noWrap/>
            <w:vAlign w:val="bottom"/>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(1,337)</w:t>
            </w:r>
          </w:p>
        </w:tc>
        <w:tc>
          <w:tcPr>
            <w:tcW w:w="879" w:type="dxa"/>
            <w:gridSpan w:val="2"/>
            <w:tcBorders>
              <w:top w:val="nil"/>
              <w:left w:val="nil"/>
              <w:bottom w:val="single" w:sz="4" w:space="0" w:color="auto"/>
              <w:right w:val="nil"/>
            </w:tcBorders>
            <w:shd w:val="clear" w:color="000000" w:fill="E6E6E6"/>
            <w:noWrap/>
            <w:vAlign w:val="bottom"/>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(1,299)</w:t>
            </w:r>
          </w:p>
        </w:tc>
        <w:tc>
          <w:tcPr>
            <w:tcW w:w="879" w:type="dxa"/>
            <w:gridSpan w:val="2"/>
            <w:tcBorders>
              <w:top w:val="nil"/>
              <w:left w:val="nil"/>
              <w:bottom w:val="single" w:sz="4" w:space="0" w:color="auto"/>
              <w:right w:val="nil"/>
            </w:tcBorders>
            <w:shd w:val="clear" w:color="auto" w:fill="auto"/>
            <w:noWrap/>
            <w:vAlign w:val="bottom"/>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(1,417)</w:t>
            </w:r>
          </w:p>
        </w:tc>
        <w:tc>
          <w:tcPr>
            <w:tcW w:w="879" w:type="dxa"/>
            <w:gridSpan w:val="2"/>
            <w:tcBorders>
              <w:top w:val="nil"/>
              <w:left w:val="nil"/>
              <w:bottom w:val="single" w:sz="4" w:space="0" w:color="auto"/>
              <w:right w:val="nil"/>
            </w:tcBorders>
            <w:shd w:val="clear" w:color="auto" w:fill="auto"/>
            <w:noWrap/>
            <w:vAlign w:val="bottom"/>
            <w:hideMark/>
          </w:tcPr>
          <w:p w:rsidR="003242D6" w:rsidRPr="003242D6" w:rsidRDefault="003242D6" w:rsidP="003242D6">
            <w:pPr>
              <w:spacing w:after="0" w:line="240" w:lineRule="auto"/>
              <w:jc w:val="right"/>
              <w:rPr>
                <w:rFonts w:ascii="Arial" w:hAnsi="Arial" w:cs="Arial"/>
                <w:b/>
                <w:bCs/>
                <w:sz w:val="16"/>
                <w:szCs w:val="16"/>
              </w:rPr>
            </w:pPr>
            <w:r w:rsidRPr="003242D6">
              <w:rPr>
                <w:rFonts w:ascii="Arial" w:hAnsi="Arial" w:cs="Arial"/>
                <w:b/>
                <w:bCs/>
                <w:sz w:val="16"/>
                <w:szCs w:val="16"/>
              </w:rPr>
              <w:t>(1,444)</w:t>
            </w:r>
          </w:p>
        </w:tc>
        <w:tc>
          <w:tcPr>
            <w:tcW w:w="879" w:type="dxa"/>
            <w:gridSpan w:val="2"/>
            <w:tcBorders>
              <w:top w:val="nil"/>
              <w:left w:val="nil"/>
              <w:bottom w:val="single" w:sz="4" w:space="0" w:color="auto"/>
              <w:right w:val="nil"/>
            </w:tcBorders>
            <w:shd w:val="clear" w:color="auto" w:fill="auto"/>
            <w:noWrap/>
            <w:vAlign w:val="bottom"/>
            <w:hideMark/>
          </w:tcPr>
          <w:p w:rsidR="003242D6" w:rsidRDefault="003242D6" w:rsidP="003242D6">
            <w:pPr>
              <w:spacing w:after="0" w:line="240" w:lineRule="auto"/>
              <w:jc w:val="right"/>
              <w:rPr>
                <w:rFonts w:ascii="Arial" w:hAnsi="Arial" w:cs="Arial"/>
                <w:b/>
                <w:bCs/>
                <w:sz w:val="16"/>
                <w:szCs w:val="16"/>
              </w:rPr>
            </w:pPr>
            <w:r>
              <w:rPr>
                <w:rFonts w:ascii="Arial" w:hAnsi="Arial" w:cs="Arial"/>
                <w:b/>
                <w:bCs/>
                <w:sz w:val="16"/>
                <w:szCs w:val="16"/>
              </w:rPr>
              <w:t>(1,444)</w:t>
            </w:r>
          </w:p>
        </w:tc>
      </w:tr>
      <w:tr w:rsidR="00240B29" w:rsidRPr="00240B29" w:rsidTr="00C01AF6">
        <w:trPr>
          <w:trHeight w:val="225"/>
        </w:trPr>
        <w:tc>
          <w:tcPr>
            <w:tcW w:w="3317" w:type="dxa"/>
            <w:tcBorders>
              <w:top w:val="nil"/>
              <w:left w:val="nil"/>
              <w:bottom w:val="nil"/>
              <w:right w:val="nil"/>
            </w:tcBorders>
            <w:shd w:val="clear" w:color="auto" w:fill="auto"/>
            <w:vAlign w:val="bottom"/>
            <w:hideMark/>
          </w:tcPr>
          <w:p w:rsidR="00240B29" w:rsidRPr="00240B29" w:rsidRDefault="00240B29" w:rsidP="00240B29">
            <w:pPr>
              <w:spacing w:after="0" w:line="240" w:lineRule="auto"/>
              <w:rPr>
                <w:rFonts w:ascii="Arial" w:hAnsi="Arial" w:cs="Arial"/>
                <w:sz w:val="16"/>
                <w:szCs w:val="16"/>
              </w:rPr>
            </w:pPr>
          </w:p>
        </w:tc>
        <w:tc>
          <w:tcPr>
            <w:tcW w:w="928" w:type="dxa"/>
            <w:tcBorders>
              <w:top w:val="nil"/>
              <w:left w:val="nil"/>
              <w:bottom w:val="nil"/>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sz w:val="16"/>
                <w:szCs w:val="16"/>
              </w:rPr>
            </w:pPr>
          </w:p>
        </w:tc>
      </w:tr>
      <w:tr w:rsidR="00240B29" w:rsidRPr="00240B29" w:rsidTr="00C01AF6">
        <w:trPr>
          <w:gridAfter w:val="1"/>
          <w:wAfter w:w="390" w:type="dxa"/>
          <w:trHeight w:val="225"/>
        </w:trPr>
        <w:tc>
          <w:tcPr>
            <w:tcW w:w="4908" w:type="dxa"/>
            <w:gridSpan w:val="3"/>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b/>
                <w:bCs/>
                <w:color w:val="000000"/>
                <w:sz w:val="16"/>
                <w:szCs w:val="16"/>
              </w:rPr>
            </w:pPr>
            <w:r w:rsidRPr="00240B29">
              <w:rPr>
                <w:rFonts w:ascii="Arial" w:hAnsi="Arial" w:cs="Arial"/>
                <w:b/>
                <w:bCs/>
                <w:color w:val="000000"/>
                <w:sz w:val="16"/>
                <w:szCs w:val="16"/>
              </w:rPr>
              <w:t>Note: Impact of net cash appropriation arrangements</w:t>
            </w:r>
          </w:p>
        </w:tc>
        <w:tc>
          <w:tcPr>
            <w:tcW w:w="821" w:type="dxa"/>
            <w:gridSpan w:val="2"/>
            <w:tcBorders>
              <w:top w:val="nil"/>
              <w:left w:val="nil"/>
              <w:bottom w:val="nil"/>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sz w:val="16"/>
                <w:szCs w:val="16"/>
              </w:rPr>
            </w:pPr>
          </w:p>
        </w:tc>
        <w:tc>
          <w:tcPr>
            <w:tcW w:w="821" w:type="dxa"/>
            <w:gridSpan w:val="2"/>
            <w:tcBorders>
              <w:top w:val="nil"/>
              <w:left w:val="nil"/>
              <w:bottom w:val="nil"/>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sz w:val="16"/>
                <w:szCs w:val="16"/>
              </w:rPr>
            </w:pPr>
          </w:p>
        </w:tc>
        <w:tc>
          <w:tcPr>
            <w:tcW w:w="821" w:type="dxa"/>
            <w:gridSpan w:val="2"/>
            <w:tcBorders>
              <w:top w:val="nil"/>
              <w:left w:val="nil"/>
              <w:bottom w:val="nil"/>
              <w:right w:val="nil"/>
            </w:tcBorders>
            <w:shd w:val="clear" w:color="auto" w:fill="auto"/>
            <w:noWrap/>
            <w:vAlign w:val="bottom"/>
            <w:hideMark/>
          </w:tcPr>
          <w:p w:rsidR="00240B29" w:rsidRPr="00240B29" w:rsidRDefault="00240B29" w:rsidP="00240B29">
            <w:pPr>
              <w:spacing w:after="0" w:line="240" w:lineRule="auto"/>
              <w:jc w:val="right"/>
              <w:rPr>
                <w:rFonts w:ascii="Arial" w:hAnsi="Arial" w:cs="Arial"/>
                <w:sz w:val="16"/>
                <w:szCs w:val="16"/>
              </w:rPr>
            </w:pPr>
          </w:p>
        </w:tc>
      </w:tr>
      <w:tr w:rsidR="00240B29" w:rsidRPr="00240B29" w:rsidTr="00C01AF6">
        <w:trPr>
          <w:trHeight w:val="450"/>
        </w:trPr>
        <w:tc>
          <w:tcPr>
            <w:tcW w:w="3317" w:type="dxa"/>
            <w:tcBorders>
              <w:top w:val="single" w:sz="4" w:space="0" w:color="auto"/>
              <w:left w:val="nil"/>
              <w:bottom w:val="nil"/>
              <w:right w:val="nil"/>
            </w:tcBorders>
            <w:shd w:val="clear" w:color="auto" w:fill="auto"/>
            <w:vAlign w:val="bottom"/>
            <w:hideMark/>
          </w:tcPr>
          <w:p w:rsidR="00240B29" w:rsidRPr="00240B29" w:rsidRDefault="00240B29" w:rsidP="00240B29">
            <w:pPr>
              <w:spacing w:after="0" w:line="240" w:lineRule="auto"/>
              <w:rPr>
                <w:rFonts w:ascii="Arial" w:hAnsi="Arial" w:cs="Arial"/>
                <w:sz w:val="16"/>
                <w:szCs w:val="16"/>
              </w:rPr>
            </w:pPr>
            <w:r w:rsidRPr="00240B29">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2017–18</w:t>
            </w:r>
            <w:r w:rsidRPr="00240B29">
              <w:rPr>
                <w:rFonts w:ascii="Arial" w:hAnsi="Arial" w:cs="Arial"/>
                <w:color w:val="000000"/>
                <w:sz w:val="16"/>
                <w:szCs w:val="16"/>
              </w:rPr>
              <w:br/>
              <w:t>$'000</w:t>
            </w:r>
          </w:p>
        </w:tc>
        <w:tc>
          <w:tcPr>
            <w:tcW w:w="879" w:type="dxa"/>
            <w:gridSpan w:val="2"/>
            <w:tcBorders>
              <w:top w:val="single" w:sz="4" w:space="0" w:color="auto"/>
              <w:left w:val="nil"/>
              <w:bottom w:val="single" w:sz="4" w:space="0" w:color="auto"/>
              <w:right w:val="nil"/>
            </w:tcBorders>
            <w:shd w:val="clear" w:color="000000" w:fill="E6E6E6"/>
            <w:vAlign w:val="center"/>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2018–19</w:t>
            </w:r>
            <w:r w:rsidRPr="00240B29">
              <w:rPr>
                <w:rFonts w:ascii="Arial" w:hAnsi="Arial" w:cs="Arial"/>
                <w:color w:val="000000"/>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2019–20</w:t>
            </w:r>
            <w:r w:rsidRPr="00240B29">
              <w:rPr>
                <w:rFonts w:ascii="Arial" w:hAnsi="Arial" w:cs="Arial"/>
                <w:color w:val="000000"/>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2020–21</w:t>
            </w:r>
            <w:r w:rsidRPr="00240B29">
              <w:rPr>
                <w:rFonts w:ascii="Arial" w:hAnsi="Arial" w:cs="Arial"/>
                <w:color w:val="000000"/>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240B29" w:rsidRPr="00240B29" w:rsidRDefault="00240B29" w:rsidP="00240B29">
            <w:pPr>
              <w:spacing w:after="0" w:line="240" w:lineRule="auto"/>
              <w:jc w:val="right"/>
              <w:rPr>
                <w:rFonts w:ascii="Arial" w:hAnsi="Arial" w:cs="Arial"/>
                <w:color w:val="000000"/>
                <w:sz w:val="16"/>
                <w:szCs w:val="16"/>
              </w:rPr>
            </w:pPr>
            <w:r w:rsidRPr="00240B29">
              <w:rPr>
                <w:rFonts w:ascii="Arial" w:hAnsi="Arial" w:cs="Arial"/>
                <w:color w:val="000000"/>
                <w:sz w:val="16"/>
                <w:szCs w:val="16"/>
              </w:rPr>
              <w:t>2021–22</w:t>
            </w:r>
            <w:r w:rsidRPr="00240B29">
              <w:rPr>
                <w:rFonts w:ascii="Arial" w:hAnsi="Arial" w:cs="Arial"/>
                <w:color w:val="000000"/>
                <w:sz w:val="16"/>
                <w:szCs w:val="16"/>
              </w:rPr>
              <w:br/>
              <w:t>$'000</w:t>
            </w:r>
          </w:p>
        </w:tc>
      </w:tr>
      <w:tr w:rsidR="00240B29" w:rsidRPr="00240B29" w:rsidTr="00C01AF6">
        <w:trPr>
          <w:trHeight w:val="794"/>
        </w:trPr>
        <w:tc>
          <w:tcPr>
            <w:tcW w:w="3317" w:type="dxa"/>
            <w:tcBorders>
              <w:top w:val="nil"/>
              <w:left w:val="nil"/>
              <w:bottom w:val="nil"/>
              <w:right w:val="nil"/>
            </w:tcBorders>
            <w:shd w:val="clear" w:color="auto" w:fill="auto"/>
            <w:vAlign w:val="center"/>
            <w:hideMark/>
          </w:tcPr>
          <w:p w:rsidR="00240B29" w:rsidRPr="00240B29" w:rsidRDefault="00240B29" w:rsidP="00240B29">
            <w:pPr>
              <w:spacing w:after="0" w:line="240" w:lineRule="auto"/>
              <w:ind w:left="191" w:hanging="142"/>
              <w:rPr>
                <w:rFonts w:ascii="Arial" w:hAnsi="Arial" w:cs="Arial"/>
                <w:b/>
                <w:bCs/>
                <w:color w:val="000000"/>
                <w:sz w:val="16"/>
                <w:szCs w:val="16"/>
              </w:rPr>
            </w:pPr>
            <w:r w:rsidRPr="00240B29">
              <w:rPr>
                <w:rFonts w:ascii="Arial" w:hAnsi="Arial" w:cs="Arial"/>
                <w:b/>
                <w:bCs/>
                <w:color w:val="000000"/>
                <w:sz w:val="16"/>
                <w:szCs w:val="16"/>
              </w:rPr>
              <w:t>Total comprehensive income/(loss) excluding depreciation/amortisation expenses previously funded through revenue appropriations</w:t>
            </w:r>
          </w:p>
        </w:tc>
        <w:tc>
          <w:tcPr>
            <w:tcW w:w="928"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000000" w:fill="E6E6E6"/>
            <w:noWrap/>
            <w:vAlign w:val="center"/>
            <w:hideMark/>
          </w:tcPr>
          <w:p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 </w:t>
            </w:r>
          </w:p>
        </w:tc>
      </w:tr>
      <w:tr w:rsidR="00240B29" w:rsidRPr="00240B29" w:rsidTr="00C01AF6">
        <w:trPr>
          <w:trHeight w:val="567"/>
        </w:trPr>
        <w:tc>
          <w:tcPr>
            <w:tcW w:w="3317" w:type="dxa"/>
            <w:tcBorders>
              <w:top w:val="nil"/>
              <w:left w:val="nil"/>
              <w:bottom w:val="nil"/>
              <w:right w:val="nil"/>
            </w:tcBorders>
            <w:shd w:val="clear" w:color="auto" w:fill="auto"/>
            <w:vAlign w:val="center"/>
            <w:hideMark/>
          </w:tcPr>
          <w:p w:rsidR="00240B29" w:rsidRPr="00240B29" w:rsidRDefault="00240B29" w:rsidP="00240B29">
            <w:pPr>
              <w:spacing w:after="0" w:line="240" w:lineRule="auto"/>
              <w:ind w:leftChars="80" w:left="333" w:hangingChars="108" w:hanging="173"/>
              <w:rPr>
                <w:rFonts w:ascii="Arial" w:hAnsi="Arial" w:cs="Arial"/>
                <w:color w:val="000000"/>
                <w:sz w:val="16"/>
                <w:szCs w:val="16"/>
              </w:rPr>
            </w:pPr>
            <w:r w:rsidRPr="00240B29">
              <w:rPr>
                <w:rFonts w:ascii="Arial" w:hAnsi="Arial" w:cs="Arial"/>
                <w:color w:val="000000"/>
                <w:sz w:val="16"/>
                <w:szCs w:val="16"/>
              </w:rPr>
              <w:t>less depreciation/amortisation expenses previously funded through revenue appropriations (a)</w:t>
            </w:r>
          </w:p>
        </w:tc>
        <w:tc>
          <w:tcPr>
            <w:tcW w:w="928"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xml:space="preserve">1,337 </w:t>
            </w:r>
          </w:p>
        </w:tc>
        <w:tc>
          <w:tcPr>
            <w:tcW w:w="879" w:type="dxa"/>
            <w:gridSpan w:val="2"/>
            <w:tcBorders>
              <w:top w:val="nil"/>
              <w:left w:val="nil"/>
              <w:bottom w:val="nil"/>
              <w:right w:val="nil"/>
            </w:tcBorders>
            <w:shd w:val="clear" w:color="000000" w:fill="E6E6E6"/>
            <w:noWrap/>
            <w:vAlign w:val="center"/>
            <w:hideMark/>
          </w:tcPr>
          <w:p w:rsidR="00240B29" w:rsidRPr="00B52818" w:rsidRDefault="00240B29" w:rsidP="00240B29">
            <w:pPr>
              <w:spacing w:after="0" w:line="240" w:lineRule="auto"/>
              <w:jc w:val="right"/>
              <w:rPr>
                <w:rFonts w:ascii="Arial" w:hAnsi="Arial" w:cs="Arial"/>
                <w:bCs/>
                <w:sz w:val="16"/>
                <w:szCs w:val="16"/>
              </w:rPr>
            </w:pPr>
            <w:r w:rsidRPr="00B52818">
              <w:rPr>
                <w:rFonts w:ascii="Arial" w:hAnsi="Arial" w:cs="Arial"/>
                <w:bCs/>
                <w:sz w:val="16"/>
                <w:szCs w:val="16"/>
              </w:rPr>
              <w:t xml:space="preserve">1,299 </w:t>
            </w: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xml:space="preserve">1,417 </w:t>
            </w: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xml:space="preserve">1,444 </w:t>
            </w:r>
          </w:p>
        </w:tc>
        <w:tc>
          <w:tcPr>
            <w:tcW w:w="879" w:type="dxa"/>
            <w:gridSpan w:val="2"/>
            <w:tcBorders>
              <w:top w:val="nil"/>
              <w:left w:val="nil"/>
              <w:bottom w:val="nil"/>
              <w:right w:val="nil"/>
            </w:tcBorders>
            <w:shd w:val="clear" w:color="auto" w:fill="auto"/>
            <w:noWrap/>
            <w:vAlign w:val="center"/>
            <w:hideMark/>
          </w:tcPr>
          <w:p w:rsidR="00240B29" w:rsidRPr="00240B29" w:rsidRDefault="00240B29" w:rsidP="00240B29">
            <w:pPr>
              <w:spacing w:after="0" w:line="240" w:lineRule="auto"/>
              <w:jc w:val="right"/>
              <w:rPr>
                <w:rFonts w:ascii="Arial" w:hAnsi="Arial" w:cs="Arial"/>
                <w:sz w:val="16"/>
                <w:szCs w:val="16"/>
              </w:rPr>
            </w:pPr>
            <w:r w:rsidRPr="00240B29">
              <w:rPr>
                <w:rFonts w:ascii="Arial" w:hAnsi="Arial" w:cs="Arial"/>
                <w:sz w:val="16"/>
                <w:szCs w:val="16"/>
              </w:rPr>
              <w:t xml:space="preserve">1,444 </w:t>
            </w:r>
          </w:p>
        </w:tc>
      </w:tr>
      <w:tr w:rsidR="00240B29" w:rsidRPr="00240B29" w:rsidTr="00C01AF6">
        <w:trPr>
          <w:trHeight w:val="567"/>
        </w:trPr>
        <w:tc>
          <w:tcPr>
            <w:tcW w:w="3317" w:type="dxa"/>
            <w:tcBorders>
              <w:top w:val="nil"/>
              <w:left w:val="nil"/>
              <w:bottom w:val="single" w:sz="4" w:space="0" w:color="auto"/>
              <w:right w:val="nil"/>
            </w:tcBorders>
            <w:shd w:val="clear" w:color="auto" w:fill="auto"/>
            <w:vAlign w:val="bottom"/>
            <w:hideMark/>
          </w:tcPr>
          <w:p w:rsidR="00240B29" w:rsidRPr="00240B29" w:rsidRDefault="00240B29" w:rsidP="00240B29">
            <w:pPr>
              <w:spacing w:after="0" w:line="240" w:lineRule="auto"/>
              <w:ind w:left="191" w:hanging="191"/>
              <w:rPr>
                <w:rFonts w:ascii="Arial" w:hAnsi="Arial" w:cs="Arial"/>
                <w:b/>
                <w:bCs/>
                <w:color w:val="000000"/>
                <w:sz w:val="16"/>
                <w:szCs w:val="16"/>
              </w:rPr>
            </w:pPr>
            <w:r w:rsidRPr="00240B29">
              <w:rPr>
                <w:rFonts w:ascii="Arial" w:hAnsi="Arial" w:cs="Arial"/>
                <w:b/>
                <w:bCs/>
                <w:color w:val="000000"/>
                <w:sz w:val="16"/>
                <w:szCs w:val="16"/>
              </w:rPr>
              <w:t>Total comprehensive income/(loss)—as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(1,337)</w:t>
            </w:r>
          </w:p>
        </w:tc>
        <w:tc>
          <w:tcPr>
            <w:tcW w:w="879" w:type="dxa"/>
            <w:gridSpan w:val="2"/>
            <w:tcBorders>
              <w:top w:val="single" w:sz="4" w:space="0" w:color="auto"/>
              <w:left w:val="nil"/>
              <w:bottom w:val="single" w:sz="4" w:space="0" w:color="auto"/>
              <w:right w:val="nil"/>
            </w:tcBorders>
            <w:shd w:val="clear" w:color="000000" w:fill="E6E6E6"/>
            <w:vAlign w:val="bottom"/>
            <w:hideMark/>
          </w:tcPr>
          <w:p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(1,299)</w:t>
            </w:r>
          </w:p>
        </w:tc>
        <w:tc>
          <w:tcPr>
            <w:tcW w:w="879" w:type="dxa"/>
            <w:gridSpan w:val="2"/>
            <w:tcBorders>
              <w:top w:val="single" w:sz="4" w:space="0" w:color="auto"/>
              <w:left w:val="nil"/>
              <w:bottom w:val="single" w:sz="4" w:space="0" w:color="auto"/>
              <w:right w:val="nil"/>
            </w:tcBorders>
            <w:shd w:val="clear" w:color="auto" w:fill="auto"/>
            <w:vAlign w:val="bottom"/>
            <w:hideMark/>
          </w:tcPr>
          <w:p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(1,417)</w:t>
            </w:r>
          </w:p>
        </w:tc>
        <w:tc>
          <w:tcPr>
            <w:tcW w:w="879" w:type="dxa"/>
            <w:gridSpan w:val="2"/>
            <w:tcBorders>
              <w:top w:val="single" w:sz="4" w:space="0" w:color="auto"/>
              <w:left w:val="nil"/>
              <w:bottom w:val="single" w:sz="4" w:space="0" w:color="auto"/>
              <w:right w:val="nil"/>
            </w:tcBorders>
            <w:shd w:val="clear" w:color="auto" w:fill="auto"/>
            <w:vAlign w:val="bottom"/>
            <w:hideMark/>
          </w:tcPr>
          <w:p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(1,444)</w:t>
            </w:r>
          </w:p>
        </w:tc>
        <w:tc>
          <w:tcPr>
            <w:tcW w:w="879" w:type="dxa"/>
            <w:gridSpan w:val="2"/>
            <w:tcBorders>
              <w:top w:val="single" w:sz="4" w:space="0" w:color="auto"/>
              <w:left w:val="nil"/>
              <w:bottom w:val="single" w:sz="4" w:space="0" w:color="auto"/>
              <w:right w:val="nil"/>
            </w:tcBorders>
            <w:shd w:val="clear" w:color="auto" w:fill="auto"/>
            <w:vAlign w:val="bottom"/>
            <w:hideMark/>
          </w:tcPr>
          <w:p w:rsidR="00240B29" w:rsidRPr="00240B29" w:rsidRDefault="00240B29" w:rsidP="00240B29">
            <w:pPr>
              <w:spacing w:after="0" w:line="240" w:lineRule="auto"/>
              <w:jc w:val="right"/>
              <w:rPr>
                <w:rFonts w:ascii="Arial" w:hAnsi="Arial" w:cs="Arial"/>
                <w:b/>
                <w:bCs/>
                <w:sz w:val="16"/>
                <w:szCs w:val="16"/>
              </w:rPr>
            </w:pPr>
            <w:r w:rsidRPr="00240B29">
              <w:rPr>
                <w:rFonts w:ascii="Arial" w:hAnsi="Arial" w:cs="Arial"/>
                <w:b/>
                <w:bCs/>
                <w:sz w:val="16"/>
                <w:szCs w:val="16"/>
              </w:rPr>
              <w:t>(1,444)</w:t>
            </w:r>
          </w:p>
        </w:tc>
      </w:tr>
    </w:tbl>
    <w:p w:rsidR="00240B29" w:rsidRPr="00240B29" w:rsidRDefault="00240B29" w:rsidP="00E01B4E">
      <w:pPr>
        <w:pStyle w:val="ChartandTableFootnoteAlpha"/>
        <w:numPr>
          <w:ilvl w:val="0"/>
          <w:numId w:val="29"/>
        </w:numPr>
      </w:pPr>
      <w:r w:rsidRPr="00240B29">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240B29" w:rsidRPr="00240B29" w:rsidRDefault="00240B29" w:rsidP="009067FF">
      <w:pPr>
        <w:pStyle w:val="ChartandTableFootnote"/>
      </w:pPr>
      <w:r w:rsidRPr="00240B29">
        <w:t>Prepared on Australian Accounting Standards basis.</w:t>
      </w:r>
    </w:p>
    <w:p w:rsidR="00240B29" w:rsidRPr="00240B29" w:rsidRDefault="00240B29" w:rsidP="009067FF">
      <w:pPr>
        <w:pStyle w:val="TableHeading"/>
      </w:pPr>
      <w:r w:rsidRPr="00240B29">
        <w:br w:type="page"/>
      </w:r>
      <w:r w:rsidRPr="00240B29">
        <w:lastRenderedPageBreak/>
        <w:t>Table 3.2: Budgeted departmental balance sheet (as at 30 June)</w:t>
      </w:r>
    </w:p>
    <w:tbl>
      <w:tblPr>
        <w:tblW w:w="7755" w:type="dxa"/>
        <w:tblInd w:w="93" w:type="dxa"/>
        <w:tblLook w:val="04A0" w:firstRow="1" w:lastRow="0" w:firstColumn="1" w:lastColumn="0" w:noHBand="0" w:noVBand="1"/>
      </w:tblPr>
      <w:tblGrid>
        <w:gridCol w:w="3175"/>
        <w:gridCol w:w="952"/>
        <w:gridCol w:w="907"/>
        <w:gridCol w:w="907"/>
        <w:gridCol w:w="907"/>
        <w:gridCol w:w="907"/>
      </w:tblGrid>
      <w:tr w:rsidR="00240B29" w:rsidRPr="00240B29" w:rsidTr="009067FF">
        <w:trPr>
          <w:trHeight w:val="794"/>
        </w:trPr>
        <w:tc>
          <w:tcPr>
            <w:tcW w:w="3175" w:type="dxa"/>
            <w:tcBorders>
              <w:top w:val="single" w:sz="4" w:space="0" w:color="auto"/>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sz w:val="16"/>
                <w:szCs w:val="16"/>
              </w:rPr>
            </w:pPr>
            <w:r w:rsidRPr="00240B29">
              <w:rPr>
                <w:rFonts w:ascii="Arial" w:hAnsi="Arial" w:cs="Arial"/>
                <w:b/>
                <w:bCs/>
                <w:sz w:val="16"/>
                <w:szCs w:val="16"/>
              </w:rPr>
              <w:t> </w:t>
            </w:r>
          </w:p>
        </w:tc>
        <w:tc>
          <w:tcPr>
            <w:tcW w:w="952"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2017–18 Estimated actual</w:t>
            </w:r>
            <w:r w:rsidRPr="00240B29">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2018–19</w:t>
            </w:r>
            <w:r w:rsidRPr="00240B29">
              <w:rPr>
                <w:rFonts w:ascii="Arial" w:hAnsi="Arial" w:cs="Arial"/>
                <w:sz w:val="16"/>
                <w:szCs w:val="16"/>
              </w:rPr>
              <w:br/>
              <w:t>Budget</w:t>
            </w:r>
            <w:r w:rsidRPr="00240B29">
              <w:rPr>
                <w:rFonts w:ascii="Arial" w:hAnsi="Arial" w:cs="Arial"/>
                <w:sz w:val="16"/>
                <w:szCs w:val="16"/>
              </w:rPr>
              <w:br/>
            </w:r>
            <w:r w:rsidRPr="00240B29">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2019–20 Forward estimate</w:t>
            </w:r>
            <w:r w:rsidRPr="00240B29">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2020–21 Forward estimate</w:t>
            </w:r>
            <w:r w:rsidRPr="00240B29">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2021–22</w:t>
            </w:r>
            <w:r w:rsidRPr="00240B29">
              <w:rPr>
                <w:rFonts w:ascii="Arial" w:hAnsi="Arial" w:cs="Arial"/>
                <w:sz w:val="16"/>
                <w:szCs w:val="16"/>
              </w:rPr>
              <w:br/>
              <w:t>Forward estimate</w:t>
            </w:r>
            <w:r w:rsidRPr="00240B29">
              <w:rPr>
                <w:rFonts w:ascii="Arial" w:hAnsi="Arial" w:cs="Arial"/>
                <w:sz w:val="16"/>
                <w:szCs w:val="16"/>
              </w:rPr>
              <w:br/>
              <w:t>$'000</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ASSETS</w:t>
            </w:r>
          </w:p>
        </w:tc>
        <w:tc>
          <w:tcPr>
            <w:tcW w:w="952"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40B29" w:rsidRPr="00240B29" w:rsidRDefault="00240B29" w:rsidP="00240B29">
            <w:pPr>
              <w:spacing w:after="0" w:line="240" w:lineRule="auto"/>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240B29">
            <w:pPr>
              <w:spacing w:after="0" w:line="240" w:lineRule="auto"/>
              <w:rPr>
                <w:rFonts w:ascii="Arial" w:hAnsi="Arial" w:cs="Arial"/>
                <w:color w:val="000000"/>
                <w:sz w:val="16"/>
                <w:szCs w:val="16"/>
              </w:rPr>
            </w:pP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Financial assets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 xml:space="preserve">Cash </w:t>
            </w:r>
            <w:r w:rsidRPr="00240B29">
              <w:rPr>
                <w:rFonts w:ascii="Arial" w:hAnsi="Arial" w:cs="Arial"/>
                <w:sz w:val="16"/>
                <w:szCs w:val="16"/>
              </w:rPr>
              <w:t>and cash equivalents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154</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sz w:val="16"/>
                <w:szCs w:val="16"/>
              </w:rPr>
            </w:pPr>
            <w:r w:rsidRPr="00240B29">
              <w:rPr>
                <w:rFonts w:ascii="Arial" w:hAnsi="Arial" w:cs="Arial"/>
                <w:sz w:val="16"/>
                <w:szCs w:val="16"/>
              </w:rPr>
              <w:t>Trade and other receivables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41,302</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40,673</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40,258</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40,258</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40,258</w:t>
            </w:r>
          </w:p>
        </w:tc>
      </w:tr>
      <w:tr w:rsidR="00240B29" w:rsidRPr="00240B29" w:rsidTr="009067FF">
        <w:trPr>
          <w:trHeight w:val="227"/>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financial assets</w:t>
            </w:r>
          </w:p>
        </w:tc>
        <w:tc>
          <w:tcPr>
            <w:tcW w:w="952"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41,456 </w:t>
            </w:r>
          </w:p>
        </w:tc>
        <w:tc>
          <w:tcPr>
            <w:tcW w:w="907" w:type="dxa"/>
            <w:tcBorders>
              <w:top w:val="single" w:sz="4" w:space="0" w:color="000000"/>
              <w:left w:val="nil"/>
              <w:bottom w:val="single" w:sz="4" w:space="0" w:color="000000"/>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40,827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40,412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40,412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40,412 </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Non-financial assets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Land and buildings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5,603</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4,498</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3,819</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2,569</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1,319</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Property, plant and equipment</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239</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679</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660</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873</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1,089</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Intangibles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753</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1,189</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1,325</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1,361</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1,397</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Other non-financial assets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306</w:t>
            </w:r>
          </w:p>
        </w:tc>
      </w:tr>
      <w:tr w:rsidR="00240B29" w:rsidRPr="00240B29" w:rsidTr="009067FF">
        <w:trPr>
          <w:trHeight w:val="227"/>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non-financial assets</w:t>
            </w:r>
          </w:p>
        </w:tc>
        <w:tc>
          <w:tcPr>
            <w:tcW w:w="952"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6,901 </w:t>
            </w:r>
          </w:p>
        </w:tc>
        <w:tc>
          <w:tcPr>
            <w:tcW w:w="907" w:type="dxa"/>
            <w:tcBorders>
              <w:top w:val="single" w:sz="4" w:space="0" w:color="000000"/>
              <w:left w:val="nil"/>
              <w:bottom w:val="single" w:sz="4" w:space="0" w:color="000000"/>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6,672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6,110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5,109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4,111 </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assets</w:t>
            </w:r>
          </w:p>
        </w:tc>
        <w:tc>
          <w:tcPr>
            <w:tcW w:w="952" w:type="dxa"/>
            <w:tcBorders>
              <w:top w:val="nil"/>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48,357 </w:t>
            </w:r>
          </w:p>
        </w:tc>
        <w:tc>
          <w:tcPr>
            <w:tcW w:w="907" w:type="dxa"/>
            <w:tcBorders>
              <w:top w:val="nil"/>
              <w:left w:val="nil"/>
              <w:bottom w:val="single" w:sz="4" w:space="0" w:color="000000"/>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47,499 </w:t>
            </w:r>
          </w:p>
        </w:tc>
        <w:tc>
          <w:tcPr>
            <w:tcW w:w="907" w:type="dxa"/>
            <w:tcBorders>
              <w:top w:val="nil"/>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46,522 </w:t>
            </w:r>
          </w:p>
        </w:tc>
        <w:tc>
          <w:tcPr>
            <w:tcW w:w="907" w:type="dxa"/>
            <w:tcBorders>
              <w:top w:val="nil"/>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45,521 </w:t>
            </w:r>
          </w:p>
        </w:tc>
        <w:tc>
          <w:tcPr>
            <w:tcW w:w="907" w:type="dxa"/>
            <w:tcBorders>
              <w:top w:val="nil"/>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44,523 </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LIABILITIES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Payables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Suppliers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2,422</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Other payables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630</w:t>
            </w:r>
          </w:p>
        </w:tc>
      </w:tr>
      <w:tr w:rsidR="00240B29" w:rsidRPr="00240B29" w:rsidTr="009067FF">
        <w:trPr>
          <w:trHeight w:val="210"/>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payables</w:t>
            </w:r>
          </w:p>
        </w:tc>
        <w:tc>
          <w:tcPr>
            <w:tcW w:w="952"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c>
          <w:tcPr>
            <w:tcW w:w="907" w:type="dxa"/>
            <w:tcBorders>
              <w:top w:val="single" w:sz="4" w:space="0" w:color="000000"/>
              <w:left w:val="nil"/>
              <w:bottom w:val="single" w:sz="4" w:space="0" w:color="000000"/>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3,052 </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Provisions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Employee provisions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3,657</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Other provisions</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69</w:t>
            </w:r>
          </w:p>
        </w:tc>
      </w:tr>
      <w:tr w:rsidR="00240B29" w:rsidRPr="00240B29" w:rsidTr="009067FF">
        <w:trPr>
          <w:trHeight w:val="227"/>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provisions</w:t>
            </w:r>
          </w:p>
        </w:tc>
        <w:tc>
          <w:tcPr>
            <w:tcW w:w="952"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c>
          <w:tcPr>
            <w:tcW w:w="907" w:type="dxa"/>
            <w:tcBorders>
              <w:top w:val="single" w:sz="4" w:space="0" w:color="000000"/>
              <w:left w:val="nil"/>
              <w:bottom w:val="single" w:sz="4" w:space="0" w:color="000000"/>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3,726 </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liabilities</w:t>
            </w:r>
          </w:p>
        </w:tc>
        <w:tc>
          <w:tcPr>
            <w:tcW w:w="952" w:type="dxa"/>
            <w:tcBorders>
              <w:top w:val="single" w:sz="4" w:space="0" w:color="auto"/>
              <w:left w:val="nil"/>
              <w:bottom w:val="single" w:sz="4" w:space="0" w:color="auto"/>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c>
          <w:tcPr>
            <w:tcW w:w="907" w:type="dxa"/>
            <w:tcBorders>
              <w:top w:val="single" w:sz="4" w:space="0" w:color="auto"/>
              <w:left w:val="nil"/>
              <w:bottom w:val="single" w:sz="4" w:space="0" w:color="auto"/>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c>
          <w:tcPr>
            <w:tcW w:w="907" w:type="dxa"/>
            <w:tcBorders>
              <w:top w:val="single" w:sz="4" w:space="0" w:color="auto"/>
              <w:left w:val="nil"/>
              <w:bottom w:val="single" w:sz="4" w:space="0" w:color="auto"/>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c>
          <w:tcPr>
            <w:tcW w:w="907" w:type="dxa"/>
            <w:tcBorders>
              <w:top w:val="single" w:sz="4" w:space="0" w:color="auto"/>
              <w:left w:val="nil"/>
              <w:bottom w:val="single" w:sz="4" w:space="0" w:color="auto"/>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c>
          <w:tcPr>
            <w:tcW w:w="907" w:type="dxa"/>
            <w:tcBorders>
              <w:top w:val="single" w:sz="4" w:space="0" w:color="auto"/>
              <w:left w:val="nil"/>
              <w:bottom w:val="single" w:sz="4" w:space="0" w:color="auto"/>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6,778 </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sz w:val="16"/>
                <w:szCs w:val="16"/>
              </w:rPr>
            </w:pPr>
            <w:r w:rsidRPr="00240B29">
              <w:rPr>
                <w:rFonts w:ascii="Arial" w:hAnsi="Arial" w:cs="Arial"/>
                <w:b/>
                <w:bCs/>
                <w:sz w:val="16"/>
                <w:szCs w:val="16"/>
              </w:rPr>
              <w:t>Net assets</w:t>
            </w:r>
          </w:p>
        </w:tc>
        <w:tc>
          <w:tcPr>
            <w:tcW w:w="952" w:type="dxa"/>
            <w:tcBorders>
              <w:top w:val="nil"/>
              <w:left w:val="nil"/>
              <w:bottom w:val="single" w:sz="4" w:space="0" w:color="auto"/>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41,579 </w:t>
            </w:r>
          </w:p>
        </w:tc>
        <w:tc>
          <w:tcPr>
            <w:tcW w:w="907" w:type="dxa"/>
            <w:tcBorders>
              <w:top w:val="nil"/>
              <w:left w:val="nil"/>
              <w:bottom w:val="single" w:sz="4" w:space="0" w:color="auto"/>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40,721 </w:t>
            </w:r>
          </w:p>
        </w:tc>
        <w:tc>
          <w:tcPr>
            <w:tcW w:w="907" w:type="dxa"/>
            <w:tcBorders>
              <w:top w:val="nil"/>
              <w:left w:val="nil"/>
              <w:bottom w:val="single" w:sz="4" w:space="0" w:color="auto"/>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39,744 </w:t>
            </w:r>
          </w:p>
        </w:tc>
        <w:tc>
          <w:tcPr>
            <w:tcW w:w="907" w:type="dxa"/>
            <w:tcBorders>
              <w:top w:val="nil"/>
              <w:left w:val="nil"/>
              <w:bottom w:val="single" w:sz="4" w:space="0" w:color="auto"/>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38,743 </w:t>
            </w:r>
          </w:p>
        </w:tc>
        <w:tc>
          <w:tcPr>
            <w:tcW w:w="907" w:type="dxa"/>
            <w:tcBorders>
              <w:top w:val="nil"/>
              <w:left w:val="nil"/>
              <w:bottom w:val="single" w:sz="4" w:space="0" w:color="auto"/>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37,745 </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EQUITY*</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Parent entity interest</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Contributed equity</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5,523 </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5,964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6,404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6,847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7,293 </w:t>
            </w:r>
          </w:p>
        </w:tc>
      </w:tr>
      <w:tr w:rsidR="00240B29" w:rsidRPr="00240B29" w:rsidTr="009067FF">
        <w:trPr>
          <w:trHeight w:val="227"/>
        </w:trPr>
        <w:tc>
          <w:tcPr>
            <w:tcW w:w="3175" w:type="dxa"/>
            <w:tcBorders>
              <w:top w:val="nil"/>
              <w:left w:val="nil"/>
              <w:bottom w:val="nil"/>
              <w:right w:val="nil"/>
            </w:tcBorders>
            <w:shd w:val="clear" w:color="auto" w:fill="auto"/>
            <w:vAlign w:val="center"/>
            <w:hideMark/>
          </w:tcPr>
          <w:p w:rsidR="00240B29" w:rsidRPr="00240B29" w:rsidRDefault="00240B29" w:rsidP="009067FF">
            <w:pPr>
              <w:spacing w:after="0" w:line="240" w:lineRule="auto"/>
              <w:ind w:firstLineChars="100" w:firstLine="160"/>
              <w:rPr>
                <w:rFonts w:ascii="Arial" w:hAnsi="Arial" w:cs="Arial"/>
                <w:color w:val="000000"/>
                <w:sz w:val="16"/>
                <w:szCs w:val="16"/>
              </w:rPr>
            </w:pPr>
            <w:r w:rsidRPr="00240B29">
              <w:rPr>
                <w:rFonts w:ascii="Arial" w:hAnsi="Arial" w:cs="Arial"/>
                <w:color w:val="000000"/>
                <w:sz w:val="16"/>
                <w:szCs w:val="16"/>
              </w:rPr>
              <w:t>Retained surplus (accumulated deficit)</w:t>
            </w:r>
          </w:p>
        </w:tc>
        <w:tc>
          <w:tcPr>
            <w:tcW w:w="952"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36,056 </w:t>
            </w:r>
          </w:p>
        </w:tc>
        <w:tc>
          <w:tcPr>
            <w:tcW w:w="907" w:type="dxa"/>
            <w:tcBorders>
              <w:top w:val="nil"/>
              <w:left w:val="nil"/>
              <w:bottom w:val="nil"/>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color w:val="000000"/>
                <w:sz w:val="16"/>
                <w:szCs w:val="16"/>
              </w:rPr>
            </w:pPr>
            <w:r w:rsidRPr="00240B29">
              <w:rPr>
                <w:rFonts w:ascii="Arial" w:hAnsi="Arial" w:cs="Arial"/>
                <w:color w:val="000000"/>
                <w:sz w:val="16"/>
                <w:szCs w:val="16"/>
              </w:rPr>
              <w:t xml:space="preserve">34,757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 xml:space="preserve">33,340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 xml:space="preserve">31,896 </w:t>
            </w:r>
          </w:p>
        </w:tc>
        <w:tc>
          <w:tcPr>
            <w:tcW w:w="907"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sz w:val="16"/>
                <w:szCs w:val="16"/>
              </w:rPr>
            </w:pPr>
            <w:r w:rsidRPr="00240B29">
              <w:rPr>
                <w:rFonts w:ascii="Arial" w:hAnsi="Arial" w:cs="Arial"/>
                <w:sz w:val="16"/>
                <w:szCs w:val="16"/>
              </w:rPr>
              <w:t xml:space="preserve">30,452 </w:t>
            </w:r>
          </w:p>
        </w:tc>
      </w:tr>
      <w:tr w:rsidR="00240B29" w:rsidRPr="00240B29" w:rsidTr="009067FF">
        <w:trPr>
          <w:trHeight w:val="225"/>
        </w:trPr>
        <w:tc>
          <w:tcPr>
            <w:tcW w:w="3175" w:type="dxa"/>
            <w:tcBorders>
              <w:top w:val="nil"/>
              <w:left w:val="nil"/>
              <w:bottom w:val="nil"/>
              <w:right w:val="nil"/>
            </w:tcBorders>
            <w:shd w:val="clear" w:color="auto" w:fill="auto"/>
            <w:noWrap/>
            <w:vAlign w:val="center"/>
            <w:hideMark/>
          </w:tcPr>
          <w:p w:rsidR="00240B29" w:rsidRPr="00240B29" w:rsidRDefault="00240B29" w:rsidP="009067FF">
            <w:pPr>
              <w:spacing w:after="0" w:line="240" w:lineRule="auto"/>
              <w:rPr>
                <w:rFonts w:ascii="Arial" w:hAnsi="Arial" w:cs="Arial"/>
                <w:b/>
                <w:bCs/>
                <w:i/>
                <w:iCs/>
                <w:color w:val="000000"/>
                <w:sz w:val="16"/>
                <w:szCs w:val="16"/>
              </w:rPr>
            </w:pPr>
            <w:r w:rsidRPr="00240B29">
              <w:rPr>
                <w:rFonts w:ascii="Arial" w:hAnsi="Arial" w:cs="Arial"/>
                <w:b/>
                <w:bCs/>
                <w:i/>
                <w:iCs/>
                <w:color w:val="000000"/>
                <w:sz w:val="16"/>
                <w:szCs w:val="16"/>
              </w:rPr>
              <w:t>Total parent entity interest</w:t>
            </w:r>
          </w:p>
        </w:tc>
        <w:tc>
          <w:tcPr>
            <w:tcW w:w="952"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41,579 </w:t>
            </w:r>
          </w:p>
        </w:tc>
        <w:tc>
          <w:tcPr>
            <w:tcW w:w="907" w:type="dxa"/>
            <w:tcBorders>
              <w:top w:val="single" w:sz="4" w:space="0" w:color="000000"/>
              <w:left w:val="nil"/>
              <w:bottom w:val="single" w:sz="4" w:space="0" w:color="000000"/>
              <w:right w:val="nil"/>
            </w:tcBorders>
            <w:shd w:val="clear" w:color="000000" w:fill="E6E6E6"/>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40,721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39,744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38,743 </w:t>
            </w:r>
          </w:p>
        </w:tc>
        <w:tc>
          <w:tcPr>
            <w:tcW w:w="907" w:type="dxa"/>
            <w:tcBorders>
              <w:top w:val="single" w:sz="4" w:space="0" w:color="000000"/>
              <w:left w:val="nil"/>
              <w:bottom w:val="single" w:sz="4" w:space="0" w:color="000000"/>
              <w:right w:val="nil"/>
            </w:tcBorders>
            <w:shd w:val="clear" w:color="auto" w:fill="auto"/>
            <w:noWrap/>
            <w:vAlign w:val="center"/>
            <w:hideMark/>
          </w:tcPr>
          <w:p w:rsidR="00240B29" w:rsidRPr="00240B29" w:rsidRDefault="00240B29" w:rsidP="009067FF">
            <w:pPr>
              <w:spacing w:after="0" w:line="240" w:lineRule="auto"/>
              <w:jc w:val="right"/>
              <w:rPr>
                <w:rFonts w:ascii="Arial" w:hAnsi="Arial" w:cs="Arial"/>
                <w:b/>
                <w:bCs/>
                <w:i/>
                <w:iCs/>
                <w:color w:val="000000"/>
                <w:sz w:val="16"/>
                <w:szCs w:val="16"/>
              </w:rPr>
            </w:pPr>
            <w:r w:rsidRPr="00240B29">
              <w:rPr>
                <w:rFonts w:ascii="Arial" w:hAnsi="Arial" w:cs="Arial"/>
                <w:b/>
                <w:bCs/>
                <w:i/>
                <w:iCs/>
                <w:color w:val="000000"/>
                <w:sz w:val="16"/>
                <w:szCs w:val="16"/>
              </w:rPr>
              <w:t xml:space="preserve">37,745 </w:t>
            </w:r>
          </w:p>
        </w:tc>
      </w:tr>
      <w:tr w:rsidR="00240B29" w:rsidRPr="00240B29" w:rsidTr="009067FF">
        <w:trPr>
          <w:trHeight w:val="225"/>
        </w:trPr>
        <w:tc>
          <w:tcPr>
            <w:tcW w:w="3175" w:type="dxa"/>
            <w:tcBorders>
              <w:top w:val="nil"/>
              <w:left w:val="nil"/>
              <w:bottom w:val="single" w:sz="4" w:space="0" w:color="000000"/>
              <w:right w:val="nil"/>
            </w:tcBorders>
            <w:shd w:val="clear" w:color="auto" w:fill="auto"/>
            <w:noWrap/>
            <w:vAlign w:val="bottom"/>
            <w:hideMark/>
          </w:tcPr>
          <w:p w:rsidR="00240B29" w:rsidRPr="00240B29" w:rsidRDefault="00240B29" w:rsidP="009067FF">
            <w:pPr>
              <w:spacing w:after="0" w:line="240" w:lineRule="auto"/>
              <w:rPr>
                <w:rFonts w:ascii="Arial" w:hAnsi="Arial" w:cs="Arial"/>
                <w:b/>
                <w:bCs/>
                <w:color w:val="000000"/>
                <w:sz w:val="16"/>
                <w:szCs w:val="16"/>
              </w:rPr>
            </w:pPr>
            <w:r w:rsidRPr="00240B29">
              <w:rPr>
                <w:rFonts w:ascii="Arial" w:hAnsi="Arial" w:cs="Arial"/>
                <w:b/>
                <w:bCs/>
                <w:color w:val="000000"/>
                <w:sz w:val="16"/>
                <w:szCs w:val="16"/>
              </w:rPr>
              <w:t>Total equity</w:t>
            </w:r>
          </w:p>
        </w:tc>
        <w:tc>
          <w:tcPr>
            <w:tcW w:w="952" w:type="dxa"/>
            <w:tcBorders>
              <w:top w:val="nil"/>
              <w:left w:val="nil"/>
              <w:bottom w:val="single" w:sz="4" w:space="0" w:color="000000"/>
              <w:right w:val="nil"/>
            </w:tcBorders>
            <w:shd w:val="clear" w:color="auto" w:fill="auto"/>
            <w:noWrap/>
            <w:vAlign w:val="bottom"/>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41,579 </w:t>
            </w:r>
          </w:p>
        </w:tc>
        <w:tc>
          <w:tcPr>
            <w:tcW w:w="907" w:type="dxa"/>
            <w:tcBorders>
              <w:top w:val="nil"/>
              <w:left w:val="nil"/>
              <w:bottom w:val="single" w:sz="4" w:space="0" w:color="000000"/>
              <w:right w:val="nil"/>
            </w:tcBorders>
            <w:shd w:val="clear" w:color="000000" w:fill="E6E6E6"/>
            <w:noWrap/>
            <w:vAlign w:val="bottom"/>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40,721 </w:t>
            </w:r>
          </w:p>
        </w:tc>
        <w:tc>
          <w:tcPr>
            <w:tcW w:w="907" w:type="dxa"/>
            <w:tcBorders>
              <w:top w:val="nil"/>
              <w:left w:val="nil"/>
              <w:bottom w:val="single" w:sz="4" w:space="0" w:color="000000"/>
              <w:right w:val="nil"/>
            </w:tcBorders>
            <w:shd w:val="clear" w:color="auto" w:fill="auto"/>
            <w:noWrap/>
            <w:vAlign w:val="bottom"/>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39,744 </w:t>
            </w:r>
          </w:p>
        </w:tc>
        <w:tc>
          <w:tcPr>
            <w:tcW w:w="907" w:type="dxa"/>
            <w:tcBorders>
              <w:top w:val="nil"/>
              <w:left w:val="nil"/>
              <w:bottom w:val="single" w:sz="4" w:space="0" w:color="000000"/>
              <w:right w:val="nil"/>
            </w:tcBorders>
            <w:shd w:val="clear" w:color="auto" w:fill="auto"/>
            <w:noWrap/>
            <w:vAlign w:val="bottom"/>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38,743 </w:t>
            </w:r>
          </w:p>
        </w:tc>
        <w:tc>
          <w:tcPr>
            <w:tcW w:w="907" w:type="dxa"/>
            <w:tcBorders>
              <w:top w:val="nil"/>
              <w:left w:val="nil"/>
              <w:bottom w:val="single" w:sz="4" w:space="0" w:color="000000"/>
              <w:right w:val="nil"/>
            </w:tcBorders>
            <w:shd w:val="clear" w:color="auto" w:fill="auto"/>
            <w:noWrap/>
            <w:vAlign w:val="bottom"/>
            <w:hideMark/>
          </w:tcPr>
          <w:p w:rsidR="00240B29" w:rsidRPr="00240B29" w:rsidRDefault="00240B29" w:rsidP="009067FF">
            <w:pPr>
              <w:spacing w:after="0" w:line="240" w:lineRule="auto"/>
              <w:jc w:val="right"/>
              <w:rPr>
                <w:rFonts w:ascii="Arial" w:hAnsi="Arial" w:cs="Arial"/>
                <w:b/>
                <w:bCs/>
                <w:color w:val="000000"/>
                <w:sz w:val="16"/>
                <w:szCs w:val="16"/>
              </w:rPr>
            </w:pPr>
            <w:r w:rsidRPr="00240B29">
              <w:rPr>
                <w:rFonts w:ascii="Arial" w:hAnsi="Arial" w:cs="Arial"/>
                <w:b/>
                <w:bCs/>
                <w:color w:val="000000"/>
                <w:sz w:val="16"/>
                <w:szCs w:val="16"/>
              </w:rPr>
              <w:t xml:space="preserve">37,745 </w:t>
            </w:r>
          </w:p>
        </w:tc>
      </w:tr>
    </w:tbl>
    <w:p w:rsidR="00240B29" w:rsidRPr="00240B29" w:rsidRDefault="009B3707" w:rsidP="003242D6">
      <w:pPr>
        <w:pStyle w:val="ChartandTableFootnote"/>
      </w:pPr>
      <w:r>
        <w:t>*Equity</w:t>
      </w:r>
      <w:r w:rsidR="00240B29" w:rsidRPr="00240B29">
        <w:t xml:space="preserve"> is the residual interest in assets after deduction of liabilities.</w:t>
      </w:r>
    </w:p>
    <w:p w:rsidR="00240B29" w:rsidRPr="003242D6" w:rsidRDefault="00240B29" w:rsidP="003242D6">
      <w:pPr>
        <w:pStyle w:val="ChartandTableFootnote"/>
        <w:rPr>
          <w:lang w:val="en-AU"/>
        </w:rPr>
      </w:pPr>
      <w:r w:rsidRPr="00240B29">
        <w:t>Prepared on Australian Accounting Standards basis.</w:t>
      </w:r>
    </w:p>
    <w:p w:rsidR="00240B29" w:rsidRPr="00240B29" w:rsidRDefault="00240B29" w:rsidP="003242D6">
      <w:pPr>
        <w:pStyle w:val="TableHeading"/>
      </w:pPr>
      <w:r w:rsidRPr="00240B29">
        <w:br w:type="page"/>
      </w:r>
      <w:r w:rsidRPr="00240B29">
        <w:lastRenderedPageBreak/>
        <w:t>Table 3.3: Departmental statement of changes in equity—summary of movement (Budget year 2018–19)</w:t>
      </w:r>
    </w:p>
    <w:tbl>
      <w:tblPr>
        <w:tblW w:w="7739" w:type="dxa"/>
        <w:tblInd w:w="93" w:type="dxa"/>
        <w:tblLook w:val="04A0" w:firstRow="1" w:lastRow="0" w:firstColumn="1" w:lastColumn="0" w:noHBand="0" w:noVBand="1"/>
      </w:tblPr>
      <w:tblGrid>
        <w:gridCol w:w="3940"/>
        <w:gridCol w:w="1304"/>
        <w:gridCol w:w="1304"/>
        <w:gridCol w:w="1191"/>
      </w:tblGrid>
      <w:tr w:rsidR="00A86E10" w:rsidRPr="003242D6" w:rsidTr="00A86E10">
        <w:trPr>
          <w:trHeight w:val="624"/>
        </w:trPr>
        <w:tc>
          <w:tcPr>
            <w:tcW w:w="3940" w:type="dxa"/>
            <w:tcBorders>
              <w:top w:val="single" w:sz="4" w:space="0" w:color="auto"/>
              <w:left w:val="nil"/>
              <w:bottom w:val="nil"/>
              <w:right w:val="nil"/>
            </w:tcBorders>
            <w:shd w:val="clear" w:color="auto" w:fill="auto"/>
            <w:noWrap/>
            <w:vAlign w:val="center"/>
            <w:hideMark/>
          </w:tcPr>
          <w:p w:rsidR="003242D6" w:rsidRPr="003242D6" w:rsidRDefault="003242D6" w:rsidP="00A86E10">
            <w:pPr>
              <w:spacing w:after="0" w:line="240" w:lineRule="auto"/>
              <w:rPr>
                <w:rFonts w:ascii="Arial" w:hAnsi="Arial" w:cs="Arial"/>
                <w:color w:val="000000"/>
                <w:sz w:val="16"/>
                <w:szCs w:val="16"/>
              </w:rPr>
            </w:pPr>
            <w:r w:rsidRPr="003242D6">
              <w:rPr>
                <w:rFonts w:ascii="Arial" w:hAnsi="Arial" w:cs="Arial"/>
                <w:color w:val="000000"/>
                <w:sz w:val="16"/>
                <w:szCs w:val="16"/>
              </w:rPr>
              <w:t> </w:t>
            </w:r>
          </w:p>
        </w:tc>
        <w:tc>
          <w:tcPr>
            <w:tcW w:w="1304" w:type="dxa"/>
            <w:tcBorders>
              <w:top w:val="single" w:sz="4" w:space="0" w:color="auto"/>
              <w:left w:val="nil"/>
              <w:bottom w:val="single" w:sz="4" w:space="0" w:color="000000"/>
              <w:right w:val="nil"/>
            </w:tcBorders>
            <w:shd w:val="clear" w:color="auto" w:fill="auto"/>
            <w:vAlign w:val="center"/>
            <w:hideMark/>
          </w:tcPr>
          <w:p w:rsidR="003242D6" w:rsidRPr="003242D6" w:rsidRDefault="00A86E10" w:rsidP="00A86E10">
            <w:pPr>
              <w:spacing w:after="0" w:line="240" w:lineRule="auto"/>
              <w:jc w:val="right"/>
              <w:rPr>
                <w:rFonts w:ascii="Arial" w:hAnsi="Arial" w:cs="Arial"/>
                <w:color w:val="000000"/>
                <w:sz w:val="16"/>
                <w:szCs w:val="16"/>
              </w:rPr>
            </w:pPr>
            <w:r>
              <w:rPr>
                <w:rFonts w:ascii="Arial" w:hAnsi="Arial" w:cs="Arial"/>
                <w:color w:val="000000"/>
                <w:sz w:val="16"/>
                <w:szCs w:val="16"/>
              </w:rPr>
              <w:t>Retained</w:t>
            </w:r>
            <w:r>
              <w:rPr>
                <w:rFonts w:ascii="Arial" w:hAnsi="Arial" w:cs="Arial"/>
                <w:color w:val="000000"/>
                <w:sz w:val="16"/>
                <w:szCs w:val="16"/>
              </w:rPr>
              <w:br/>
              <w:t>earnings</w:t>
            </w:r>
            <w:r w:rsidR="003242D6" w:rsidRPr="003242D6">
              <w:rPr>
                <w:rFonts w:ascii="Arial" w:hAnsi="Arial" w:cs="Arial"/>
                <w:color w:val="000000"/>
                <w:sz w:val="16"/>
                <w:szCs w:val="16"/>
              </w:rPr>
              <w:br/>
              <w:t>$'000</w:t>
            </w:r>
          </w:p>
        </w:tc>
        <w:tc>
          <w:tcPr>
            <w:tcW w:w="1304" w:type="dxa"/>
            <w:tcBorders>
              <w:top w:val="single" w:sz="4" w:space="0" w:color="auto"/>
              <w:left w:val="nil"/>
              <w:bottom w:val="single" w:sz="4" w:space="0" w:color="000000"/>
              <w:right w:val="nil"/>
            </w:tcBorders>
            <w:shd w:val="clear" w:color="auto" w:fill="auto"/>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Contributed</w:t>
            </w:r>
            <w:r w:rsidRPr="003242D6">
              <w:rPr>
                <w:rFonts w:ascii="Arial" w:hAnsi="Arial" w:cs="Arial"/>
                <w:color w:val="000000"/>
                <w:sz w:val="16"/>
                <w:szCs w:val="16"/>
              </w:rPr>
              <w:br/>
              <w:t>equity/capital</w:t>
            </w:r>
            <w:r w:rsidRPr="003242D6">
              <w:rPr>
                <w:rFonts w:ascii="Arial" w:hAnsi="Arial" w:cs="Arial"/>
                <w:color w:val="000000"/>
                <w:sz w:val="16"/>
                <w:szCs w:val="16"/>
              </w:rPr>
              <w:br/>
              <w:t>$'000</w:t>
            </w:r>
          </w:p>
        </w:tc>
        <w:tc>
          <w:tcPr>
            <w:tcW w:w="1191" w:type="dxa"/>
            <w:tcBorders>
              <w:top w:val="single" w:sz="4" w:space="0" w:color="auto"/>
              <w:left w:val="nil"/>
              <w:bottom w:val="single" w:sz="4" w:space="0" w:color="000000"/>
              <w:right w:val="nil"/>
            </w:tcBorders>
            <w:shd w:val="clear" w:color="auto" w:fill="auto"/>
            <w:vAlign w:val="center"/>
            <w:hideMark/>
          </w:tcPr>
          <w:p w:rsidR="003242D6" w:rsidRPr="003242D6" w:rsidRDefault="0048396B" w:rsidP="00A86E10">
            <w:pPr>
              <w:spacing w:after="0" w:line="240" w:lineRule="auto"/>
              <w:jc w:val="right"/>
              <w:rPr>
                <w:rFonts w:ascii="Arial" w:hAnsi="Arial" w:cs="Arial"/>
                <w:color w:val="000000"/>
                <w:sz w:val="16"/>
                <w:szCs w:val="16"/>
              </w:rPr>
            </w:pPr>
            <w:r>
              <w:rPr>
                <w:rFonts w:ascii="Arial" w:hAnsi="Arial" w:cs="Arial"/>
                <w:color w:val="000000"/>
                <w:sz w:val="16"/>
                <w:szCs w:val="16"/>
              </w:rPr>
              <w:t xml:space="preserve">Total </w:t>
            </w:r>
            <w:r w:rsidR="00A86E10">
              <w:rPr>
                <w:rFonts w:ascii="Arial" w:hAnsi="Arial" w:cs="Arial"/>
                <w:color w:val="000000"/>
                <w:sz w:val="16"/>
                <w:szCs w:val="16"/>
              </w:rPr>
              <w:t>equity</w:t>
            </w:r>
            <w:r>
              <w:rPr>
                <w:rFonts w:ascii="Arial" w:hAnsi="Arial" w:cs="Arial"/>
                <w:color w:val="000000"/>
                <w:sz w:val="16"/>
                <w:szCs w:val="16"/>
              </w:rPr>
              <w:t xml:space="preserve"> </w:t>
            </w:r>
            <w:r>
              <w:rPr>
                <w:rFonts w:ascii="Arial" w:hAnsi="Arial" w:cs="Arial"/>
                <w:color w:val="000000"/>
                <w:sz w:val="16"/>
                <w:szCs w:val="16"/>
              </w:rPr>
              <w:br/>
            </w:r>
            <w:r w:rsidR="00A86E10">
              <w:rPr>
                <w:rFonts w:ascii="Arial" w:hAnsi="Arial" w:cs="Arial"/>
                <w:color w:val="000000"/>
                <w:sz w:val="16"/>
                <w:szCs w:val="16"/>
              </w:rPr>
              <w:t xml:space="preserve"> </w:t>
            </w:r>
            <w:r w:rsidR="003242D6" w:rsidRPr="003242D6">
              <w:rPr>
                <w:rFonts w:ascii="Arial" w:hAnsi="Arial" w:cs="Arial"/>
                <w:color w:val="000000"/>
                <w:sz w:val="16"/>
                <w:szCs w:val="16"/>
              </w:rPr>
              <w:br/>
              <w:t>$'000</w:t>
            </w:r>
          </w:p>
        </w:tc>
      </w:tr>
      <w:tr w:rsidR="00A86E10" w:rsidRPr="003242D6" w:rsidTr="00A86E10">
        <w:trPr>
          <w:trHeight w:val="225"/>
        </w:trPr>
        <w:tc>
          <w:tcPr>
            <w:tcW w:w="3940" w:type="dxa"/>
            <w:tcBorders>
              <w:top w:val="nil"/>
              <w:left w:val="nil"/>
              <w:bottom w:val="nil"/>
              <w:right w:val="nil"/>
            </w:tcBorders>
            <w:shd w:val="clear" w:color="auto" w:fill="auto"/>
            <w:vAlign w:val="center"/>
            <w:hideMark/>
          </w:tcPr>
          <w:p w:rsidR="003242D6" w:rsidRPr="003242D6" w:rsidRDefault="003242D6" w:rsidP="00A86E10">
            <w:pPr>
              <w:spacing w:after="0" w:line="240" w:lineRule="auto"/>
              <w:rPr>
                <w:rFonts w:ascii="Arial" w:hAnsi="Arial" w:cs="Arial"/>
                <w:b/>
                <w:bCs/>
                <w:color w:val="000000"/>
                <w:sz w:val="16"/>
                <w:szCs w:val="16"/>
              </w:rPr>
            </w:pPr>
            <w:r w:rsidRPr="003242D6">
              <w:rPr>
                <w:rFonts w:ascii="Arial" w:hAnsi="Arial" w:cs="Arial"/>
                <w:b/>
                <w:bCs/>
                <w:color w:val="000000"/>
                <w:sz w:val="16"/>
                <w:szCs w:val="16"/>
              </w:rPr>
              <w:t>Opening balance as at 1 July 2018</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r>
      <w:tr w:rsidR="00A86E10" w:rsidRPr="003242D6" w:rsidTr="00A86E10">
        <w:trPr>
          <w:trHeight w:val="227"/>
        </w:trPr>
        <w:tc>
          <w:tcPr>
            <w:tcW w:w="3940" w:type="dxa"/>
            <w:tcBorders>
              <w:top w:val="nil"/>
              <w:left w:val="nil"/>
              <w:bottom w:val="nil"/>
              <w:right w:val="nil"/>
            </w:tcBorders>
            <w:shd w:val="clear" w:color="auto" w:fill="auto"/>
            <w:vAlign w:val="center"/>
            <w:hideMark/>
          </w:tcPr>
          <w:p w:rsidR="003242D6" w:rsidRPr="003242D6" w:rsidRDefault="003242D6" w:rsidP="00A86E10">
            <w:pPr>
              <w:spacing w:after="0" w:line="240" w:lineRule="auto"/>
              <w:ind w:firstLineChars="100" w:firstLine="160"/>
              <w:rPr>
                <w:rFonts w:ascii="Arial" w:hAnsi="Arial" w:cs="Arial"/>
                <w:color w:val="000000"/>
                <w:sz w:val="16"/>
                <w:szCs w:val="16"/>
              </w:rPr>
            </w:pPr>
            <w:r w:rsidRPr="003242D6">
              <w:rPr>
                <w:rFonts w:ascii="Arial" w:hAnsi="Arial" w:cs="Arial"/>
                <w:color w:val="000000"/>
                <w:sz w:val="16"/>
                <w:szCs w:val="16"/>
              </w:rPr>
              <w:t>Balance carried forward from previous period</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sz w:val="16"/>
                <w:szCs w:val="16"/>
              </w:rPr>
            </w:pPr>
            <w:r w:rsidRPr="003242D6">
              <w:rPr>
                <w:rFonts w:ascii="Arial" w:hAnsi="Arial" w:cs="Arial"/>
                <w:sz w:val="16"/>
                <w:szCs w:val="16"/>
              </w:rPr>
              <w:t xml:space="preserve">36,056 </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5,523 </w:t>
            </w:r>
          </w:p>
        </w:tc>
        <w:tc>
          <w:tcPr>
            <w:tcW w:w="1191"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41,579 </w:t>
            </w:r>
          </w:p>
        </w:tc>
      </w:tr>
      <w:tr w:rsidR="00A86E10" w:rsidRPr="003242D6" w:rsidTr="00A86E10">
        <w:trPr>
          <w:trHeight w:val="227"/>
        </w:trPr>
        <w:tc>
          <w:tcPr>
            <w:tcW w:w="3940" w:type="dxa"/>
            <w:tcBorders>
              <w:top w:val="nil"/>
              <w:left w:val="nil"/>
              <w:bottom w:val="nil"/>
              <w:right w:val="nil"/>
            </w:tcBorders>
            <w:shd w:val="clear" w:color="auto" w:fill="auto"/>
            <w:vAlign w:val="center"/>
            <w:hideMark/>
          </w:tcPr>
          <w:p w:rsidR="003242D6" w:rsidRPr="003242D6" w:rsidRDefault="003242D6" w:rsidP="00A86E10">
            <w:pPr>
              <w:spacing w:after="0" w:line="240" w:lineRule="auto"/>
              <w:rPr>
                <w:rFonts w:ascii="Arial" w:hAnsi="Arial" w:cs="Arial"/>
                <w:b/>
                <w:bCs/>
                <w:i/>
                <w:iCs/>
                <w:color w:val="000000"/>
                <w:sz w:val="16"/>
                <w:szCs w:val="16"/>
              </w:rPr>
            </w:pPr>
            <w:r w:rsidRPr="003242D6">
              <w:rPr>
                <w:rFonts w:ascii="Arial" w:hAnsi="Arial" w:cs="Arial"/>
                <w:b/>
                <w:bCs/>
                <w:i/>
                <w:iCs/>
                <w:color w:val="000000"/>
                <w:sz w:val="16"/>
                <w:szCs w:val="16"/>
              </w:rPr>
              <w:t>Adjusted opening balance</w:t>
            </w:r>
          </w:p>
        </w:tc>
        <w:tc>
          <w:tcPr>
            <w:tcW w:w="1304" w:type="dxa"/>
            <w:tcBorders>
              <w:top w:val="single" w:sz="4" w:space="0" w:color="000000"/>
              <w:left w:val="nil"/>
              <w:bottom w:val="single" w:sz="4" w:space="0" w:color="000000"/>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36,056 </w:t>
            </w:r>
          </w:p>
        </w:tc>
        <w:tc>
          <w:tcPr>
            <w:tcW w:w="1304" w:type="dxa"/>
            <w:tcBorders>
              <w:top w:val="single" w:sz="4" w:space="0" w:color="000000"/>
              <w:left w:val="nil"/>
              <w:bottom w:val="single" w:sz="4" w:space="0" w:color="000000"/>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5,523 </w:t>
            </w:r>
          </w:p>
        </w:tc>
        <w:tc>
          <w:tcPr>
            <w:tcW w:w="1191" w:type="dxa"/>
            <w:tcBorders>
              <w:top w:val="single" w:sz="4" w:space="0" w:color="000000"/>
              <w:left w:val="nil"/>
              <w:bottom w:val="single" w:sz="4" w:space="0" w:color="000000"/>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41,579 </w:t>
            </w:r>
          </w:p>
        </w:tc>
      </w:tr>
      <w:tr w:rsidR="00A86E10" w:rsidRPr="003242D6" w:rsidTr="00A86E10">
        <w:trPr>
          <w:trHeight w:val="225"/>
        </w:trPr>
        <w:tc>
          <w:tcPr>
            <w:tcW w:w="3940"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rPr>
                <w:rFonts w:ascii="Arial" w:hAnsi="Arial" w:cs="Arial"/>
                <w:b/>
                <w:bCs/>
                <w:color w:val="000000"/>
                <w:sz w:val="16"/>
                <w:szCs w:val="16"/>
              </w:rPr>
            </w:pPr>
            <w:r w:rsidRPr="003242D6">
              <w:rPr>
                <w:rFonts w:ascii="Arial" w:hAnsi="Arial" w:cs="Arial"/>
                <w:b/>
                <w:bCs/>
                <w:color w:val="000000"/>
                <w:sz w:val="16"/>
                <w:szCs w:val="16"/>
              </w:rPr>
              <w:t>Comprehensive income</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r>
      <w:tr w:rsidR="00A86E10" w:rsidRPr="003242D6" w:rsidTr="00A86E10">
        <w:trPr>
          <w:trHeight w:val="225"/>
        </w:trPr>
        <w:tc>
          <w:tcPr>
            <w:tcW w:w="3940"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ind w:firstLineChars="100" w:firstLine="160"/>
              <w:rPr>
                <w:rFonts w:ascii="Arial" w:hAnsi="Arial" w:cs="Arial"/>
                <w:sz w:val="16"/>
                <w:szCs w:val="16"/>
              </w:rPr>
            </w:pPr>
            <w:r w:rsidRPr="003242D6">
              <w:rPr>
                <w:rFonts w:ascii="Arial" w:hAnsi="Arial" w:cs="Arial"/>
                <w:sz w:val="16"/>
                <w:szCs w:val="16"/>
              </w:rPr>
              <w:t>Surplus/(deficit) for the period</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(1,299)</w:t>
            </w:r>
          </w:p>
        </w:tc>
        <w:tc>
          <w:tcPr>
            <w:tcW w:w="1304" w:type="dxa"/>
            <w:tcBorders>
              <w:top w:val="nil"/>
              <w:left w:val="nil"/>
              <w:bottom w:val="nil"/>
              <w:right w:val="nil"/>
            </w:tcBorders>
            <w:shd w:val="clear" w:color="auto" w:fill="auto"/>
            <w:noWrap/>
            <w:vAlign w:val="center"/>
            <w:hideMark/>
          </w:tcPr>
          <w:p w:rsidR="003242D6" w:rsidRPr="003242D6" w:rsidRDefault="00B52818" w:rsidP="00A86E1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91"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(1,299)</w:t>
            </w:r>
          </w:p>
        </w:tc>
      </w:tr>
      <w:tr w:rsidR="00A86E10" w:rsidRPr="003242D6" w:rsidTr="00A86E10">
        <w:trPr>
          <w:trHeight w:val="227"/>
        </w:trPr>
        <w:tc>
          <w:tcPr>
            <w:tcW w:w="3940" w:type="dxa"/>
            <w:tcBorders>
              <w:top w:val="nil"/>
              <w:left w:val="nil"/>
              <w:bottom w:val="nil"/>
              <w:right w:val="nil"/>
            </w:tcBorders>
            <w:shd w:val="clear" w:color="auto" w:fill="auto"/>
            <w:vAlign w:val="center"/>
            <w:hideMark/>
          </w:tcPr>
          <w:p w:rsidR="003242D6" w:rsidRPr="003242D6" w:rsidRDefault="003242D6" w:rsidP="00A86E10">
            <w:pPr>
              <w:spacing w:after="0" w:line="240" w:lineRule="auto"/>
              <w:rPr>
                <w:rFonts w:ascii="Arial" w:hAnsi="Arial" w:cs="Arial"/>
                <w:b/>
                <w:bCs/>
                <w:i/>
                <w:iCs/>
                <w:color w:val="000000"/>
                <w:sz w:val="16"/>
                <w:szCs w:val="16"/>
              </w:rPr>
            </w:pPr>
            <w:r w:rsidRPr="003242D6">
              <w:rPr>
                <w:rFonts w:ascii="Arial" w:hAnsi="Arial" w:cs="Arial"/>
                <w:b/>
                <w:bCs/>
                <w:i/>
                <w:iCs/>
                <w:color w:val="000000"/>
                <w:sz w:val="16"/>
                <w:szCs w:val="16"/>
              </w:rPr>
              <w:t>Total comprehensive income</w:t>
            </w:r>
          </w:p>
        </w:tc>
        <w:tc>
          <w:tcPr>
            <w:tcW w:w="1304" w:type="dxa"/>
            <w:tcBorders>
              <w:top w:val="single" w:sz="4" w:space="0" w:color="000000"/>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(1,299)</w:t>
            </w:r>
          </w:p>
        </w:tc>
        <w:tc>
          <w:tcPr>
            <w:tcW w:w="1304" w:type="dxa"/>
            <w:tcBorders>
              <w:top w:val="single" w:sz="4" w:space="0" w:color="000000"/>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 </w:t>
            </w:r>
          </w:p>
        </w:tc>
        <w:tc>
          <w:tcPr>
            <w:tcW w:w="1191" w:type="dxa"/>
            <w:tcBorders>
              <w:top w:val="single" w:sz="4" w:space="0" w:color="000000"/>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(1,299)</w:t>
            </w:r>
          </w:p>
        </w:tc>
      </w:tr>
      <w:tr w:rsidR="00A86E10" w:rsidRPr="003242D6" w:rsidTr="00A86E10">
        <w:trPr>
          <w:trHeight w:val="225"/>
        </w:trPr>
        <w:tc>
          <w:tcPr>
            <w:tcW w:w="3940"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ind w:firstLineChars="100" w:firstLine="160"/>
              <w:rPr>
                <w:rFonts w:ascii="Arial" w:hAnsi="Arial" w:cs="Arial"/>
                <w:color w:val="000000"/>
                <w:sz w:val="16"/>
                <w:szCs w:val="16"/>
              </w:rPr>
            </w:pPr>
            <w:r w:rsidRPr="003242D6">
              <w:rPr>
                <w:rFonts w:ascii="Arial" w:hAnsi="Arial" w:cs="Arial"/>
                <w:color w:val="000000"/>
                <w:sz w:val="16"/>
                <w:szCs w:val="16"/>
              </w:rPr>
              <w:t>of which:</w:t>
            </w:r>
          </w:p>
        </w:tc>
        <w:tc>
          <w:tcPr>
            <w:tcW w:w="1304" w:type="dxa"/>
            <w:tcBorders>
              <w:top w:val="single" w:sz="4" w:space="0" w:color="000000"/>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w:t>
            </w:r>
          </w:p>
        </w:tc>
        <w:tc>
          <w:tcPr>
            <w:tcW w:w="1304" w:type="dxa"/>
            <w:tcBorders>
              <w:top w:val="single" w:sz="4" w:space="0" w:color="000000"/>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w:t>
            </w:r>
          </w:p>
        </w:tc>
        <w:tc>
          <w:tcPr>
            <w:tcW w:w="1191" w:type="dxa"/>
            <w:tcBorders>
              <w:top w:val="single" w:sz="4" w:space="0" w:color="000000"/>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w:t>
            </w:r>
          </w:p>
        </w:tc>
      </w:tr>
      <w:tr w:rsidR="00A86E10" w:rsidRPr="003242D6" w:rsidTr="00A86E10">
        <w:trPr>
          <w:trHeight w:val="227"/>
        </w:trPr>
        <w:tc>
          <w:tcPr>
            <w:tcW w:w="3940" w:type="dxa"/>
            <w:tcBorders>
              <w:top w:val="nil"/>
              <w:left w:val="nil"/>
              <w:bottom w:val="nil"/>
              <w:right w:val="nil"/>
            </w:tcBorders>
            <w:shd w:val="clear" w:color="auto" w:fill="auto"/>
            <w:vAlign w:val="center"/>
            <w:hideMark/>
          </w:tcPr>
          <w:p w:rsidR="003242D6" w:rsidRPr="003242D6" w:rsidRDefault="003242D6" w:rsidP="00A86E10">
            <w:pPr>
              <w:spacing w:after="0" w:line="240" w:lineRule="auto"/>
              <w:ind w:firstLineChars="200" w:firstLine="320"/>
              <w:rPr>
                <w:rFonts w:ascii="Arial" w:hAnsi="Arial" w:cs="Arial"/>
                <w:color w:val="000000"/>
                <w:sz w:val="16"/>
                <w:szCs w:val="16"/>
              </w:rPr>
            </w:pPr>
            <w:r w:rsidRPr="003242D6">
              <w:rPr>
                <w:rFonts w:ascii="Arial" w:hAnsi="Arial" w:cs="Arial"/>
                <w:color w:val="000000"/>
                <w:sz w:val="16"/>
                <w:szCs w:val="16"/>
              </w:rPr>
              <w:t>Attributable to the Australian Government</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(1,299)</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(1,299)</w:t>
            </w:r>
          </w:p>
        </w:tc>
      </w:tr>
      <w:tr w:rsidR="00A86E10" w:rsidRPr="003242D6" w:rsidTr="00A86E10">
        <w:trPr>
          <w:trHeight w:val="225"/>
        </w:trPr>
        <w:tc>
          <w:tcPr>
            <w:tcW w:w="3940"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rPr>
                <w:rFonts w:ascii="Arial" w:hAnsi="Arial" w:cs="Arial"/>
                <w:b/>
                <w:bCs/>
                <w:color w:val="000000"/>
                <w:sz w:val="16"/>
                <w:szCs w:val="16"/>
              </w:rPr>
            </w:pPr>
            <w:r w:rsidRPr="003242D6">
              <w:rPr>
                <w:rFonts w:ascii="Arial" w:hAnsi="Arial" w:cs="Arial"/>
                <w:b/>
                <w:bCs/>
                <w:color w:val="000000"/>
                <w:sz w:val="16"/>
                <w:szCs w:val="16"/>
              </w:rPr>
              <w:t>Transactions with owners</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r>
      <w:tr w:rsidR="00A86E10" w:rsidRPr="003242D6" w:rsidTr="00A86E10">
        <w:trPr>
          <w:trHeight w:val="225"/>
        </w:trPr>
        <w:tc>
          <w:tcPr>
            <w:tcW w:w="3940"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rPr>
                <w:rFonts w:ascii="Arial" w:hAnsi="Arial" w:cs="Arial"/>
                <w:b/>
                <w:bCs/>
                <w:i/>
                <w:iCs/>
                <w:color w:val="000000"/>
                <w:sz w:val="16"/>
                <w:szCs w:val="16"/>
              </w:rPr>
            </w:pPr>
            <w:r w:rsidRPr="003242D6">
              <w:rPr>
                <w:rFonts w:ascii="Arial" w:hAnsi="Arial" w:cs="Arial"/>
                <w:b/>
                <w:bCs/>
                <w:i/>
                <w:iCs/>
                <w:color w:val="000000"/>
                <w:sz w:val="16"/>
                <w:szCs w:val="16"/>
              </w:rPr>
              <w:t>Contributions by owners</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p>
        </w:tc>
      </w:tr>
      <w:tr w:rsidR="00A86E10" w:rsidRPr="003242D6" w:rsidTr="00A86E10">
        <w:trPr>
          <w:trHeight w:val="225"/>
        </w:trPr>
        <w:tc>
          <w:tcPr>
            <w:tcW w:w="3940"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ind w:firstLineChars="200" w:firstLine="320"/>
              <w:rPr>
                <w:rFonts w:ascii="Arial" w:hAnsi="Arial" w:cs="Arial"/>
                <w:color w:val="000000"/>
                <w:sz w:val="16"/>
                <w:szCs w:val="16"/>
              </w:rPr>
            </w:pPr>
            <w:r w:rsidRPr="003242D6">
              <w:rPr>
                <w:rFonts w:ascii="Arial" w:hAnsi="Arial" w:cs="Arial"/>
                <w:color w:val="000000"/>
                <w:sz w:val="16"/>
                <w:szCs w:val="16"/>
              </w:rPr>
              <w:t>Departmental Capital Budget (DCB)</w:t>
            </w:r>
          </w:p>
        </w:tc>
        <w:tc>
          <w:tcPr>
            <w:tcW w:w="1304" w:type="dxa"/>
            <w:tcBorders>
              <w:top w:val="nil"/>
              <w:left w:val="nil"/>
              <w:bottom w:val="nil"/>
              <w:right w:val="nil"/>
            </w:tcBorders>
            <w:shd w:val="clear" w:color="auto" w:fill="auto"/>
            <w:noWrap/>
            <w:vAlign w:val="center"/>
            <w:hideMark/>
          </w:tcPr>
          <w:p w:rsidR="003242D6" w:rsidRPr="003242D6" w:rsidRDefault="00B52818" w:rsidP="00A86E1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304"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441 </w:t>
            </w:r>
          </w:p>
        </w:tc>
        <w:tc>
          <w:tcPr>
            <w:tcW w:w="1191"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441 </w:t>
            </w:r>
          </w:p>
        </w:tc>
      </w:tr>
      <w:tr w:rsidR="00A86E10" w:rsidRPr="003242D6" w:rsidTr="00A86E10">
        <w:trPr>
          <w:trHeight w:val="227"/>
        </w:trPr>
        <w:tc>
          <w:tcPr>
            <w:tcW w:w="3940" w:type="dxa"/>
            <w:tcBorders>
              <w:top w:val="nil"/>
              <w:left w:val="nil"/>
              <w:bottom w:val="nil"/>
              <w:right w:val="nil"/>
            </w:tcBorders>
            <w:shd w:val="clear" w:color="auto" w:fill="auto"/>
            <w:vAlign w:val="center"/>
            <w:hideMark/>
          </w:tcPr>
          <w:p w:rsidR="003242D6" w:rsidRPr="003242D6" w:rsidRDefault="003242D6" w:rsidP="00A86E10">
            <w:pPr>
              <w:spacing w:after="0" w:line="240" w:lineRule="auto"/>
              <w:rPr>
                <w:rFonts w:ascii="Arial" w:hAnsi="Arial" w:cs="Arial"/>
                <w:b/>
                <w:bCs/>
                <w:i/>
                <w:iCs/>
                <w:color w:val="000000"/>
                <w:sz w:val="16"/>
                <w:szCs w:val="16"/>
              </w:rPr>
            </w:pPr>
            <w:r w:rsidRPr="003242D6">
              <w:rPr>
                <w:rFonts w:ascii="Arial" w:hAnsi="Arial" w:cs="Arial"/>
                <w:b/>
                <w:bCs/>
                <w:i/>
                <w:iCs/>
                <w:color w:val="000000"/>
                <w:sz w:val="16"/>
                <w:szCs w:val="16"/>
              </w:rPr>
              <w:t>Sub-total transactions with owners</w:t>
            </w:r>
          </w:p>
        </w:tc>
        <w:tc>
          <w:tcPr>
            <w:tcW w:w="1304" w:type="dxa"/>
            <w:tcBorders>
              <w:top w:val="single" w:sz="4" w:space="0" w:color="000000"/>
              <w:left w:val="nil"/>
              <w:bottom w:val="single" w:sz="4" w:space="0" w:color="000000"/>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 </w:t>
            </w:r>
          </w:p>
        </w:tc>
        <w:tc>
          <w:tcPr>
            <w:tcW w:w="1304" w:type="dxa"/>
            <w:tcBorders>
              <w:top w:val="single" w:sz="4" w:space="0" w:color="000000"/>
              <w:left w:val="nil"/>
              <w:bottom w:val="single" w:sz="4" w:space="0" w:color="000000"/>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441 </w:t>
            </w:r>
          </w:p>
        </w:tc>
        <w:tc>
          <w:tcPr>
            <w:tcW w:w="1191" w:type="dxa"/>
            <w:tcBorders>
              <w:top w:val="single" w:sz="4" w:space="0" w:color="000000"/>
              <w:left w:val="nil"/>
              <w:bottom w:val="single" w:sz="4" w:space="0" w:color="000000"/>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i/>
                <w:iCs/>
                <w:color w:val="000000"/>
                <w:sz w:val="16"/>
                <w:szCs w:val="16"/>
              </w:rPr>
            </w:pPr>
            <w:r w:rsidRPr="003242D6">
              <w:rPr>
                <w:rFonts w:ascii="Arial" w:hAnsi="Arial" w:cs="Arial"/>
                <w:b/>
                <w:bCs/>
                <w:i/>
                <w:iCs/>
                <w:color w:val="000000"/>
                <w:sz w:val="16"/>
                <w:szCs w:val="16"/>
              </w:rPr>
              <w:t xml:space="preserve">441 </w:t>
            </w:r>
          </w:p>
        </w:tc>
      </w:tr>
      <w:tr w:rsidR="00A86E10" w:rsidRPr="003242D6" w:rsidTr="00A86E10">
        <w:trPr>
          <w:trHeight w:val="227"/>
        </w:trPr>
        <w:tc>
          <w:tcPr>
            <w:tcW w:w="3940" w:type="dxa"/>
            <w:tcBorders>
              <w:top w:val="nil"/>
              <w:left w:val="nil"/>
              <w:bottom w:val="nil"/>
              <w:right w:val="nil"/>
            </w:tcBorders>
            <w:shd w:val="clear" w:color="auto" w:fill="auto"/>
            <w:vAlign w:val="center"/>
            <w:hideMark/>
          </w:tcPr>
          <w:p w:rsidR="003242D6" w:rsidRPr="003242D6" w:rsidRDefault="003242D6" w:rsidP="00A86E10">
            <w:pPr>
              <w:spacing w:after="0" w:line="240" w:lineRule="auto"/>
              <w:rPr>
                <w:rFonts w:ascii="Arial" w:hAnsi="Arial" w:cs="Arial"/>
                <w:b/>
                <w:bCs/>
                <w:color w:val="000000"/>
                <w:sz w:val="16"/>
                <w:szCs w:val="16"/>
              </w:rPr>
            </w:pPr>
            <w:r w:rsidRPr="003242D6">
              <w:rPr>
                <w:rFonts w:ascii="Arial" w:hAnsi="Arial" w:cs="Arial"/>
                <w:b/>
                <w:bCs/>
                <w:color w:val="000000"/>
                <w:sz w:val="16"/>
                <w:szCs w:val="16"/>
              </w:rPr>
              <w:t>Estimated closing balance as at 30 June 2019</w:t>
            </w:r>
          </w:p>
        </w:tc>
        <w:tc>
          <w:tcPr>
            <w:tcW w:w="1304" w:type="dxa"/>
            <w:tcBorders>
              <w:top w:val="single" w:sz="4" w:space="0" w:color="auto"/>
              <w:left w:val="nil"/>
              <w:bottom w:val="single" w:sz="4" w:space="0" w:color="auto"/>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34,757 </w:t>
            </w:r>
          </w:p>
        </w:tc>
        <w:tc>
          <w:tcPr>
            <w:tcW w:w="1304" w:type="dxa"/>
            <w:tcBorders>
              <w:top w:val="single" w:sz="4" w:space="0" w:color="auto"/>
              <w:left w:val="nil"/>
              <w:bottom w:val="single" w:sz="4" w:space="0" w:color="auto"/>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5,964 </w:t>
            </w:r>
          </w:p>
        </w:tc>
        <w:tc>
          <w:tcPr>
            <w:tcW w:w="1191" w:type="dxa"/>
            <w:tcBorders>
              <w:top w:val="single" w:sz="4" w:space="0" w:color="auto"/>
              <w:left w:val="nil"/>
              <w:bottom w:val="single" w:sz="4" w:space="0" w:color="auto"/>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40,721 </w:t>
            </w:r>
          </w:p>
        </w:tc>
      </w:tr>
      <w:tr w:rsidR="00A86E10" w:rsidRPr="003242D6" w:rsidTr="00A86E10">
        <w:trPr>
          <w:trHeight w:val="225"/>
        </w:trPr>
        <w:tc>
          <w:tcPr>
            <w:tcW w:w="3940" w:type="dxa"/>
            <w:tcBorders>
              <w:top w:val="nil"/>
              <w:left w:val="nil"/>
              <w:bottom w:val="nil"/>
              <w:right w:val="nil"/>
            </w:tcBorders>
            <w:shd w:val="clear" w:color="auto" w:fill="auto"/>
            <w:noWrap/>
            <w:vAlign w:val="center"/>
            <w:hideMark/>
          </w:tcPr>
          <w:p w:rsidR="003242D6" w:rsidRPr="003242D6" w:rsidRDefault="003242D6" w:rsidP="00A86E10">
            <w:pPr>
              <w:spacing w:after="0" w:line="240" w:lineRule="auto"/>
              <w:ind w:firstLineChars="100" w:firstLine="160"/>
              <w:rPr>
                <w:rFonts w:ascii="Arial" w:hAnsi="Arial" w:cs="Arial"/>
                <w:color w:val="000000"/>
                <w:sz w:val="16"/>
                <w:szCs w:val="16"/>
              </w:rPr>
            </w:pPr>
            <w:r w:rsidRPr="003242D6">
              <w:rPr>
                <w:rFonts w:ascii="Arial" w:hAnsi="Arial" w:cs="Arial"/>
                <w:color w:val="000000"/>
                <w:sz w:val="16"/>
                <w:szCs w:val="16"/>
              </w:rPr>
              <w:t>Less: non-controlling interests</w:t>
            </w:r>
          </w:p>
        </w:tc>
        <w:tc>
          <w:tcPr>
            <w:tcW w:w="1304" w:type="dxa"/>
            <w:tcBorders>
              <w:top w:val="nil"/>
              <w:left w:val="nil"/>
              <w:bottom w:val="single" w:sz="4" w:space="0" w:color="auto"/>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w:t>
            </w:r>
            <w:r w:rsidR="00B52818">
              <w:rPr>
                <w:rFonts w:ascii="Arial" w:hAnsi="Arial" w:cs="Arial"/>
                <w:color w:val="000000"/>
                <w:sz w:val="16"/>
                <w:szCs w:val="16"/>
              </w:rPr>
              <w:t>-</w:t>
            </w:r>
          </w:p>
        </w:tc>
        <w:tc>
          <w:tcPr>
            <w:tcW w:w="1304" w:type="dxa"/>
            <w:tcBorders>
              <w:top w:val="nil"/>
              <w:left w:val="nil"/>
              <w:bottom w:val="single" w:sz="4" w:space="0" w:color="auto"/>
              <w:right w:val="nil"/>
            </w:tcBorders>
            <w:shd w:val="clear" w:color="auto" w:fill="auto"/>
            <w:noWrap/>
            <w:vAlign w:val="center"/>
            <w:hideMark/>
          </w:tcPr>
          <w:p w:rsidR="003242D6" w:rsidRPr="003242D6" w:rsidRDefault="00B52818" w:rsidP="00A86E10">
            <w:pPr>
              <w:spacing w:after="0" w:line="240" w:lineRule="auto"/>
              <w:jc w:val="right"/>
              <w:rPr>
                <w:rFonts w:ascii="Arial" w:hAnsi="Arial" w:cs="Arial"/>
                <w:color w:val="000000"/>
                <w:sz w:val="16"/>
                <w:szCs w:val="16"/>
              </w:rPr>
            </w:pPr>
            <w:r>
              <w:rPr>
                <w:rFonts w:ascii="Arial" w:hAnsi="Arial" w:cs="Arial"/>
                <w:color w:val="000000"/>
                <w:sz w:val="16"/>
                <w:szCs w:val="16"/>
              </w:rPr>
              <w:t>-</w:t>
            </w:r>
            <w:r w:rsidR="003242D6" w:rsidRPr="003242D6">
              <w:rPr>
                <w:rFonts w:ascii="Arial" w:hAnsi="Arial" w:cs="Arial"/>
                <w:color w:val="000000"/>
                <w:sz w:val="16"/>
                <w:szCs w:val="16"/>
              </w:rPr>
              <w:t> </w:t>
            </w:r>
          </w:p>
        </w:tc>
        <w:tc>
          <w:tcPr>
            <w:tcW w:w="1191" w:type="dxa"/>
            <w:tcBorders>
              <w:top w:val="nil"/>
              <w:left w:val="nil"/>
              <w:bottom w:val="single" w:sz="4" w:space="0" w:color="auto"/>
              <w:right w:val="nil"/>
            </w:tcBorders>
            <w:shd w:val="clear" w:color="auto" w:fill="auto"/>
            <w:noWrap/>
            <w:vAlign w:val="center"/>
            <w:hideMark/>
          </w:tcPr>
          <w:p w:rsidR="003242D6" w:rsidRPr="003242D6" w:rsidRDefault="003242D6" w:rsidP="00A86E10">
            <w:pPr>
              <w:spacing w:after="0" w:line="240" w:lineRule="auto"/>
              <w:jc w:val="right"/>
              <w:rPr>
                <w:rFonts w:ascii="Arial" w:hAnsi="Arial" w:cs="Arial"/>
                <w:color w:val="000000"/>
                <w:sz w:val="16"/>
                <w:szCs w:val="16"/>
              </w:rPr>
            </w:pPr>
            <w:r w:rsidRPr="003242D6">
              <w:rPr>
                <w:rFonts w:ascii="Arial" w:hAnsi="Arial" w:cs="Arial"/>
                <w:color w:val="000000"/>
                <w:sz w:val="16"/>
                <w:szCs w:val="16"/>
              </w:rPr>
              <w:t xml:space="preserve">- </w:t>
            </w:r>
          </w:p>
        </w:tc>
      </w:tr>
      <w:tr w:rsidR="00A86E10" w:rsidRPr="003242D6" w:rsidTr="00A86E10">
        <w:trPr>
          <w:trHeight w:val="397"/>
        </w:trPr>
        <w:tc>
          <w:tcPr>
            <w:tcW w:w="3940" w:type="dxa"/>
            <w:tcBorders>
              <w:top w:val="nil"/>
              <w:left w:val="nil"/>
              <w:bottom w:val="single" w:sz="4" w:space="0" w:color="000000"/>
              <w:right w:val="nil"/>
            </w:tcBorders>
            <w:shd w:val="clear" w:color="auto" w:fill="auto"/>
            <w:vAlign w:val="bottom"/>
            <w:hideMark/>
          </w:tcPr>
          <w:p w:rsidR="003242D6" w:rsidRPr="003242D6" w:rsidRDefault="003242D6" w:rsidP="00A86E10">
            <w:pPr>
              <w:spacing w:after="0" w:line="240" w:lineRule="auto"/>
              <w:ind w:left="191" w:hanging="191"/>
              <w:rPr>
                <w:rFonts w:ascii="Arial" w:hAnsi="Arial" w:cs="Arial"/>
                <w:b/>
                <w:bCs/>
                <w:color w:val="000000"/>
                <w:sz w:val="16"/>
                <w:szCs w:val="16"/>
              </w:rPr>
            </w:pPr>
            <w:r w:rsidRPr="003242D6">
              <w:rPr>
                <w:rFonts w:ascii="Arial" w:hAnsi="Arial" w:cs="Arial"/>
                <w:b/>
                <w:bCs/>
                <w:color w:val="000000"/>
                <w:sz w:val="16"/>
                <w:szCs w:val="16"/>
              </w:rPr>
              <w:t xml:space="preserve">Closing balance attributable to the </w:t>
            </w:r>
            <w:r w:rsidR="00A86E10">
              <w:rPr>
                <w:rFonts w:ascii="Arial" w:hAnsi="Arial" w:cs="Arial"/>
                <w:b/>
                <w:bCs/>
                <w:color w:val="000000"/>
                <w:sz w:val="16"/>
                <w:szCs w:val="16"/>
              </w:rPr>
              <w:br/>
            </w:r>
            <w:r w:rsidRPr="003242D6">
              <w:rPr>
                <w:rFonts w:ascii="Arial" w:hAnsi="Arial" w:cs="Arial"/>
                <w:b/>
                <w:bCs/>
                <w:color w:val="000000"/>
                <w:sz w:val="16"/>
                <w:szCs w:val="16"/>
              </w:rPr>
              <w:t>Australian Government</w:t>
            </w:r>
          </w:p>
        </w:tc>
        <w:tc>
          <w:tcPr>
            <w:tcW w:w="1304" w:type="dxa"/>
            <w:tcBorders>
              <w:top w:val="nil"/>
              <w:left w:val="nil"/>
              <w:bottom w:val="single" w:sz="4" w:space="0" w:color="auto"/>
              <w:right w:val="nil"/>
            </w:tcBorders>
            <w:shd w:val="clear" w:color="auto" w:fill="auto"/>
            <w:noWrap/>
            <w:vAlign w:val="bottom"/>
            <w:hideMark/>
          </w:tcPr>
          <w:p w:rsidR="003242D6" w:rsidRPr="003242D6" w:rsidRDefault="003242D6" w:rsidP="003242D6">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34,757 </w:t>
            </w:r>
          </w:p>
        </w:tc>
        <w:tc>
          <w:tcPr>
            <w:tcW w:w="1304" w:type="dxa"/>
            <w:tcBorders>
              <w:top w:val="nil"/>
              <w:left w:val="nil"/>
              <w:bottom w:val="single" w:sz="4" w:space="0" w:color="auto"/>
              <w:right w:val="nil"/>
            </w:tcBorders>
            <w:shd w:val="clear" w:color="auto" w:fill="auto"/>
            <w:noWrap/>
            <w:vAlign w:val="bottom"/>
            <w:hideMark/>
          </w:tcPr>
          <w:p w:rsidR="003242D6" w:rsidRPr="003242D6" w:rsidRDefault="003242D6" w:rsidP="003242D6">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5,964 </w:t>
            </w:r>
          </w:p>
        </w:tc>
        <w:tc>
          <w:tcPr>
            <w:tcW w:w="1191" w:type="dxa"/>
            <w:tcBorders>
              <w:top w:val="nil"/>
              <w:left w:val="nil"/>
              <w:bottom w:val="single" w:sz="4" w:space="0" w:color="auto"/>
              <w:right w:val="nil"/>
            </w:tcBorders>
            <w:shd w:val="clear" w:color="auto" w:fill="auto"/>
            <w:noWrap/>
            <w:vAlign w:val="bottom"/>
            <w:hideMark/>
          </w:tcPr>
          <w:p w:rsidR="003242D6" w:rsidRPr="003242D6" w:rsidRDefault="003242D6" w:rsidP="003242D6">
            <w:pPr>
              <w:spacing w:after="0" w:line="240" w:lineRule="auto"/>
              <w:jc w:val="right"/>
              <w:rPr>
                <w:rFonts w:ascii="Arial" w:hAnsi="Arial" w:cs="Arial"/>
                <w:b/>
                <w:bCs/>
                <w:color w:val="000000"/>
                <w:sz w:val="16"/>
                <w:szCs w:val="16"/>
              </w:rPr>
            </w:pPr>
            <w:r w:rsidRPr="003242D6">
              <w:rPr>
                <w:rFonts w:ascii="Arial" w:hAnsi="Arial" w:cs="Arial"/>
                <w:b/>
                <w:bCs/>
                <w:color w:val="000000"/>
                <w:sz w:val="16"/>
                <w:szCs w:val="16"/>
              </w:rPr>
              <w:t xml:space="preserve">40,721 </w:t>
            </w:r>
          </w:p>
        </w:tc>
      </w:tr>
    </w:tbl>
    <w:p w:rsidR="00240B29" w:rsidRPr="00240B29" w:rsidRDefault="00240B29" w:rsidP="00A86E10">
      <w:pPr>
        <w:pStyle w:val="ChartandTableFootnote"/>
      </w:pPr>
      <w:r w:rsidRPr="00240B29">
        <w:t>Prepared on Australian Accounting Standards basis.</w:t>
      </w:r>
    </w:p>
    <w:p w:rsidR="00240B29" w:rsidRPr="00240B29" w:rsidRDefault="00240B29" w:rsidP="00A86E10">
      <w:pPr>
        <w:pStyle w:val="TableHeading"/>
      </w:pPr>
      <w:r w:rsidRPr="00240B29">
        <w:br w:type="page"/>
      </w:r>
      <w:r w:rsidRPr="00240B29">
        <w:lastRenderedPageBreak/>
        <w:t>Table 3.4: Budgeted departmental statement of cash flows (for the period ended 30 June)</w:t>
      </w:r>
    </w:p>
    <w:tbl>
      <w:tblPr>
        <w:tblW w:w="7750" w:type="dxa"/>
        <w:tblInd w:w="93" w:type="dxa"/>
        <w:tblLook w:val="04A0" w:firstRow="1" w:lastRow="0" w:firstColumn="1" w:lastColumn="0" w:noHBand="0" w:noVBand="1"/>
      </w:tblPr>
      <w:tblGrid>
        <w:gridCol w:w="3175"/>
        <w:gridCol w:w="947"/>
        <w:gridCol w:w="907"/>
        <w:gridCol w:w="907"/>
        <w:gridCol w:w="907"/>
        <w:gridCol w:w="907"/>
      </w:tblGrid>
      <w:tr w:rsidR="00A86E10" w:rsidRPr="00A86E10" w:rsidTr="00A86E10">
        <w:trPr>
          <w:trHeight w:val="794"/>
        </w:trPr>
        <w:tc>
          <w:tcPr>
            <w:tcW w:w="3175" w:type="dxa"/>
            <w:tcBorders>
              <w:top w:val="single" w:sz="4" w:space="0" w:color="auto"/>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sz w:val="16"/>
                <w:szCs w:val="16"/>
              </w:rPr>
            </w:pPr>
            <w:r w:rsidRPr="00A86E10">
              <w:rPr>
                <w:rFonts w:ascii="Arial" w:hAnsi="Arial" w:cs="Arial"/>
                <w:b/>
                <w:bCs/>
                <w:sz w:val="16"/>
                <w:szCs w:val="16"/>
              </w:rPr>
              <w:t> </w:t>
            </w:r>
          </w:p>
        </w:tc>
        <w:tc>
          <w:tcPr>
            <w:tcW w:w="947" w:type="dxa"/>
            <w:tcBorders>
              <w:top w:val="single" w:sz="4" w:space="0" w:color="auto"/>
              <w:left w:val="nil"/>
              <w:bottom w:val="single" w:sz="4" w:space="0" w:color="auto"/>
              <w:right w:val="nil"/>
            </w:tcBorders>
            <w:shd w:val="clear" w:color="auto" w:fill="auto"/>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2017–18 Estimated actual</w:t>
            </w:r>
            <w:r w:rsidRPr="00A86E1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2018–19</w:t>
            </w:r>
            <w:r w:rsidRPr="00A86E10">
              <w:rPr>
                <w:rFonts w:ascii="Arial" w:hAnsi="Arial" w:cs="Arial"/>
                <w:sz w:val="16"/>
                <w:szCs w:val="16"/>
              </w:rPr>
              <w:br/>
              <w:t>Budget</w:t>
            </w:r>
            <w:r w:rsidRPr="00A86E10">
              <w:rPr>
                <w:rFonts w:ascii="Arial" w:hAnsi="Arial" w:cs="Arial"/>
                <w:sz w:val="16"/>
                <w:szCs w:val="16"/>
              </w:rPr>
              <w:br/>
            </w:r>
            <w:r w:rsidRPr="00A86E1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2019–20 Forward estimate</w:t>
            </w:r>
            <w:r w:rsidRPr="00A86E1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2020–21 Forward estimate</w:t>
            </w:r>
            <w:r w:rsidRPr="00A86E10">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2021–22</w:t>
            </w:r>
            <w:r w:rsidRPr="00A86E10">
              <w:rPr>
                <w:rFonts w:ascii="Arial" w:hAnsi="Arial" w:cs="Arial"/>
                <w:sz w:val="16"/>
                <w:szCs w:val="16"/>
              </w:rPr>
              <w:br/>
              <w:t>Forward estimate</w:t>
            </w:r>
            <w:r w:rsidRPr="00A86E10">
              <w:rPr>
                <w:rFonts w:ascii="Arial" w:hAnsi="Arial" w:cs="Arial"/>
                <w:sz w:val="16"/>
                <w:szCs w:val="16"/>
              </w:rPr>
              <w:br/>
              <w:t>$'000</w:t>
            </w: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OPERATING ACTIVITIES</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single" w:sz="4" w:space="0" w:color="auto"/>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received</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Appropriations</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33,023 </w:t>
            </w:r>
          </w:p>
        </w:tc>
        <w:tc>
          <w:tcPr>
            <w:tcW w:w="907" w:type="dxa"/>
            <w:tcBorders>
              <w:top w:val="nil"/>
              <w:left w:val="nil"/>
              <w:bottom w:val="nil"/>
              <w:right w:val="nil"/>
            </w:tcBorders>
            <w:shd w:val="clear" w:color="auto" w:fill="E6E6E6"/>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32,909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32,708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33,026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33,807 </w:t>
            </w: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 xml:space="preserve">Other </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c>
          <w:tcPr>
            <w:tcW w:w="907" w:type="dxa"/>
            <w:tcBorders>
              <w:top w:val="nil"/>
              <w:left w:val="nil"/>
              <w:bottom w:val="nil"/>
              <w:right w:val="nil"/>
            </w:tcBorders>
            <w:shd w:val="clear" w:color="auto"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370 </w:t>
            </w:r>
          </w:p>
        </w:tc>
      </w:tr>
      <w:tr w:rsidR="00A86E10" w:rsidRPr="00A86E10" w:rsidTr="00A86E10">
        <w:trPr>
          <w:trHeight w:val="227"/>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received</w:t>
            </w:r>
          </w:p>
        </w:tc>
        <w:tc>
          <w:tcPr>
            <w:tcW w:w="94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33,393 </w:t>
            </w:r>
          </w:p>
        </w:tc>
        <w:tc>
          <w:tcPr>
            <w:tcW w:w="907" w:type="dxa"/>
            <w:tcBorders>
              <w:top w:val="single" w:sz="4" w:space="0" w:color="000000"/>
              <w:left w:val="nil"/>
              <w:bottom w:val="single" w:sz="4" w:space="0" w:color="000000"/>
              <w:right w:val="nil"/>
            </w:tcBorders>
            <w:shd w:val="clear" w:color="auto" w:fill="E6E6E6"/>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33,279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33,078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33,396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34,177 </w:t>
            </w: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used</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Employees</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18,637 </w:t>
            </w:r>
          </w:p>
        </w:tc>
        <w:tc>
          <w:tcPr>
            <w:tcW w:w="907" w:type="dxa"/>
            <w:tcBorders>
              <w:top w:val="nil"/>
              <w:left w:val="nil"/>
              <w:bottom w:val="nil"/>
              <w:right w:val="nil"/>
            </w:tcBorders>
            <w:shd w:val="clear" w:color="auto"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18,936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19,079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19,237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19,750 </w:t>
            </w: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Suppliers</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14,145 </w:t>
            </w:r>
          </w:p>
        </w:tc>
        <w:tc>
          <w:tcPr>
            <w:tcW w:w="907" w:type="dxa"/>
            <w:tcBorders>
              <w:top w:val="nil"/>
              <w:left w:val="nil"/>
              <w:bottom w:val="nil"/>
              <w:right w:val="nil"/>
            </w:tcBorders>
            <w:shd w:val="clear" w:color="auto"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13,714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13,584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14,159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14,427 </w:t>
            </w:r>
          </w:p>
        </w:tc>
      </w:tr>
      <w:tr w:rsidR="00A86E10" w:rsidRPr="00A86E10" w:rsidTr="00A86E10">
        <w:trPr>
          <w:trHeight w:val="227"/>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used</w:t>
            </w:r>
          </w:p>
        </w:tc>
        <w:tc>
          <w:tcPr>
            <w:tcW w:w="947" w:type="dxa"/>
            <w:tcBorders>
              <w:top w:val="single" w:sz="4" w:space="0" w:color="000000"/>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32,782 </w:t>
            </w:r>
          </w:p>
        </w:tc>
        <w:tc>
          <w:tcPr>
            <w:tcW w:w="907" w:type="dxa"/>
            <w:tcBorders>
              <w:top w:val="single" w:sz="4" w:space="0" w:color="000000"/>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32,650 </w:t>
            </w:r>
          </w:p>
        </w:tc>
        <w:tc>
          <w:tcPr>
            <w:tcW w:w="907" w:type="dxa"/>
            <w:tcBorders>
              <w:top w:val="single" w:sz="4" w:space="0" w:color="000000"/>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32,663 </w:t>
            </w:r>
          </w:p>
        </w:tc>
        <w:tc>
          <w:tcPr>
            <w:tcW w:w="907" w:type="dxa"/>
            <w:tcBorders>
              <w:top w:val="single" w:sz="4" w:space="0" w:color="000000"/>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33,396 </w:t>
            </w:r>
          </w:p>
        </w:tc>
        <w:tc>
          <w:tcPr>
            <w:tcW w:w="907" w:type="dxa"/>
            <w:tcBorders>
              <w:top w:val="single" w:sz="4" w:space="0" w:color="000000"/>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34,177 </w:t>
            </w:r>
          </w:p>
        </w:tc>
      </w:tr>
      <w:tr w:rsidR="00A86E10" w:rsidRPr="00A86E10" w:rsidTr="00A86E10">
        <w:trPr>
          <w:trHeight w:val="397"/>
        </w:trPr>
        <w:tc>
          <w:tcPr>
            <w:tcW w:w="3175" w:type="dxa"/>
            <w:tcBorders>
              <w:top w:val="nil"/>
              <w:left w:val="nil"/>
              <w:bottom w:val="nil"/>
              <w:right w:val="nil"/>
            </w:tcBorders>
            <w:shd w:val="clear" w:color="auto" w:fill="auto"/>
            <w:vAlign w:val="center"/>
            <w:hideMark/>
          </w:tcPr>
          <w:p w:rsidR="00A86E10" w:rsidRPr="00A86E10" w:rsidRDefault="00A86E10" w:rsidP="00A86E10">
            <w:pPr>
              <w:spacing w:after="0" w:line="240" w:lineRule="auto"/>
              <w:ind w:left="191" w:hanging="191"/>
              <w:rPr>
                <w:rFonts w:ascii="Arial" w:hAnsi="Arial" w:cs="Arial"/>
                <w:b/>
                <w:bCs/>
                <w:color w:val="000000"/>
                <w:sz w:val="16"/>
                <w:szCs w:val="16"/>
              </w:rPr>
            </w:pPr>
            <w:r w:rsidRPr="00A86E10">
              <w:rPr>
                <w:rFonts w:ascii="Arial" w:hAnsi="Arial" w:cs="Arial"/>
                <w:b/>
                <w:bCs/>
                <w:color w:val="000000"/>
                <w:sz w:val="16"/>
                <w:szCs w:val="16"/>
              </w:rPr>
              <w:t>Net cash from/(used by) operating activities</w:t>
            </w:r>
          </w:p>
        </w:tc>
        <w:tc>
          <w:tcPr>
            <w:tcW w:w="947" w:type="dxa"/>
            <w:tcBorders>
              <w:top w:val="single" w:sz="4" w:space="0" w:color="auto"/>
              <w:left w:val="nil"/>
              <w:bottom w:val="single" w:sz="4" w:space="0" w:color="auto"/>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611 </w:t>
            </w:r>
          </w:p>
        </w:tc>
        <w:tc>
          <w:tcPr>
            <w:tcW w:w="907" w:type="dxa"/>
            <w:tcBorders>
              <w:top w:val="single" w:sz="4" w:space="0" w:color="auto"/>
              <w:left w:val="nil"/>
              <w:bottom w:val="single" w:sz="4" w:space="0" w:color="auto"/>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629 </w:t>
            </w:r>
          </w:p>
        </w:tc>
        <w:tc>
          <w:tcPr>
            <w:tcW w:w="907" w:type="dxa"/>
            <w:tcBorders>
              <w:top w:val="single" w:sz="4" w:space="0" w:color="auto"/>
              <w:left w:val="nil"/>
              <w:bottom w:val="single" w:sz="4" w:space="0" w:color="auto"/>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415 </w:t>
            </w:r>
          </w:p>
        </w:tc>
        <w:tc>
          <w:tcPr>
            <w:tcW w:w="907" w:type="dxa"/>
            <w:tcBorders>
              <w:top w:val="single" w:sz="4" w:space="0" w:color="auto"/>
              <w:left w:val="nil"/>
              <w:bottom w:val="single" w:sz="4" w:space="0" w:color="auto"/>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INVESTING ACTIVITIES</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received</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Other</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r>
      <w:tr w:rsidR="00A86E10" w:rsidRPr="00A86E10" w:rsidTr="00A86E10">
        <w:trPr>
          <w:trHeight w:val="227"/>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received</w:t>
            </w:r>
          </w:p>
        </w:tc>
        <w:tc>
          <w:tcPr>
            <w:tcW w:w="94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used</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397"/>
        </w:trPr>
        <w:tc>
          <w:tcPr>
            <w:tcW w:w="3175" w:type="dxa"/>
            <w:tcBorders>
              <w:top w:val="nil"/>
              <w:left w:val="nil"/>
              <w:bottom w:val="nil"/>
              <w:right w:val="nil"/>
            </w:tcBorders>
            <w:shd w:val="clear" w:color="auto" w:fill="auto"/>
            <w:vAlign w:val="center"/>
            <w:hideMark/>
          </w:tcPr>
          <w:p w:rsidR="00A86E10" w:rsidRPr="00A86E10" w:rsidRDefault="00A86E10" w:rsidP="00A86E10">
            <w:pPr>
              <w:spacing w:after="0" w:line="240" w:lineRule="auto"/>
              <w:ind w:leftChars="80" w:left="333" w:hangingChars="108" w:hanging="173"/>
              <w:rPr>
                <w:rFonts w:ascii="Arial" w:hAnsi="Arial" w:cs="Arial"/>
                <w:color w:val="000000"/>
                <w:sz w:val="16"/>
                <w:szCs w:val="16"/>
              </w:rPr>
            </w:pPr>
            <w:r w:rsidRPr="00A86E10">
              <w:rPr>
                <w:rFonts w:ascii="Arial" w:hAnsi="Arial" w:cs="Arial"/>
                <w:color w:val="000000"/>
                <w:sz w:val="16"/>
                <w:szCs w:val="16"/>
              </w:rPr>
              <w:t>Purchase of property, plant and equipment and intangibles</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1,052 </w:t>
            </w: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1,070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sz w:val="16"/>
                <w:szCs w:val="16"/>
              </w:rPr>
            </w:pPr>
            <w:r w:rsidRPr="00A86E10">
              <w:rPr>
                <w:rFonts w:ascii="Arial" w:hAnsi="Arial" w:cs="Arial"/>
                <w:sz w:val="16"/>
                <w:szCs w:val="16"/>
              </w:rPr>
              <w:t xml:space="preserve">855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443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446 </w:t>
            </w:r>
          </w:p>
        </w:tc>
      </w:tr>
      <w:tr w:rsidR="00A86E10" w:rsidRPr="00A86E10" w:rsidTr="00A86E10">
        <w:trPr>
          <w:trHeight w:val="227"/>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used</w:t>
            </w:r>
          </w:p>
        </w:tc>
        <w:tc>
          <w:tcPr>
            <w:tcW w:w="94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1,052 </w:t>
            </w:r>
          </w:p>
        </w:tc>
        <w:tc>
          <w:tcPr>
            <w:tcW w:w="907" w:type="dxa"/>
            <w:tcBorders>
              <w:top w:val="single" w:sz="4" w:space="0" w:color="000000"/>
              <w:left w:val="nil"/>
              <w:bottom w:val="single" w:sz="4" w:space="0" w:color="000000"/>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1,070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855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443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446 </w:t>
            </w:r>
          </w:p>
        </w:tc>
      </w:tr>
      <w:tr w:rsidR="00A86E10" w:rsidRPr="00A86E10" w:rsidTr="00A86E10">
        <w:trPr>
          <w:trHeight w:val="397"/>
        </w:trPr>
        <w:tc>
          <w:tcPr>
            <w:tcW w:w="3175" w:type="dxa"/>
            <w:tcBorders>
              <w:top w:val="nil"/>
              <w:left w:val="nil"/>
              <w:bottom w:val="nil"/>
              <w:right w:val="nil"/>
            </w:tcBorders>
            <w:shd w:val="clear" w:color="auto" w:fill="auto"/>
            <w:vAlign w:val="center"/>
            <w:hideMark/>
          </w:tcPr>
          <w:p w:rsidR="00A86E10" w:rsidRPr="00A86E10" w:rsidRDefault="00A86E10" w:rsidP="00A86E10">
            <w:pPr>
              <w:spacing w:after="0" w:line="240" w:lineRule="auto"/>
              <w:ind w:left="191" w:hanging="191"/>
              <w:rPr>
                <w:rFonts w:ascii="Arial" w:hAnsi="Arial" w:cs="Arial"/>
                <w:b/>
                <w:bCs/>
                <w:color w:val="000000"/>
                <w:sz w:val="16"/>
                <w:szCs w:val="16"/>
              </w:rPr>
            </w:pPr>
            <w:r w:rsidRPr="00A86E10">
              <w:rPr>
                <w:rFonts w:ascii="Arial" w:hAnsi="Arial" w:cs="Arial"/>
                <w:b/>
                <w:bCs/>
                <w:color w:val="000000"/>
                <w:sz w:val="16"/>
                <w:szCs w:val="16"/>
              </w:rPr>
              <w:t>Net cash from/(used by) investing activities</w:t>
            </w:r>
          </w:p>
        </w:tc>
        <w:tc>
          <w:tcPr>
            <w:tcW w:w="947" w:type="dxa"/>
            <w:tcBorders>
              <w:top w:val="nil"/>
              <w:left w:val="nil"/>
              <w:bottom w:val="single" w:sz="4" w:space="0" w:color="auto"/>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(1,052)</w:t>
            </w:r>
          </w:p>
        </w:tc>
        <w:tc>
          <w:tcPr>
            <w:tcW w:w="907" w:type="dxa"/>
            <w:tcBorders>
              <w:top w:val="nil"/>
              <w:left w:val="nil"/>
              <w:bottom w:val="single" w:sz="4" w:space="0" w:color="auto"/>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(1,070)</w:t>
            </w:r>
          </w:p>
        </w:tc>
        <w:tc>
          <w:tcPr>
            <w:tcW w:w="907" w:type="dxa"/>
            <w:tcBorders>
              <w:top w:val="nil"/>
              <w:left w:val="nil"/>
              <w:bottom w:val="single" w:sz="4" w:space="0" w:color="auto"/>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(855)</w:t>
            </w:r>
          </w:p>
        </w:tc>
        <w:tc>
          <w:tcPr>
            <w:tcW w:w="907" w:type="dxa"/>
            <w:tcBorders>
              <w:top w:val="nil"/>
              <w:left w:val="nil"/>
              <w:bottom w:val="single" w:sz="4" w:space="0" w:color="auto"/>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(443)</w:t>
            </w:r>
          </w:p>
        </w:tc>
        <w:tc>
          <w:tcPr>
            <w:tcW w:w="907" w:type="dxa"/>
            <w:tcBorders>
              <w:top w:val="nil"/>
              <w:left w:val="nil"/>
              <w:bottom w:val="single" w:sz="4" w:space="0" w:color="auto"/>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(446)</w:t>
            </w: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FINANCING ACTIVITIES</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received</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Contributed equity</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441 </w:t>
            </w: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441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440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443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446 </w:t>
            </w:r>
          </w:p>
        </w:tc>
      </w:tr>
      <w:tr w:rsidR="00A86E10" w:rsidRPr="00A86E10" w:rsidTr="00A86E10">
        <w:trPr>
          <w:trHeight w:val="227"/>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received</w:t>
            </w:r>
          </w:p>
        </w:tc>
        <w:tc>
          <w:tcPr>
            <w:tcW w:w="94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441 </w:t>
            </w:r>
          </w:p>
        </w:tc>
        <w:tc>
          <w:tcPr>
            <w:tcW w:w="907" w:type="dxa"/>
            <w:tcBorders>
              <w:top w:val="single" w:sz="4" w:space="0" w:color="000000"/>
              <w:left w:val="nil"/>
              <w:bottom w:val="single" w:sz="4" w:space="0" w:color="000000"/>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441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440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443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446 </w:t>
            </w: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Cash used</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p>
        </w:tc>
      </w:tr>
      <w:tr w:rsidR="00A86E10" w:rsidRPr="00A86E10" w:rsidTr="00A86E10">
        <w:trPr>
          <w:trHeight w:val="225"/>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ind w:firstLineChars="100" w:firstLine="160"/>
              <w:rPr>
                <w:rFonts w:ascii="Arial" w:hAnsi="Arial" w:cs="Arial"/>
                <w:color w:val="000000"/>
                <w:sz w:val="16"/>
                <w:szCs w:val="16"/>
              </w:rPr>
            </w:pPr>
            <w:r w:rsidRPr="00A86E10">
              <w:rPr>
                <w:rFonts w:ascii="Arial" w:hAnsi="Arial" w:cs="Arial"/>
                <w:color w:val="000000"/>
                <w:sz w:val="16"/>
                <w:szCs w:val="16"/>
              </w:rPr>
              <w:t>Other</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 </w:t>
            </w:r>
          </w:p>
        </w:tc>
      </w:tr>
      <w:tr w:rsidR="00A86E10" w:rsidRPr="00A86E10" w:rsidTr="00A86E10">
        <w:trPr>
          <w:trHeight w:val="227"/>
        </w:trPr>
        <w:tc>
          <w:tcPr>
            <w:tcW w:w="3175"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rPr>
                <w:rFonts w:ascii="Arial" w:hAnsi="Arial" w:cs="Arial"/>
                <w:b/>
                <w:bCs/>
                <w:i/>
                <w:iCs/>
                <w:color w:val="000000"/>
                <w:sz w:val="16"/>
                <w:szCs w:val="16"/>
              </w:rPr>
            </w:pPr>
            <w:r w:rsidRPr="00A86E10">
              <w:rPr>
                <w:rFonts w:ascii="Arial" w:hAnsi="Arial" w:cs="Arial"/>
                <w:b/>
                <w:bCs/>
                <w:i/>
                <w:iCs/>
                <w:color w:val="000000"/>
                <w:sz w:val="16"/>
                <w:szCs w:val="16"/>
              </w:rPr>
              <w:t>Total cash used</w:t>
            </w:r>
          </w:p>
        </w:tc>
        <w:tc>
          <w:tcPr>
            <w:tcW w:w="94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i/>
                <w:iCs/>
                <w:color w:val="000000"/>
                <w:sz w:val="16"/>
                <w:szCs w:val="16"/>
              </w:rPr>
            </w:pPr>
            <w:r w:rsidRPr="00A86E10">
              <w:rPr>
                <w:rFonts w:ascii="Arial" w:hAnsi="Arial" w:cs="Arial"/>
                <w:b/>
                <w:bCs/>
                <w:i/>
                <w:iCs/>
                <w:color w:val="000000"/>
                <w:sz w:val="16"/>
                <w:szCs w:val="16"/>
              </w:rPr>
              <w:t xml:space="preserve">- </w:t>
            </w:r>
          </w:p>
        </w:tc>
      </w:tr>
      <w:tr w:rsidR="00A86E10" w:rsidRPr="00A86E10" w:rsidTr="00A86E10">
        <w:trPr>
          <w:trHeight w:val="397"/>
        </w:trPr>
        <w:tc>
          <w:tcPr>
            <w:tcW w:w="3175" w:type="dxa"/>
            <w:tcBorders>
              <w:top w:val="nil"/>
              <w:left w:val="nil"/>
              <w:bottom w:val="nil"/>
              <w:right w:val="nil"/>
            </w:tcBorders>
            <w:shd w:val="clear" w:color="auto" w:fill="auto"/>
            <w:vAlign w:val="center"/>
            <w:hideMark/>
          </w:tcPr>
          <w:p w:rsidR="00A86E10" w:rsidRPr="00A86E10" w:rsidRDefault="00A86E10" w:rsidP="00A86E10">
            <w:pPr>
              <w:spacing w:after="0" w:line="240" w:lineRule="auto"/>
              <w:ind w:left="191" w:hanging="191"/>
              <w:rPr>
                <w:rFonts w:ascii="Arial" w:hAnsi="Arial" w:cs="Arial"/>
                <w:b/>
                <w:bCs/>
                <w:color w:val="000000"/>
                <w:sz w:val="16"/>
                <w:szCs w:val="16"/>
              </w:rPr>
            </w:pPr>
            <w:r w:rsidRPr="00A86E10">
              <w:rPr>
                <w:rFonts w:ascii="Arial" w:hAnsi="Arial" w:cs="Arial"/>
                <w:b/>
                <w:bCs/>
                <w:color w:val="000000"/>
                <w:sz w:val="16"/>
                <w:szCs w:val="16"/>
              </w:rPr>
              <w:t>Net cash from/(used by) financing activities</w:t>
            </w:r>
          </w:p>
        </w:tc>
        <w:tc>
          <w:tcPr>
            <w:tcW w:w="947" w:type="dxa"/>
            <w:tcBorders>
              <w:top w:val="nil"/>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441 </w:t>
            </w:r>
          </w:p>
        </w:tc>
        <w:tc>
          <w:tcPr>
            <w:tcW w:w="907" w:type="dxa"/>
            <w:tcBorders>
              <w:top w:val="nil"/>
              <w:left w:val="nil"/>
              <w:bottom w:val="single" w:sz="4" w:space="0" w:color="000000"/>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441 </w:t>
            </w:r>
          </w:p>
        </w:tc>
        <w:tc>
          <w:tcPr>
            <w:tcW w:w="907" w:type="dxa"/>
            <w:tcBorders>
              <w:top w:val="nil"/>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440 </w:t>
            </w:r>
          </w:p>
        </w:tc>
        <w:tc>
          <w:tcPr>
            <w:tcW w:w="907" w:type="dxa"/>
            <w:tcBorders>
              <w:top w:val="nil"/>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443 </w:t>
            </w:r>
          </w:p>
        </w:tc>
        <w:tc>
          <w:tcPr>
            <w:tcW w:w="907" w:type="dxa"/>
            <w:tcBorders>
              <w:top w:val="nil"/>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446 </w:t>
            </w:r>
          </w:p>
        </w:tc>
      </w:tr>
      <w:tr w:rsidR="00A86E10" w:rsidRPr="00A86E10" w:rsidTr="00A86E10">
        <w:trPr>
          <w:trHeight w:val="227"/>
        </w:trPr>
        <w:tc>
          <w:tcPr>
            <w:tcW w:w="3175" w:type="dxa"/>
            <w:tcBorders>
              <w:top w:val="nil"/>
              <w:left w:val="nil"/>
              <w:bottom w:val="nil"/>
              <w:right w:val="nil"/>
            </w:tcBorders>
            <w:shd w:val="clear" w:color="auto" w:fill="auto"/>
            <w:vAlign w:val="center"/>
            <w:hideMark/>
          </w:tcPr>
          <w:p w:rsidR="00A86E10" w:rsidRPr="00A86E10" w:rsidRDefault="00A86E10" w:rsidP="00A86E10">
            <w:pPr>
              <w:spacing w:after="0" w:line="240" w:lineRule="auto"/>
              <w:rPr>
                <w:rFonts w:ascii="Arial" w:hAnsi="Arial" w:cs="Arial"/>
                <w:b/>
                <w:bCs/>
                <w:color w:val="000000"/>
                <w:sz w:val="16"/>
                <w:szCs w:val="16"/>
              </w:rPr>
            </w:pPr>
            <w:r w:rsidRPr="00A86E10">
              <w:rPr>
                <w:rFonts w:ascii="Arial" w:hAnsi="Arial" w:cs="Arial"/>
                <w:b/>
                <w:bCs/>
                <w:color w:val="000000"/>
                <w:sz w:val="16"/>
                <w:szCs w:val="16"/>
              </w:rPr>
              <w:t>Net increase/(decrease) in cash held</w:t>
            </w:r>
          </w:p>
        </w:tc>
        <w:tc>
          <w:tcPr>
            <w:tcW w:w="947" w:type="dxa"/>
            <w:tcBorders>
              <w:top w:val="nil"/>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b/>
                <w:bCs/>
                <w:color w:val="000000"/>
                <w:sz w:val="16"/>
                <w:szCs w:val="16"/>
              </w:rPr>
            </w:pPr>
            <w:r w:rsidRPr="00A86E10">
              <w:rPr>
                <w:rFonts w:ascii="Arial" w:hAnsi="Arial" w:cs="Arial"/>
                <w:b/>
                <w:bCs/>
                <w:color w:val="000000"/>
                <w:sz w:val="16"/>
                <w:szCs w:val="16"/>
              </w:rPr>
              <w:t xml:space="preserve">- </w:t>
            </w:r>
          </w:p>
        </w:tc>
      </w:tr>
      <w:tr w:rsidR="00A86E10" w:rsidRPr="00A86E10" w:rsidTr="00A86E10">
        <w:trPr>
          <w:trHeight w:val="397"/>
        </w:trPr>
        <w:tc>
          <w:tcPr>
            <w:tcW w:w="3175" w:type="dxa"/>
            <w:tcBorders>
              <w:top w:val="nil"/>
              <w:left w:val="nil"/>
              <w:bottom w:val="nil"/>
              <w:right w:val="nil"/>
            </w:tcBorders>
            <w:shd w:val="clear" w:color="auto" w:fill="auto"/>
            <w:vAlign w:val="center"/>
            <w:hideMark/>
          </w:tcPr>
          <w:p w:rsidR="00A86E10" w:rsidRPr="00A86E10" w:rsidRDefault="00A86E10" w:rsidP="00A86E10">
            <w:pPr>
              <w:spacing w:after="0" w:line="240" w:lineRule="auto"/>
              <w:ind w:leftChars="80" w:left="333" w:hangingChars="108" w:hanging="173"/>
              <w:rPr>
                <w:rFonts w:ascii="Arial" w:hAnsi="Arial" w:cs="Arial"/>
                <w:color w:val="000000"/>
                <w:sz w:val="16"/>
                <w:szCs w:val="16"/>
              </w:rPr>
            </w:pPr>
            <w:r w:rsidRPr="00A86E10">
              <w:rPr>
                <w:rFonts w:ascii="Arial" w:hAnsi="Arial" w:cs="Arial"/>
                <w:color w:val="000000"/>
                <w:sz w:val="16"/>
                <w:szCs w:val="16"/>
              </w:rPr>
              <w:t>Cash and cash equivalents at the beginning of the reporting period</w:t>
            </w:r>
          </w:p>
        </w:tc>
        <w:tc>
          <w:tcPr>
            <w:tcW w:w="94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c>
          <w:tcPr>
            <w:tcW w:w="907" w:type="dxa"/>
            <w:tcBorders>
              <w:top w:val="nil"/>
              <w:left w:val="nil"/>
              <w:bottom w:val="nil"/>
              <w:right w:val="nil"/>
            </w:tcBorders>
            <w:shd w:val="clear" w:color="000000" w:fill="E6E6E6"/>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c>
          <w:tcPr>
            <w:tcW w:w="907" w:type="dxa"/>
            <w:tcBorders>
              <w:top w:val="nil"/>
              <w:left w:val="nil"/>
              <w:bottom w:val="nil"/>
              <w:right w:val="nil"/>
            </w:tcBorders>
            <w:shd w:val="clear" w:color="auto" w:fill="auto"/>
            <w:noWrap/>
            <w:vAlign w:val="center"/>
            <w:hideMark/>
          </w:tcPr>
          <w:p w:rsidR="00A86E10" w:rsidRPr="00A86E10" w:rsidRDefault="00A86E10" w:rsidP="00A86E10">
            <w:pPr>
              <w:spacing w:after="0" w:line="240" w:lineRule="auto"/>
              <w:jc w:val="right"/>
              <w:rPr>
                <w:rFonts w:ascii="Arial" w:hAnsi="Arial" w:cs="Arial"/>
                <w:color w:val="000000"/>
                <w:sz w:val="16"/>
                <w:szCs w:val="16"/>
              </w:rPr>
            </w:pPr>
            <w:r w:rsidRPr="00A86E10">
              <w:rPr>
                <w:rFonts w:ascii="Arial" w:hAnsi="Arial" w:cs="Arial"/>
                <w:color w:val="000000"/>
                <w:sz w:val="16"/>
                <w:szCs w:val="16"/>
              </w:rPr>
              <w:t xml:space="preserve">154 </w:t>
            </w:r>
          </w:p>
        </w:tc>
      </w:tr>
      <w:tr w:rsidR="00A86E10" w:rsidRPr="00A86E10" w:rsidTr="00A86E10">
        <w:trPr>
          <w:trHeight w:val="397"/>
        </w:trPr>
        <w:tc>
          <w:tcPr>
            <w:tcW w:w="3175" w:type="dxa"/>
            <w:tcBorders>
              <w:top w:val="nil"/>
              <w:left w:val="nil"/>
              <w:bottom w:val="single" w:sz="4" w:space="0" w:color="auto"/>
              <w:right w:val="nil"/>
            </w:tcBorders>
            <w:shd w:val="clear" w:color="auto" w:fill="auto"/>
            <w:vAlign w:val="bottom"/>
            <w:hideMark/>
          </w:tcPr>
          <w:p w:rsidR="00A86E10" w:rsidRPr="00A86E10" w:rsidRDefault="00A86E10" w:rsidP="00A86E10">
            <w:pPr>
              <w:spacing w:after="0" w:line="240" w:lineRule="auto"/>
              <w:ind w:left="191" w:hanging="191"/>
              <w:rPr>
                <w:rFonts w:ascii="Arial" w:hAnsi="Arial" w:cs="Arial"/>
                <w:b/>
                <w:bCs/>
                <w:color w:val="000000"/>
                <w:sz w:val="16"/>
                <w:szCs w:val="16"/>
              </w:rPr>
            </w:pPr>
            <w:r w:rsidRPr="00A86E10">
              <w:rPr>
                <w:rFonts w:ascii="Arial" w:hAnsi="Arial" w:cs="Arial"/>
                <w:b/>
                <w:bCs/>
                <w:color w:val="000000"/>
                <w:sz w:val="16"/>
                <w:szCs w:val="16"/>
              </w:rPr>
              <w:t>Cash and cash equivalents at the end of the reporting period</w:t>
            </w:r>
          </w:p>
        </w:tc>
        <w:tc>
          <w:tcPr>
            <w:tcW w:w="947" w:type="dxa"/>
            <w:tcBorders>
              <w:top w:val="single" w:sz="4" w:space="0" w:color="000000"/>
              <w:left w:val="nil"/>
              <w:bottom w:val="single" w:sz="4" w:space="0" w:color="auto"/>
              <w:right w:val="nil"/>
            </w:tcBorders>
            <w:shd w:val="clear" w:color="auto" w:fill="auto"/>
            <w:noWrap/>
            <w:vAlign w:val="bottom"/>
            <w:hideMark/>
          </w:tcPr>
          <w:p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c>
          <w:tcPr>
            <w:tcW w:w="907" w:type="dxa"/>
            <w:tcBorders>
              <w:top w:val="single" w:sz="4" w:space="0" w:color="000000"/>
              <w:left w:val="nil"/>
              <w:bottom w:val="single" w:sz="4" w:space="0" w:color="auto"/>
              <w:right w:val="nil"/>
            </w:tcBorders>
            <w:shd w:val="clear" w:color="000000" w:fill="E6E6E6"/>
            <w:noWrap/>
            <w:vAlign w:val="bottom"/>
            <w:hideMark/>
          </w:tcPr>
          <w:p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c>
          <w:tcPr>
            <w:tcW w:w="907" w:type="dxa"/>
            <w:tcBorders>
              <w:top w:val="single" w:sz="4" w:space="0" w:color="000000"/>
              <w:left w:val="nil"/>
              <w:bottom w:val="single" w:sz="4" w:space="0" w:color="auto"/>
              <w:right w:val="nil"/>
            </w:tcBorders>
            <w:shd w:val="clear" w:color="auto" w:fill="auto"/>
            <w:noWrap/>
            <w:vAlign w:val="bottom"/>
            <w:hideMark/>
          </w:tcPr>
          <w:p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c>
          <w:tcPr>
            <w:tcW w:w="907" w:type="dxa"/>
            <w:tcBorders>
              <w:top w:val="single" w:sz="4" w:space="0" w:color="000000"/>
              <w:left w:val="nil"/>
              <w:bottom w:val="single" w:sz="4" w:space="0" w:color="auto"/>
              <w:right w:val="nil"/>
            </w:tcBorders>
            <w:shd w:val="clear" w:color="auto" w:fill="auto"/>
            <w:noWrap/>
            <w:vAlign w:val="bottom"/>
            <w:hideMark/>
          </w:tcPr>
          <w:p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c>
          <w:tcPr>
            <w:tcW w:w="907" w:type="dxa"/>
            <w:tcBorders>
              <w:top w:val="single" w:sz="4" w:space="0" w:color="000000"/>
              <w:left w:val="nil"/>
              <w:bottom w:val="single" w:sz="4" w:space="0" w:color="auto"/>
              <w:right w:val="nil"/>
            </w:tcBorders>
            <w:shd w:val="clear" w:color="auto" w:fill="auto"/>
            <w:noWrap/>
            <w:vAlign w:val="bottom"/>
            <w:hideMark/>
          </w:tcPr>
          <w:p w:rsidR="00A86E10" w:rsidRPr="00A86E10" w:rsidRDefault="00A86E10" w:rsidP="00A86E10">
            <w:pPr>
              <w:spacing w:after="0" w:line="240" w:lineRule="auto"/>
              <w:jc w:val="right"/>
              <w:rPr>
                <w:rFonts w:ascii="Arial" w:hAnsi="Arial" w:cs="Arial"/>
                <w:b/>
                <w:color w:val="000000"/>
                <w:sz w:val="16"/>
                <w:szCs w:val="16"/>
              </w:rPr>
            </w:pPr>
            <w:r w:rsidRPr="00A86E10">
              <w:rPr>
                <w:rFonts w:ascii="Arial" w:hAnsi="Arial" w:cs="Arial"/>
                <w:b/>
                <w:color w:val="000000"/>
                <w:sz w:val="16"/>
                <w:szCs w:val="16"/>
              </w:rPr>
              <w:t xml:space="preserve">154 </w:t>
            </w:r>
          </w:p>
        </w:tc>
      </w:tr>
    </w:tbl>
    <w:p w:rsidR="00240B29" w:rsidRPr="00C828AB" w:rsidRDefault="00240B29" w:rsidP="00C828AB">
      <w:pPr>
        <w:pStyle w:val="ChartandTableFootnote"/>
        <w:rPr>
          <w:lang w:val="en-AU"/>
        </w:rPr>
      </w:pPr>
      <w:r w:rsidRPr="00240B29">
        <w:t>Prepared on Australian Accounting Standards basis.</w:t>
      </w:r>
    </w:p>
    <w:p w:rsidR="00240B29" w:rsidRPr="00240B29" w:rsidRDefault="00240B29" w:rsidP="00C828AB">
      <w:pPr>
        <w:pStyle w:val="TableHeading"/>
      </w:pPr>
      <w:r w:rsidRPr="00240B29">
        <w:br w:type="page"/>
      </w:r>
      <w:r w:rsidRPr="00240B29">
        <w:lastRenderedPageBreak/>
        <w:t>Table 3.5: Departmental capital budget statement (for the period ended 30 June)</w:t>
      </w:r>
    </w:p>
    <w:tbl>
      <w:tblPr>
        <w:tblW w:w="7701" w:type="dxa"/>
        <w:tblInd w:w="93" w:type="dxa"/>
        <w:tblCellMar>
          <w:left w:w="57" w:type="dxa"/>
          <w:right w:w="57" w:type="dxa"/>
        </w:tblCellMar>
        <w:tblLook w:val="04A0" w:firstRow="1" w:lastRow="0" w:firstColumn="1" w:lastColumn="0" w:noHBand="0" w:noVBand="1"/>
      </w:tblPr>
      <w:tblGrid>
        <w:gridCol w:w="3305"/>
        <w:gridCol w:w="928"/>
        <w:gridCol w:w="867"/>
        <w:gridCol w:w="867"/>
        <w:gridCol w:w="867"/>
        <w:gridCol w:w="867"/>
      </w:tblGrid>
      <w:tr w:rsidR="00C828AB" w:rsidRPr="00C828AB" w:rsidTr="00C828AB">
        <w:trPr>
          <w:trHeight w:val="794"/>
        </w:trPr>
        <w:tc>
          <w:tcPr>
            <w:tcW w:w="3305"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2017–18 Estimated actual</w:t>
            </w:r>
            <w:r w:rsidRPr="00C828AB">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000000" w:fill="E6E6E6"/>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2018–19</w:t>
            </w:r>
            <w:r w:rsidRPr="00C828AB">
              <w:rPr>
                <w:rFonts w:ascii="Arial" w:hAnsi="Arial" w:cs="Arial"/>
                <w:sz w:val="16"/>
                <w:szCs w:val="16"/>
              </w:rPr>
              <w:br/>
              <w:t>Budget</w:t>
            </w:r>
            <w:r w:rsidRPr="00C828AB">
              <w:rPr>
                <w:rFonts w:ascii="Arial" w:hAnsi="Arial" w:cs="Arial"/>
                <w:sz w:val="16"/>
                <w:szCs w:val="16"/>
              </w:rPr>
              <w:br/>
            </w:r>
            <w:r w:rsidRPr="00C828AB">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2019–20 Forward estimate</w:t>
            </w:r>
            <w:r w:rsidRPr="00C828AB">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2020–21 Forward estimate</w:t>
            </w:r>
            <w:r w:rsidRPr="00C828AB">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2021–22</w:t>
            </w:r>
            <w:r w:rsidRPr="00C828AB">
              <w:rPr>
                <w:rFonts w:ascii="Arial" w:hAnsi="Arial" w:cs="Arial"/>
                <w:sz w:val="16"/>
                <w:szCs w:val="16"/>
              </w:rPr>
              <w:br/>
              <w:t>Forward estimate</w:t>
            </w:r>
            <w:r w:rsidRPr="00C828AB">
              <w:rPr>
                <w:rFonts w:ascii="Arial" w:hAnsi="Arial" w:cs="Arial"/>
                <w:sz w:val="16"/>
                <w:szCs w:val="16"/>
              </w:rPr>
              <w:br/>
              <w:t>$'000</w:t>
            </w:r>
          </w:p>
        </w:tc>
      </w:tr>
      <w:tr w:rsidR="00C828AB" w:rsidRPr="00C828AB" w:rsidTr="00C828AB">
        <w:trPr>
          <w:trHeight w:val="225"/>
        </w:trPr>
        <w:tc>
          <w:tcPr>
            <w:tcW w:w="3305"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NEW CAPITAL APPROPRIATIONS</w:t>
            </w:r>
          </w:p>
        </w:tc>
        <w:tc>
          <w:tcPr>
            <w:tcW w:w="928"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r>
      <w:tr w:rsidR="00C828AB" w:rsidRPr="00C828AB" w:rsidTr="00C828AB">
        <w:trPr>
          <w:trHeight w:val="225"/>
        </w:trPr>
        <w:tc>
          <w:tcPr>
            <w:tcW w:w="3305"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ind w:firstLineChars="100" w:firstLine="160"/>
              <w:rPr>
                <w:rFonts w:ascii="Arial" w:hAnsi="Arial" w:cs="Arial"/>
                <w:sz w:val="16"/>
                <w:szCs w:val="16"/>
              </w:rPr>
            </w:pPr>
            <w:r w:rsidRPr="00C828AB">
              <w:rPr>
                <w:rFonts w:ascii="Arial" w:hAnsi="Arial" w:cs="Arial"/>
                <w:sz w:val="16"/>
                <w:szCs w:val="16"/>
              </w:rPr>
              <w:t>Capital budget—Bill 1 (DCB)</w:t>
            </w:r>
          </w:p>
        </w:tc>
        <w:tc>
          <w:tcPr>
            <w:tcW w:w="928"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441 </w:t>
            </w:r>
          </w:p>
        </w:tc>
        <w:tc>
          <w:tcPr>
            <w:tcW w:w="867" w:type="dxa"/>
            <w:tcBorders>
              <w:top w:val="nil"/>
              <w:left w:val="nil"/>
              <w:bottom w:val="nil"/>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441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440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443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446 </w:t>
            </w:r>
          </w:p>
        </w:tc>
      </w:tr>
      <w:tr w:rsidR="00C828AB" w:rsidRPr="00C828AB" w:rsidTr="00C828AB">
        <w:trPr>
          <w:trHeight w:val="225"/>
        </w:trPr>
        <w:tc>
          <w:tcPr>
            <w:tcW w:w="3305"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Total new capital appropriations</w:t>
            </w:r>
          </w:p>
        </w:tc>
        <w:tc>
          <w:tcPr>
            <w:tcW w:w="928"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441 </w:t>
            </w:r>
          </w:p>
        </w:tc>
        <w:tc>
          <w:tcPr>
            <w:tcW w:w="867" w:type="dxa"/>
            <w:tcBorders>
              <w:top w:val="single" w:sz="4" w:space="0" w:color="auto"/>
              <w:left w:val="nil"/>
              <w:bottom w:val="single" w:sz="4" w:space="0" w:color="auto"/>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441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440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443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446 </w:t>
            </w:r>
          </w:p>
        </w:tc>
      </w:tr>
      <w:tr w:rsidR="00C828AB" w:rsidRPr="00C828AB" w:rsidTr="00C828AB">
        <w:trPr>
          <w:trHeight w:val="225"/>
        </w:trPr>
        <w:tc>
          <w:tcPr>
            <w:tcW w:w="3305"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rPr>
                <w:rFonts w:ascii="Arial" w:hAnsi="Arial" w:cs="Arial"/>
                <w:b/>
                <w:bCs/>
                <w:i/>
                <w:iCs/>
                <w:sz w:val="16"/>
                <w:szCs w:val="16"/>
              </w:rPr>
            </w:pPr>
            <w:r w:rsidRPr="00C828AB">
              <w:rPr>
                <w:rFonts w:ascii="Arial" w:hAnsi="Arial" w:cs="Arial"/>
                <w:b/>
                <w:bCs/>
                <w:i/>
                <w:iCs/>
                <w:sz w:val="16"/>
                <w:szCs w:val="16"/>
              </w:rPr>
              <w:t>Provided for:</w:t>
            </w:r>
          </w:p>
        </w:tc>
        <w:tc>
          <w:tcPr>
            <w:tcW w:w="928"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i/>
                <w:iCs/>
                <w:sz w:val="16"/>
                <w:szCs w:val="16"/>
              </w:rPr>
            </w:pPr>
          </w:p>
        </w:tc>
        <w:tc>
          <w:tcPr>
            <w:tcW w:w="867" w:type="dxa"/>
            <w:tcBorders>
              <w:top w:val="nil"/>
              <w:left w:val="nil"/>
              <w:bottom w:val="nil"/>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i/>
                <w:iCs/>
                <w:sz w:val="16"/>
                <w:szCs w:val="16"/>
              </w:rPr>
            </w:pP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i/>
                <w:iCs/>
                <w:sz w:val="16"/>
                <w:szCs w:val="16"/>
              </w:rPr>
            </w:pP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i/>
                <w:iCs/>
                <w:sz w:val="16"/>
                <w:szCs w:val="16"/>
              </w:rPr>
            </w:pPr>
          </w:p>
        </w:tc>
      </w:tr>
      <w:tr w:rsidR="00C828AB" w:rsidRPr="00C828AB" w:rsidTr="00C828AB">
        <w:trPr>
          <w:trHeight w:val="225"/>
        </w:trPr>
        <w:tc>
          <w:tcPr>
            <w:tcW w:w="3305"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ind w:firstLineChars="100" w:firstLine="160"/>
              <w:rPr>
                <w:rFonts w:ascii="Arial" w:hAnsi="Arial" w:cs="Arial"/>
                <w:i/>
                <w:iCs/>
                <w:sz w:val="16"/>
                <w:szCs w:val="16"/>
              </w:rPr>
            </w:pPr>
            <w:r w:rsidRPr="00C828AB">
              <w:rPr>
                <w:rFonts w:ascii="Arial" w:hAnsi="Arial" w:cs="Arial"/>
                <w:i/>
                <w:iCs/>
                <w:sz w:val="16"/>
                <w:szCs w:val="16"/>
              </w:rPr>
              <w:t>Purchase of non-financial assets</w:t>
            </w:r>
          </w:p>
        </w:tc>
        <w:tc>
          <w:tcPr>
            <w:tcW w:w="928"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441 </w:t>
            </w:r>
          </w:p>
        </w:tc>
        <w:tc>
          <w:tcPr>
            <w:tcW w:w="867" w:type="dxa"/>
            <w:tcBorders>
              <w:top w:val="nil"/>
              <w:left w:val="nil"/>
              <w:bottom w:val="nil"/>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441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440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443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i/>
                <w:iCs/>
                <w:sz w:val="16"/>
                <w:szCs w:val="16"/>
              </w:rPr>
            </w:pPr>
            <w:r w:rsidRPr="00C828AB">
              <w:rPr>
                <w:rFonts w:ascii="Arial" w:hAnsi="Arial" w:cs="Arial"/>
                <w:i/>
                <w:iCs/>
                <w:sz w:val="16"/>
                <w:szCs w:val="16"/>
              </w:rPr>
              <w:t xml:space="preserve">446 </w:t>
            </w:r>
          </w:p>
        </w:tc>
      </w:tr>
      <w:tr w:rsidR="00C828AB" w:rsidRPr="00C828AB" w:rsidTr="00C828AB">
        <w:trPr>
          <w:trHeight w:val="225"/>
        </w:trPr>
        <w:tc>
          <w:tcPr>
            <w:tcW w:w="3305"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rPr>
                <w:rFonts w:ascii="Arial" w:hAnsi="Arial" w:cs="Arial"/>
                <w:b/>
                <w:bCs/>
                <w:i/>
                <w:iCs/>
                <w:sz w:val="16"/>
                <w:szCs w:val="16"/>
              </w:rPr>
            </w:pPr>
            <w:r w:rsidRPr="00C828AB">
              <w:rPr>
                <w:rFonts w:ascii="Arial" w:hAnsi="Arial" w:cs="Arial"/>
                <w:b/>
                <w:bCs/>
                <w:i/>
                <w:iCs/>
                <w:sz w:val="16"/>
                <w:szCs w:val="16"/>
              </w:rPr>
              <w:t>Total items</w:t>
            </w:r>
          </w:p>
        </w:tc>
        <w:tc>
          <w:tcPr>
            <w:tcW w:w="928"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441 </w:t>
            </w:r>
          </w:p>
        </w:tc>
        <w:tc>
          <w:tcPr>
            <w:tcW w:w="867" w:type="dxa"/>
            <w:tcBorders>
              <w:top w:val="single" w:sz="4" w:space="0" w:color="auto"/>
              <w:left w:val="nil"/>
              <w:bottom w:val="single" w:sz="4" w:space="0" w:color="auto"/>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441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440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443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i/>
                <w:iCs/>
                <w:sz w:val="16"/>
                <w:szCs w:val="16"/>
              </w:rPr>
            </w:pPr>
            <w:r w:rsidRPr="00C828AB">
              <w:rPr>
                <w:rFonts w:ascii="Arial" w:hAnsi="Arial" w:cs="Arial"/>
                <w:b/>
                <w:bCs/>
                <w:i/>
                <w:iCs/>
                <w:sz w:val="16"/>
                <w:szCs w:val="16"/>
              </w:rPr>
              <w:t xml:space="preserve">446 </w:t>
            </w:r>
          </w:p>
        </w:tc>
      </w:tr>
      <w:tr w:rsidR="00C828AB" w:rsidRPr="00C828AB" w:rsidTr="00C828AB">
        <w:trPr>
          <w:trHeight w:val="227"/>
        </w:trPr>
        <w:tc>
          <w:tcPr>
            <w:tcW w:w="3305" w:type="dxa"/>
            <w:tcBorders>
              <w:top w:val="nil"/>
              <w:left w:val="nil"/>
              <w:bottom w:val="nil"/>
              <w:right w:val="nil"/>
            </w:tcBorders>
            <w:shd w:val="clear" w:color="auto" w:fill="auto"/>
            <w:vAlign w:val="center"/>
            <w:hideMark/>
          </w:tcPr>
          <w:p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PURCHASE OF NON-FINANCIAL ASSETS</w:t>
            </w:r>
          </w:p>
        </w:tc>
        <w:tc>
          <w:tcPr>
            <w:tcW w:w="928" w:type="dxa"/>
            <w:tcBorders>
              <w:top w:val="nil"/>
              <w:left w:val="nil"/>
              <w:bottom w:val="nil"/>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E6E6E6"/>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w:t>
            </w:r>
          </w:p>
        </w:tc>
        <w:tc>
          <w:tcPr>
            <w:tcW w:w="867" w:type="dxa"/>
            <w:tcBorders>
              <w:top w:val="nil"/>
              <w:left w:val="nil"/>
              <w:bottom w:val="nil"/>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p>
        </w:tc>
      </w:tr>
      <w:tr w:rsidR="00C828AB" w:rsidRPr="00C828AB" w:rsidTr="00C828AB">
        <w:trPr>
          <w:trHeight w:val="227"/>
        </w:trPr>
        <w:tc>
          <w:tcPr>
            <w:tcW w:w="3305" w:type="dxa"/>
            <w:tcBorders>
              <w:top w:val="nil"/>
              <w:left w:val="nil"/>
              <w:bottom w:val="nil"/>
              <w:right w:val="nil"/>
            </w:tcBorders>
            <w:shd w:val="clear" w:color="auto" w:fill="auto"/>
            <w:vAlign w:val="center"/>
            <w:hideMark/>
          </w:tcPr>
          <w:p w:rsidR="00C828AB" w:rsidRPr="00C828AB" w:rsidRDefault="00C828AB" w:rsidP="00C828AB">
            <w:pPr>
              <w:spacing w:after="0" w:line="240" w:lineRule="auto"/>
              <w:ind w:firstLineChars="100" w:firstLine="160"/>
              <w:rPr>
                <w:rFonts w:ascii="Arial" w:hAnsi="Arial" w:cs="Arial"/>
                <w:sz w:val="16"/>
                <w:szCs w:val="16"/>
              </w:rPr>
            </w:pPr>
            <w:r w:rsidRPr="00C828AB">
              <w:rPr>
                <w:rFonts w:ascii="Arial" w:hAnsi="Arial" w:cs="Arial"/>
                <w:sz w:val="16"/>
                <w:szCs w:val="16"/>
              </w:rPr>
              <w:t>Funded by capital appropriation—DCB (a)</w:t>
            </w:r>
          </w:p>
        </w:tc>
        <w:tc>
          <w:tcPr>
            <w:tcW w:w="928"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441 </w:t>
            </w:r>
          </w:p>
        </w:tc>
        <w:tc>
          <w:tcPr>
            <w:tcW w:w="867" w:type="dxa"/>
            <w:tcBorders>
              <w:top w:val="nil"/>
              <w:left w:val="nil"/>
              <w:bottom w:val="nil"/>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441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440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443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446 </w:t>
            </w:r>
          </w:p>
        </w:tc>
      </w:tr>
      <w:tr w:rsidR="00C828AB" w:rsidRPr="00C828AB" w:rsidTr="00C828AB">
        <w:trPr>
          <w:trHeight w:val="397"/>
        </w:trPr>
        <w:tc>
          <w:tcPr>
            <w:tcW w:w="3305" w:type="dxa"/>
            <w:tcBorders>
              <w:top w:val="nil"/>
              <w:left w:val="nil"/>
              <w:bottom w:val="nil"/>
              <w:right w:val="nil"/>
            </w:tcBorders>
            <w:shd w:val="clear" w:color="auto" w:fill="auto"/>
            <w:vAlign w:val="center"/>
            <w:hideMark/>
          </w:tcPr>
          <w:p w:rsidR="00C828AB" w:rsidRPr="00C828AB" w:rsidRDefault="00C828AB" w:rsidP="00C828AB">
            <w:pPr>
              <w:spacing w:after="0" w:line="240" w:lineRule="auto"/>
              <w:ind w:leftChars="80" w:left="333" w:hangingChars="108" w:hanging="173"/>
              <w:rPr>
                <w:rFonts w:ascii="Arial" w:hAnsi="Arial" w:cs="Arial"/>
                <w:sz w:val="16"/>
                <w:szCs w:val="16"/>
              </w:rPr>
            </w:pPr>
            <w:r w:rsidRPr="00C828AB">
              <w:rPr>
                <w:rFonts w:ascii="Arial" w:hAnsi="Arial" w:cs="Arial"/>
                <w:sz w:val="16"/>
                <w:szCs w:val="16"/>
              </w:rPr>
              <w:t>Funded internally from departmental resources (b)</w:t>
            </w:r>
          </w:p>
        </w:tc>
        <w:tc>
          <w:tcPr>
            <w:tcW w:w="928"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611 </w:t>
            </w:r>
          </w:p>
        </w:tc>
        <w:tc>
          <w:tcPr>
            <w:tcW w:w="867" w:type="dxa"/>
            <w:tcBorders>
              <w:top w:val="nil"/>
              <w:left w:val="nil"/>
              <w:bottom w:val="nil"/>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629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415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 </w:t>
            </w:r>
          </w:p>
        </w:tc>
      </w:tr>
      <w:tr w:rsidR="00C828AB" w:rsidRPr="00C828AB" w:rsidTr="00C828AB">
        <w:trPr>
          <w:trHeight w:val="225"/>
        </w:trPr>
        <w:tc>
          <w:tcPr>
            <w:tcW w:w="3305"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TOTAL</w:t>
            </w:r>
          </w:p>
        </w:tc>
        <w:tc>
          <w:tcPr>
            <w:tcW w:w="928"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1,052 </w:t>
            </w:r>
          </w:p>
        </w:tc>
        <w:tc>
          <w:tcPr>
            <w:tcW w:w="867" w:type="dxa"/>
            <w:tcBorders>
              <w:top w:val="single" w:sz="4" w:space="0" w:color="auto"/>
              <w:left w:val="nil"/>
              <w:bottom w:val="single" w:sz="4" w:space="0" w:color="auto"/>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1,070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855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443 </w:t>
            </w:r>
          </w:p>
        </w:tc>
        <w:tc>
          <w:tcPr>
            <w:tcW w:w="867"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446 </w:t>
            </w:r>
          </w:p>
        </w:tc>
      </w:tr>
      <w:tr w:rsidR="00C828AB" w:rsidRPr="00C828AB" w:rsidTr="00C828AB">
        <w:trPr>
          <w:trHeight w:val="624"/>
        </w:trPr>
        <w:tc>
          <w:tcPr>
            <w:tcW w:w="3305" w:type="dxa"/>
            <w:tcBorders>
              <w:top w:val="nil"/>
              <w:left w:val="nil"/>
              <w:bottom w:val="nil"/>
              <w:right w:val="nil"/>
            </w:tcBorders>
            <w:shd w:val="clear" w:color="auto" w:fill="auto"/>
            <w:vAlign w:val="center"/>
            <w:hideMark/>
          </w:tcPr>
          <w:p w:rsidR="00C828AB" w:rsidRPr="00C828AB" w:rsidRDefault="00C828AB" w:rsidP="00C828AB">
            <w:pPr>
              <w:spacing w:after="0" w:line="240" w:lineRule="auto"/>
              <w:ind w:left="191" w:hanging="191"/>
              <w:rPr>
                <w:rFonts w:ascii="Arial" w:hAnsi="Arial" w:cs="Arial"/>
                <w:b/>
                <w:bCs/>
                <w:sz w:val="16"/>
                <w:szCs w:val="16"/>
              </w:rPr>
            </w:pPr>
            <w:r w:rsidRPr="00C828AB">
              <w:rPr>
                <w:rFonts w:ascii="Arial" w:hAnsi="Arial" w:cs="Arial"/>
                <w:b/>
                <w:bCs/>
                <w:sz w:val="16"/>
                <w:szCs w:val="16"/>
              </w:rPr>
              <w:t>RECONCILIATION OF CASH USED TO ACQUIRE ASSETS TO ASSET MOVEMENT TABLE</w:t>
            </w:r>
          </w:p>
        </w:tc>
        <w:tc>
          <w:tcPr>
            <w:tcW w:w="928"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r>
      <w:tr w:rsidR="00C828AB" w:rsidRPr="00C828AB" w:rsidTr="00C828AB">
        <w:trPr>
          <w:trHeight w:val="225"/>
        </w:trPr>
        <w:tc>
          <w:tcPr>
            <w:tcW w:w="3305"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ind w:firstLineChars="100" w:firstLine="160"/>
              <w:rPr>
                <w:rFonts w:ascii="Arial" w:hAnsi="Arial" w:cs="Arial"/>
                <w:sz w:val="16"/>
                <w:szCs w:val="16"/>
              </w:rPr>
            </w:pPr>
            <w:r w:rsidRPr="00C828AB">
              <w:rPr>
                <w:rFonts w:ascii="Arial" w:hAnsi="Arial" w:cs="Arial"/>
                <w:sz w:val="16"/>
                <w:szCs w:val="16"/>
              </w:rPr>
              <w:t>Total purchases</w:t>
            </w:r>
          </w:p>
        </w:tc>
        <w:tc>
          <w:tcPr>
            <w:tcW w:w="928"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1,052 </w:t>
            </w:r>
          </w:p>
        </w:tc>
        <w:tc>
          <w:tcPr>
            <w:tcW w:w="867" w:type="dxa"/>
            <w:tcBorders>
              <w:top w:val="nil"/>
              <w:left w:val="nil"/>
              <w:bottom w:val="nil"/>
              <w:right w:val="nil"/>
            </w:tcBorders>
            <w:shd w:val="clear" w:color="000000" w:fill="E6E6E6"/>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1,070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855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443 </w:t>
            </w:r>
          </w:p>
        </w:tc>
        <w:tc>
          <w:tcPr>
            <w:tcW w:w="867"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446 </w:t>
            </w:r>
          </w:p>
        </w:tc>
      </w:tr>
      <w:tr w:rsidR="00C828AB" w:rsidRPr="00C828AB" w:rsidTr="00C828AB">
        <w:trPr>
          <w:trHeight w:val="225"/>
        </w:trPr>
        <w:tc>
          <w:tcPr>
            <w:tcW w:w="3305" w:type="dxa"/>
            <w:tcBorders>
              <w:top w:val="nil"/>
              <w:left w:val="nil"/>
              <w:bottom w:val="single" w:sz="4" w:space="0" w:color="auto"/>
              <w:right w:val="nil"/>
            </w:tcBorders>
            <w:shd w:val="clear" w:color="auto" w:fill="auto"/>
            <w:vAlign w:val="bottom"/>
            <w:hideMark/>
          </w:tcPr>
          <w:p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Total cash used to acquire assets</w:t>
            </w:r>
          </w:p>
        </w:tc>
        <w:tc>
          <w:tcPr>
            <w:tcW w:w="928" w:type="dxa"/>
            <w:tcBorders>
              <w:top w:val="single" w:sz="4" w:space="0" w:color="auto"/>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1,052 </w:t>
            </w:r>
          </w:p>
        </w:tc>
        <w:tc>
          <w:tcPr>
            <w:tcW w:w="867" w:type="dxa"/>
            <w:tcBorders>
              <w:top w:val="single" w:sz="4" w:space="0" w:color="auto"/>
              <w:left w:val="nil"/>
              <w:bottom w:val="single" w:sz="4" w:space="0" w:color="auto"/>
              <w:right w:val="nil"/>
            </w:tcBorders>
            <w:shd w:val="clear" w:color="000000" w:fill="E6E6E6"/>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1,070 </w:t>
            </w:r>
          </w:p>
        </w:tc>
        <w:tc>
          <w:tcPr>
            <w:tcW w:w="867" w:type="dxa"/>
            <w:tcBorders>
              <w:top w:val="single" w:sz="4" w:space="0" w:color="auto"/>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855 </w:t>
            </w:r>
          </w:p>
        </w:tc>
        <w:tc>
          <w:tcPr>
            <w:tcW w:w="867" w:type="dxa"/>
            <w:tcBorders>
              <w:top w:val="single" w:sz="4" w:space="0" w:color="auto"/>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443 </w:t>
            </w:r>
          </w:p>
        </w:tc>
        <w:tc>
          <w:tcPr>
            <w:tcW w:w="867" w:type="dxa"/>
            <w:tcBorders>
              <w:top w:val="single" w:sz="4" w:space="0" w:color="auto"/>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446 </w:t>
            </w:r>
          </w:p>
        </w:tc>
      </w:tr>
    </w:tbl>
    <w:p w:rsidR="00240B29" w:rsidRPr="00240B29" w:rsidRDefault="00240B29" w:rsidP="00E01B4E">
      <w:pPr>
        <w:pStyle w:val="ChartandTableFootnoteAlpha"/>
        <w:numPr>
          <w:ilvl w:val="0"/>
          <w:numId w:val="31"/>
        </w:numPr>
      </w:pPr>
      <w:r w:rsidRPr="00240B29">
        <w:t>Does not include annual finance lease costs. Includes purchases from current an</w:t>
      </w:r>
      <w:r w:rsidR="00C828AB">
        <w:t>d previous years’ Departmental Capital B</w:t>
      </w:r>
      <w:r w:rsidRPr="00240B29">
        <w:t>udgets (DCBs).</w:t>
      </w:r>
    </w:p>
    <w:p w:rsidR="00240B29" w:rsidRPr="00240B29" w:rsidRDefault="00240B29" w:rsidP="00C828AB">
      <w:pPr>
        <w:pStyle w:val="ChartandTableFootnoteAlpha"/>
      </w:pPr>
      <w:r w:rsidRPr="00240B29">
        <w:t xml:space="preserve">Includes the following sources of funding: </w:t>
      </w:r>
    </w:p>
    <w:p w:rsidR="00240B29" w:rsidRPr="00240B29" w:rsidRDefault="00240B29" w:rsidP="00E01B4E">
      <w:pPr>
        <w:pStyle w:val="ChartandTableFootnoteAlpha"/>
        <w:numPr>
          <w:ilvl w:val="0"/>
          <w:numId w:val="30"/>
        </w:numPr>
      </w:pPr>
      <w:r w:rsidRPr="00240B29">
        <w:t>current Bill 1 and prior year Act 1/3/5 appropriations (e</w:t>
      </w:r>
      <w:r w:rsidR="00C828AB">
        <w:t>xcluding amounts from the DCB)</w:t>
      </w:r>
      <w:r w:rsidR="00686A76">
        <w:t>, and</w:t>
      </w:r>
    </w:p>
    <w:p w:rsidR="00240B29" w:rsidRPr="00240B29" w:rsidRDefault="00473DB1" w:rsidP="00E01B4E">
      <w:pPr>
        <w:pStyle w:val="ChartandTableFootnoteAlpha"/>
        <w:numPr>
          <w:ilvl w:val="0"/>
          <w:numId w:val="30"/>
        </w:numPr>
      </w:pPr>
      <w:r>
        <w:t>s74 Retained revenue receipts.</w:t>
      </w:r>
    </w:p>
    <w:p w:rsidR="00240B29" w:rsidRPr="00240B29" w:rsidRDefault="00240B29" w:rsidP="00C828AB">
      <w:pPr>
        <w:pStyle w:val="ChartandTableFootnote"/>
      </w:pPr>
      <w:r w:rsidRPr="00240B29">
        <w:t>Prepared on Australian Accounting Standards basis.</w:t>
      </w:r>
    </w:p>
    <w:p w:rsidR="00240B29" w:rsidRPr="00240B29" w:rsidRDefault="00240B29" w:rsidP="00C828AB">
      <w:pPr>
        <w:pStyle w:val="TableHeading"/>
      </w:pPr>
      <w:r w:rsidRPr="00240B29">
        <w:rPr>
          <w:rFonts w:cs="Arial"/>
          <w:szCs w:val="16"/>
        </w:rPr>
        <w:br w:type="page"/>
      </w:r>
      <w:r w:rsidRPr="00240B29">
        <w:lastRenderedPageBreak/>
        <w:t>Table 3.6: Statement of asset movements (Budget year 2018–19)</w:t>
      </w:r>
    </w:p>
    <w:tbl>
      <w:tblPr>
        <w:tblW w:w="7755" w:type="dxa"/>
        <w:tblInd w:w="93" w:type="dxa"/>
        <w:tblLook w:val="04A0" w:firstRow="1" w:lastRow="0" w:firstColumn="1" w:lastColumn="0" w:noHBand="0" w:noVBand="1"/>
      </w:tblPr>
      <w:tblGrid>
        <w:gridCol w:w="3146"/>
        <w:gridCol w:w="1020"/>
        <w:gridCol w:w="1304"/>
        <w:gridCol w:w="1304"/>
        <w:gridCol w:w="981"/>
      </w:tblGrid>
      <w:tr w:rsidR="00C828AB" w:rsidRPr="00C828AB" w:rsidTr="00881DF6">
        <w:trPr>
          <w:trHeight w:val="794"/>
        </w:trPr>
        <w:tc>
          <w:tcPr>
            <w:tcW w:w="3146"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rPr>
                <w:rFonts w:ascii="Arial" w:hAnsi="Arial" w:cs="Arial"/>
                <w:sz w:val="16"/>
                <w:szCs w:val="16"/>
              </w:rPr>
            </w:pPr>
            <w:r w:rsidRPr="00C828AB">
              <w:rPr>
                <w:rFonts w:ascii="Arial" w:hAnsi="Arial" w:cs="Arial"/>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rsidR="00C828AB" w:rsidRPr="00C828AB" w:rsidRDefault="00C828AB" w:rsidP="00881DF6">
            <w:pPr>
              <w:spacing w:after="0" w:line="240" w:lineRule="auto"/>
              <w:jc w:val="right"/>
              <w:rPr>
                <w:rFonts w:ascii="Arial" w:hAnsi="Arial" w:cs="Arial"/>
                <w:sz w:val="16"/>
                <w:szCs w:val="16"/>
              </w:rPr>
            </w:pPr>
            <w:r w:rsidRPr="00C828AB">
              <w:rPr>
                <w:rFonts w:ascii="Arial" w:hAnsi="Arial" w:cs="Arial"/>
                <w:sz w:val="16"/>
                <w:szCs w:val="16"/>
              </w:rPr>
              <w:t>Buildings</w:t>
            </w:r>
            <w:r w:rsidRPr="00C828AB">
              <w:rPr>
                <w:rFonts w:ascii="Arial" w:hAnsi="Arial" w:cs="Arial"/>
                <w:sz w:val="16"/>
                <w:szCs w:val="16"/>
              </w:rPr>
              <w:br/>
            </w:r>
            <w:r w:rsidRPr="00C828AB">
              <w:rPr>
                <w:rFonts w:ascii="Arial" w:hAnsi="Arial" w:cs="Arial"/>
                <w:sz w:val="16"/>
                <w:szCs w:val="16"/>
              </w:rPr>
              <w:br/>
            </w:r>
            <w:r w:rsidRPr="00C828AB">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rsidR="00C828AB" w:rsidRPr="00C828AB" w:rsidRDefault="00C828AB" w:rsidP="00881DF6">
            <w:pPr>
              <w:spacing w:after="0" w:line="240" w:lineRule="auto"/>
              <w:jc w:val="right"/>
              <w:rPr>
                <w:rFonts w:ascii="Arial" w:hAnsi="Arial" w:cs="Arial"/>
                <w:sz w:val="16"/>
                <w:szCs w:val="16"/>
              </w:rPr>
            </w:pPr>
            <w:r w:rsidRPr="00C828AB">
              <w:rPr>
                <w:rFonts w:ascii="Arial" w:hAnsi="Arial" w:cs="Arial"/>
                <w:sz w:val="16"/>
                <w:szCs w:val="16"/>
              </w:rPr>
              <w:t>Other</w:t>
            </w:r>
            <w:r>
              <w:rPr>
                <w:rFonts w:ascii="Arial" w:hAnsi="Arial" w:cs="Arial"/>
                <w:sz w:val="16"/>
                <w:szCs w:val="16"/>
              </w:rPr>
              <w:t xml:space="preserve"> </w:t>
            </w:r>
            <w:r w:rsidRPr="00C828AB">
              <w:rPr>
                <w:rFonts w:ascii="Arial" w:hAnsi="Arial" w:cs="Arial"/>
                <w:sz w:val="16"/>
                <w:szCs w:val="16"/>
              </w:rPr>
              <w:t>property,</w:t>
            </w:r>
            <w:r w:rsidR="00881DF6">
              <w:rPr>
                <w:rFonts w:ascii="Arial" w:hAnsi="Arial" w:cs="Arial"/>
                <w:sz w:val="16"/>
                <w:szCs w:val="16"/>
              </w:rPr>
              <w:t xml:space="preserve"> </w:t>
            </w:r>
            <w:r w:rsidRPr="00C828AB">
              <w:rPr>
                <w:rFonts w:ascii="Arial" w:hAnsi="Arial" w:cs="Arial"/>
                <w:sz w:val="16"/>
                <w:szCs w:val="16"/>
              </w:rPr>
              <w:t>plant and</w:t>
            </w:r>
            <w:r w:rsidR="00881DF6">
              <w:rPr>
                <w:rFonts w:ascii="Arial" w:hAnsi="Arial" w:cs="Arial"/>
                <w:sz w:val="16"/>
                <w:szCs w:val="16"/>
              </w:rPr>
              <w:t xml:space="preserve"> </w:t>
            </w:r>
            <w:r w:rsidRPr="00C828AB">
              <w:rPr>
                <w:rFonts w:ascii="Arial" w:hAnsi="Arial" w:cs="Arial"/>
                <w:sz w:val="16"/>
                <w:szCs w:val="16"/>
              </w:rPr>
              <w:t>equipment</w:t>
            </w:r>
            <w:r w:rsidRPr="00C828AB">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Computer</w:t>
            </w:r>
            <w:r w:rsidRPr="00C828AB">
              <w:rPr>
                <w:rFonts w:ascii="Arial" w:hAnsi="Arial" w:cs="Arial"/>
                <w:sz w:val="16"/>
                <w:szCs w:val="16"/>
              </w:rPr>
              <w:br/>
              <w:t>software and</w:t>
            </w:r>
            <w:r w:rsidRPr="00C828AB">
              <w:rPr>
                <w:rFonts w:ascii="Arial" w:hAnsi="Arial" w:cs="Arial"/>
                <w:sz w:val="16"/>
                <w:szCs w:val="16"/>
              </w:rPr>
              <w:br/>
              <w:t>intangibles</w:t>
            </w:r>
            <w:r w:rsidRPr="00C828AB">
              <w:rPr>
                <w:rFonts w:ascii="Arial" w:hAnsi="Arial" w:cs="Arial"/>
                <w:sz w:val="16"/>
                <w:szCs w:val="16"/>
              </w:rPr>
              <w:br/>
              <w:t>$'000</w:t>
            </w:r>
          </w:p>
        </w:tc>
        <w:tc>
          <w:tcPr>
            <w:tcW w:w="981" w:type="dxa"/>
            <w:tcBorders>
              <w:top w:val="single" w:sz="4" w:space="0" w:color="auto"/>
              <w:left w:val="nil"/>
              <w:bottom w:val="single" w:sz="4" w:space="0" w:color="auto"/>
              <w:right w:val="nil"/>
            </w:tcBorders>
            <w:shd w:val="clear" w:color="auto" w:fill="auto"/>
            <w:vAlign w:val="center"/>
            <w:hideMark/>
          </w:tcPr>
          <w:p w:rsidR="00C828AB" w:rsidRPr="00C828AB" w:rsidRDefault="00C828AB" w:rsidP="00881DF6">
            <w:pPr>
              <w:spacing w:after="0" w:line="240" w:lineRule="auto"/>
              <w:jc w:val="right"/>
              <w:rPr>
                <w:rFonts w:ascii="Arial" w:hAnsi="Arial" w:cs="Arial"/>
                <w:sz w:val="16"/>
                <w:szCs w:val="16"/>
              </w:rPr>
            </w:pPr>
            <w:r w:rsidRPr="00C828AB">
              <w:rPr>
                <w:rFonts w:ascii="Arial" w:hAnsi="Arial" w:cs="Arial"/>
                <w:sz w:val="16"/>
                <w:szCs w:val="16"/>
              </w:rPr>
              <w:t>Total</w:t>
            </w:r>
            <w:r w:rsidRPr="00C828AB">
              <w:rPr>
                <w:rFonts w:ascii="Arial" w:hAnsi="Arial" w:cs="Arial"/>
                <w:sz w:val="16"/>
                <w:szCs w:val="16"/>
              </w:rPr>
              <w:br/>
            </w:r>
            <w:r w:rsidRPr="00C828AB">
              <w:rPr>
                <w:rFonts w:ascii="Arial" w:hAnsi="Arial" w:cs="Arial"/>
                <w:sz w:val="16"/>
                <w:szCs w:val="16"/>
              </w:rPr>
              <w:br/>
            </w:r>
            <w:r w:rsidRPr="00C828AB">
              <w:rPr>
                <w:rFonts w:ascii="Arial" w:hAnsi="Arial" w:cs="Arial"/>
                <w:sz w:val="16"/>
                <w:szCs w:val="16"/>
              </w:rPr>
              <w:br/>
              <w:t>$'000</w:t>
            </w: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rPr>
                <w:rFonts w:ascii="Arial" w:hAnsi="Arial" w:cs="Arial"/>
                <w:b/>
                <w:bCs/>
                <w:sz w:val="16"/>
                <w:szCs w:val="16"/>
              </w:rPr>
            </w:pPr>
            <w:r w:rsidRPr="00C828AB">
              <w:rPr>
                <w:rFonts w:ascii="Arial" w:hAnsi="Arial" w:cs="Arial"/>
                <w:b/>
                <w:bCs/>
                <w:sz w:val="16"/>
                <w:szCs w:val="16"/>
              </w:rPr>
              <w:t>As at 1 July 2018</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firstLineChars="100" w:firstLine="160"/>
              <w:rPr>
                <w:rFonts w:ascii="Arial" w:hAnsi="Arial" w:cs="Arial"/>
                <w:sz w:val="16"/>
                <w:szCs w:val="16"/>
              </w:rPr>
            </w:pPr>
            <w:r w:rsidRPr="00C828AB">
              <w:rPr>
                <w:rFonts w:ascii="Arial" w:hAnsi="Arial" w:cs="Arial"/>
                <w:sz w:val="16"/>
                <w:szCs w:val="16"/>
              </w:rPr>
              <w:t xml:space="preserve">Gross book value </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15,827 </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1,315 </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1,611 </w:t>
            </w: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18,753 </w:t>
            </w:r>
          </w:p>
        </w:tc>
      </w:tr>
      <w:tr w:rsidR="00C828AB" w:rsidRPr="00C828AB" w:rsidTr="00881DF6">
        <w:trPr>
          <w:trHeight w:val="397"/>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leftChars="80" w:left="333" w:hangingChars="108" w:hanging="173"/>
              <w:rPr>
                <w:rFonts w:ascii="Arial" w:hAnsi="Arial" w:cs="Arial"/>
                <w:sz w:val="16"/>
                <w:szCs w:val="16"/>
              </w:rPr>
            </w:pPr>
            <w:r w:rsidRPr="00C828AB">
              <w:rPr>
                <w:rFonts w:ascii="Arial" w:hAnsi="Arial" w:cs="Arial"/>
                <w:sz w:val="16"/>
                <w:szCs w:val="16"/>
              </w:rPr>
              <w:t>Accumulated depreciation/</w:t>
            </w:r>
            <w:r w:rsidR="00881DF6">
              <w:rPr>
                <w:rFonts w:ascii="Arial" w:hAnsi="Arial" w:cs="Arial"/>
                <w:sz w:val="16"/>
                <w:szCs w:val="16"/>
              </w:rPr>
              <w:t xml:space="preserve"> </w:t>
            </w:r>
            <w:r w:rsidRPr="00C828AB">
              <w:rPr>
                <w:rFonts w:ascii="Arial" w:hAnsi="Arial" w:cs="Arial"/>
                <w:sz w:val="16"/>
                <w:szCs w:val="16"/>
              </w:rPr>
              <w:t>amortisation and impairment</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(10,224)</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(1,076)</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(858)</w:t>
            </w: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(12,158)</w:t>
            </w: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rPr>
                <w:rFonts w:ascii="Arial" w:hAnsi="Arial" w:cs="Arial"/>
                <w:b/>
                <w:bCs/>
                <w:sz w:val="16"/>
                <w:szCs w:val="16"/>
              </w:rPr>
            </w:pPr>
            <w:r w:rsidRPr="00C828AB">
              <w:rPr>
                <w:rFonts w:ascii="Arial" w:hAnsi="Arial" w:cs="Arial"/>
                <w:b/>
                <w:bCs/>
                <w:sz w:val="16"/>
                <w:szCs w:val="16"/>
              </w:rPr>
              <w:t>Opening net book balance</w:t>
            </w:r>
          </w:p>
        </w:tc>
        <w:tc>
          <w:tcPr>
            <w:tcW w:w="1020"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5,603 </w:t>
            </w:r>
          </w:p>
        </w:tc>
        <w:tc>
          <w:tcPr>
            <w:tcW w:w="1304"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239 </w:t>
            </w:r>
          </w:p>
        </w:tc>
        <w:tc>
          <w:tcPr>
            <w:tcW w:w="1304"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753 </w:t>
            </w:r>
          </w:p>
        </w:tc>
        <w:tc>
          <w:tcPr>
            <w:tcW w:w="981"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6,595 </w:t>
            </w: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rPr>
                <w:rFonts w:ascii="Arial" w:hAnsi="Arial" w:cs="Arial"/>
                <w:b/>
                <w:bCs/>
                <w:sz w:val="16"/>
                <w:szCs w:val="16"/>
              </w:rPr>
            </w:pPr>
            <w:r w:rsidRPr="00C828AB">
              <w:rPr>
                <w:rFonts w:ascii="Arial" w:hAnsi="Arial" w:cs="Arial"/>
                <w:b/>
                <w:bCs/>
                <w:sz w:val="16"/>
                <w:szCs w:val="16"/>
              </w:rPr>
              <w:t>Capital asset additions</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r>
      <w:tr w:rsidR="00C828AB" w:rsidRPr="00C828AB" w:rsidTr="00881DF6">
        <w:trPr>
          <w:trHeight w:val="397"/>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leftChars="81" w:left="306" w:hangingChars="90" w:hanging="144"/>
              <w:rPr>
                <w:rFonts w:ascii="Arial" w:hAnsi="Arial" w:cs="Arial"/>
                <w:b/>
                <w:bCs/>
                <w:sz w:val="16"/>
                <w:szCs w:val="16"/>
              </w:rPr>
            </w:pPr>
            <w:r w:rsidRPr="00C828AB">
              <w:rPr>
                <w:rFonts w:ascii="Arial" w:hAnsi="Arial" w:cs="Arial"/>
                <w:b/>
                <w:bCs/>
                <w:sz w:val="16"/>
                <w:szCs w:val="16"/>
              </w:rPr>
              <w:t>Estimated expenditure on new or replacement assets</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firstLineChars="100" w:firstLine="160"/>
              <w:rPr>
                <w:rFonts w:ascii="Arial" w:hAnsi="Arial" w:cs="Arial"/>
                <w:sz w:val="16"/>
                <w:szCs w:val="16"/>
              </w:rPr>
            </w:pPr>
            <w:r w:rsidRPr="00C828AB">
              <w:rPr>
                <w:rFonts w:ascii="Arial" w:hAnsi="Arial" w:cs="Arial"/>
                <w:sz w:val="16"/>
                <w:szCs w:val="16"/>
              </w:rPr>
              <w:t>By purchase—appropriation equity (a)</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 </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570 </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500 </w:t>
            </w: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1,070 </w:t>
            </w: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firstLineChars="100" w:firstLine="160"/>
              <w:rPr>
                <w:rFonts w:ascii="Arial" w:hAnsi="Arial" w:cs="Arial"/>
                <w:b/>
                <w:bCs/>
                <w:sz w:val="16"/>
                <w:szCs w:val="16"/>
              </w:rPr>
            </w:pPr>
            <w:r w:rsidRPr="00C828AB">
              <w:rPr>
                <w:rFonts w:ascii="Arial" w:hAnsi="Arial" w:cs="Arial"/>
                <w:b/>
                <w:bCs/>
                <w:sz w:val="16"/>
                <w:szCs w:val="16"/>
              </w:rPr>
              <w:t>Total additions</w:t>
            </w:r>
          </w:p>
        </w:tc>
        <w:tc>
          <w:tcPr>
            <w:tcW w:w="1020"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 </w:t>
            </w:r>
          </w:p>
        </w:tc>
        <w:tc>
          <w:tcPr>
            <w:tcW w:w="1304"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570 </w:t>
            </w:r>
          </w:p>
        </w:tc>
        <w:tc>
          <w:tcPr>
            <w:tcW w:w="1304"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500 </w:t>
            </w:r>
          </w:p>
        </w:tc>
        <w:tc>
          <w:tcPr>
            <w:tcW w:w="981"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1,070 </w:t>
            </w: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firstLineChars="100" w:firstLine="160"/>
              <w:rPr>
                <w:rFonts w:ascii="Arial" w:hAnsi="Arial" w:cs="Arial"/>
                <w:b/>
                <w:bCs/>
                <w:sz w:val="16"/>
                <w:szCs w:val="16"/>
              </w:rPr>
            </w:pPr>
            <w:r w:rsidRPr="00C828AB">
              <w:rPr>
                <w:rFonts w:ascii="Arial" w:hAnsi="Arial" w:cs="Arial"/>
                <w:b/>
                <w:bCs/>
                <w:sz w:val="16"/>
                <w:szCs w:val="16"/>
              </w:rPr>
              <w:t>Other movements</w:t>
            </w:r>
          </w:p>
        </w:tc>
        <w:tc>
          <w:tcPr>
            <w:tcW w:w="1020"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w:t>
            </w:r>
          </w:p>
        </w:tc>
        <w:tc>
          <w:tcPr>
            <w:tcW w:w="981" w:type="dxa"/>
            <w:tcBorders>
              <w:top w:val="single" w:sz="4" w:space="0" w:color="auto"/>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w:t>
            </w: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firstLineChars="100" w:firstLine="160"/>
              <w:rPr>
                <w:rFonts w:ascii="Arial" w:hAnsi="Arial" w:cs="Arial"/>
                <w:sz w:val="16"/>
                <w:szCs w:val="16"/>
              </w:rPr>
            </w:pPr>
            <w:r w:rsidRPr="00C828AB">
              <w:rPr>
                <w:rFonts w:ascii="Arial" w:hAnsi="Arial" w:cs="Arial"/>
                <w:sz w:val="16"/>
                <w:szCs w:val="16"/>
              </w:rPr>
              <w:t>Depreciation/amortisation expense</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(1,105)</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(130)</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(64)</w:t>
            </w: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(1,299)</w:t>
            </w: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firstLineChars="100" w:firstLine="160"/>
              <w:rPr>
                <w:rFonts w:ascii="Arial" w:hAnsi="Arial" w:cs="Arial"/>
                <w:b/>
                <w:bCs/>
                <w:sz w:val="16"/>
                <w:szCs w:val="16"/>
              </w:rPr>
            </w:pPr>
            <w:r w:rsidRPr="00C828AB">
              <w:rPr>
                <w:rFonts w:ascii="Arial" w:hAnsi="Arial" w:cs="Arial"/>
                <w:b/>
                <w:bCs/>
                <w:sz w:val="16"/>
                <w:szCs w:val="16"/>
              </w:rPr>
              <w:t>Total other movements</w:t>
            </w:r>
          </w:p>
        </w:tc>
        <w:tc>
          <w:tcPr>
            <w:tcW w:w="1020"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(1,105)</w:t>
            </w:r>
          </w:p>
        </w:tc>
        <w:tc>
          <w:tcPr>
            <w:tcW w:w="1304"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(130)</w:t>
            </w:r>
          </w:p>
        </w:tc>
        <w:tc>
          <w:tcPr>
            <w:tcW w:w="1304"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(64)</w:t>
            </w:r>
          </w:p>
        </w:tc>
        <w:tc>
          <w:tcPr>
            <w:tcW w:w="981" w:type="dxa"/>
            <w:tcBorders>
              <w:top w:val="single" w:sz="4" w:space="0" w:color="auto"/>
              <w:left w:val="nil"/>
              <w:bottom w:val="single" w:sz="4" w:space="0" w:color="auto"/>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(1,299)</w:t>
            </w: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rPr>
                <w:rFonts w:ascii="Arial" w:hAnsi="Arial" w:cs="Arial"/>
                <w:b/>
                <w:bCs/>
                <w:sz w:val="16"/>
                <w:szCs w:val="16"/>
              </w:rPr>
            </w:pPr>
            <w:r w:rsidRPr="00C828AB">
              <w:rPr>
                <w:rFonts w:ascii="Arial" w:hAnsi="Arial" w:cs="Arial"/>
                <w:b/>
                <w:bCs/>
                <w:sz w:val="16"/>
                <w:szCs w:val="16"/>
              </w:rPr>
              <w:t>As at 30 June 2019</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p>
        </w:tc>
      </w:tr>
      <w:tr w:rsidR="00C828AB" w:rsidRPr="00C828AB" w:rsidTr="00881DF6">
        <w:trPr>
          <w:trHeight w:val="225"/>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firstLineChars="100" w:firstLine="160"/>
              <w:rPr>
                <w:rFonts w:ascii="Arial" w:hAnsi="Arial" w:cs="Arial"/>
                <w:sz w:val="16"/>
                <w:szCs w:val="16"/>
              </w:rPr>
            </w:pPr>
            <w:r w:rsidRPr="00C828AB">
              <w:rPr>
                <w:rFonts w:ascii="Arial" w:hAnsi="Arial" w:cs="Arial"/>
                <w:sz w:val="16"/>
                <w:szCs w:val="16"/>
              </w:rPr>
              <w:t>Gross book value</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15,827 </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1,885 </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2,111 </w:t>
            </w: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 xml:space="preserve">19,823 </w:t>
            </w:r>
          </w:p>
        </w:tc>
      </w:tr>
      <w:tr w:rsidR="00C828AB" w:rsidRPr="00C828AB" w:rsidTr="00881DF6">
        <w:trPr>
          <w:trHeight w:val="397"/>
        </w:trPr>
        <w:tc>
          <w:tcPr>
            <w:tcW w:w="3146" w:type="dxa"/>
            <w:tcBorders>
              <w:top w:val="nil"/>
              <w:left w:val="nil"/>
              <w:bottom w:val="nil"/>
              <w:right w:val="nil"/>
            </w:tcBorders>
            <w:shd w:val="clear" w:color="auto" w:fill="auto"/>
            <w:vAlign w:val="center"/>
            <w:hideMark/>
          </w:tcPr>
          <w:p w:rsidR="00C828AB" w:rsidRPr="00C828AB" w:rsidRDefault="00C828AB" w:rsidP="00881DF6">
            <w:pPr>
              <w:spacing w:after="0" w:line="240" w:lineRule="auto"/>
              <w:ind w:leftChars="79" w:left="331" w:hangingChars="108" w:hanging="173"/>
              <w:rPr>
                <w:rFonts w:ascii="Arial" w:hAnsi="Arial" w:cs="Arial"/>
                <w:sz w:val="16"/>
                <w:szCs w:val="16"/>
              </w:rPr>
            </w:pPr>
            <w:r w:rsidRPr="00C828AB">
              <w:rPr>
                <w:rFonts w:ascii="Arial" w:hAnsi="Arial" w:cs="Arial"/>
                <w:sz w:val="16"/>
                <w:szCs w:val="16"/>
              </w:rPr>
              <w:t>Accumulated depreciation/ amortisation and impairment</w:t>
            </w:r>
          </w:p>
        </w:tc>
        <w:tc>
          <w:tcPr>
            <w:tcW w:w="1020"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(11,329)</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(1,206)</w:t>
            </w:r>
          </w:p>
        </w:tc>
        <w:tc>
          <w:tcPr>
            <w:tcW w:w="1304"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(922)</w:t>
            </w:r>
          </w:p>
        </w:tc>
        <w:tc>
          <w:tcPr>
            <w:tcW w:w="981" w:type="dxa"/>
            <w:tcBorders>
              <w:top w:val="nil"/>
              <w:left w:val="nil"/>
              <w:bottom w:val="nil"/>
              <w:right w:val="nil"/>
            </w:tcBorders>
            <w:shd w:val="clear" w:color="auto" w:fill="auto"/>
            <w:noWrap/>
            <w:vAlign w:val="center"/>
            <w:hideMark/>
          </w:tcPr>
          <w:p w:rsidR="00C828AB" w:rsidRPr="00C828AB" w:rsidRDefault="00C828AB" w:rsidP="00C828AB">
            <w:pPr>
              <w:spacing w:after="0" w:line="240" w:lineRule="auto"/>
              <w:jc w:val="right"/>
              <w:rPr>
                <w:rFonts w:ascii="Arial" w:hAnsi="Arial" w:cs="Arial"/>
                <w:sz w:val="16"/>
                <w:szCs w:val="16"/>
              </w:rPr>
            </w:pPr>
            <w:r w:rsidRPr="00C828AB">
              <w:rPr>
                <w:rFonts w:ascii="Arial" w:hAnsi="Arial" w:cs="Arial"/>
                <w:sz w:val="16"/>
                <w:szCs w:val="16"/>
              </w:rPr>
              <w:t>(13,457)</w:t>
            </w:r>
          </w:p>
        </w:tc>
      </w:tr>
      <w:tr w:rsidR="00C828AB" w:rsidRPr="00C828AB" w:rsidTr="00881DF6">
        <w:trPr>
          <w:trHeight w:val="225"/>
        </w:trPr>
        <w:tc>
          <w:tcPr>
            <w:tcW w:w="3146" w:type="dxa"/>
            <w:tcBorders>
              <w:top w:val="nil"/>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rPr>
                <w:rFonts w:ascii="Arial" w:hAnsi="Arial" w:cs="Arial"/>
                <w:b/>
                <w:bCs/>
                <w:sz w:val="16"/>
                <w:szCs w:val="16"/>
              </w:rPr>
            </w:pPr>
            <w:r w:rsidRPr="00C828AB">
              <w:rPr>
                <w:rFonts w:ascii="Arial" w:hAnsi="Arial" w:cs="Arial"/>
                <w:b/>
                <w:bCs/>
                <w:sz w:val="16"/>
                <w:szCs w:val="16"/>
              </w:rPr>
              <w:t>Closing net book balance</w:t>
            </w:r>
          </w:p>
        </w:tc>
        <w:tc>
          <w:tcPr>
            <w:tcW w:w="1020" w:type="dxa"/>
            <w:tcBorders>
              <w:top w:val="single" w:sz="4" w:space="0" w:color="auto"/>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4,498 </w:t>
            </w:r>
          </w:p>
        </w:tc>
        <w:tc>
          <w:tcPr>
            <w:tcW w:w="1304" w:type="dxa"/>
            <w:tcBorders>
              <w:top w:val="single" w:sz="4" w:space="0" w:color="auto"/>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679 </w:t>
            </w:r>
          </w:p>
        </w:tc>
        <w:tc>
          <w:tcPr>
            <w:tcW w:w="1304" w:type="dxa"/>
            <w:tcBorders>
              <w:top w:val="single" w:sz="4" w:space="0" w:color="auto"/>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1,189 </w:t>
            </w:r>
          </w:p>
        </w:tc>
        <w:tc>
          <w:tcPr>
            <w:tcW w:w="981" w:type="dxa"/>
            <w:tcBorders>
              <w:top w:val="single" w:sz="4" w:space="0" w:color="auto"/>
              <w:left w:val="nil"/>
              <w:bottom w:val="single" w:sz="4" w:space="0" w:color="auto"/>
              <w:right w:val="nil"/>
            </w:tcBorders>
            <w:shd w:val="clear" w:color="auto" w:fill="auto"/>
            <w:noWrap/>
            <w:vAlign w:val="bottom"/>
            <w:hideMark/>
          </w:tcPr>
          <w:p w:rsidR="00C828AB" w:rsidRPr="00C828AB" w:rsidRDefault="00C828AB" w:rsidP="00C828AB">
            <w:pPr>
              <w:spacing w:after="0" w:line="240" w:lineRule="auto"/>
              <w:jc w:val="right"/>
              <w:rPr>
                <w:rFonts w:ascii="Arial" w:hAnsi="Arial" w:cs="Arial"/>
                <w:b/>
                <w:bCs/>
                <w:sz w:val="16"/>
                <w:szCs w:val="16"/>
              </w:rPr>
            </w:pPr>
            <w:r w:rsidRPr="00C828AB">
              <w:rPr>
                <w:rFonts w:ascii="Arial" w:hAnsi="Arial" w:cs="Arial"/>
                <w:b/>
                <w:bCs/>
                <w:sz w:val="16"/>
                <w:szCs w:val="16"/>
              </w:rPr>
              <w:t xml:space="preserve">6,366 </w:t>
            </w:r>
          </w:p>
        </w:tc>
      </w:tr>
    </w:tbl>
    <w:p w:rsidR="00240B29" w:rsidRPr="00240B29" w:rsidRDefault="00240B29" w:rsidP="00E01B4E">
      <w:pPr>
        <w:pStyle w:val="ChartandTableFootnoteAlpha"/>
        <w:numPr>
          <w:ilvl w:val="0"/>
          <w:numId w:val="32"/>
        </w:numPr>
      </w:pPr>
      <w:r w:rsidRPr="00240B29">
        <w:t xml:space="preserve">‘Appropriation equity’ refers to equity injections appropriations provided </w:t>
      </w:r>
      <w:r w:rsidR="00881DF6">
        <w:t>through Appropriation Bill (No. </w:t>
      </w:r>
      <w:r w:rsidR="00CF0B6D">
        <w:t>2) 2018–</w:t>
      </w:r>
      <w:r w:rsidR="009A4CA7">
        <w:t>19</w:t>
      </w:r>
      <w:r w:rsidRPr="00240B29">
        <w:t>.</w:t>
      </w:r>
    </w:p>
    <w:p w:rsidR="00240B29" w:rsidRPr="00240B29" w:rsidRDefault="00240B29" w:rsidP="00881DF6">
      <w:pPr>
        <w:pStyle w:val="ChartandTableFootnote"/>
      </w:pPr>
      <w:r w:rsidRPr="00240B29">
        <w:t>Prepared on Australian Accounting Standards basis.</w:t>
      </w:r>
    </w:p>
    <w:p w:rsidR="00240B29" w:rsidRPr="00CF0B6D" w:rsidRDefault="00240B29" w:rsidP="00CF0B6D">
      <w:pPr>
        <w:pStyle w:val="TableHeading"/>
        <w:spacing w:before="320"/>
        <w:rPr>
          <w:lang w:val="en-AU"/>
        </w:rPr>
      </w:pPr>
      <w:r w:rsidRPr="00240B29">
        <w:t>Table 3.7: Schedule of budgeted income and expenses administered on behalf of Government (for the period ended 30 June)</w:t>
      </w:r>
    </w:p>
    <w:p w:rsidR="00CF0B6D" w:rsidRDefault="00CF0B6D" w:rsidP="00CF0B6D">
      <w:pPr>
        <w:spacing w:after="0" w:line="240" w:lineRule="auto"/>
        <w:ind w:right="-113"/>
      </w:pPr>
      <w:r>
        <w:t xml:space="preserve">The Australian Building and Construction Commission has no income and expenses administered on behalf of government. For this reason, Table 3.7 is not presented. </w:t>
      </w:r>
    </w:p>
    <w:p w:rsidR="00CF0B6D" w:rsidRDefault="00CF0B6D" w:rsidP="00CF0B6D">
      <w:pPr>
        <w:pStyle w:val="TableHeading"/>
        <w:spacing w:before="320"/>
        <w:rPr>
          <w:lang w:val="en-AU"/>
        </w:rPr>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CF0B6D" w:rsidRDefault="00CF0B6D" w:rsidP="00CF0B6D">
      <w:pPr>
        <w:pStyle w:val="TableGraphic"/>
        <w:rPr>
          <w:lang w:eastAsia="x-none"/>
        </w:rPr>
      </w:pPr>
      <w:r>
        <w:rPr>
          <w:lang w:eastAsia="x-none"/>
        </w:rPr>
        <w:t xml:space="preserve">The </w:t>
      </w:r>
      <w:r>
        <w:t xml:space="preserve">Australian Building and Construction Commission </w:t>
      </w:r>
      <w:r>
        <w:rPr>
          <w:lang w:eastAsia="x-none"/>
        </w:rPr>
        <w:t xml:space="preserve">has no administered assets or liabilities. For this reason, Table 3.8 is not presented. </w:t>
      </w:r>
    </w:p>
    <w:p w:rsidR="00CF0B6D" w:rsidRDefault="00CF0B6D" w:rsidP="00CF0B6D">
      <w:pPr>
        <w:pStyle w:val="TableHeading"/>
        <w:spacing w:before="320"/>
      </w:pPr>
      <w:r>
        <w:t xml:space="preserve">Table 3.9: </w:t>
      </w:r>
      <w:r w:rsidRPr="00C41D55">
        <w:t xml:space="preserve">Schedule of </w:t>
      </w:r>
      <w:r>
        <w:t xml:space="preserve">budgeted administered cash flows </w:t>
      </w:r>
      <w:r w:rsidRPr="00C41D55">
        <w:t>(for</w:t>
      </w:r>
      <w:r>
        <w:t> the </w:t>
      </w:r>
      <w:r w:rsidRPr="00C41D55">
        <w:t>period ended 30 June)</w:t>
      </w:r>
    </w:p>
    <w:p w:rsidR="00CF0B6D" w:rsidRDefault="00CF0B6D" w:rsidP="00CF0B6D">
      <w:pPr>
        <w:pStyle w:val="TableGraphic"/>
      </w:pPr>
      <w:r>
        <w:t xml:space="preserve">The Australian Building and Construction Commission has no administered cash flows. For this reason, Table 3.9 is not presented. </w:t>
      </w:r>
    </w:p>
    <w:p w:rsidR="00CF0B6D" w:rsidRDefault="00CF0B6D" w:rsidP="00CF0B6D">
      <w:pPr>
        <w:pStyle w:val="TableHeading"/>
        <w:spacing w:before="320"/>
      </w:pPr>
      <w:r w:rsidRPr="00D30CBA">
        <w:t>Table</w:t>
      </w:r>
      <w:r>
        <w:t xml:space="preserve"> 3.10</w:t>
      </w:r>
      <w:r w:rsidRPr="00D30CBA">
        <w:t xml:space="preserve">: </w:t>
      </w:r>
      <w:r>
        <w:t>Administered capital budget statement (for the period ended 30 June)</w:t>
      </w:r>
    </w:p>
    <w:p w:rsidR="00CF0B6D" w:rsidRDefault="00CF0B6D" w:rsidP="00CF0B6D">
      <w:pPr>
        <w:pStyle w:val="TableGraphic"/>
      </w:pPr>
      <w:r>
        <w:t xml:space="preserve">The Australian Building and Construction Commission has no administered capital budget. For this reason, Table 3.10 is not presented. </w:t>
      </w:r>
    </w:p>
    <w:p w:rsidR="00CF0B6D" w:rsidRDefault="00CF0B6D" w:rsidP="00CF0B6D">
      <w:pPr>
        <w:pStyle w:val="TableHeading"/>
        <w:spacing w:before="320" w:after="0"/>
        <w:rPr>
          <w:lang w:val="en-AU"/>
        </w:rPr>
      </w:pPr>
      <w:r>
        <w:t>Table 3.11: Statement of administered asset movements (Budget year 2018</w:t>
      </w:r>
      <w:r>
        <w:rPr>
          <w:lang w:val="en-AU"/>
        </w:rPr>
        <w:t>–</w:t>
      </w:r>
      <w:r>
        <w:t>19)</w:t>
      </w:r>
    </w:p>
    <w:p w:rsidR="00240B29" w:rsidRDefault="00CF0B6D" w:rsidP="00CF0B6D">
      <w:pPr>
        <w:pStyle w:val="TableGraphic"/>
      </w:pPr>
      <w:r>
        <w:rPr>
          <w:lang w:eastAsia="x-none"/>
        </w:rPr>
        <w:t xml:space="preserve">The </w:t>
      </w:r>
      <w:r>
        <w:t xml:space="preserve">Australian Building and Construction Commission </w:t>
      </w:r>
      <w:r>
        <w:rPr>
          <w:lang w:eastAsia="x-none"/>
        </w:rPr>
        <w:t xml:space="preserve">has no administered non-financial assets. For this reason, Table 3.11 is not presented. </w:t>
      </w:r>
    </w:p>
    <w:p w:rsidR="00240B29" w:rsidRDefault="00240B29" w:rsidP="003F3839">
      <w:pPr>
        <w:sectPr w:rsidR="00240B29" w:rsidSect="0050346A">
          <w:headerReference w:type="even" r:id="rId93"/>
          <w:headerReference w:type="first" r:id="rId94"/>
          <w:footnotePr>
            <w:numRestart w:val="eachPage"/>
          </w:footnotePr>
          <w:type w:val="oddPage"/>
          <w:pgSz w:w="11906" w:h="16838" w:code="9"/>
          <w:pgMar w:top="2466" w:right="2098" w:bottom="2466" w:left="2098" w:header="1899" w:footer="1899" w:gutter="0"/>
          <w:cols w:space="708"/>
          <w:titlePg/>
          <w:docGrid w:linePitch="360"/>
        </w:sectPr>
      </w:pPr>
    </w:p>
    <w:p w:rsidR="003F3839" w:rsidRPr="005A7C0B" w:rsidRDefault="00EB77C1" w:rsidP="00EB77C1">
      <w:pPr>
        <w:pStyle w:val="PartHeading"/>
        <w:spacing w:after="1920"/>
      </w:pPr>
      <w:r>
        <w:lastRenderedPageBreak/>
        <w:t>C</w:t>
      </w:r>
      <w:r w:rsidR="003F3839">
        <w:t xml:space="preserve">omcare, </w:t>
      </w:r>
      <w:r w:rsidR="003F3839">
        <w:br/>
        <w:t>the Safety, Rehabilitation and Compensation Commission, and the Seafarers Safety, Rehabilitation and Compensation Authority</w:t>
      </w:r>
    </w:p>
    <w:p w:rsidR="003F3839" w:rsidRDefault="003F3839" w:rsidP="003F3839">
      <w:pPr>
        <w:pStyle w:val="PartHeading-TOC"/>
      </w:pPr>
      <w:bookmarkStart w:id="282" w:name="_Toc511634917"/>
      <w:bookmarkStart w:id="283" w:name="_Toc511635312"/>
      <w:bookmarkStart w:id="284" w:name="_Toc511651061"/>
      <w:r>
        <w:t>Entity resources and planned performance</w:t>
      </w:r>
      <w:bookmarkEnd w:id="282"/>
      <w:bookmarkEnd w:id="283"/>
      <w:bookmarkEnd w:id="284"/>
    </w:p>
    <w:p w:rsidR="00AA5639" w:rsidRDefault="00AA5639" w:rsidP="00EB77C1">
      <w:pPr>
        <w:spacing w:after="360"/>
      </w:pPr>
    </w:p>
    <w:p w:rsidR="00EB77C1" w:rsidRPr="00AA5639" w:rsidRDefault="00EB77C1" w:rsidP="00EB77C1">
      <w:pPr>
        <w:spacing w:after="360"/>
        <w:sectPr w:rsidR="00EB77C1" w:rsidRPr="00AA5639" w:rsidSect="005A7C0B">
          <w:headerReference w:type="even" r:id="rId95"/>
          <w:headerReference w:type="default" r:id="rId96"/>
          <w:headerReference w:type="first" r:id="rId97"/>
          <w:footerReference w:type="first" r:id="rId98"/>
          <w:footnotePr>
            <w:numRestart w:val="eachPage"/>
          </w:footnotePr>
          <w:type w:val="oddPage"/>
          <w:pgSz w:w="11906" w:h="16838" w:code="9"/>
          <w:pgMar w:top="2466" w:right="2098" w:bottom="2466" w:left="2098" w:header="1899" w:footer="1899" w:gutter="0"/>
          <w:cols w:space="708"/>
          <w:vAlign w:val="center"/>
          <w:titlePg/>
          <w:docGrid w:linePitch="360"/>
        </w:sectPr>
      </w:pPr>
    </w:p>
    <w:p w:rsidR="00C9328C" w:rsidRPr="00EB77C1" w:rsidRDefault="003F3839" w:rsidP="00EB77C1">
      <w:pPr>
        <w:pStyle w:val="ContentsHeading"/>
        <w:spacing w:after="840"/>
      </w:pPr>
      <w:r>
        <w:lastRenderedPageBreak/>
        <w:t xml:space="preserve">Comcare, the Safety, Rehabilitation and Compensation Commission, </w:t>
      </w:r>
      <w:r>
        <w:br/>
        <w:t>and the Seafarers Safety, Rehabilitation and Compensation Authority</w:t>
      </w:r>
      <w:r w:rsidRPr="00BF51E9">
        <w:fldChar w:fldCharType="begin"/>
      </w:r>
      <w:r w:rsidRPr="00BF51E9">
        <w:instrText xml:space="preserve"> TOC \h \z \t "Heading 2,1,Heading 3,2" </w:instrText>
      </w:r>
      <w:r w:rsidRPr="00BF51E9">
        <w:fldChar w:fldCharType="separate"/>
      </w:r>
    </w:p>
    <w:p w:rsidR="00C9328C" w:rsidRPr="008847A3" w:rsidRDefault="00C9328C">
      <w:pPr>
        <w:pStyle w:val="TOC1"/>
        <w:rPr>
          <w:rFonts w:ascii="Calibri" w:hAnsi="Calibri"/>
          <w:b w:val="0"/>
          <w:caps w:val="0"/>
          <w:noProof/>
          <w:sz w:val="22"/>
          <w:szCs w:val="22"/>
        </w:rPr>
      </w:pPr>
      <w:hyperlink w:anchor="_Toc511736976" w:history="1">
        <w:r w:rsidRPr="009C2FE4">
          <w:rPr>
            <w:rStyle w:val="Hyperlink"/>
            <w:noProof/>
          </w:rPr>
          <w:t>Section 1: Entity overview and resources</w:t>
        </w:r>
        <w:r>
          <w:rPr>
            <w:noProof/>
            <w:webHidden/>
          </w:rPr>
          <w:tab/>
        </w:r>
        <w:r>
          <w:rPr>
            <w:noProof/>
            <w:webHidden/>
          </w:rPr>
          <w:fldChar w:fldCharType="begin"/>
        </w:r>
        <w:r>
          <w:rPr>
            <w:noProof/>
            <w:webHidden/>
          </w:rPr>
          <w:instrText xml:space="preserve"> PAGEREF _Toc511736976 \h </w:instrText>
        </w:r>
        <w:r>
          <w:rPr>
            <w:noProof/>
            <w:webHidden/>
          </w:rPr>
        </w:r>
        <w:r>
          <w:rPr>
            <w:noProof/>
            <w:webHidden/>
          </w:rPr>
          <w:fldChar w:fldCharType="separate"/>
        </w:r>
        <w:r w:rsidR="007212DF">
          <w:rPr>
            <w:noProof/>
            <w:webHidden/>
          </w:rPr>
          <w:t>85</w:t>
        </w:r>
        <w:r>
          <w:rPr>
            <w:noProof/>
            <w:webHidden/>
          </w:rPr>
          <w:fldChar w:fldCharType="end"/>
        </w:r>
      </w:hyperlink>
    </w:p>
    <w:p w:rsidR="00C9328C" w:rsidRPr="008847A3" w:rsidRDefault="00C9328C">
      <w:pPr>
        <w:pStyle w:val="TOC2"/>
        <w:tabs>
          <w:tab w:val="left" w:pos="800"/>
        </w:tabs>
        <w:rPr>
          <w:rFonts w:ascii="Calibri" w:hAnsi="Calibri"/>
          <w:noProof/>
          <w:sz w:val="22"/>
          <w:szCs w:val="22"/>
        </w:rPr>
      </w:pPr>
      <w:hyperlink w:anchor="_Toc511736977" w:history="1">
        <w:r w:rsidRPr="009C2FE4">
          <w:rPr>
            <w:rStyle w:val="Hyperlink"/>
            <w:noProof/>
          </w:rPr>
          <w:t>1.1</w:t>
        </w:r>
        <w:r w:rsidRPr="008847A3">
          <w:rPr>
            <w:rFonts w:ascii="Calibri" w:hAnsi="Calibri"/>
            <w:noProof/>
            <w:sz w:val="22"/>
            <w:szCs w:val="22"/>
          </w:rPr>
          <w:tab/>
        </w:r>
        <w:r w:rsidRPr="009C2FE4">
          <w:rPr>
            <w:rStyle w:val="Hyperlink"/>
            <w:noProof/>
          </w:rPr>
          <w:t>Strategic direction statement</w:t>
        </w:r>
        <w:r>
          <w:rPr>
            <w:noProof/>
            <w:webHidden/>
          </w:rPr>
          <w:tab/>
        </w:r>
        <w:r>
          <w:rPr>
            <w:noProof/>
            <w:webHidden/>
          </w:rPr>
          <w:fldChar w:fldCharType="begin"/>
        </w:r>
        <w:r>
          <w:rPr>
            <w:noProof/>
            <w:webHidden/>
          </w:rPr>
          <w:instrText xml:space="preserve"> PAGEREF _Toc511736977 \h </w:instrText>
        </w:r>
        <w:r>
          <w:rPr>
            <w:noProof/>
            <w:webHidden/>
          </w:rPr>
        </w:r>
        <w:r>
          <w:rPr>
            <w:noProof/>
            <w:webHidden/>
          </w:rPr>
          <w:fldChar w:fldCharType="separate"/>
        </w:r>
        <w:r w:rsidR="007212DF">
          <w:rPr>
            <w:noProof/>
            <w:webHidden/>
          </w:rPr>
          <w:t>85</w:t>
        </w:r>
        <w:r>
          <w:rPr>
            <w:noProof/>
            <w:webHidden/>
          </w:rPr>
          <w:fldChar w:fldCharType="end"/>
        </w:r>
      </w:hyperlink>
    </w:p>
    <w:p w:rsidR="00C9328C" w:rsidRPr="008847A3" w:rsidRDefault="00C9328C">
      <w:pPr>
        <w:pStyle w:val="TOC2"/>
        <w:tabs>
          <w:tab w:val="left" w:pos="800"/>
        </w:tabs>
        <w:rPr>
          <w:rFonts w:ascii="Calibri" w:hAnsi="Calibri"/>
          <w:noProof/>
          <w:sz w:val="22"/>
          <w:szCs w:val="22"/>
        </w:rPr>
      </w:pPr>
      <w:hyperlink w:anchor="_Toc511736978" w:history="1">
        <w:r w:rsidRPr="009C2FE4">
          <w:rPr>
            <w:rStyle w:val="Hyperlink"/>
            <w:noProof/>
          </w:rPr>
          <w:t>1.2</w:t>
        </w:r>
        <w:r w:rsidRPr="008847A3">
          <w:rPr>
            <w:rFonts w:ascii="Calibri" w:hAnsi="Calibri"/>
            <w:noProof/>
            <w:sz w:val="22"/>
            <w:szCs w:val="22"/>
          </w:rPr>
          <w:tab/>
        </w:r>
        <w:r w:rsidRPr="009C2FE4">
          <w:rPr>
            <w:rStyle w:val="Hyperlink"/>
            <w:noProof/>
          </w:rPr>
          <w:t>Entity resource statement</w:t>
        </w:r>
        <w:r>
          <w:rPr>
            <w:noProof/>
            <w:webHidden/>
          </w:rPr>
          <w:tab/>
        </w:r>
        <w:r>
          <w:rPr>
            <w:noProof/>
            <w:webHidden/>
          </w:rPr>
          <w:fldChar w:fldCharType="begin"/>
        </w:r>
        <w:r>
          <w:rPr>
            <w:noProof/>
            <w:webHidden/>
          </w:rPr>
          <w:instrText xml:space="preserve"> PAGEREF _Toc511736978 \h </w:instrText>
        </w:r>
        <w:r>
          <w:rPr>
            <w:noProof/>
            <w:webHidden/>
          </w:rPr>
        </w:r>
        <w:r>
          <w:rPr>
            <w:noProof/>
            <w:webHidden/>
          </w:rPr>
          <w:fldChar w:fldCharType="separate"/>
        </w:r>
        <w:r w:rsidR="007212DF">
          <w:rPr>
            <w:noProof/>
            <w:webHidden/>
          </w:rPr>
          <w:t>87</w:t>
        </w:r>
        <w:r>
          <w:rPr>
            <w:noProof/>
            <w:webHidden/>
          </w:rPr>
          <w:fldChar w:fldCharType="end"/>
        </w:r>
      </w:hyperlink>
    </w:p>
    <w:p w:rsidR="00C9328C" w:rsidRPr="008847A3" w:rsidRDefault="00C9328C">
      <w:pPr>
        <w:pStyle w:val="TOC2"/>
        <w:tabs>
          <w:tab w:val="left" w:pos="800"/>
        </w:tabs>
        <w:rPr>
          <w:rFonts w:ascii="Calibri" w:hAnsi="Calibri"/>
          <w:noProof/>
          <w:sz w:val="22"/>
          <w:szCs w:val="22"/>
        </w:rPr>
      </w:pPr>
      <w:hyperlink w:anchor="_Toc511736979" w:history="1">
        <w:r w:rsidRPr="009C2FE4">
          <w:rPr>
            <w:rStyle w:val="Hyperlink"/>
            <w:noProof/>
          </w:rPr>
          <w:t>1.3</w:t>
        </w:r>
        <w:r w:rsidRPr="008847A3">
          <w:rPr>
            <w:rFonts w:ascii="Calibri" w:hAnsi="Calibri"/>
            <w:noProof/>
            <w:sz w:val="22"/>
            <w:szCs w:val="22"/>
          </w:rPr>
          <w:tab/>
        </w:r>
        <w:r w:rsidRPr="009C2FE4">
          <w:rPr>
            <w:rStyle w:val="Hyperlink"/>
            <w:noProof/>
          </w:rPr>
          <w:t>Budget measures</w:t>
        </w:r>
        <w:r>
          <w:rPr>
            <w:noProof/>
            <w:webHidden/>
          </w:rPr>
          <w:tab/>
        </w:r>
        <w:r>
          <w:rPr>
            <w:noProof/>
            <w:webHidden/>
          </w:rPr>
          <w:fldChar w:fldCharType="begin"/>
        </w:r>
        <w:r>
          <w:rPr>
            <w:noProof/>
            <w:webHidden/>
          </w:rPr>
          <w:instrText xml:space="preserve"> PAGEREF _Toc511736979 \h </w:instrText>
        </w:r>
        <w:r>
          <w:rPr>
            <w:noProof/>
            <w:webHidden/>
          </w:rPr>
        </w:r>
        <w:r>
          <w:rPr>
            <w:noProof/>
            <w:webHidden/>
          </w:rPr>
          <w:fldChar w:fldCharType="separate"/>
        </w:r>
        <w:r w:rsidR="007212DF">
          <w:rPr>
            <w:noProof/>
            <w:webHidden/>
          </w:rPr>
          <w:t>88</w:t>
        </w:r>
        <w:r>
          <w:rPr>
            <w:noProof/>
            <w:webHidden/>
          </w:rPr>
          <w:fldChar w:fldCharType="end"/>
        </w:r>
      </w:hyperlink>
    </w:p>
    <w:p w:rsidR="00C9328C" w:rsidRPr="008847A3" w:rsidRDefault="00C9328C">
      <w:pPr>
        <w:pStyle w:val="TOC1"/>
        <w:rPr>
          <w:rFonts w:ascii="Calibri" w:hAnsi="Calibri"/>
          <w:b w:val="0"/>
          <w:caps w:val="0"/>
          <w:noProof/>
          <w:sz w:val="22"/>
          <w:szCs w:val="22"/>
        </w:rPr>
      </w:pPr>
      <w:hyperlink w:anchor="_Toc511736980" w:history="1">
        <w:r w:rsidRPr="009C2FE4">
          <w:rPr>
            <w:rStyle w:val="Hyperlink"/>
            <w:noProof/>
          </w:rPr>
          <w:t>Section 2: Outcomes and planned performance</w:t>
        </w:r>
        <w:r>
          <w:rPr>
            <w:noProof/>
            <w:webHidden/>
          </w:rPr>
          <w:tab/>
        </w:r>
        <w:r>
          <w:rPr>
            <w:noProof/>
            <w:webHidden/>
          </w:rPr>
          <w:fldChar w:fldCharType="begin"/>
        </w:r>
        <w:r>
          <w:rPr>
            <w:noProof/>
            <w:webHidden/>
          </w:rPr>
          <w:instrText xml:space="preserve"> PAGEREF _Toc511736980 \h </w:instrText>
        </w:r>
        <w:r>
          <w:rPr>
            <w:noProof/>
            <w:webHidden/>
          </w:rPr>
        </w:r>
        <w:r>
          <w:rPr>
            <w:noProof/>
            <w:webHidden/>
          </w:rPr>
          <w:fldChar w:fldCharType="separate"/>
        </w:r>
        <w:r w:rsidR="007212DF">
          <w:rPr>
            <w:noProof/>
            <w:webHidden/>
          </w:rPr>
          <w:t>89</w:t>
        </w:r>
        <w:r>
          <w:rPr>
            <w:noProof/>
            <w:webHidden/>
          </w:rPr>
          <w:fldChar w:fldCharType="end"/>
        </w:r>
      </w:hyperlink>
    </w:p>
    <w:p w:rsidR="00C9328C" w:rsidRPr="008847A3" w:rsidRDefault="00C9328C">
      <w:pPr>
        <w:pStyle w:val="TOC2"/>
        <w:tabs>
          <w:tab w:val="left" w:pos="800"/>
        </w:tabs>
        <w:rPr>
          <w:rFonts w:ascii="Calibri" w:hAnsi="Calibri"/>
          <w:noProof/>
          <w:sz w:val="22"/>
          <w:szCs w:val="22"/>
        </w:rPr>
      </w:pPr>
      <w:hyperlink w:anchor="_Toc511736981" w:history="1">
        <w:r w:rsidRPr="009C2FE4">
          <w:rPr>
            <w:rStyle w:val="Hyperlink"/>
            <w:noProof/>
          </w:rPr>
          <w:t xml:space="preserve">2.1 </w:t>
        </w:r>
        <w:r w:rsidRPr="008847A3">
          <w:rPr>
            <w:rFonts w:ascii="Calibri" w:hAnsi="Calibri"/>
            <w:noProof/>
            <w:sz w:val="22"/>
            <w:szCs w:val="22"/>
          </w:rPr>
          <w:tab/>
        </w:r>
        <w:r w:rsidRPr="009C2FE4">
          <w:rPr>
            <w:rStyle w:val="Hyperlink"/>
            <w:noProof/>
          </w:rPr>
          <w:t>Budgeted expenses and performance for Outcome 1</w:t>
        </w:r>
        <w:r>
          <w:rPr>
            <w:noProof/>
            <w:webHidden/>
          </w:rPr>
          <w:tab/>
        </w:r>
        <w:r>
          <w:rPr>
            <w:noProof/>
            <w:webHidden/>
          </w:rPr>
          <w:fldChar w:fldCharType="begin"/>
        </w:r>
        <w:r>
          <w:rPr>
            <w:noProof/>
            <w:webHidden/>
          </w:rPr>
          <w:instrText xml:space="preserve"> PAGEREF _Toc511736981 \h </w:instrText>
        </w:r>
        <w:r>
          <w:rPr>
            <w:noProof/>
            <w:webHidden/>
          </w:rPr>
        </w:r>
        <w:r>
          <w:rPr>
            <w:noProof/>
            <w:webHidden/>
          </w:rPr>
          <w:fldChar w:fldCharType="separate"/>
        </w:r>
        <w:r w:rsidR="007212DF">
          <w:rPr>
            <w:noProof/>
            <w:webHidden/>
          </w:rPr>
          <w:t>90</w:t>
        </w:r>
        <w:r>
          <w:rPr>
            <w:noProof/>
            <w:webHidden/>
          </w:rPr>
          <w:fldChar w:fldCharType="end"/>
        </w:r>
      </w:hyperlink>
    </w:p>
    <w:p w:rsidR="00C9328C" w:rsidRPr="008847A3" w:rsidRDefault="00C9328C">
      <w:pPr>
        <w:pStyle w:val="TOC1"/>
        <w:rPr>
          <w:rFonts w:ascii="Calibri" w:hAnsi="Calibri"/>
          <w:b w:val="0"/>
          <w:caps w:val="0"/>
          <w:noProof/>
          <w:sz w:val="22"/>
          <w:szCs w:val="22"/>
        </w:rPr>
      </w:pPr>
      <w:hyperlink w:anchor="_Toc511736982" w:history="1">
        <w:r w:rsidRPr="009C2FE4">
          <w:rPr>
            <w:rStyle w:val="Hyperlink"/>
            <w:noProof/>
          </w:rPr>
          <w:t>Section 3: Budgeted financial statements</w:t>
        </w:r>
        <w:r>
          <w:rPr>
            <w:noProof/>
            <w:webHidden/>
          </w:rPr>
          <w:tab/>
        </w:r>
        <w:r>
          <w:rPr>
            <w:noProof/>
            <w:webHidden/>
          </w:rPr>
          <w:fldChar w:fldCharType="begin"/>
        </w:r>
        <w:r>
          <w:rPr>
            <w:noProof/>
            <w:webHidden/>
          </w:rPr>
          <w:instrText xml:space="preserve"> PAGEREF _Toc511736982 \h </w:instrText>
        </w:r>
        <w:r>
          <w:rPr>
            <w:noProof/>
            <w:webHidden/>
          </w:rPr>
        </w:r>
        <w:r>
          <w:rPr>
            <w:noProof/>
            <w:webHidden/>
          </w:rPr>
          <w:fldChar w:fldCharType="separate"/>
        </w:r>
        <w:r w:rsidR="007212DF">
          <w:rPr>
            <w:noProof/>
            <w:webHidden/>
          </w:rPr>
          <w:t>98</w:t>
        </w:r>
        <w:r>
          <w:rPr>
            <w:noProof/>
            <w:webHidden/>
          </w:rPr>
          <w:fldChar w:fldCharType="end"/>
        </w:r>
      </w:hyperlink>
    </w:p>
    <w:p w:rsidR="00C9328C" w:rsidRPr="008847A3" w:rsidRDefault="00C9328C">
      <w:pPr>
        <w:pStyle w:val="TOC2"/>
        <w:tabs>
          <w:tab w:val="left" w:pos="800"/>
        </w:tabs>
        <w:rPr>
          <w:rFonts w:ascii="Calibri" w:hAnsi="Calibri"/>
          <w:noProof/>
          <w:sz w:val="22"/>
          <w:szCs w:val="22"/>
        </w:rPr>
      </w:pPr>
      <w:hyperlink w:anchor="_Toc511736983" w:history="1">
        <w:r w:rsidRPr="009C2FE4">
          <w:rPr>
            <w:rStyle w:val="Hyperlink"/>
            <w:noProof/>
          </w:rPr>
          <w:t>3.1</w:t>
        </w:r>
        <w:r w:rsidRPr="008847A3">
          <w:rPr>
            <w:rFonts w:ascii="Calibri" w:hAnsi="Calibri"/>
            <w:noProof/>
            <w:sz w:val="22"/>
            <w:szCs w:val="22"/>
          </w:rPr>
          <w:tab/>
        </w:r>
        <w:r w:rsidRPr="009C2FE4">
          <w:rPr>
            <w:rStyle w:val="Hyperlink"/>
            <w:noProof/>
          </w:rPr>
          <w:t>Budgeted financial statements</w:t>
        </w:r>
        <w:r>
          <w:rPr>
            <w:noProof/>
            <w:webHidden/>
          </w:rPr>
          <w:tab/>
        </w:r>
        <w:r>
          <w:rPr>
            <w:noProof/>
            <w:webHidden/>
          </w:rPr>
          <w:fldChar w:fldCharType="begin"/>
        </w:r>
        <w:r>
          <w:rPr>
            <w:noProof/>
            <w:webHidden/>
          </w:rPr>
          <w:instrText xml:space="preserve"> PAGEREF _Toc511736983 \h </w:instrText>
        </w:r>
        <w:r>
          <w:rPr>
            <w:noProof/>
            <w:webHidden/>
          </w:rPr>
        </w:r>
        <w:r>
          <w:rPr>
            <w:noProof/>
            <w:webHidden/>
          </w:rPr>
          <w:fldChar w:fldCharType="separate"/>
        </w:r>
        <w:r w:rsidR="007212DF">
          <w:rPr>
            <w:noProof/>
            <w:webHidden/>
          </w:rPr>
          <w:t>98</w:t>
        </w:r>
        <w:r>
          <w:rPr>
            <w:noProof/>
            <w:webHidden/>
          </w:rPr>
          <w:fldChar w:fldCharType="end"/>
        </w:r>
      </w:hyperlink>
    </w:p>
    <w:p w:rsidR="00C9328C" w:rsidRPr="00380E3F" w:rsidRDefault="00C9328C">
      <w:pPr>
        <w:pStyle w:val="TOC2"/>
        <w:tabs>
          <w:tab w:val="left" w:pos="800"/>
        </w:tabs>
        <w:rPr>
          <w:rStyle w:val="Hyperlink"/>
          <w:noProof/>
        </w:rPr>
      </w:pPr>
      <w:hyperlink w:anchor="_Toc511736984" w:history="1">
        <w:r w:rsidRPr="009C2FE4">
          <w:rPr>
            <w:rStyle w:val="Hyperlink"/>
            <w:noProof/>
          </w:rPr>
          <w:t>3.2.</w:t>
        </w:r>
        <w:r w:rsidRPr="00380E3F">
          <w:rPr>
            <w:rStyle w:val="Hyperlink"/>
            <w:noProof/>
          </w:rPr>
          <w:tab/>
        </w:r>
        <w:r w:rsidRPr="009C2FE4">
          <w:rPr>
            <w:rStyle w:val="Hyperlink"/>
            <w:noProof/>
          </w:rPr>
          <w:t>Budgeted financial statements tables</w:t>
        </w:r>
        <w:r w:rsidRPr="00380E3F">
          <w:rPr>
            <w:rStyle w:val="Hyperlink"/>
            <w:noProof/>
            <w:webHidden/>
          </w:rPr>
          <w:tab/>
        </w:r>
        <w:r w:rsidRPr="00380E3F">
          <w:rPr>
            <w:rStyle w:val="Hyperlink"/>
            <w:noProof/>
            <w:webHidden/>
          </w:rPr>
          <w:fldChar w:fldCharType="begin"/>
        </w:r>
        <w:r w:rsidRPr="00380E3F">
          <w:rPr>
            <w:rStyle w:val="Hyperlink"/>
            <w:noProof/>
            <w:webHidden/>
          </w:rPr>
          <w:instrText xml:space="preserve"> PAGEREF _Toc511736984 \h </w:instrText>
        </w:r>
        <w:r w:rsidRPr="00380E3F">
          <w:rPr>
            <w:rStyle w:val="Hyperlink"/>
            <w:noProof/>
            <w:webHidden/>
          </w:rPr>
        </w:r>
        <w:r w:rsidRPr="00380E3F">
          <w:rPr>
            <w:rStyle w:val="Hyperlink"/>
            <w:noProof/>
            <w:webHidden/>
          </w:rPr>
          <w:fldChar w:fldCharType="separate"/>
        </w:r>
        <w:r w:rsidR="007212DF">
          <w:rPr>
            <w:rStyle w:val="Hyperlink"/>
            <w:noProof/>
            <w:webHidden/>
          </w:rPr>
          <w:t>100</w:t>
        </w:r>
        <w:r w:rsidRPr="00380E3F">
          <w:rPr>
            <w:rStyle w:val="Hyperlink"/>
            <w:noProof/>
            <w:webHidden/>
          </w:rPr>
          <w:fldChar w:fldCharType="end"/>
        </w:r>
      </w:hyperlink>
    </w:p>
    <w:p w:rsidR="00C9328C" w:rsidRPr="00380E3F" w:rsidRDefault="00C9328C" w:rsidP="00380E3F">
      <w:pPr>
        <w:pStyle w:val="TOC2"/>
        <w:tabs>
          <w:tab w:val="left" w:pos="800"/>
        </w:tabs>
        <w:rPr>
          <w:rStyle w:val="Hyperlink"/>
          <w:noProof/>
        </w:rPr>
      </w:pPr>
      <w:hyperlink w:anchor="_Toc511736985" w:history="1">
        <w:r w:rsidR="00380E3F">
          <w:rPr>
            <w:rStyle w:val="Hyperlink"/>
            <w:noProof/>
          </w:rPr>
          <w:t>3.3</w:t>
        </w:r>
        <w:r w:rsidR="00380E3F">
          <w:rPr>
            <w:rStyle w:val="Hyperlink"/>
            <w:noProof/>
          </w:rPr>
          <w:tab/>
        </w:r>
        <w:r w:rsidRPr="009C2FE4">
          <w:rPr>
            <w:rStyle w:val="Hyperlink"/>
            <w:noProof/>
          </w:rPr>
          <w:t>Notes to the Financial Statements</w:t>
        </w:r>
        <w:r w:rsidRPr="00380E3F">
          <w:rPr>
            <w:rStyle w:val="Hyperlink"/>
            <w:noProof/>
            <w:webHidden/>
          </w:rPr>
          <w:tab/>
        </w:r>
        <w:r w:rsidRPr="00380E3F">
          <w:rPr>
            <w:rStyle w:val="Hyperlink"/>
            <w:noProof/>
            <w:webHidden/>
          </w:rPr>
          <w:fldChar w:fldCharType="begin"/>
        </w:r>
        <w:r w:rsidRPr="00380E3F">
          <w:rPr>
            <w:rStyle w:val="Hyperlink"/>
            <w:noProof/>
            <w:webHidden/>
          </w:rPr>
          <w:instrText xml:space="preserve"> PAGEREF _Toc511736985 \h </w:instrText>
        </w:r>
        <w:r w:rsidRPr="00380E3F">
          <w:rPr>
            <w:rStyle w:val="Hyperlink"/>
            <w:noProof/>
            <w:webHidden/>
          </w:rPr>
        </w:r>
        <w:r w:rsidRPr="00380E3F">
          <w:rPr>
            <w:rStyle w:val="Hyperlink"/>
            <w:noProof/>
            <w:webHidden/>
          </w:rPr>
          <w:fldChar w:fldCharType="separate"/>
        </w:r>
        <w:r w:rsidR="007212DF">
          <w:rPr>
            <w:rStyle w:val="Hyperlink"/>
            <w:noProof/>
            <w:webHidden/>
          </w:rPr>
          <w:t>106</w:t>
        </w:r>
        <w:r w:rsidRPr="00380E3F">
          <w:rPr>
            <w:rStyle w:val="Hyperlink"/>
            <w:noProof/>
            <w:webHidden/>
          </w:rPr>
          <w:fldChar w:fldCharType="end"/>
        </w:r>
      </w:hyperlink>
    </w:p>
    <w:p w:rsidR="003F3839" w:rsidRPr="00BF51E9" w:rsidRDefault="003F3839" w:rsidP="003F3839">
      <w:pPr>
        <w:pStyle w:val="TOC1"/>
      </w:pPr>
      <w:r w:rsidRPr="00BF51E9">
        <w:fldChar w:fldCharType="end"/>
      </w:r>
    </w:p>
    <w:p w:rsidR="00E9293F" w:rsidRDefault="00E9293F" w:rsidP="003F3839">
      <w:pPr>
        <w:sectPr w:rsidR="00E9293F" w:rsidSect="0050346A">
          <w:headerReference w:type="even" r:id="rId99"/>
          <w:headerReference w:type="default" r:id="rId100"/>
          <w:headerReference w:type="first" r:id="rId101"/>
          <w:footerReference w:type="first" r:id="rId102"/>
          <w:footnotePr>
            <w:numRestart w:val="eachPage"/>
          </w:footnotePr>
          <w:type w:val="oddPage"/>
          <w:pgSz w:w="11906" w:h="16838" w:code="9"/>
          <w:pgMar w:top="2466" w:right="2098" w:bottom="2466" w:left="2098" w:header="1899" w:footer="1899" w:gutter="0"/>
          <w:cols w:space="708"/>
          <w:titlePg/>
          <w:docGrid w:linePitch="360"/>
        </w:sectPr>
      </w:pPr>
    </w:p>
    <w:p w:rsidR="00E9293F" w:rsidRDefault="00E9293F" w:rsidP="00E9293F">
      <w:pPr>
        <w:pStyle w:val="Heading1"/>
      </w:pPr>
      <w:bookmarkStart w:id="285" w:name="_Toc511635313"/>
      <w:bookmarkStart w:id="286" w:name="_Toc511651062"/>
      <w:r>
        <w:lastRenderedPageBreak/>
        <w:t xml:space="preserve">Comcare, the Safety, Rehabilitation and Compensation Commission, </w:t>
      </w:r>
      <w:r>
        <w:br/>
        <w:t>and the Seafarers Safety, Rehabilitation and Compensation Authority</w:t>
      </w:r>
      <w:bookmarkEnd w:id="285"/>
      <w:bookmarkEnd w:id="286"/>
    </w:p>
    <w:p w:rsidR="00E9293F" w:rsidRPr="002C4D41" w:rsidRDefault="00E9293F" w:rsidP="00E9293F">
      <w:pPr>
        <w:pStyle w:val="Heading2"/>
      </w:pPr>
      <w:bookmarkStart w:id="287" w:name="_Toc511656272"/>
      <w:bookmarkStart w:id="288" w:name="_Toc511722645"/>
      <w:bookmarkStart w:id="289" w:name="_Toc511736976"/>
      <w:bookmarkStart w:id="290" w:name="_Toc511747238"/>
      <w:bookmarkStart w:id="291" w:name="_Toc511765641"/>
      <w:bookmarkStart w:id="292" w:name="_Toc511828697"/>
      <w:bookmarkStart w:id="293" w:name="_Toc511836836"/>
      <w:bookmarkStart w:id="294" w:name="_Toc511902542"/>
      <w:r w:rsidRPr="002C4D41">
        <w:t>Section 1: Entity overview and resources</w:t>
      </w:r>
      <w:bookmarkEnd w:id="287"/>
      <w:bookmarkEnd w:id="288"/>
      <w:bookmarkEnd w:id="289"/>
      <w:bookmarkEnd w:id="290"/>
      <w:bookmarkEnd w:id="291"/>
      <w:bookmarkEnd w:id="292"/>
      <w:bookmarkEnd w:id="293"/>
      <w:bookmarkEnd w:id="294"/>
    </w:p>
    <w:p w:rsidR="00E9293F" w:rsidRDefault="00E9293F" w:rsidP="00E9293F">
      <w:pPr>
        <w:pStyle w:val="Heading3"/>
      </w:pPr>
      <w:bookmarkStart w:id="295" w:name="_Toc511656273"/>
      <w:bookmarkStart w:id="296" w:name="_Toc511722646"/>
      <w:bookmarkStart w:id="297" w:name="_Toc511736977"/>
      <w:bookmarkStart w:id="298" w:name="_Toc511747239"/>
      <w:bookmarkStart w:id="299" w:name="_Toc511765642"/>
      <w:bookmarkStart w:id="300" w:name="_Toc511828698"/>
      <w:bookmarkStart w:id="301" w:name="_Toc511836837"/>
      <w:bookmarkStart w:id="302" w:name="_Toc511902543"/>
      <w:r>
        <w:t>1.1</w:t>
      </w:r>
      <w:r>
        <w:tab/>
        <w:t>Strategic direction statement</w:t>
      </w:r>
      <w:bookmarkEnd w:id="295"/>
      <w:bookmarkEnd w:id="296"/>
      <w:bookmarkEnd w:id="297"/>
      <w:bookmarkEnd w:id="298"/>
      <w:bookmarkEnd w:id="299"/>
      <w:bookmarkEnd w:id="300"/>
      <w:bookmarkEnd w:id="301"/>
      <w:bookmarkEnd w:id="302"/>
    </w:p>
    <w:p w:rsidR="00C86278" w:rsidRDefault="00C86278" w:rsidP="00C86278">
      <w:r>
        <w:t>Comcare’s efforts are driven by our outcome—</w:t>
      </w:r>
      <w:r>
        <w:rPr>
          <w:i/>
        </w:rPr>
        <w:t>support participation and productivity through healthy and safe workplaces that minimise the impact of harm</w:t>
      </w:r>
      <w:r>
        <w:t xml:space="preserve">. </w:t>
      </w:r>
    </w:p>
    <w:p w:rsidR="00C86278" w:rsidRDefault="00C86278" w:rsidP="00C86278">
      <w:r>
        <w:t xml:space="preserve">The </w:t>
      </w:r>
      <w:r>
        <w:rPr>
          <w:i/>
        </w:rPr>
        <w:t>Safety, Rehabilitation and Compensation Act 1988</w:t>
      </w:r>
      <w:r>
        <w:t xml:space="preserve"> (SRC Act) establishes Comcare and the Safety, Rehabi</w:t>
      </w:r>
      <w:r w:rsidRPr="00C86278">
        <w:rPr>
          <w:b/>
        </w:rPr>
        <w:t>l</w:t>
      </w:r>
      <w:r>
        <w:t xml:space="preserve">itation and Compensation Commission (SRCC), and sets out the functions and powers of these bodies. Comcare also has functions and responsibilities under the </w:t>
      </w:r>
      <w:r>
        <w:rPr>
          <w:i/>
        </w:rPr>
        <w:t>Work Health and Safety Act 2011</w:t>
      </w:r>
      <w:r>
        <w:t xml:space="preserve"> (WHS Act) and the </w:t>
      </w:r>
      <w:r>
        <w:rPr>
          <w:i/>
        </w:rPr>
        <w:t>Asbestos-related Claims (Management of Commonwealth Liabilities) Act 2005</w:t>
      </w:r>
      <w:r>
        <w:t xml:space="preserve"> (ARC Act). </w:t>
      </w:r>
    </w:p>
    <w:p w:rsidR="00C86278" w:rsidRDefault="00C86278" w:rsidP="00C86278">
      <w:r>
        <w:t xml:space="preserve">Comcare provides expert advice and services to the SRCC and the Seafarers Safety, Rehabilitation and Compensation Authority (Seacare Authority). Comcare is the national work health and safety regulator under the national WHS Act. </w:t>
      </w:r>
    </w:p>
    <w:p w:rsidR="00C86278" w:rsidRDefault="00C86278" w:rsidP="00702EC1">
      <w:pPr>
        <w:spacing w:after="120"/>
        <w:rPr>
          <w:color w:val="000000"/>
        </w:rPr>
      </w:pPr>
      <w:r>
        <w:t xml:space="preserve">Comcare’s five strategic priorities drive our efforts to achieve national excellence and leadership in working with employees, employers and other stakeholders to achieve our outcome. Our strategic </w:t>
      </w:r>
      <w:r>
        <w:rPr>
          <w:color w:val="000000"/>
        </w:rPr>
        <w:t>priorities are to:</w:t>
      </w:r>
    </w:p>
    <w:p w:rsidR="00C86278" w:rsidRDefault="00C86278" w:rsidP="00702EC1">
      <w:pPr>
        <w:pStyle w:val="Bullet"/>
        <w:spacing w:after="120"/>
      </w:pPr>
      <w:r>
        <w:t xml:space="preserve">be the leading workers’ compensation </w:t>
      </w:r>
      <w:r w:rsidR="00797B21" w:rsidRPr="00797B21">
        <w:t>insurer, working with employers and employees to minimise t</w:t>
      </w:r>
      <w:r w:rsidR="00797B21">
        <w:t>he impact of harm in workplaces</w:t>
      </w:r>
      <w:r>
        <w:t xml:space="preserve">, facilitate recovery at and return to work, and deliver sustainable management of the fund </w:t>
      </w:r>
    </w:p>
    <w:p w:rsidR="00C86278" w:rsidRDefault="00C86278" w:rsidP="00702EC1">
      <w:pPr>
        <w:pStyle w:val="Bullet"/>
        <w:spacing w:after="120"/>
      </w:pPr>
      <w:r>
        <w:t>be an effective national regulator. Achieving safer and healthier workplaces through promoting continuous improvements in work health, safety and rehabilitation practices and monitoring compliance with the law</w:t>
      </w:r>
    </w:p>
    <w:p w:rsidR="00C86278" w:rsidRDefault="00C86278" w:rsidP="00702EC1">
      <w:pPr>
        <w:pStyle w:val="Bullet"/>
        <w:spacing w:after="120"/>
      </w:pPr>
      <w:r>
        <w:t xml:space="preserve">achieve excellence in scheme design and management to achieve sustainable and better national schemes </w:t>
      </w:r>
    </w:p>
    <w:p w:rsidR="00C86278" w:rsidRDefault="00C86278" w:rsidP="00702EC1">
      <w:pPr>
        <w:pStyle w:val="Bullet"/>
        <w:spacing w:after="120"/>
      </w:pPr>
      <w:r>
        <w:t>deliver efficient and effective operations. Working collaboratively and innovatively across the organisation to enable the business to achieve Comcare’s outcome and support the business to drive change</w:t>
      </w:r>
      <w:r w:rsidR="002D1634">
        <w:rPr>
          <w:lang w:val="en-AU"/>
        </w:rPr>
        <w:t>, and</w:t>
      </w:r>
    </w:p>
    <w:p w:rsidR="00C86278" w:rsidRDefault="00C86278" w:rsidP="00C86278">
      <w:pPr>
        <w:pStyle w:val="Bullet"/>
      </w:pPr>
      <w:r>
        <w:t xml:space="preserve">drive innovation and better practice for the schemes. Collaborate across Comcare and sectors to design and deliver research and innovative initiatives to further enhance scheme outcomes. </w:t>
      </w:r>
    </w:p>
    <w:p w:rsidR="00C86278" w:rsidRDefault="00C86278" w:rsidP="00702EC1">
      <w:pPr>
        <w:spacing w:after="120"/>
      </w:pPr>
      <w:r>
        <w:lastRenderedPageBreak/>
        <w:t xml:space="preserve">The </w:t>
      </w:r>
      <w:r>
        <w:rPr>
          <w:i/>
        </w:rPr>
        <w:t xml:space="preserve">Comcare Corporate Plan 2018—19 </w:t>
      </w:r>
      <w:r>
        <w:t>outlines our strategic focus for all our efforts to deliver our outcome. Comcare will continue to:</w:t>
      </w:r>
    </w:p>
    <w:p w:rsidR="00C86278" w:rsidRDefault="00C86278" w:rsidP="00702EC1">
      <w:pPr>
        <w:pStyle w:val="Bullet"/>
        <w:spacing w:after="120"/>
      </w:pPr>
      <w:r>
        <w:t>work with employees and employers to minimise the impact of harm in the workplace, improve recovery at and return to work, and promote the health benefits of work through good work design</w:t>
      </w:r>
    </w:p>
    <w:p w:rsidR="00C86278" w:rsidRDefault="00C86278" w:rsidP="00702EC1">
      <w:pPr>
        <w:pStyle w:val="Bullet"/>
        <w:spacing w:after="120"/>
      </w:pPr>
      <w:r>
        <w:t>manage claims liabilities by investing in strategic projects aimed at improving return to work outcomes, improving efficiency and effectiveness in business processes and focus on liability management</w:t>
      </w:r>
    </w:p>
    <w:p w:rsidR="00C86278" w:rsidRDefault="00C86278" w:rsidP="00702EC1">
      <w:pPr>
        <w:pStyle w:val="Bullet"/>
        <w:spacing w:after="120"/>
      </w:pPr>
      <w:r>
        <w:t>foster continuous improvement across the jurisdiction, to protect the health, safety and welfare of employees through delivering effective compliance enforcement activities</w:t>
      </w:r>
      <w:r w:rsidR="002D1634">
        <w:rPr>
          <w:lang w:val="en-AU"/>
        </w:rPr>
        <w:t>, and</w:t>
      </w:r>
    </w:p>
    <w:p w:rsidR="00C86278" w:rsidRDefault="00C86278" w:rsidP="00C86278">
      <w:pPr>
        <w:pStyle w:val="Bullet"/>
      </w:pPr>
      <w:r>
        <w:t xml:space="preserve">provide access to compensation for people with asbestos-related disease where the Commonwealth has liability through the management of claims. </w:t>
      </w:r>
    </w:p>
    <w:p w:rsidR="00C86278" w:rsidRDefault="00E9293F" w:rsidP="00C86278">
      <w:pPr>
        <w:pStyle w:val="Heading3"/>
      </w:pPr>
      <w:r w:rsidRPr="0079797F">
        <w:br w:type="page"/>
      </w:r>
      <w:bookmarkStart w:id="303" w:name="_Toc511656274"/>
      <w:bookmarkStart w:id="304" w:name="_Toc511722647"/>
      <w:bookmarkStart w:id="305" w:name="_Toc511736978"/>
      <w:bookmarkStart w:id="306" w:name="_Toc511747240"/>
      <w:bookmarkStart w:id="307" w:name="_Toc511765643"/>
      <w:bookmarkStart w:id="308" w:name="_Toc511828699"/>
      <w:bookmarkStart w:id="309" w:name="_Toc511836838"/>
      <w:bookmarkStart w:id="310" w:name="_Toc511902544"/>
      <w:r w:rsidR="00C86278">
        <w:lastRenderedPageBreak/>
        <w:t>1.2</w:t>
      </w:r>
      <w:r w:rsidR="00C86278">
        <w:tab/>
        <w:t>Entity resource statement</w:t>
      </w:r>
      <w:bookmarkEnd w:id="303"/>
      <w:bookmarkEnd w:id="304"/>
      <w:bookmarkEnd w:id="305"/>
      <w:bookmarkEnd w:id="306"/>
      <w:bookmarkEnd w:id="307"/>
      <w:bookmarkEnd w:id="308"/>
      <w:bookmarkEnd w:id="309"/>
      <w:bookmarkEnd w:id="310"/>
    </w:p>
    <w:p w:rsidR="00C86278" w:rsidRDefault="00C86278" w:rsidP="00C86278">
      <w:r>
        <w:t>Table 1.1 shows the total funding from all sources available to the entity for its operations and to deliver programs and services on behalf of the Government.</w:t>
      </w:r>
    </w:p>
    <w:p w:rsidR="00C86278" w:rsidRDefault="00C86278" w:rsidP="00C86278">
      <w:r>
        <w:t>The table summarises how resources will be applied by outcome (government strategic policy objectives) and by administered (on behalf of the Government or the public) and departmental (for the entity’s operations) classification.</w:t>
      </w:r>
    </w:p>
    <w:p w:rsidR="00C86278" w:rsidRDefault="00C86278" w:rsidP="00C86278">
      <w:r>
        <w:t xml:space="preserve">For more detailed information on special accounts and special appropriations, please refer to </w:t>
      </w:r>
      <w:r>
        <w:rPr>
          <w:i/>
        </w:rPr>
        <w:t>Budget Paper No. 4—</w:t>
      </w:r>
      <w:r w:rsidRPr="00412C0B">
        <w:rPr>
          <w:i/>
        </w:rPr>
        <w:t>Agency Resourcing</w:t>
      </w:r>
      <w:r>
        <w:t>.</w:t>
      </w:r>
    </w:p>
    <w:p w:rsidR="00C86278" w:rsidRDefault="00C86278" w:rsidP="00C86278">
      <w:r>
        <w:t>Information in this table is presented on a resourcing (that is, appropriations/cash available) basis, whilst the</w:t>
      </w:r>
      <w:r w:rsidR="00927A97">
        <w:t xml:space="preserve"> ‘Budgeted expenses by Outcome</w:t>
      </w:r>
      <w:r>
        <w:t>’ tables in Section 2 and the financial statements in Section 3 are presented on an accrual basis.</w:t>
      </w:r>
    </w:p>
    <w:p w:rsidR="00C86278" w:rsidRPr="005731D3" w:rsidRDefault="00C86278" w:rsidP="00C86278">
      <w:pPr>
        <w:pStyle w:val="TableHeading"/>
      </w:pPr>
      <w:r w:rsidRPr="005731D3">
        <w:t xml:space="preserve">Table 1.1: </w:t>
      </w:r>
      <w:r>
        <w:rPr>
          <w:lang w:val="en-AU"/>
        </w:rPr>
        <w:t xml:space="preserve">Comcare </w:t>
      </w:r>
      <w:r>
        <w:t>resource statement</w:t>
      </w:r>
      <w:r>
        <w:rPr>
          <w:lang w:val="en-AU"/>
        </w:rPr>
        <w:t>—</w:t>
      </w:r>
      <w:r w:rsidRPr="005731D3">
        <w:t xml:space="preserve">Budget estimates for </w:t>
      </w:r>
      <w:r w:rsidRPr="003F3C77">
        <w:t>201</w:t>
      </w:r>
      <w:r>
        <w:t>8</w:t>
      </w:r>
      <w:r>
        <w:rPr>
          <w:lang w:val="en-AU"/>
        </w:rPr>
        <w:t>–</w:t>
      </w:r>
      <w:r w:rsidRPr="003F3C77">
        <w:t>1</w:t>
      </w:r>
      <w:r>
        <w:t>9</w:t>
      </w:r>
      <w:r>
        <w:rPr>
          <w:lang w:val="en-AU"/>
        </w:rPr>
        <w:t xml:space="preserve"> </w:t>
      </w:r>
      <w:r w:rsidRPr="005731D3">
        <w:t>as at Budget</w:t>
      </w:r>
      <w:r w:rsidR="00C5333D">
        <w:rPr>
          <w:lang w:val="en-AU"/>
        </w:rPr>
        <w:t>,</w:t>
      </w:r>
      <w:r w:rsidRPr="005731D3">
        <w:t xml:space="preserve"> May 201</w:t>
      </w:r>
      <w:r>
        <w:t>8</w:t>
      </w:r>
    </w:p>
    <w:tbl>
      <w:tblPr>
        <w:tblW w:w="7738" w:type="dxa"/>
        <w:tblInd w:w="93" w:type="dxa"/>
        <w:tblLook w:val="04A0" w:firstRow="1" w:lastRow="0" w:firstColumn="1" w:lastColumn="0" w:noHBand="0" w:noVBand="1"/>
      </w:tblPr>
      <w:tblGrid>
        <w:gridCol w:w="5244"/>
        <w:gridCol w:w="1247"/>
        <w:gridCol w:w="1247"/>
      </w:tblGrid>
      <w:tr w:rsidR="00C86278" w:rsidRPr="00C86278" w:rsidTr="00C86278">
        <w:trPr>
          <w:trHeight w:val="794"/>
        </w:trPr>
        <w:tc>
          <w:tcPr>
            <w:tcW w:w="5244" w:type="dxa"/>
            <w:tcBorders>
              <w:top w:val="single" w:sz="4" w:space="0" w:color="auto"/>
              <w:left w:val="nil"/>
              <w:bottom w:val="nil"/>
              <w:right w:val="nil"/>
            </w:tcBorders>
            <w:shd w:val="clear" w:color="000000" w:fill="FFFFFF"/>
            <w:noWrap/>
            <w:vAlign w:val="center"/>
            <w:hideMark/>
          </w:tcPr>
          <w:p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 </w:t>
            </w:r>
          </w:p>
        </w:tc>
        <w:tc>
          <w:tcPr>
            <w:tcW w:w="1247" w:type="dxa"/>
            <w:tcBorders>
              <w:top w:val="single" w:sz="4" w:space="0" w:color="auto"/>
              <w:left w:val="nil"/>
              <w:bottom w:val="single" w:sz="4" w:space="0" w:color="auto"/>
              <w:right w:val="nil"/>
            </w:tcBorders>
            <w:shd w:val="clear" w:color="000000" w:fill="FFFFFF"/>
            <w:vAlign w:val="center"/>
            <w:hideMark/>
          </w:tcPr>
          <w:p w:rsidR="00C86278" w:rsidRPr="00C86278" w:rsidRDefault="00C86278" w:rsidP="00C86278">
            <w:pPr>
              <w:spacing w:after="0" w:line="240" w:lineRule="auto"/>
              <w:jc w:val="right"/>
              <w:rPr>
                <w:rFonts w:ascii="Arial" w:hAnsi="Arial" w:cs="Arial"/>
                <w:i/>
                <w:iCs/>
                <w:color w:val="000000"/>
                <w:sz w:val="16"/>
                <w:szCs w:val="16"/>
              </w:rPr>
            </w:pPr>
            <w:r>
              <w:rPr>
                <w:rFonts w:ascii="Arial" w:hAnsi="Arial" w:cs="Arial"/>
                <w:i/>
                <w:iCs/>
                <w:color w:val="000000"/>
                <w:sz w:val="16"/>
                <w:szCs w:val="16"/>
              </w:rPr>
              <w:t>2017–</w:t>
            </w:r>
            <w:r w:rsidRPr="00C86278">
              <w:rPr>
                <w:rFonts w:ascii="Arial" w:hAnsi="Arial" w:cs="Arial"/>
                <w:i/>
                <w:iCs/>
                <w:color w:val="000000"/>
                <w:sz w:val="16"/>
                <w:szCs w:val="16"/>
              </w:rPr>
              <w:t>18 Estimated actual</w:t>
            </w:r>
            <w:r w:rsidRPr="00C86278">
              <w:rPr>
                <w:rFonts w:ascii="Arial" w:hAnsi="Arial" w:cs="Arial"/>
                <w:i/>
                <w:iCs/>
                <w:color w:val="000000"/>
                <w:sz w:val="16"/>
                <w:szCs w:val="16"/>
              </w:rPr>
              <w:br/>
              <w:t>$'000</w:t>
            </w:r>
          </w:p>
        </w:tc>
        <w:tc>
          <w:tcPr>
            <w:tcW w:w="1247" w:type="dxa"/>
            <w:tcBorders>
              <w:top w:val="single" w:sz="4" w:space="0" w:color="auto"/>
              <w:left w:val="nil"/>
              <w:bottom w:val="single" w:sz="4" w:space="0" w:color="auto"/>
              <w:right w:val="nil"/>
            </w:tcBorders>
            <w:shd w:val="clear" w:color="000000" w:fill="E6E6E6"/>
            <w:vAlign w:val="center"/>
            <w:hideMark/>
          </w:tcPr>
          <w:p w:rsidR="00C86278" w:rsidRPr="00C86278" w:rsidRDefault="00C86278" w:rsidP="00C86278">
            <w:pPr>
              <w:spacing w:after="0" w:line="240" w:lineRule="auto"/>
              <w:jc w:val="right"/>
              <w:rPr>
                <w:rFonts w:ascii="Arial" w:hAnsi="Arial" w:cs="Arial"/>
                <w:color w:val="000000"/>
                <w:sz w:val="16"/>
                <w:szCs w:val="16"/>
              </w:rPr>
            </w:pPr>
            <w:r>
              <w:rPr>
                <w:rFonts w:ascii="Arial" w:hAnsi="Arial" w:cs="Arial"/>
                <w:color w:val="000000"/>
                <w:sz w:val="16"/>
                <w:szCs w:val="16"/>
              </w:rPr>
              <w:t>2018–</w:t>
            </w:r>
            <w:r w:rsidRPr="00C86278">
              <w:rPr>
                <w:rFonts w:ascii="Arial" w:hAnsi="Arial" w:cs="Arial"/>
                <w:color w:val="000000"/>
                <w:sz w:val="16"/>
                <w:szCs w:val="16"/>
              </w:rPr>
              <w:t>19 Estimate</w:t>
            </w:r>
            <w:r w:rsidRPr="00C86278">
              <w:rPr>
                <w:rFonts w:ascii="Arial" w:hAnsi="Arial" w:cs="Arial"/>
                <w:color w:val="000000"/>
                <w:sz w:val="16"/>
                <w:szCs w:val="16"/>
              </w:rPr>
              <w:br/>
            </w:r>
            <w:r w:rsidRPr="00C86278">
              <w:rPr>
                <w:rFonts w:ascii="Arial" w:hAnsi="Arial" w:cs="Arial"/>
                <w:color w:val="000000"/>
                <w:sz w:val="16"/>
                <w:szCs w:val="16"/>
              </w:rPr>
              <w:br/>
              <w:t>$'000</w:t>
            </w:r>
          </w:p>
        </w:tc>
      </w:tr>
      <w:tr w:rsidR="00C86278" w:rsidRPr="00C86278" w:rsidTr="00C86278">
        <w:trPr>
          <w:trHeight w:val="227"/>
        </w:trPr>
        <w:tc>
          <w:tcPr>
            <w:tcW w:w="5244"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Opening balance/cash reserves a</w:t>
            </w:r>
            <w:r w:rsidR="00686A76">
              <w:rPr>
                <w:rFonts w:ascii="Arial" w:hAnsi="Arial" w:cs="Arial"/>
                <w:b/>
                <w:bCs/>
                <w:color w:val="000000"/>
                <w:sz w:val="16"/>
                <w:szCs w:val="16"/>
              </w:rPr>
              <w:t>t 1 July</w:t>
            </w:r>
          </w:p>
        </w:tc>
        <w:tc>
          <w:tcPr>
            <w:tcW w:w="1247" w:type="dxa"/>
            <w:tcBorders>
              <w:top w:val="nil"/>
              <w:left w:val="nil"/>
              <w:bottom w:val="single" w:sz="4" w:space="0" w:color="auto"/>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979,779 </w:t>
            </w:r>
          </w:p>
        </w:tc>
        <w:tc>
          <w:tcPr>
            <w:tcW w:w="1247" w:type="dxa"/>
            <w:tcBorders>
              <w:top w:val="nil"/>
              <w:left w:val="nil"/>
              <w:bottom w:val="single" w:sz="4" w:space="0" w:color="auto"/>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1,007,227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Funds from Government</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026EE3" w:rsidP="00C86278">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Annual appropriations—</w:t>
            </w:r>
            <w:r w:rsidR="00C86278" w:rsidRPr="00C86278">
              <w:rPr>
                <w:rFonts w:ascii="Arial" w:hAnsi="Arial" w:cs="Arial"/>
                <w:color w:val="000000"/>
                <w:sz w:val="16"/>
                <w:szCs w:val="16"/>
              </w:rPr>
              <w:t>ordinary annual services (a)</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ind w:firstLineChars="200" w:firstLine="320"/>
              <w:rPr>
                <w:rFonts w:ascii="Arial" w:hAnsi="Arial" w:cs="Arial"/>
                <w:color w:val="000000"/>
                <w:sz w:val="16"/>
                <w:szCs w:val="16"/>
              </w:rPr>
            </w:pPr>
            <w:r w:rsidRPr="00C86278">
              <w:rPr>
                <w:rFonts w:ascii="Arial" w:hAnsi="Arial" w:cs="Arial"/>
                <w:color w:val="000000"/>
                <w:sz w:val="16"/>
                <w:szCs w:val="16"/>
              </w:rPr>
              <w:t>Outcome 1</w:t>
            </w:r>
          </w:p>
        </w:tc>
        <w:tc>
          <w:tcPr>
            <w:tcW w:w="1247" w:type="dxa"/>
            <w:tcBorders>
              <w:top w:val="nil"/>
              <w:left w:val="nil"/>
              <w:bottom w:val="nil"/>
              <w:right w:val="nil"/>
            </w:tcBorders>
            <w:shd w:val="clear" w:color="auto" w:fill="auto"/>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6,020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5,989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Total annual appropriations</w:t>
            </w:r>
          </w:p>
        </w:tc>
        <w:tc>
          <w:tcPr>
            <w:tcW w:w="1247" w:type="dxa"/>
            <w:tcBorders>
              <w:top w:val="single" w:sz="4" w:space="0" w:color="auto"/>
              <w:left w:val="nil"/>
              <w:bottom w:val="single" w:sz="4" w:space="0" w:color="auto"/>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6,020 </w:t>
            </w:r>
          </w:p>
        </w:tc>
        <w:tc>
          <w:tcPr>
            <w:tcW w:w="1247" w:type="dxa"/>
            <w:tcBorders>
              <w:top w:val="single" w:sz="4" w:space="0" w:color="auto"/>
              <w:left w:val="nil"/>
              <w:bottom w:val="single" w:sz="4" w:space="0" w:color="auto"/>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5,989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Amounts received from related entities</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Amounts from portfolio department (b)</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55,372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60,536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Total amounts received from related entities</w:t>
            </w:r>
          </w:p>
        </w:tc>
        <w:tc>
          <w:tcPr>
            <w:tcW w:w="1247" w:type="dxa"/>
            <w:tcBorders>
              <w:top w:val="single" w:sz="4" w:space="0" w:color="auto"/>
              <w:left w:val="nil"/>
              <w:bottom w:val="single" w:sz="4" w:space="0" w:color="auto"/>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55,372 </w:t>
            </w:r>
          </w:p>
        </w:tc>
        <w:tc>
          <w:tcPr>
            <w:tcW w:w="1247" w:type="dxa"/>
            <w:tcBorders>
              <w:top w:val="single" w:sz="4" w:space="0" w:color="auto"/>
              <w:left w:val="nil"/>
              <w:bottom w:val="single" w:sz="4" w:space="0" w:color="auto"/>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60,536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Total funds from Government</w:t>
            </w:r>
          </w:p>
        </w:tc>
        <w:tc>
          <w:tcPr>
            <w:tcW w:w="1247" w:type="dxa"/>
            <w:tcBorders>
              <w:top w:val="nil"/>
              <w:left w:val="nil"/>
              <w:bottom w:val="single" w:sz="4" w:space="0" w:color="auto"/>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b/>
                <w:bCs/>
                <w:i/>
                <w:iCs/>
                <w:color w:val="000000"/>
                <w:sz w:val="16"/>
                <w:szCs w:val="16"/>
              </w:rPr>
            </w:pPr>
            <w:r w:rsidRPr="00C86278">
              <w:rPr>
                <w:rFonts w:ascii="Arial" w:hAnsi="Arial" w:cs="Arial"/>
                <w:b/>
                <w:bCs/>
                <w:i/>
                <w:iCs/>
                <w:color w:val="000000"/>
                <w:sz w:val="16"/>
                <w:szCs w:val="16"/>
              </w:rPr>
              <w:t xml:space="preserve">61,392 </w:t>
            </w:r>
          </w:p>
        </w:tc>
        <w:tc>
          <w:tcPr>
            <w:tcW w:w="1247" w:type="dxa"/>
            <w:tcBorders>
              <w:top w:val="nil"/>
              <w:left w:val="nil"/>
              <w:bottom w:val="single" w:sz="4" w:space="0" w:color="auto"/>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b/>
                <w:bCs/>
                <w:color w:val="000000"/>
                <w:sz w:val="16"/>
                <w:szCs w:val="16"/>
              </w:rPr>
            </w:pPr>
            <w:r w:rsidRPr="00C86278">
              <w:rPr>
                <w:rFonts w:ascii="Arial" w:hAnsi="Arial" w:cs="Arial"/>
                <w:b/>
                <w:bCs/>
                <w:color w:val="000000"/>
                <w:sz w:val="16"/>
                <w:szCs w:val="16"/>
              </w:rPr>
              <w:t xml:space="preserve">66,525 </w:t>
            </w:r>
          </w:p>
        </w:tc>
      </w:tr>
      <w:tr w:rsidR="00C86278" w:rsidRPr="00C86278" w:rsidTr="00C86278">
        <w:trPr>
          <w:trHeight w:val="227"/>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Funds from industry sources</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License fees</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15,601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15,954 </w:t>
            </w:r>
          </w:p>
        </w:tc>
      </w:tr>
      <w:tr w:rsidR="00C86278" w:rsidRPr="00C86278" w:rsidTr="00C86278">
        <w:trPr>
          <w:trHeight w:val="225"/>
        </w:trPr>
        <w:tc>
          <w:tcPr>
            <w:tcW w:w="5244"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Total funds from industry sources</w:t>
            </w:r>
          </w:p>
        </w:tc>
        <w:tc>
          <w:tcPr>
            <w:tcW w:w="1247" w:type="dxa"/>
            <w:tcBorders>
              <w:top w:val="single" w:sz="4" w:space="0" w:color="auto"/>
              <w:left w:val="nil"/>
              <w:bottom w:val="single" w:sz="4" w:space="0" w:color="auto"/>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b/>
                <w:bCs/>
                <w:i/>
                <w:iCs/>
                <w:color w:val="000000"/>
                <w:sz w:val="16"/>
                <w:szCs w:val="16"/>
              </w:rPr>
            </w:pPr>
            <w:r w:rsidRPr="00C86278">
              <w:rPr>
                <w:rFonts w:ascii="Arial" w:hAnsi="Arial" w:cs="Arial"/>
                <w:b/>
                <w:bCs/>
                <w:i/>
                <w:iCs/>
                <w:color w:val="000000"/>
                <w:sz w:val="16"/>
                <w:szCs w:val="16"/>
              </w:rPr>
              <w:t xml:space="preserve">15,601 </w:t>
            </w:r>
          </w:p>
        </w:tc>
        <w:tc>
          <w:tcPr>
            <w:tcW w:w="1247" w:type="dxa"/>
            <w:tcBorders>
              <w:top w:val="single" w:sz="4" w:space="0" w:color="auto"/>
              <w:left w:val="nil"/>
              <w:bottom w:val="single" w:sz="4" w:space="0" w:color="auto"/>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b/>
                <w:bCs/>
                <w:color w:val="000000"/>
                <w:sz w:val="16"/>
                <w:szCs w:val="16"/>
              </w:rPr>
            </w:pPr>
            <w:r w:rsidRPr="00C86278">
              <w:rPr>
                <w:rFonts w:ascii="Arial" w:hAnsi="Arial" w:cs="Arial"/>
                <w:b/>
                <w:bCs/>
                <w:color w:val="000000"/>
                <w:sz w:val="16"/>
                <w:szCs w:val="16"/>
              </w:rPr>
              <w:t xml:space="preserve">15,954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Funds from other sources</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Interest</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29,012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30,048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Sale of goods and services</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2,770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3,992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Regulatory contributions</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19,789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19,508 </w:t>
            </w:r>
          </w:p>
        </w:tc>
      </w:tr>
      <w:tr w:rsidR="00C86278" w:rsidRPr="00C86278" w:rsidTr="00C86278">
        <w:trPr>
          <w:trHeight w:val="225"/>
        </w:trPr>
        <w:tc>
          <w:tcPr>
            <w:tcW w:w="5244" w:type="dxa"/>
            <w:tcBorders>
              <w:top w:val="nil"/>
              <w:left w:val="nil"/>
              <w:bottom w:val="nil"/>
              <w:right w:val="nil"/>
            </w:tcBorders>
            <w:shd w:val="clear" w:color="000000" w:fill="FFFFFF"/>
            <w:vAlign w:val="center"/>
            <w:hideMark/>
          </w:tcPr>
          <w:p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Workers Compensation premiums</w:t>
            </w:r>
          </w:p>
        </w:tc>
        <w:tc>
          <w:tcPr>
            <w:tcW w:w="1247"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284,895 </w:t>
            </w:r>
          </w:p>
        </w:tc>
        <w:tc>
          <w:tcPr>
            <w:tcW w:w="1247" w:type="dxa"/>
            <w:tcBorders>
              <w:top w:val="nil"/>
              <w:left w:val="nil"/>
              <w:bottom w:val="nil"/>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277,430 </w:t>
            </w:r>
          </w:p>
        </w:tc>
      </w:tr>
      <w:tr w:rsidR="00C86278" w:rsidRPr="00C86278" w:rsidTr="00C86278">
        <w:trPr>
          <w:trHeight w:val="225"/>
        </w:trPr>
        <w:tc>
          <w:tcPr>
            <w:tcW w:w="5244" w:type="dxa"/>
            <w:tcBorders>
              <w:top w:val="nil"/>
              <w:left w:val="nil"/>
              <w:bottom w:val="nil"/>
              <w:right w:val="nil"/>
            </w:tcBorders>
            <w:shd w:val="clear" w:color="000000" w:fill="FFFFFF"/>
            <w:noWrap/>
            <w:vAlign w:val="center"/>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Total funds from other sources</w:t>
            </w:r>
          </w:p>
        </w:tc>
        <w:tc>
          <w:tcPr>
            <w:tcW w:w="1247" w:type="dxa"/>
            <w:tcBorders>
              <w:top w:val="single" w:sz="4" w:space="0" w:color="auto"/>
              <w:left w:val="nil"/>
              <w:bottom w:val="single" w:sz="4" w:space="0" w:color="auto"/>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b/>
                <w:bCs/>
                <w:i/>
                <w:iCs/>
                <w:color w:val="000000"/>
                <w:sz w:val="16"/>
                <w:szCs w:val="16"/>
              </w:rPr>
            </w:pPr>
            <w:r w:rsidRPr="00C86278">
              <w:rPr>
                <w:rFonts w:ascii="Arial" w:hAnsi="Arial" w:cs="Arial"/>
                <w:b/>
                <w:bCs/>
                <w:i/>
                <w:iCs/>
                <w:color w:val="000000"/>
                <w:sz w:val="16"/>
                <w:szCs w:val="16"/>
              </w:rPr>
              <w:t xml:space="preserve">336,466 </w:t>
            </w:r>
          </w:p>
        </w:tc>
        <w:tc>
          <w:tcPr>
            <w:tcW w:w="1247" w:type="dxa"/>
            <w:tcBorders>
              <w:top w:val="single" w:sz="4" w:space="0" w:color="auto"/>
              <w:left w:val="nil"/>
              <w:bottom w:val="single" w:sz="4" w:space="0" w:color="auto"/>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b/>
                <w:bCs/>
                <w:color w:val="000000"/>
                <w:sz w:val="16"/>
                <w:szCs w:val="16"/>
              </w:rPr>
            </w:pPr>
            <w:r w:rsidRPr="00C86278">
              <w:rPr>
                <w:rFonts w:ascii="Arial" w:hAnsi="Arial" w:cs="Arial"/>
                <w:b/>
                <w:bCs/>
                <w:color w:val="000000"/>
                <w:sz w:val="16"/>
                <w:szCs w:val="16"/>
              </w:rPr>
              <w:t xml:space="preserve">330,978 </w:t>
            </w:r>
          </w:p>
        </w:tc>
      </w:tr>
      <w:tr w:rsidR="00C86278" w:rsidRPr="00C86278" w:rsidTr="00C86278">
        <w:trPr>
          <w:trHeight w:val="225"/>
        </w:trPr>
        <w:tc>
          <w:tcPr>
            <w:tcW w:w="5244" w:type="dxa"/>
            <w:tcBorders>
              <w:top w:val="nil"/>
              <w:left w:val="nil"/>
              <w:bottom w:val="single" w:sz="4" w:space="0" w:color="auto"/>
              <w:right w:val="nil"/>
            </w:tcBorders>
            <w:shd w:val="clear" w:color="000000" w:fill="FFFFFF"/>
            <w:noWrap/>
            <w:vAlign w:val="bottom"/>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Total net resourcing for Comcare</w:t>
            </w:r>
          </w:p>
        </w:tc>
        <w:tc>
          <w:tcPr>
            <w:tcW w:w="1247" w:type="dxa"/>
            <w:tcBorders>
              <w:top w:val="nil"/>
              <w:left w:val="nil"/>
              <w:bottom w:val="single" w:sz="4" w:space="0" w:color="auto"/>
              <w:right w:val="nil"/>
            </w:tcBorders>
            <w:shd w:val="clear" w:color="000000" w:fill="FFFFFF"/>
            <w:noWrap/>
            <w:vAlign w:val="bottom"/>
            <w:hideMark/>
          </w:tcPr>
          <w:p w:rsidR="00C86278" w:rsidRPr="00C86278" w:rsidRDefault="00C86278" w:rsidP="00C86278">
            <w:pPr>
              <w:spacing w:after="0" w:line="240" w:lineRule="auto"/>
              <w:jc w:val="right"/>
              <w:rPr>
                <w:rFonts w:ascii="Arial" w:hAnsi="Arial" w:cs="Arial"/>
                <w:b/>
                <w:bCs/>
                <w:i/>
                <w:iCs/>
                <w:color w:val="000000"/>
                <w:sz w:val="16"/>
                <w:szCs w:val="16"/>
              </w:rPr>
            </w:pPr>
            <w:r w:rsidRPr="00C86278">
              <w:rPr>
                <w:rFonts w:ascii="Arial" w:hAnsi="Arial" w:cs="Arial"/>
                <w:b/>
                <w:bCs/>
                <w:i/>
                <w:iCs/>
                <w:color w:val="000000"/>
                <w:sz w:val="16"/>
                <w:szCs w:val="16"/>
              </w:rPr>
              <w:t xml:space="preserve">1,393,238 </w:t>
            </w:r>
          </w:p>
        </w:tc>
        <w:tc>
          <w:tcPr>
            <w:tcW w:w="1247" w:type="dxa"/>
            <w:tcBorders>
              <w:top w:val="nil"/>
              <w:left w:val="nil"/>
              <w:bottom w:val="single" w:sz="4" w:space="0" w:color="auto"/>
              <w:right w:val="nil"/>
            </w:tcBorders>
            <w:shd w:val="clear" w:color="000000" w:fill="E6E6E6"/>
            <w:noWrap/>
            <w:vAlign w:val="bottom"/>
            <w:hideMark/>
          </w:tcPr>
          <w:p w:rsidR="00C86278" w:rsidRPr="00C86278" w:rsidRDefault="00C86278" w:rsidP="00C86278">
            <w:pPr>
              <w:spacing w:after="0" w:line="240" w:lineRule="auto"/>
              <w:jc w:val="right"/>
              <w:rPr>
                <w:rFonts w:ascii="Arial" w:hAnsi="Arial" w:cs="Arial"/>
                <w:b/>
                <w:bCs/>
                <w:color w:val="000000"/>
                <w:sz w:val="16"/>
                <w:szCs w:val="16"/>
              </w:rPr>
            </w:pPr>
            <w:r w:rsidRPr="00C86278">
              <w:rPr>
                <w:rFonts w:ascii="Arial" w:hAnsi="Arial" w:cs="Arial"/>
                <w:b/>
                <w:bCs/>
                <w:color w:val="000000"/>
                <w:sz w:val="16"/>
                <w:szCs w:val="16"/>
              </w:rPr>
              <w:t xml:space="preserve">1,420,684 </w:t>
            </w:r>
          </w:p>
        </w:tc>
      </w:tr>
      <w:tr w:rsidR="00C86278" w:rsidRPr="00C86278" w:rsidTr="00C86278">
        <w:trPr>
          <w:trHeight w:val="113"/>
        </w:trPr>
        <w:tc>
          <w:tcPr>
            <w:tcW w:w="5244" w:type="dxa"/>
            <w:tcBorders>
              <w:top w:val="nil"/>
              <w:left w:val="nil"/>
              <w:bottom w:val="nil"/>
              <w:right w:val="nil"/>
            </w:tcBorders>
            <w:shd w:val="clear" w:color="000000" w:fill="FFFFFF"/>
            <w:noWrap/>
            <w:vAlign w:val="bottom"/>
            <w:hideMark/>
          </w:tcPr>
          <w:p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 </w:t>
            </w:r>
          </w:p>
        </w:tc>
        <w:tc>
          <w:tcPr>
            <w:tcW w:w="1247" w:type="dxa"/>
            <w:tcBorders>
              <w:top w:val="nil"/>
              <w:left w:val="nil"/>
              <w:bottom w:val="nil"/>
              <w:right w:val="nil"/>
            </w:tcBorders>
            <w:shd w:val="clear" w:color="000000" w:fill="FFFFFF"/>
            <w:noWrap/>
            <w:vAlign w:val="bottom"/>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FFFFFF"/>
            <w:noWrap/>
            <w:vAlign w:val="bottom"/>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rsidTr="00C86278">
        <w:trPr>
          <w:trHeight w:val="225"/>
        </w:trPr>
        <w:tc>
          <w:tcPr>
            <w:tcW w:w="5244" w:type="dxa"/>
            <w:tcBorders>
              <w:top w:val="single" w:sz="4" w:space="0" w:color="auto"/>
              <w:left w:val="nil"/>
              <w:bottom w:val="nil"/>
              <w:right w:val="nil"/>
            </w:tcBorders>
            <w:shd w:val="clear" w:color="000000" w:fill="FFFFFF"/>
            <w:noWrap/>
            <w:vAlign w:val="bottom"/>
            <w:hideMark/>
          </w:tcPr>
          <w:p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 </w:t>
            </w:r>
          </w:p>
        </w:tc>
        <w:tc>
          <w:tcPr>
            <w:tcW w:w="1247" w:type="dxa"/>
            <w:tcBorders>
              <w:top w:val="single" w:sz="4" w:space="0" w:color="auto"/>
              <w:left w:val="nil"/>
              <w:bottom w:val="single" w:sz="4" w:space="0" w:color="auto"/>
              <w:right w:val="nil"/>
            </w:tcBorders>
            <w:shd w:val="clear" w:color="000000" w:fill="FFFFFF"/>
            <w:noWrap/>
            <w:vAlign w:val="center"/>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2017</w:t>
            </w:r>
            <w:r>
              <w:rPr>
                <w:rFonts w:ascii="Arial" w:hAnsi="Arial" w:cs="Arial"/>
                <w:i/>
                <w:iCs/>
                <w:color w:val="000000"/>
                <w:sz w:val="16"/>
                <w:szCs w:val="16"/>
              </w:rPr>
              <w:t>–</w:t>
            </w:r>
            <w:r w:rsidRPr="00C86278">
              <w:rPr>
                <w:rFonts w:ascii="Arial" w:hAnsi="Arial" w:cs="Arial"/>
                <w:i/>
                <w:iCs/>
                <w:color w:val="000000"/>
                <w:sz w:val="16"/>
                <w:szCs w:val="16"/>
              </w:rPr>
              <w:t>18</w:t>
            </w:r>
          </w:p>
        </w:tc>
        <w:tc>
          <w:tcPr>
            <w:tcW w:w="1247" w:type="dxa"/>
            <w:tcBorders>
              <w:top w:val="single" w:sz="4" w:space="0" w:color="auto"/>
              <w:left w:val="nil"/>
              <w:bottom w:val="single" w:sz="4" w:space="0" w:color="auto"/>
              <w:right w:val="nil"/>
            </w:tcBorders>
            <w:shd w:val="clear" w:color="000000" w:fill="E6E6E6"/>
            <w:noWrap/>
            <w:vAlign w:val="center"/>
            <w:hideMark/>
          </w:tcPr>
          <w:p w:rsidR="00C86278" w:rsidRPr="00C86278" w:rsidRDefault="00C86278" w:rsidP="00C86278">
            <w:pPr>
              <w:spacing w:after="0" w:line="240" w:lineRule="auto"/>
              <w:jc w:val="right"/>
              <w:rPr>
                <w:rFonts w:ascii="Arial" w:hAnsi="Arial" w:cs="Arial"/>
                <w:color w:val="000000"/>
                <w:sz w:val="16"/>
                <w:szCs w:val="16"/>
              </w:rPr>
            </w:pPr>
            <w:r>
              <w:rPr>
                <w:rFonts w:ascii="Arial" w:hAnsi="Arial" w:cs="Arial"/>
                <w:color w:val="000000"/>
                <w:sz w:val="16"/>
                <w:szCs w:val="16"/>
              </w:rPr>
              <w:t>2018–</w:t>
            </w:r>
            <w:r w:rsidRPr="00C86278">
              <w:rPr>
                <w:rFonts w:ascii="Arial" w:hAnsi="Arial" w:cs="Arial"/>
                <w:color w:val="000000"/>
                <w:sz w:val="16"/>
                <w:szCs w:val="16"/>
              </w:rPr>
              <w:t>19</w:t>
            </w:r>
          </w:p>
        </w:tc>
      </w:tr>
      <w:tr w:rsidR="00C86278" w:rsidRPr="00C86278" w:rsidTr="00C86278">
        <w:trPr>
          <w:trHeight w:val="225"/>
        </w:trPr>
        <w:tc>
          <w:tcPr>
            <w:tcW w:w="5244" w:type="dxa"/>
            <w:tcBorders>
              <w:top w:val="nil"/>
              <w:left w:val="nil"/>
              <w:bottom w:val="single" w:sz="4" w:space="0" w:color="auto"/>
              <w:right w:val="nil"/>
            </w:tcBorders>
            <w:shd w:val="clear" w:color="000000" w:fill="FFFFFF"/>
            <w:noWrap/>
            <w:vAlign w:val="bottom"/>
            <w:hideMark/>
          </w:tcPr>
          <w:p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Average staffing level (number)</w:t>
            </w:r>
          </w:p>
        </w:tc>
        <w:tc>
          <w:tcPr>
            <w:tcW w:w="1247" w:type="dxa"/>
            <w:tcBorders>
              <w:top w:val="nil"/>
              <w:left w:val="nil"/>
              <w:bottom w:val="single" w:sz="4" w:space="0" w:color="auto"/>
              <w:right w:val="nil"/>
            </w:tcBorders>
            <w:shd w:val="clear" w:color="000000" w:fill="FFFFFF"/>
            <w:noWrap/>
            <w:vAlign w:val="bottom"/>
            <w:hideMark/>
          </w:tcPr>
          <w:p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630 </w:t>
            </w:r>
          </w:p>
        </w:tc>
        <w:tc>
          <w:tcPr>
            <w:tcW w:w="1247" w:type="dxa"/>
            <w:tcBorders>
              <w:top w:val="nil"/>
              <w:left w:val="nil"/>
              <w:bottom w:val="single" w:sz="4" w:space="0" w:color="auto"/>
              <w:right w:val="nil"/>
            </w:tcBorders>
            <w:shd w:val="clear" w:color="000000" w:fill="E6E6E6"/>
            <w:noWrap/>
            <w:vAlign w:val="bottom"/>
            <w:hideMark/>
          </w:tcPr>
          <w:p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652 </w:t>
            </w:r>
          </w:p>
        </w:tc>
      </w:tr>
    </w:tbl>
    <w:p w:rsidR="00C86278" w:rsidRDefault="00C86278" w:rsidP="00ED7D37">
      <w:pPr>
        <w:pStyle w:val="ChartandTableFootnote"/>
        <w:spacing w:before="80" w:after="60"/>
      </w:pPr>
      <w:r>
        <w:t>Prepared on a resourcing (</w:t>
      </w:r>
      <w:r>
        <w:rPr>
          <w:lang w:val="en-AU"/>
        </w:rPr>
        <w:t>that is,</w:t>
      </w:r>
      <w:r>
        <w:t xml:space="preserve"> appropriations available) basis.</w:t>
      </w:r>
    </w:p>
    <w:p w:rsidR="00C86278" w:rsidRPr="00831489" w:rsidRDefault="00C86278" w:rsidP="00ED7D37">
      <w:pPr>
        <w:pStyle w:val="ChartandTableFootnote"/>
        <w:spacing w:before="60" w:after="80"/>
        <w:rPr>
          <w:lang w:val="en-AU"/>
        </w:rPr>
      </w:pPr>
      <w:r w:rsidRPr="008D3E19">
        <w:rPr>
          <w:u w:val="single"/>
        </w:rPr>
        <w:t>Please note</w:t>
      </w:r>
      <w:r>
        <w:t>: All figures shown above are GST exclusive</w:t>
      </w:r>
      <w:r>
        <w:rPr>
          <w:lang w:val="en-AU"/>
        </w:rPr>
        <w:t>—</w:t>
      </w:r>
      <w:r>
        <w:t>these may not match figures in the cash flow statement.</w:t>
      </w:r>
    </w:p>
    <w:p w:rsidR="00C86278" w:rsidRPr="005250EE" w:rsidRDefault="00C86278" w:rsidP="00E01B4E">
      <w:pPr>
        <w:pStyle w:val="ChartandTableFootnoteAlpha"/>
        <w:numPr>
          <w:ilvl w:val="0"/>
          <w:numId w:val="33"/>
        </w:numPr>
        <w:spacing w:before="60"/>
      </w:pPr>
      <w:r>
        <w:t>Appropriation Bill (No.1) 2018–19</w:t>
      </w:r>
      <w:r w:rsidRPr="005250EE">
        <w:t>.</w:t>
      </w:r>
    </w:p>
    <w:p w:rsidR="00C86278" w:rsidRDefault="00C86278" w:rsidP="00C86278">
      <w:pPr>
        <w:pStyle w:val="ChartandTableFootnoteAlpha"/>
      </w:pPr>
      <w:r>
        <w:rPr>
          <w:rFonts w:cs="Arial"/>
          <w:szCs w:val="16"/>
        </w:rPr>
        <w:t xml:space="preserve">Comcare is not directly appropriated as it is a corporate Commonwealth entity. Grants from its portfolio department include special appropriations under the </w:t>
      </w:r>
      <w:r w:rsidRPr="00797B21">
        <w:rPr>
          <w:rFonts w:cs="Arial"/>
          <w:i/>
          <w:szCs w:val="16"/>
        </w:rPr>
        <w:t>Safety, Rehabilitation and Compensation Act 1988</w:t>
      </w:r>
      <w:r>
        <w:rPr>
          <w:rFonts w:cs="Arial"/>
          <w:szCs w:val="16"/>
        </w:rPr>
        <w:t xml:space="preserve"> for the payment of pre-premium claims costs and the </w:t>
      </w:r>
      <w:r w:rsidRPr="00797B21">
        <w:rPr>
          <w:rFonts w:cs="Arial"/>
          <w:i/>
          <w:szCs w:val="16"/>
        </w:rPr>
        <w:t>Asbestos-related Claims (Management of Commonwealth Liabilities) Act 2005</w:t>
      </w:r>
      <w:r>
        <w:rPr>
          <w:rFonts w:cs="Arial"/>
          <w:szCs w:val="16"/>
        </w:rPr>
        <w:t xml:space="preserve"> for asbestos-related claims settlements.</w:t>
      </w:r>
      <w:r w:rsidRPr="008D3E19">
        <w:t xml:space="preserve"> </w:t>
      </w:r>
    </w:p>
    <w:p w:rsidR="00C86278" w:rsidRPr="005A7C0B" w:rsidRDefault="00C86278" w:rsidP="00C86278">
      <w:pPr>
        <w:pStyle w:val="Heading3"/>
        <w:spacing w:before="0"/>
      </w:pPr>
      <w:r>
        <w:br w:type="page"/>
      </w:r>
      <w:bookmarkStart w:id="311" w:name="_Toc511656275"/>
      <w:bookmarkStart w:id="312" w:name="_Toc511722648"/>
      <w:bookmarkStart w:id="313" w:name="_Toc511736979"/>
      <w:bookmarkStart w:id="314" w:name="_Toc511747241"/>
      <w:bookmarkStart w:id="315" w:name="_Toc511765644"/>
      <w:bookmarkStart w:id="316" w:name="_Toc511828700"/>
      <w:bookmarkStart w:id="317" w:name="_Toc511836839"/>
      <w:bookmarkStart w:id="318" w:name="_Toc511902545"/>
      <w:r w:rsidRPr="005A7C0B">
        <w:lastRenderedPageBreak/>
        <w:t>1.3</w:t>
      </w:r>
      <w:r w:rsidRPr="005A7C0B">
        <w:tab/>
        <w:t>Budget measures</w:t>
      </w:r>
      <w:bookmarkEnd w:id="311"/>
      <w:bookmarkEnd w:id="312"/>
      <w:bookmarkEnd w:id="313"/>
      <w:bookmarkEnd w:id="314"/>
      <w:bookmarkEnd w:id="315"/>
      <w:bookmarkEnd w:id="316"/>
      <w:bookmarkEnd w:id="317"/>
      <w:bookmarkEnd w:id="318"/>
    </w:p>
    <w:p w:rsidR="00C86278" w:rsidRDefault="00C86278" w:rsidP="00C86278">
      <w:r w:rsidRPr="00DC32EC">
        <w:t xml:space="preserve">Budget measures </w:t>
      </w:r>
      <w:r>
        <w:t xml:space="preserve">in Part 1 </w:t>
      </w:r>
      <w:r w:rsidRPr="00DC32EC">
        <w:t>relating to</w:t>
      </w:r>
      <w:r>
        <w:t xml:space="preserve"> </w:t>
      </w:r>
      <w:r w:rsidR="00ED7D37">
        <w:t>Comcare</w:t>
      </w:r>
      <w:r w:rsidRPr="00DC32EC">
        <w:t xml:space="preserve"> a</w:t>
      </w:r>
      <w:r>
        <w:t>re detailed in Budget Paper No. </w:t>
      </w:r>
      <w:r w:rsidRPr="00DC32EC">
        <w:t>2</w:t>
      </w:r>
      <w:r>
        <w:t xml:space="preserve"> and are summarised below.</w:t>
      </w:r>
    </w:p>
    <w:p w:rsidR="00C86278" w:rsidRPr="009A40DD" w:rsidRDefault="00C86278" w:rsidP="00C86278">
      <w:pPr>
        <w:pStyle w:val="TableHeading"/>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rsidR="00C86278" w:rsidRPr="00C86278" w:rsidRDefault="00ED7D37" w:rsidP="00C86278">
      <w:pPr>
        <w:pStyle w:val="TableGraphic"/>
      </w:pPr>
      <w:r>
        <w:t xml:space="preserve">Comcare does not have any new measures since the 2017–18 MYEFO, or any other measures not previously reported in a portfolio statement. For this reason, Table 1.2 is not presented. </w:t>
      </w:r>
    </w:p>
    <w:p w:rsidR="00ED7D37" w:rsidRPr="00810C6A" w:rsidRDefault="00C86278" w:rsidP="00ED7D37">
      <w:pPr>
        <w:pStyle w:val="Heading2"/>
      </w:pPr>
      <w:r>
        <w:br w:type="page"/>
      </w:r>
      <w:bookmarkStart w:id="319" w:name="_Toc511656276"/>
      <w:bookmarkStart w:id="320" w:name="_Toc511722649"/>
      <w:bookmarkStart w:id="321" w:name="_Toc511736980"/>
      <w:bookmarkStart w:id="322" w:name="_Toc511747242"/>
      <w:bookmarkStart w:id="323" w:name="_Toc511765645"/>
      <w:bookmarkStart w:id="324" w:name="_Toc511828701"/>
      <w:bookmarkStart w:id="325" w:name="_Toc511836840"/>
      <w:bookmarkStart w:id="326" w:name="_Toc511902546"/>
      <w:r w:rsidR="00ED7D37" w:rsidRPr="00810C6A">
        <w:lastRenderedPageBreak/>
        <w:t>Section 2: Outcomes and planned performance</w:t>
      </w:r>
      <w:bookmarkEnd w:id="319"/>
      <w:bookmarkEnd w:id="320"/>
      <w:bookmarkEnd w:id="321"/>
      <w:bookmarkEnd w:id="322"/>
      <w:bookmarkEnd w:id="323"/>
      <w:bookmarkEnd w:id="324"/>
      <w:bookmarkEnd w:id="325"/>
      <w:bookmarkEnd w:id="326"/>
    </w:p>
    <w:p w:rsidR="00ED7D37" w:rsidRPr="005E6F2B" w:rsidRDefault="00ED7D37" w:rsidP="00ED7D37">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ED7D37" w:rsidRPr="005E6F2B" w:rsidRDefault="00ED7D37" w:rsidP="00ED7D37">
      <w:r w:rsidRPr="005E6F2B">
        <w:t xml:space="preserve">Each outcome is described below together with its related programs. The following provides detailed information on expenses for each outcome and program, further broken down by funding source. </w:t>
      </w:r>
    </w:p>
    <w:p w:rsidR="00ED7D37" w:rsidRPr="006906E4" w:rsidRDefault="00ED7D37" w:rsidP="00ED7D37">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ED7D37" w:rsidRDefault="00ED7D37" w:rsidP="00ED7D37">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ED7D37" w:rsidRDefault="00ED7D37" w:rsidP="00ED7D37">
      <w:pPr>
        <w:pBdr>
          <w:top w:val="single" w:sz="2" w:space="6" w:color="auto"/>
          <w:left w:val="single" w:sz="2" w:space="4" w:color="auto"/>
          <w:bottom w:val="single" w:sz="2" w:space="6" w:color="auto"/>
          <w:right w:val="single" w:sz="2" w:space="4" w:color="auto"/>
        </w:pBdr>
        <w:rPr>
          <w:u w:val="single"/>
        </w:rPr>
      </w:pPr>
      <w:r>
        <w:t xml:space="preserve">The most recent corporate plan for Comcare can be found at: </w:t>
      </w:r>
      <w:r>
        <w:rPr>
          <w:u w:val="single"/>
        </w:rPr>
        <w:t>http://www.comcare.gov.au/about_us/comcare_2017-18_corporate_plan</w:t>
      </w:r>
      <w:r>
        <w:t>.</w:t>
      </w:r>
    </w:p>
    <w:p w:rsidR="00ED7D37" w:rsidRDefault="00ED7D37" w:rsidP="00ED7D37">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03" w:history="1">
        <w:r>
          <w:rPr>
            <w:rStyle w:val="Hyperlink"/>
          </w:rPr>
          <w:t>http://www.comcare.gov.au/annual_report_2016-17/annual_performance_statement/overview</w:t>
        </w:r>
      </w:hyperlink>
      <w:r>
        <w:t>.</w:t>
      </w:r>
    </w:p>
    <w:p w:rsidR="00ED7D37" w:rsidRPr="00F743D8" w:rsidRDefault="00ED7D37" w:rsidP="00ED7D37">
      <w:pPr>
        <w:pStyle w:val="Heading3"/>
      </w:pPr>
      <w:r>
        <w:rPr>
          <w:highlight w:val="yellow"/>
        </w:rPr>
        <w:br w:type="page"/>
      </w:r>
      <w:bookmarkStart w:id="327" w:name="_Toc511656277"/>
      <w:bookmarkStart w:id="328" w:name="_Toc511722650"/>
      <w:bookmarkStart w:id="329" w:name="_Toc511736981"/>
      <w:bookmarkStart w:id="330" w:name="_Toc511747243"/>
      <w:bookmarkStart w:id="331" w:name="_Toc511765646"/>
      <w:bookmarkStart w:id="332" w:name="_Toc511828702"/>
      <w:bookmarkStart w:id="333" w:name="_Toc511836841"/>
      <w:bookmarkStart w:id="334" w:name="_Toc511902547"/>
      <w:r>
        <w:lastRenderedPageBreak/>
        <w:t>2.1</w:t>
      </w:r>
      <w:r w:rsidRPr="00F743D8">
        <w:t xml:space="preserve"> </w:t>
      </w:r>
      <w:r w:rsidRPr="00F743D8">
        <w:tab/>
        <w:t xml:space="preserve">Budgeted expenses and performance for Outcome </w:t>
      </w:r>
      <w:bookmarkEnd w:id="327"/>
      <w:bookmarkEnd w:id="328"/>
      <w:r>
        <w:t>1</w:t>
      </w:r>
      <w:bookmarkEnd w:id="329"/>
      <w:bookmarkEnd w:id="330"/>
      <w:bookmarkEnd w:id="331"/>
      <w:bookmarkEnd w:id="332"/>
      <w:bookmarkEnd w:id="333"/>
      <w:bookmarkEnd w:id="334"/>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ED7D37" w:rsidRPr="005E6F2B" w:rsidTr="00ED7D37">
        <w:tc>
          <w:tcPr>
            <w:tcW w:w="7713" w:type="dxa"/>
            <w:shd w:val="clear" w:color="auto" w:fill="E6E6E6"/>
          </w:tcPr>
          <w:p w:rsidR="00ED7D37" w:rsidRPr="005E6F2B" w:rsidRDefault="00ED7D37" w:rsidP="00ED7D37">
            <w:pPr>
              <w:pStyle w:val="TableColumnHeadingLeft"/>
            </w:pPr>
            <w:r>
              <w:t>Outcome 1</w:t>
            </w:r>
            <w:r w:rsidRPr="005E6F2B">
              <w:t xml:space="preserve">: </w:t>
            </w:r>
            <w:r>
              <w:t>Support participation and productivity through healthy and safe workplaces t</w:t>
            </w:r>
            <w:r w:rsidR="00E26086">
              <w:t xml:space="preserve">hat minimise the impact of harm in workplaces covered by Comcare. </w:t>
            </w:r>
          </w:p>
        </w:tc>
      </w:tr>
    </w:tbl>
    <w:p w:rsidR="00ED7D37" w:rsidRPr="00446612" w:rsidRDefault="00ED7D37" w:rsidP="00EB77C1">
      <w:pPr>
        <w:pStyle w:val="Heading4"/>
        <w:spacing w:before="600"/>
      </w:pPr>
      <w:r>
        <w:t>Budgeted expenses for Outcome 1</w:t>
      </w:r>
    </w:p>
    <w:p w:rsidR="00ED7D37" w:rsidRDefault="00ED7D37" w:rsidP="00ED7D37">
      <w:r w:rsidRPr="00950281">
        <w:t>This table shows how much the entity intends to spend (on an accrual basis) on achieving the outcome, broken down by program, as well as by Administered an</w:t>
      </w:r>
      <w:r>
        <w:t>d Departmental funding sources.</w:t>
      </w:r>
    </w:p>
    <w:p w:rsidR="00ED7D37" w:rsidRPr="00ED7D37" w:rsidRDefault="00ED7D37" w:rsidP="00ED7D37">
      <w:pPr>
        <w:pStyle w:val="TableHeading"/>
        <w:rPr>
          <w:lang w:val="en-AU"/>
        </w:rPr>
      </w:pPr>
      <w:r>
        <w:t>Table 2.</w:t>
      </w:r>
      <w:r>
        <w:rPr>
          <w:lang w:val="en-AU"/>
        </w:rPr>
        <w:t>1</w:t>
      </w:r>
      <w:r>
        <w:t xml:space="preserve">.1: Budgeted expenses for Outcome </w:t>
      </w:r>
      <w:r>
        <w:rPr>
          <w:lang w:val="en-AU"/>
        </w:rPr>
        <w:t>1</w:t>
      </w:r>
    </w:p>
    <w:tbl>
      <w:tblPr>
        <w:tblW w:w="7736" w:type="dxa"/>
        <w:tblInd w:w="93" w:type="dxa"/>
        <w:tblLook w:val="04A0" w:firstRow="1" w:lastRow="0" w:firstColumn="1" w:lastColumn="0" w:noHBand="0" w:noVBand="1"/>
      </w:tblPr>
      <w:tblGrid>
        <w:gridCol w:w="3356"/>
        <w:gridCol w:w="928"/>
        <w:gridCol w:w="863"/>
        <w:gridCol w:w="863"/>
        <w:gridCol w:w="863"/>
        <w:gridCol w:w="863"/>
      </w:tblGrid>
      <w:tr w:rsidR="00ED7D37" w:rsidRPr="00ED7D37" w:rsidTr="00ED7D37">
        <w:trPr>
          <w:trHeight w:val="454"/>
        </w:trPr>
        <w:tc>
          <w:tcPr>
            <w:tcW w:w="7736" w:type="dxa"/>
            <w:gridSpan w:val="6"/>
            <w:tcBorders>
              <w:top w:val="single" w:sz="4" w:space="0" w:color="auto"/>
              <w:left w:val="nil"/>
              <w:bottom w:val="single" w:sz="4" w:space="0" w:color="auto"/>
              <w:right w:val="nil"/>
            </w:tcBorders>
            <w:shd w:val="clear" w:color="auto" w:fill="auto"/>
            <w:vAlign w:val="center"/>
            <w:hideMark/>
          </w:tcPr>
          <w:p w:rsidR="00ED7D37" w:rsidRPr="00ED7D37" w:rsidRDefault="00ED7D37" w:rsidP="00ED7D37">
            <w:pPr>
              <w:spacing w:after="0" w:line="240" w:lineRule="auto"/>
              <w:rPr>
                <w:rFonts w:ascii="Arial" w:hAnsi="Arial" w:cs="Arial"/>
                <w:b/>
                <w:bCs/>
                <w:color w:val="000000"/>
                <w:sz w:val="16"/>
                <w:szCs w:val="16"/>
              </w:rPr>
            </w:pPr>
            <w:r w:rsidRPr="00ED7D37">
              <w:rPr>
                <w:rFonts w:ascii="Arial" w:hAnsi="Arial" w:cs="Arial"/>
                <w:b/>
                <w:bCs/>
                <w:color w:val="000000"/>
                <w:sz w:val="16"/>
                <w:szCs w:val="16"/>
              </w:rPr>
              <w:t>Outcome 1: Support participation and productivity through healthy and safe workplaces that minimise the impact of harm in workplaces covered by Comcare.</w:t>
            </w:r>
          </w:p>
        </w:tc>
      </w:tr>
      <w:tr w:rsidR="00ED7D37" w:rsidRPr="00ED7D37" w:rsidTr="00ED7D37">
        <w:trPr>
          <w:trHeight w:val="794"/>
        </w:trPr>
        <w:tc>
          <w:tcPr>
            <w:tcW w:w="3356" w:type="dxa"/>
            <w:tcBorders>
              <w:top w:val="single" w:sz="4" w:space="0" w:color="auto"/>
              <w:left w:val="nil"/>
              <w:bottom w:val="nil"/>
              <w:right w:val="nil"/>
            </w:tcBorders>
            <w:shd w:val="clear" w:color="auto" w:fill="auto"/>
            <w:vAlign w:val="center"/>
            <w:hideMark/>
          </w:tcPr>
          <w:p w:rsidR="00ED7D37" w:rsidRPr="00ED7D37" w:rsidRDefault="00ED7D37" w:rsidP="00ED7D37">
            <w:pPr>
              <w:spacing w:after="0" w:line="240" w:lineRule="auto"/>
              <w:rPr>
                <w:rFonts w:ascii="Arial" w:hAnsi="Arial" w:cs="Arial"/>
                <w:b/>
                <w:bCs/>
                <w:color w:val="000000"/>
                <w:sz w:val="16"/>
                <w:szCs w:val="16"/>
              </w:rPr>
            </w:pPr>
            <w:r w:rsidRPr="00ED7D37">
              <w:rPr>
                <w:rFonts w:ascii="Arial" w:hAnsi="Arial" w:cs="Arial"/>
                <w:b/>
                <w:bCs/>
                <w:color w:val="000000"/>
                <w:sz w:val="16"/>
                <w:szCs w:val="16"/>
              </w:rPr>
              <w:t> </w:t>
            </w:r>
          </w:p>
        </w:tc>
        <w:tc>
          <w:tcPr>
            <w:tcW w:w="928" w:type="dxa"/>
            <w:tcBorders>
              <w:top w:val="nil"/>
              <w:left w:val="nil"/>
              <w:bottom w:val="single" w:sz="4" w:space="0" w:color="auto"/>
              <w:right w:val="nil"/>
            </w:tcBorders>
            <w:shd w:val="clear" w:color="auto" w:fill="auto"/>
            <w:vAlign w:val="center"/>
            <w:hideMark/>
          </w:tcPr>
          <w:p w:rsidR="00ED7D37" w:rsidRPr="00ED7D37" w:rsidRDefault="00ED7D37" w:rsidP="00ED7D37">
            <w:pPr>
              <w:spacing w:after="0" w:line="240" w:lineRule="auto"/>
              <w:jc w:val="right"/>
              <w:rPr>
                <w:rFonts w:ascii="Arial" w:hAnsi="Arial" w:cs="Arial"/>
                <w:sz w:val="16"/>
                <w:szCs w:val="16"/>
              </w:rPr>
            </w:pPr>
            <w:r>
              <w:rPr>
                <w:rFonts w:ascii="Arial" w:hAnsi="Arial" w:cs="Arial"/>
                <w:sz w:val="16"/>
                <w:szCs w:val="16"/>
              </w:rPr>
              <w:t>2017–</w:t>
            </w:r>
            <w:r w:rsidRPr="00ED7D37">
              <w:rPr>
                <w:rFonts w:ascii="Arial" w:hAnsi="Arial" w:cs="Arial"/>
                <w:sz w:val="16"/>
                <w:szCs w:val="16"/>
              </w:rPr>
              <w:t>18 Estimated actual</w:t>
            </w:r>
            <w:r w:rsidRPr="00ED7D37">
              <w:rPr>
                <w:rFonts w:ascii="Arial" w:hAnsi="Arial" w:cs="Arial"/>
                <w:sz w:val="16"/>
                <w:szCs w:val="16"/>
              </w:rPr>
              <w:br/>
              <w:t>$'000</w:t>
            </w:r>
          </w:p>
        </w:tc>
        <w:tc>
          <w:tcPr>
            <w:tcW w:w="863" w:type="dxa"/>
            <w:tcBorders>
              <w:top w:val="nil"/>
              <w:left w:val="nil"/>
              <w:bottom w:val="single" w:sz="4" w:space="0" w:color="auto"/>
              <w:right w:val="nil"/>
            </w:tcBorders>
            <w:shd w:val="clear" w:color="000000" w:fill="E6E6E6"/>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2018</w:t>
            </w:r>
            <w:r>
              <w:rPr>
                <w:rFonts w:ascii="Arial" w:hAnsi="Arial" w:cs="Arial"/>
                <w:sz w:val="16"/>
                <w:szCs w:val="16"/>
              </w:rPr>
              <w:t>–</w:t>
            </w:r>
            <w:r w:rsidRPr="00ED7D37">
              <w:rPr>
                <w:rFonts w:ascii="Arial" w:hAnsi="Arial" w:cs="Arial"/>
                <w:sz w:val="16"/>
                <w:szCs w:val="16"/>
              </w:rPr>
              <w:t>19</w:t>
            </w:r>
            <w:r w:rsidRPr="00ED7D37">
              <w:rPr>
                <w:rFonts w:ascii="Arial" w:hAnsi="Arial" w:cs="Arial"/>
                <w:sz w:val="16"/>
                <w:szCs w:val="16"/>
              </w:rPr>
              <w:br/>
              <w:t>Budget</w:t>
            </w:r>
            <w:r w:rsidRPr="00ED7D37">
              <w:rPr>
                <w:rFonts w:ascii="Arial" w:hAnsi="Arial" w:cs="Arial"/>
                <w:sz w:val="16"/>
                <w:szCs w:val="16"/>
              </w:rPr>
              <w:br/>
            </w:r>
            <w:r w:rsidRPr="00ED7D37">
              <w:rPr>
                <w:rFonts w:ascii="Arial" w:hAnsi="Arial" w:cs="Arial"/>
                <w:sz w:val="16"/>
                <w:szCs w:val="16"/>
              </w:rPr>
              <w:br/>
              <w:t>$'000</w:t>
            </w:r>
          </w:p>
        </w:tc>
        <w:tc>
          <w:tcPr>
            <w:tcW w:w="863" w:type="dxa"/>
            <w:tcBorders>
              <w:top w:val="nil"/>
              <w:left w:val="nil"/>
              <w:bottom w:val="single" w:sz="4" w:space="0" w:color="auto"/>
              <w:right w:val="nil"/>
            </w:tcBorders>
            <w:shd w:val="clear" w:color="auto" w:fill="auto"/>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2019</w:t>
            </w:r>
            <w:r>
              <w:rPr>
                <w:rFonts w:ascii="Arial" w:hAnsi="Arial" w:cs="Arial"/>
                <w:sz w:val="16"/>
                <w:szCs w:val="16"/>
              </w:rPr>
              <w:t>–</w:t>
            </w:r>
            <w:r w:rsidRPr="00ED7D37">
              <w:rPr>
                <w:rFonts w:ascii="Arial" w:hAnsi="Arial" w:cs="Arial"/>
                <w:sz w:val="16"/>
                <w:szCs w:val="16"/>
              </w:rPr>
              <w:t>20 Forward estimate</w:t>
            </w:r>
            <w:r w:rsidRPr="00ED7D37">
              <w:rPr>
                <w:rFonts w:ascii="Arial" w:hAnsi="Arial" w:cs="Arial"/>
                <w:sz w:val="16"/>
                <w:szCs w:val="16"/>
              </w:rPr>
              <w:br/>
              <w:t>$'000</w:t>
            </w:r>
          </w:p>
        </w:tc>
        <w:tc>
          <w:tcPr>
            <w:tcW w:w="863" w:type="dxa"/>
            <w:tcBorders>
              <w:top w:val="nil"/>
              <w:left w:val="nil"/>
              <w:bottom w:val="single" w:sz="4" w:space="0" w:color="auto"/>
              <w:right w:val="nil"/>
            </w:tcBorders>
            <w:shd w:val="clear" w:color="auto" w:fill="auto"/>
            <w:vAlign w:val="center"/>
            <w:hideMark/>
          </w:tcPr>
          <w:p w:rsidR="00ED7D37" w:rsidRPr="00ED7D37" w:rsidRDefault="00ED7D37" w:rsidP="00ED7D37">
            <w:pPr>
              <w:spacing w:after="0" w:line="240" w:lineRule="auto"/>
              <w:jc w:val="right"/>
              <w:rPr>
                <w:rFonts w:ascii="Arial" w:hAnsi="Arial" w:cs="Arial"/>
                <w:sz w:val="16"/>
                <w:szCs w:val="16"/>
              </w:rPr>
            </w:pPr>
            <w:r>
              <w:rPr>
                <w:rFonts w:ascii="Arial" w:hAnsi="Arial" w:cs="Arial"/>
                <w:sz w:val="16"/>
                <w:szCs w:val="16"/>
              </w:rPr>
              <w:t>2020–</w:t>
            </w:r>
            <w:r w:rsidRPr="00ED7D37">
              <w:rPr>
                <w:rFonts w:ascii="Arial" w:hAnsi="Arial" w:cs="Arial"/>
                <w:sz w:val="16"/>
                <w:szCs w:val="16"/>
              </w:rPr>
              <w:t>21 Forward estimate</w:t>
            </w:r>
            <w:r w:rsidRPr="00ED7D37">
              <w:rPr>
                <w:rFonts w:ascii="Arial" w:hAnsi="Arial" w:cs="Arial"/>
                <w:sz w:val="16"/>
                <w:szCs w:val="16"/>
              </w:rPr>
              <w:br/>
              <w:t>$'000</w:t>
            </w:r>
          </w:p>
        </w:tc>
        <w:tc>
          <w:tcPr>
            <w:tcW w:w="863" w:type="dxa"/>
            <w:tcBorders>
              <w:top w:val="nil"/>
              <w:left w:val="nil"/>
              <w:bottom w:val="single" w:sz="4" w:space="0" w:color="auto"/>
              <w:right w:val="nil"/>
            </w:tcBorders>
            <w:shd w:val="clear" w:color="auto" w:fill="auto"/>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2021</w:t>
            </w:r>
            <w:r>
              <w:rPr>
                <w:rFonts w:ascii="Arial" w:hAnsi="Arial" w:cs="Arial"/>
                <w:sz w:val="16"/>
                <w:szCs w:val="16"/>
              </w:rPr>
              <w:t>–</w:t>
            </w:r>
            <w:r w:rsidRPr="00ED7D37">
              <w:rPr>
                <w:rFonts w:ascii="Arial" w:hAnsi="Arial" w:cs="Arial"/>
                <w:sz w:val="16"/>
                <w:szCs w:val="16"/>
              </w:rPr>
              <w:t>22</w:t>
            </w:r>
            <w:r w:rsidRPr="00ED7D37">
              <w:rPr>
                <w:rFonts w:ascii="Arial" w:hAnsi="Arial" w:cs="Arial"/>
                <w:sz w:val="16"/>
                <w:szCs w:val="16"/>
              </w:rPr>
              <w:br/>
              <w:t>Forward estimate</w:t>
            </w:r>
            <w:r w:rsidRPr="00ED7D37">
              <w:rPr>
                <w:rFonts w:ascii="Arial" w:hAnsi="Arial" w:cs="Arial"/>
                <w:sz w:val="16"/>
                <w:szCs w:val="16"/>
              </w:rPr>
              <w:br/>
              <w:t>$'000</w:t>
            </w:r>
          </w:p>
        </w:tc>
      </w:tr>
      <w:tr w:rsidR="00ED7D37" w:rsidRPr="00ED7D37" w:rsidTr="00985AAE">
        <w:trPr>
          <w:trHeight w:val="283"/>
        </w:trPr>
        <w:tc>
          <w:tcPr>
            <w:tcW w:w="7736" w:type="dxa"/>
            <w:gridSpan w:val="6"/>
            <w:tcBorders>
              <w:top w:val="single" w:sz="4" w:space="0" w:color="auto"/>
              <w:left w:val="nil"/>
              <w:bottom w:val="single" w:sz="4" w:space="0" w:color="auto"/>
              <w:right w:val="nil"/>
            </w:tcBorders>
            <w:shd w:val="clear" w:color="000000" w:fill="E6E6E6"/>
            <w:vAlign w:val="center"/>
            <w:hideMark/>
          </w:tcPr>
          <w:p w:rsidR="00ED7D37" w:rsidRPr="00ED7D37" w:rsidRDefault="00ED7D37" w:rsidP="00ED7D37">
            <w:pPr>
              <w:spacing w:after="0" w:line="240" w:lineRule="auto"/>
              <w:rPr>
                <w:rFonts w:ascii="Arial" w:hAnsi="Arial" w:cs="Arial"/>
                <w:b/>
                <w:bCs/>
                <w:sz w:val="16"/>
                <w:szCs w:val="16"/>
              </w:rPr>
            </w:pPr>
            <w:r w:rsidRPr="00ED7D37">
              <w:rPr>
                <w:rFonts w:ascii="Arial" w:hAnsi="Arial" w:cs="Arial"/>
                <w:b/>
                <w:bCs/>
                <w:sz w:val="16"/>
                <w:szCs w:val="16"/>
              </w:rPr>
              <w:t>Program 1.1: Comcare Departmental</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r w:rsidRPr="00ED7D37">
              <w:rPr>
                <w:rFonts w:ascii="Arial" w:hAnsi="Arial" w:cs="Arial"/>
                <w:sz w:val="16"/>
                <w:szCs w:val="16"/>
              </w:rPr>
              <w:t>Revenue from Government</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p>
        </w:tc>
      </w:tr>
      <w:tr w:rsidR="00ED7D37" w:rsidRPr="00ED7D37" w:rsidTr="00ED7D37">
        <w:trPr>
          <w:trHeight w:val="450"/>
        </w:trPr>
        <w:tc>
          <w:tcPr>
            <w:tcW w:w="3356" w:type="dxa"/>
            <w:tcBorders>
              <w:top w:val="nil"/>
              <w:left w:val="nil"/>
              <w:bottom w:val="nil"/>
              <w:right w:val="nil"/>
            </w:tcBorders>
            <w:shd w:val="clear" w:color="auto" w:fill="auto"/>
            <w:vAlign w:val="center"/>
            <w:hideMark/>
          </w:tcPr>
          <w:p w:rsidR="00ED7D37" w:rsidRPr="00ED7D37" w:rsidRDefault="00ED7D37" w:rsidP="00342243">
            <w:pPr>
              <w:spacing w:after="0" w:line="240" w:lineRule="auto"/>
              <w:ind w:leftChars="79" w:left="331" w:hangingChars="108" w:hanging="173"/>
              <w:rPr>
                <w:rFonts w:ascii="Arial" w:hAnsi="Arial" w:cs="Arial"/>
                <w:sz w:val="16"/>
                <w:szCs w:val="16"/>
              </w:rPr>
            </w:pPr>
            <w:r w:rsidRPr="00ED7D37">
              <w:rPr>
                <w:rFonts w:ascii="Arial" w:hAnsi="Arial" w:cs="Arial"/>
                <w:sz w:val="16"/>
                <w:szCs w:val="16"/>
              </w:rPr>
              <w:t>Ordinary annual services (Appropriation Bill No. 1)</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6,020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5,989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5,995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6,034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6,069 </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Grants received from portfolio department</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55,372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60,536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57,161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56,857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56,278 </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Revenues from industry sources</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15,601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15,954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16,213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16,462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17,015 </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Revenues from independent sources</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336,466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330,978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341,138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353,748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362,792 </w:t>
            </w:r>
          </w:p>
        </w:tc>
      </w:tr>
      <w:tr w:rsidR="00ED7D37" w:rsidRPr="00ED7D37" w:rsidTr="00342243">
        <w:trPr>
          <w:trHeight w:val="397"/>
        </w:trPr>
        <w:tc>
          <w:tcPr>
            <w:tcW w:w="3356" w:type="dxa"/>
            <w:tcBorders>
              <w:top w:val="nil"/>
              <w:left w:val="nil"/>
              <w:bottom w:val="nil"/>
              <w:right w:val="nil"/>
            </w:tcBorders>
            <w:shd w:val="clear" w:color="auto" w:fill="auto"/>
            <w:noWrap/>
            <w:vAlign w:val="center"/>
            <w:hideMark/>
          </w:tcPr>
          <w:p w:rsidR="00ED7D37" w:rsidRPr="00ED7D37" w:rsidRDefault="00ED7D37" w:rsidP="00342243">
            <w:pPr>
              <w:spacing w:after="0" w:line="240" w:lineRule="auto"/>
              <w:ind w:leftChars="80" w:left="333" w:hangingChars="108" w:hanging="173"/>
              <w:rPr>
                <w:rFonts w:ascii="Arial" w:hAnsi="Arial" w:cs="Arial"/>
                <w:sz w:val="16"/>
                <w:szCs w:val="16"/>
              </w:rPr>
            </w:pPr>
            <w:r w:rsidRPr="00ED7D37">
              <w:rPr>
                <w:rFonts w:ascii="Arial" w:hAnsi="Arial" w:cs="Arial"/>
                <w:sz w:val="16"/>
                <w:szCs w:val="16"/>
              </w:rPr>
              <w:t>Revenues from other independent sources</w:t>
            </w:r>
            <w:r w:rsidR="00342243">
              <w:rPr>
                <w:rFonts w:ascii="Arial" w:hAnsi="Arial" w:cs="Arial"/>
                <w:sz w:val="16"/>
                <w:szCs w:val="16"/>
              </w:rPr>
              <w:t xml:space="preserve"> (a)</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(156,948)</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(71,780)</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(37,533)</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(37,197)</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(33,374)</w:t>
            </w:r>
          </w:p>
        </w:tc>
      </w:tr>
      <w:tr w:rsidR="00ED7D37" w:rsidRPr="00ED7D37" w:rsidTr="00342243">
        <w:trPr>
          <w:trHeight w:val="227"/>
        </w:trPr>
        <w:tc>
          <w:tcPr>
            <w:tcW w:w="3356" w:type="dxa"/>
            <w:tcBorders>
              <w:top w:val="nil"/>
              <w:left w:val="nil"/>
              <w:bottom w:val="nil"/>
              <w:right w:val="nil"/>
            </w:tcBorders>
            <w:shd w:val="clear" w:color="auto" w:fill="auto"/>
            <w:vAlign w:val="center"/>
            <w:hideMark/>
          </w:tcPr>
          <w:p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Expenses not requiring revenue</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b/>
                <w:bCs/>
                <w:sz w:val="16"/>
                <w:szCs w:val="16"/>
              </w:rPr>
            </w:pPr>
            <w:r w:rsidRPr="00ED7D37">
              <w:rPr>
                <w:rFonts w:ascii="Arial" w:hAnsi="Arial" w:cs="Arial"/>
                <w:b/>
                <w:bCs/>
                <w:sz w:val="16"/>
                <w:szCs w:val="16"/>
              </w:rPr>
              <w:t>Total expenses for Program 1.1</w:t>
            </w:r>
          </w:p>
        </w:tc>
        <w:tc>
          <w:tcPr>
            <w:tcW w:w="928" w:type="dxa"/>
            <w:tcBorders>
              <w:top w:val="single" w:sz="4" w:space="0" w:color="auto"/>
              <w:left w:val="nil"/>
              <w:bottom w:val="single" w:sz="4" w:space="0" w:color="auto"/>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b/>
                <w:bCs/>
                <w:color w:val="000000"/>
                <w:sz w:val="16"/>
                <w:szCs w:val="16"/>
              </w:rPr>
            </w:pPr>
            <w:r w:rsidRPr="00ED7D37">
              <w:rPr>
                <w:rFonts w:ascii="Arial" w:hAnsi="Arial" w:cs="Arial"/>
                <w:b/>
                <w:bCs/>
                <w:color w:val="000000"/>
                <w:sz w:val="16"/>
                <w:szCs w:val="16"/>
              </w:rPr>
              <w:t xml:space="preserve">256,511 </w:t>
            </w:r>
          </w:p>
        </w:tc>
        <w:tc>
          <w:tcPr>
            <w:tcW w:w="863" w:type="dxa"/>
            <w:tcBorders>
              <w:top w:val="single" w:sz="4" w:space="0" w:color="auto"/>
              <w:left w:val="nil"/>
              <w:bottom w:val="single" w:sz="4" w:space="0" w:color="auto"/>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b/>
                <w:bCs/>
                <w:color w:val="000000"/>
                <w:sz w:val="16"/>
                <w:szCs w:val="16"/>
              </w:rPr>
            </w:pPr>
            <w:r w:rsidRPr="00ED7D37">
              <w:rPr>
                <w:rFonts w:ascii="Arial" w:hAnsi="Arial" w:cs="Arial"/>
                <w:b/>
                <w:bCs/>
                <w:color w:val="000000"/>
                <w:sz w:val="16"/>
                <w:szCs w:val="16"/>
              </w:rPr>
              <w:t xml:space="preserve">341,677 </w:t>
            </w:r>
          </w:p>
        </w:tc>
        <w:tc>
          <w:tcPr>
            <w:tcW w:w="863" w:type="dxa"/>
            <w:tcBorders>
              <w:top w:val="single" w:sz="4" w:space="0" w:color="auto"/>
              <w:left w:val="nil"/>
              <w:bottom w:val="single" w:sz="4" w:space="0" w:color="auto"/>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382,974 </w:t>
            </w:r>
          </w:p>
        </w:tc>
        <w:tc>
          <w:tcPr>
            <w:tcW w:w="863" w:type="dxa"/>
            <w:tcBorders>
              <w:top w:val="single" w:sz="4" w:space="0" w:color="auto"/>
              <w:left w:val="nil"/>
              <w:bottom w:val="single" w:sz="4" w:space="0" w:color="auto"/>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395,904 </w:t>
            </w:r>
          </w:p>
        </w:tc>
        <w:tc>
          <w:tcPr>
            <w:tcW w:w="863" w:type="dxa"/>
            <w:tcBorders>
              <w:top w:val="single" w:sz="4" w:space="0" w:color="auto"/>
              <w:left w:val="nil"/>
              <w:bottom w:val="single" w:sz="4" w:space="0" w:color="auto"/>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408,780 </w:t>
            </w:r>
          </w:p>
        </w:tc>
      </w:tr>
      <w:tr w:rsidR="00ED7D37" w:rsidRPr="00ED7D37" w:rsidTr="00985AAE">
        <w:trPr>
          <w:trHeight w:val="283"/>
        </w:trPr>
        <w:tc>
          <w:tcPr>
            <w:tcW w:w="7736" w:type="dxa"/>
            <w:gridSpan w:val="6"/>
            <w:tcBorders>
              <w:top w:val="single" w:sz="4" w:space="0" w:color="auto"/>
              <w:left w:val="nil"/>
              <w:bottom w:val="single" w:sz="4" w:space="0" w:color="auto"/>
              <w:right w:val="nil"/>
            </w:tcBorders>
            <w:shd w:val="clear" w:color="000000" w:fill="E6E6E6"/>
            <w:vAlign w:val="center"/>
            <w:hideMark/>
          </w:tcPr>
          <w:p w:rsidR="00ED7D37" w:rsidRPr="00ED7D37" w:rsidRDefault="00ED7D37" w:rsidP="00ED7D37">
            <w:pPr>
              <w:spacing w:after="0" w:line="240" w:lineRule="auto"/>
              <w:rPr>
                <w:rFonts w:ascii="Arial" w:hAnsi="Arial" w:cs="Arial"/>
                <w:b/>
                <w:bCs/>
                <w:sz w:val="16"/>
                <w:szCs w:val="16"/>
              </w:rPr>
            </w:pPr>
            <w:r w:rsidRPr="00ED7D37">
              <w:rPr>
                <w:rFonts w:ascii="Arial" w:hAnsi="Arial" w:cs="Arial"/>
                <w:b/>
                <w:bCs/>
                <w:sz w:val="16"/>
                <w:szCs w:val="16"/>
              </w:rPr>
              <w:t>Outcome 1 totals by resource type</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r w:rsidRPr="00ED7D37">
              <w:rPr>
                <w:rFonts w:ascii="Arial" w:hAnsi="Arial" w:cs="Arial"/>
                <w:sz w:val="16"/>
                <w:szCs w:val="16"/>
              </w:rPr>
              <w:t>Revenue from Government</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p>
        </w:tc>
      </w:tr>
      <w:tr w:rsidR="00ED7D37" w:rsidRPr="00ED7D37" w:rsidTr="00342243">
        <w:trPr>
          <w:trHeight w:val="397"/>
        </w:trPr>
        <w:tc>
          <w:tcPr>
            <w:tcW w:w="3356" w:type="dxa"/>
            <w:tcBorders>
              <w:top w:val="nil"/>
              <w:left w:val="nil"/>
              <w:bottom w:val="nil"/>
              <w:right w:val="nil"/>
            </w:tcBorders>
            <w:shd w:val="clear" w:color="auto" w:fill="auto"/>
            <w:vAlign w:val="center"/>
            <w:hideMark/>
          </w:tcPr>
          <w:p w:rsidR="00ED7D37" w:rsidRPr="00ED7D37" w:rsidRDefault="00ED7D37" w:rsidP="00342243">
            <w:pPr>
              <w:spacing w:after="0" w:line="240" w:lineRule="auto"/>
              <w:ind w:leftChars="80" w:left="333" w:hangingChars="108" w:hanging="173"/>
              <w:rPr>
                <w:rFonts w:ascii="Arial" w:hAnsi="Arial" w:cs="Arial"/>
                <w:sz w:val="16"/>
                <w:szCs w:val="16"/>
              </w:rPr>
            </w:pPr>
            <w:r w:rsidRPr="00ED7D37">
              <w:rPr>
                <w:rFonts w:ascii="Arial" w:hAnsi="Arial" w:cs="Arial"/>
                <w:sz w:val="16"/>
                <w:szCs w:val="16"/>
              </w:rPr>
              <w:t>Ordinary annual services (Appropriation Bill No. 1)</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6,020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5,989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5,995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6,034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6,069 </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Grants received from portfolio department</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55,372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60,536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57,161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56,857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56,278 </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Revenues from industry sources</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15,601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15,954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16,213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16,462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17,015 </w:t>
            </w:r>
          </w:p>
        </w:tc>
      </w:tr>
      <w:tr w:rsidR="00ED7D37" w:rsidRPr="00ED7D37" w:rsidTr="00ED7D37">
        <w:trPr>
          <w:trHeight w:val="225"/>
        </w:trPr>
        <w:tc>
          <w:tcPr>
            <w:tcW w:w="3356"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Revenues from independent sources</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336,466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330,978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341,138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353,748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362,792 </w:t>
            </w:r>
          </w:p>
        </w:tc>
      </w:tr>
      <w:tr w:rsidR="00ED7D37" w:rsidRPr="00ED7D37" w:rsidTr="00342243">
        <w:trPr>
          <w:trHeight w:val="397"/>
        </w:trPr>
        <w:tc>
          <w:tcPr>
            <w:tcW w:w="3356" w:type="dxa"/>
            <w:tcBorders>
              <w:top w:val="nil"/>
              <w:left w:val="nil"/>
              <w:bottom w:val="nil"/>
              <w:right w:val="nil"/>
            </w:tcBorders>
            <w:shd w:val="clear" w:color="auto" w:fill="auto"/>
            <w:noWrap/>
            <w:vAlign w:val="center"/>
            <w:hideMark/>
          </w:tcPr>
          <w:p w:rsidR="00ED7D37" w:rsidRPr="00ED7D37" w:rsidRDefault="00ED7D37" w:rsidP="00342243">
            <w:pPr>
              <w:spacing w:after="0" w:line="240" w:lineRule="auto"/>
              <w:ind w:leftChars="80" w:left="333" w:hangingChars="108" w:hanging="173"/>
              <w:rPr>
                <w:rFonts w:ascii="Arial" w:hAnsi="Arial" w:cs="Arial"/>
                <w:sz w:val="16"/>
                <w:szCs w:val="16"/>
              </w:rPr>
            </w:pPr>
            <w:r w:rsidRPr="00ED7D37">
              <w:rPr>
                <w:rFonts w:ascii="Arial" w:hAnsi="Arial" w:cs="Arial"/>
                <w:sz w:val="16"/>
                <w:szCs w:val="16"/>
              </w:rPr>
              <w:t>Revenues from other independent source</w:t>
            </w:r>
            <w:r w:rsidR="00342243">
              <w:rPr>
                <w:rFonts w:ascii="Arial" w:hAnsi="Arial" w:cs="Arial"/>
                <w:sz w:val="16"/>
                <w:szCs w:val="16"/>
              </w:rPr>
              <w:t>s (a)</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(156,948)</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(71,780)</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(37,533)</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(37,197)</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(33,374)</w:t>
            </w:r>
          </w:p>
        </w:tc>
      </w:tr>
      <w:tr w:rsidR="00ED7D37" w:rsidRPr="00ED7D37" w:rsidTr="00ED7D37">
        <w:trPr>
          <w:trHeight w:val="225"/>
        </w:trPr>
        <w:tc>
          <w:tcPr>
            <w:tcW w:w="3356" w:type="dxa"/>
            <w:tcBorders>
              <w:top w:val="nil"/>
              <w:left w:val="nil"/>
              <w:bottom w:val="nil"/>
              <w:right w:val="nil"/>
            </w:tcBorders>
            <w:shd w:val="clear" w:color="auto" w:fill="auto"/>
            <w:vAlign w:val="center"/>
            <w:hideMark/>
          </w:tcPr>
          <w:p w:rsidR="00ED7D37" w:rsidRPr="00ED7D37" w:rsidRDefault="00ED7D37" w:rsidP="00ED7D37">
            <w:pPr>
              <w:spacing w:after="0" w:line="240" w:lineRule="auto"/>
              <w:rPr>
                <w:rFonts w:ascii="Arial" w:hAnsi="Arial" w:cs="Arial"/>
                <w:sz w:val="16"/>
                <w:szCs w:val="16"/>
              </w:rPr>
            </w:pPr>
            <w:r w:rsidRPr="00ED7D37">
              <w:rPr>
                <w:rFonts w:ascii="Arial" w:hAnsi="Arial" w:cs="Arial"/>
                <w:sz w:val="16"/>
                <w:szCs w:val="16"/>
              </w:rPr>
              <w:t>Expenses not requiring revenue</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 </w:t>
            </w:r>
          </w:p>
        </w:tc>
        <w:tc>
          <w:tcPr>
            <w:tcW w:w="863" w:type="dxa"/>
            <w:tcBorders>
              <w:top w:val="nil"/>
              <w:left w:val="nil"/>
              <w:bottom w:val="nil"/>
              <w:right w:val="nil"/>
            </w:tcBorders>
            <w:shd w:val="clear" w:color="000000" w:fill="E6E6E6"/>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rsidR="00ED7D37" w:rsidRPr="00ED7D37" w:rsidRDefault="00026EE3" w:rsidP="00ED7D37">
            <w:pPr>
              <w:spacing w:after="0" w:line="240" w:lineRule="auto"/>
              <w:jc w:val="right"/>
              <w:rPr>
                <w:rFonts w:ascii="Arial" w:hAnsi="Arial" w:cs="Arial"/>
                <w:sz w:val="16"/>
                <w:szCs w:val="16"/>
              </w:rPr>
            </w:pPr>
            <w:r>
              <w:rPr>
                <w:rFonts w:ascii="Arial" w:hAnsi="Arial" w:cs="Arial"/>
                <w:sz w:val="16"/>
                <w:szCs w:val="16"/>
              </w:rPr>
              <w:t>-</w:t>
            </w:r>
          </w:p>
        </w:tc>
      </w:tr>
      <w:tr w:rsidR="00ED7D37" w:rsidRPr="00ED7D37" w:rsidTr="00ED7D37">
        <w:trPr>
          <w:trHeight w:val="225"/>
        </w:trPr>
        <w:tc>
          <w:tcPr>
            <w:tcW w:w="3356" w:type="dxa"/>
            <w:tcBorders>
              <w:top w:val="nil"/>
              <w:left w:val="nil"/>
              <w:bottom w:val="nil"/>
              <w:right w:val="nil"/>
            </w:tcBorders>
            <w:shd w:val="clear" w:color="auto" w:fill="auto"/>
            <w:noWrap/>
            <w:vAlign w:val="bottom"/>
            <w:hideMark/>
          </w:tcPr>
          <w:p w:rsidR="00ED7D37" w:rsidRPr="00ED7D37" w:rsidRDefault="00ED7D37" w:rsidP="00ED7D37">
            <w:pPr>
              <w:spacing w:after="0" w:line="240" w:lineRule="auto"/>
              <w:rPr>
                <w:rFonts w:ascii="Arial" w:hAnsi="Arial" w:cs="Arial"/>
                <w:b/>
                <w:bCs/>
                <w:sz w:val="16"/>
                <w:szCs w:val="16"/>
              </w:rPr>
            </w:pPr>
            <w:r w:rsidRPr="00ED7D37">
              <w:rPr>
                <w:rFonts w:ascii="Arial" w:hAnsi="Arial" w:cs="Arial"/>
                <w:b/>
                <w:bCs/>
                <w:sz w:val="16"/>
                <w:szCs w:val="16"/>
              </w:rPr>
              <w:t>Total expenses for Outcome 1</w:t>
            </w:r>
          </w:p>
        </w:tc>
        <w:tc>
          <w:tcPr>
            <w:tcW w:w="928" w:type="dxa"/>
            <w:tcBorders>
              <w:top w:val="single" w:sz="4" w:space="0" w:color="auto"/>
              <w:left w:val="nil"/>
              <w:bottom w:val="single" w:sz="4" w:space="0" w:color="auto"/>
              <w:right w:val="nil"/>
            </w:tcBorders>
            <w:shd w:val="clear" w:color="auto" w:fill="auto"/>
            <w:noWrap/>
            <w:vAlign w:val="bottom"/>
            <w:hideMark/>
          </w:tcPr>
          <w:p w:rsidR="00ED7D37" w:rsidRPr="00ED7D37" w:rsidRDefault="00ED7D37" w:rsidP="00ED7D37">
            <w:pPr>
              <w:spacing w:after="0" w:line="240" w:lineRule="auto"/>
              <w:jc w:val="right"/>
              <w:rPr>
                <w:rFonts w:ascii="Arial" w:hAnsi="Arial" w:cs="Arial"/>
                <w:b/>
                <w:bCs/>
                <w:color w:val="000000"/>
                <w:sz w:val="16"/>
                <w:szCs w:val="16"/>
              </w:rPr>
            </w:pPr>
            <w:r w:rsidRPr="00ED7D37">
              <w:rPr>
                <w:rFonts w:ascii="Arial" w:hAnsi="Arial" w:cs="Arial"/>
                <w:b/>
                <w:bCs/>
                <w:color w:val="000000"/>
                <w:sz w:val="16"/>
                <w:szCs w:val="16"/>
              </w:rPr>
              <w:t xml:space="preserve">256,511 </w:t>
            </w:r>
          </w:p>
        </w:tc>
        <w:tc>
          <w:tcPr>
            <w:tcW w:w="863" w:type="dxa"/>
            <w:tcBorders>
              <w:top w:val="single" w:sz="4" w:space="0" w:color="auto"/>
              <w:left w:val="nil"/>
              <w:bottom w:val="single" w:sz="4" w:space="0" w:color="auto"/>
              <w:right w:val="nil"/>
            </w:tcBorders>
            <w:shd w:val="clear" w:color="000000" w:fill="E6E6E6"/>
            <w:noWrap/>
            <w:vAlign w:val="bottom"/>
            <w:hideMark/>
          </w:tcPr>
          <w:p w:rsidR="00ED7D37" w:rsidRPr="00ED7D37" w:rsidRDefault="00ED7D37" w:rsidP="00ED7D37">
            <w:pPr>
              <w:spacing w:after="0" w:line="240" w:lineRule="auto"/>
              <w:jc w:val="right"/>
              <w:rPr>
                <w:rFonts w:ascii="Arial" w:hAnsi="Arial" w:cs="Arial"/>
                <w:b/>
                <w:bCs/>
                <w:color w:val="000000"/>
                <w:sz w:val="16"/>
                <w:szCs w:val="16"/>
              </w:rPr>
            </w:pPr>
            <w:r w:rsidRPr="00ED7D37">
              <w:rPr>
                <w:rFonts w:ascii="Arial" w:hAnsi="Arial" w:cs="Arial"/>
                <w:b/>
                <w:bCs/>
                <w:color w:val="000000"/>
                <w:sz w:val="16"/>
                <w:szCs w:val="16"/>
              </w:rPr>
              <w:t xml:space="preserve">341,677 </w:t>
            </w:r>
          </w:p>
        </w:tc>
        <w:tc>
          <w:tcPr>
            <w:tcW w:w="863" w:type="dxa"/>
            <w:tcBorders>
              <w:top w:val="single" w:sz="4" w:space="0" w:color="auto"/>
              <w:left w:val="nil"/>
              <w:bottom w:val="single" w:sz="4" w:space="0" w:color="auto"/>
              <w:right w:val="nil"/>
            </w:tcBorders>
            <w:shd w:val="clear" w:color="auto" w:fill="auto"/>
            <w:noWrap/>
            <w:vAlign w:val="bottom"/>
            <w:hideMark/>
          </w:tcPr>
          <w:p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382,974 </w:t>
            </w:r>
          </w:p>
        </w:tc>
        <w:tc>
          <w:tcPr>
            <w:tcW w:w="863" w:type="dxa"/>
            <w:tcBorders>
              <w:top w:val="single" w:sz="4" w:space="0" w:color="auto"/>
              <w:left w:val="nil"/>
              <w:bottom w:val="single" w:sz="4" w:space="0" w:color="auto"/>
              <w:right w:val="nil"/>
            </w:tcBorders>
            <w:shd w:val="clear" w:color="auto" w:fill="auto"/>
            <w:noWrap/>
            <w:vAlign w:val="bottom"/>
            <w:hideMark/>
          </w:tcPr>
          <w:p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395,904 </w:t>
            </w:r>
          </w:p>
        </w:tc>
        <w:tc>
          <w:tcPr>
            <w:tcW w:w="863" w:type="dxa"/>
            <w:tcBorders>
              <w:top w:val="single" w:sz="4" w:space="0" w:color="auto"/>
              <w:left w:val="nil"/>
              <w:bottom w:val="single" w:sz="4" w:space="0" w:color="auto"/>
              <w:right w:val="nil"/>
            </w:tcBorders>
            <w:shd w:val="clear" w:color="auto" w:fill="auto"/>
            <w:noWrap/>
            <w:vAlign w:val="bottom"/>
            <w:hideMark/>
          </w:tcPr>
          <w:p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408,780 </w:t>
            </w:r>
          </w:p>
        </w:tc>
      </w:tr>
      <w:tr w:rsidR="00ED7D37" w:rsidRPr="00ED7D37" w:rsidTr="00ED7D37">
        <w:trPr>
          <w:trHeight w:val="225"/>
        </w:trPr>
        <w:tc>
          <w:tcPr>
            <w:tcW w:w="3356" w:type="dxa"/>
            <w:tcBorders>
              <w:top w:val="single" w:sz="4" w:space="0" w:color="000000"/>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color w:val="000000"/>
                <w:sz w:val="16"/>
                <w:szCs w:val="16"/>
              </w:rPr>
            </w:pPr>
            <w:r w:rsidRPr="00ED7D37">
              <w:rPr>
                <w:rFonts w:ascii="Arial" w:hAnsi="Arial" w:cs="Arial"/>
                <w:color w:val="000000"/>
                <w:sz w:val="16"/>
                <w:szCs w:val="16"/>
              </w:rPr>
              <w:t> </w:t>
            </w:r>
          </w:p>
        </w:tc>
        <w:tc>
          <w:tcPr>
            <w:tcW w:w="928"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jc w:val="right"/>
              <w:rPr>
                <w:rFonts w:ascii="Arial" w:hAnsi="Arial" w:cs="Arial"/>
                <w:color w:val="000000"/>
                <w:sz w:val="14"/>
                <w:szCs w:val="14"/>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r>
      <w:tr w:rsidR="00ED7D37" w:rsidRPr="00ED7D37" w:rsidTr="00ED7D37">
        <w:trPr>
          <w:trHeight w:val="225"/>
        </w:trPr>
        <w:tc>
          <w:tcPr>
            <w:tcW w:w="3356" w:type="dxa"/>
            <w:tcBorders>
              <w:top w:val="single" w:sz="4" w:space="0" w:color="auto"/>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r w:rsidRPr="00ED7D37">
              <w:rPr>
                <w:rFonts w:ascii="Arial" w:hAnsi="Arial" w:cs="Arial"/>
                <w:sz w:val="16"/>
                <w:szCs w:val="16"/>
              </w:rPr>
              <w:t> </w:t>
            </w:r>
          </w:p>
        </w:tc>
        <w:tc>
          <w:tcPr>
            <w:tcW w:w="928" w:type="dxa"/>
            <w:tcBorders>
              <w:top w:val="single" w:sz="4" w:space="0" w:color="auto"/>
              <w:left w:val="nil"/>
              <w:bottom w:val="nil"/>
              <w:right w:val="nil"/>
            </w:tcBorders>
            <w:shd w:val="clear" w:color="auto" w:fill="auto"/>
            <w:noWrap/>
            <w:vAlign w:val="center"/>
            <w:hideMark/>
          </w:tcPr>
          <w:p w:rsidR="00ED7D37" w:rsidRPr="00ED7D37" w:rsidRDefault="00342243" w:rsidP="00ED7D37">
            <w:pPr>
              <w:spacing w:after="0" w:line="240" w:lineRule="auto"/>
              <w:jc w:val="right"/>
              <w:rPr>
                <w:rFonts w:ascii="Arial" w:hAnsi="Arial" w:cs="Arial"/>
                <w:sz w:val="16"/>
                <w:szCs w:val="16"/>
              </w:rPr>
            </w:pPr>
            <w:r>
              <w:rPr>
                <w:rFonts w:ascii="Arial" w:hAnsi="Arial" w:cs="Arial"/>
                <w:sz w:val="16"/>
                <w:szCs w:val="16"/>
              </w:rPr>
              <w:t>2017–</w:t>
            </w:r>
            <w:r w:rsidR="00ED7D37" w:rsidRPr="00ED7D37">
              <w:rPr>
                <w:rFonts w:ascii="Arial" w:hAnsi="Arial" w:cs="Arial"/>
                <w:sz w:val="16"/>
                <w:szCs w:val="16"/>
              </w:rPr>
              <w:t>18</w:t>
            </w:r>
          </w:p>
        </w:tc>
        <w:tc>
          <w:tcPr>
            <w:tcW w:w="863" w:type="dxa"/>
            <w:tcBorders>
              <w:top w:val="single" w:sz="4" w:space="0" w:color="000000"/>
              <w:left w:val="nil"/>
              <w:bottom w:val="nil"/>
              <w:right w:val="nil"/>
            </w:tcBorders>
            <w:shd w:val="clear" w:color="000000" w:fill="E6E6E6"/>
            <w:noWrap/>
            <w:vAlign w:val="center"/>
            <w:hideMark/>
          </w:tcPr>
          <w:p w:rsidR="00ED7D37" w:rsidRPr="00ED7D37" w:rsidRDefault="00342243" w:rsidP="00ED7D37">
            <w:pPr>
              <w:spacing w:after="0" w:line="240" w:lineRule="auto"/>
              <w:jc w:val="right"/>
              <w:rPr>
                <w:rFonts w:ascii="Arial" w:hAnsi="Arial" w:cs="Arial"/>
                <w:sz w:val="16"/>
                <w:szCs w:val="16"/>
              </w:rPr>
            </w:pPr>
            <w:r>
              <w:rPr>
                <w:rFonts w:ascii="Arial" w:hAnsi="Arial" w:cs="Arial"/>
                <w:sz w:val="16"/>
                <w:szCs w:val="16"/>
              </w:rPr>
              <w:t>2018–</w:t>
            </w:r>
            <w:r w:rsidR="00ED7D37" w:rsidRPr="00ED7D37">
              <w:rPr>
                <w:rFonts w:ascii="Arial" w:hAnsi="Arial" w:cs="Arial"/>
                <w:sz w:val="16"/>
                <w:szCs w:val="16"/>
              </w:rPr>
              <w:t>19</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r>
      <w:tr w:rsidR="00ED7D37" w:rsidRPr="00ED7D37" w:rsidTr="00ED7D37">
        <w:trPr>
          <w:trHeight w:val="225"/>
        </w:trPr>
        <w:tc>
          <w:tcPr>
            <w:tcW w:w="3356" w:type="dxa"/>
            <w:tcBorders>
              <w:top w:val="nil"/>
              <w:left w:val="nil"/>
              <w:bottom w:val="single" w:sz="4" w:space="0" w:color="auto"/>
              <w:right w:val="nil"/>
            </w:tcBorders>
            <w:shd w:val="clear" w:color="auto" w:fill="auto"/>
            <w:noWrap/>
            <w:vAlign w:val="bottom"/>
            <w:hideMark/>
          </w:tcPr>
          <w:p w:rsidR="00ED7D37" w:rsidRPr="00ED7D37" w:rsidRDefault="00ED7D37" w:rsidP="00ED7D37">
            <w:pPr>
              <w:spacing w:after="0" w:line="240" w:lineRule="auto"/>
              <w:rPr>
                <w:rFonts w:ascii="Arial" w:hAnsi="Arial" w:cs="Arial"/>
                <w:b/>
                <w:bCs/>
                <w:color w:val="000000"/>
                <w:sz w:val="16"/>
                <w:szCs w:val="16"/>
              </w:rPr>
            </w:pPr>
            <w:r w:rsidRPr="00ED7D37">
              <w:rPr>
                <w:rFonts w:ascii="Arial" w:hAnsi="Arial" w:cs="Arial"/>
                <w:b/>
                <w:bCs/>
                <w:color w:val="000000"/>
                <w:sz w:val="16"/>
                <w:szCs w:val="16"/>
              </w:rPr>
              <w:t>Average staffing level (number)</w:t>
            </w:r>
          </w:p>
        </w:tc>
        <w:tc>
          <w:tcPr>
            <w:tcW w:w="928" w:type="dxa"/>
            <w:tcBorders>
              <w:top w:val="single" w:sz="4" w:space="0" w:color="000000"/>
              <w:left w:val="nil"/>
              <w:bottom w:val="single" w:sz="4" w:space="0" w:color="000000"/>
              <w:right w:val="nil"/>
            </w:tcBorders>
            <w:shd w:val="clear" w:color="auto" w:fill="auto"/>
            <w:noWrap/>
            <w:vAlign w:val="bottom"/>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630 </w:t>
            </w:r>
          </w:p>
        </w:tc>
        <w:tc>
          <w:tcPr>
            <w:tcW w:w="863" w:type="dxa"/>
            <w:tcBorders>
              <w:top w:val="single" w:sz="4" w:space="0" w:color="000000"/>
              <w:left w:val="nil"/>
              <w:bottom w:val="single" w:sz="4" w:space="0" w:color="000000"/>
              <w:right w:val="nil"/>
            </w:tcBorders>
            <w:shd w:val="clear" w:color="000000" w:fill="E6E6E6"/>
            <w:noWrap/>
            <w:vAlign w:val="bottom"/>
            <w:hideMark/>
          </w:tcPr>
          <w:p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652 </w:t>
            </w: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rsidR="00ED7D37" w:rsidRPr="00ED7D37" w:rsidRDefault="00ED7D37" w:rsidP="00ED7D37">
            <w:pPr>
              <w:spacing w:after="0" w:line="240" w:lineRule="auto"/>
              <w:rPr>
                <w:rFonts w:ascii="Arial" w:hAnsi="Arial" w:cs="Arial"/>
                <w:sz w:val="16"/>
                <w:szCs w:val="16"/>
              </w:rPr>
            </w:pPr>
          </w:p>
        </w:tc>
      </w:tr>
    </w:tbl>
    <w:p w:rsidR="00ED7D37" w:rsidRDefault="00342243" w:rsidP="00E01B4E">
      <w:pPr>
        <w:pStyle w:val="ChartandTableFootnoteAlpha"/>
        <w:numPr>
          <w:ilvl w:val="0"/>
          <w:numId w:val="34"/>
        </w:numPr>
      </w:pPr>
      <w:r>
        <w:t>Relating to non-cash movements in workers' compensation claims liabilities and asbestos-related claims liabilities.</w:t>
      </w:r>
      <w:r w:rsidRPr="00950281">
        <w:t xml:space="preserve"> </w:t>
      </w:r>
    </w:p>
    <w:p w:rsidR="003F3839" w:rsidRPr="00342243" w:rsidRDefault="00ED7D37" w:rsidP="00342243">
      <w:pPr>
        <w:pStyle w:val="TableHeading"/>
        <w:rPr>
          <w:lang w:val="en-AU"/>
        </w:rPr>
      </w:pPr>
      <w:r>
        <w:br w:type="page"/>
      </w:r>
      <w:r w:rsidR="00342243">
        <w:lastRenderedPageBreak/>
        <w:t>Table 2.</w:t>
      </w:r>
      <w:r w:rsidR="00342243">
        <w:rPr>
          <w:lang w:val="en-AU"/>
        </w:rPr>
        <w:t>1</w:t>
      </w:r>
      <w:r w:rsidR="00342243" w:rsidRPr="00342243">
        <w:t xml:space="preserve">.2: Program components of Outcome </w:t>
      </w:r>
      <w:r w:rsidR="00342243">
        <w:rPr>
          <w:lang w:val="en-AU"/>
        </w:rPr>
        <w:t>1</w:t>
      </w:r>
    </w:p>
    <w:tbl>
      <w:tblPr>
        <w:tblW w:w="7670" w:type="dxa"/>
        <w:tblInd w:w="93" w:type="dxa"/>
        <w:tblCellMar>
          <w:left w:w="57" w:type="dxa"/>
          <w:right w:w="57" w:type="dxa"/>
        </w:tblCellMar>
        <w:tblLook w:val="04A0" w:firstRow="1" w:lastRow="0" w:firstColumn="1" w:lastColumn="0" w:noHBand="0" w:noVBand="1"/>
      </w:tblPr>
      <w:tblGrid>
        <w:gridCol w:w="3418"/>
        <w:gridCol w:w="903"/>
        <w:gridCol w:w="839"/>
        <w:gridCol w:w="837"/>
        <w:gridCol w:w="837"/>
        <w:gridCol w:w="838"/>
      </w:tblGrid>
      <w:tr w:rsidR="00342243" w:rsidRPr="00342243" w:rsidTr="00B52818">
        <w:trPr>
          <w:trHeight w:val="283"/>
        </w:trPr>
        <w:tc>
          <w:tcPr>
            <w:tcW w:w="7670" w:type="dxa"/>
            <w:gridSpan w:val="6"/>
            <w:tcBorders>
              <w:top w:val="single" w:sz="4" w:space="0" w:color="auto"/>
              <w:left w:val="nil"/>
              <w:bottom w:val="nil"/>
              <w:right w:val="nil"/>
            </w:tcBorders>
            <w:shd w:val="clear" w:color="auto" w:fill="auto"/>
            <w:vAlign w:val="center"/>
            <w:hideMark/>
          </w:tcPr>
          <w:p w:rsidR="00342243" w:rsidRPr="00342243" w:rsidRDefault="00342243" w:rsidP="00342243">
            <w:pPr>
              <w:spacing w:after="0" w:line="240" w:lineRule="auto"/>
              <w:rPr>
                <w:rFonts w:ascii="Arial" w:hAnsi="Arial" w:cs="Arial"/>
                <w:b/>
                <w:bCs/>
                <w:color w:val="000000"/>
                <w:sz w:val="16"/>
                <w:szCs w:val="16"/>
              </w:rPr>
            </w:pPr>
            <w:r w:rsidRPr="00342243">
              <w:rPr>
                <w:rFonts w:ascii="Arial" w:hAnsi="Arial" w:cs="Arial"/>
                <w:b/>
                <w:bCs/>
                <w:color w:val="000000"/>
                <w:sz w:val="16"/>
                <w:szCs w:val="16"/>
              </w:rPr>
              <w:t>Program 1.1: Comcare Departmental</w:t>
            </w:r>
          </w:p>
        </w:tc>
      </w:tr>
      <w:tr w:rsidR="00342243" w:rsidRPr="00342243" w:rsidTr="00342243">
        <w:trPr>
          <w:trHeight w:val="794"/>
        </w:trPr>
        <w:tc>
          <w:tcPr>
            <w:tcW w:w="3418" w:type="dxa"/>
            <w:tcBorders>
              <w:top w:val="single" w:sz="4" w:space="0" w:color="auto"/>
              <w:left w:val="nil"/>
              <w:bottom w:val="single" w:sz="4" w:space="0" w:color="auto"/>
              <w:right w:val="nil"/>
            </w:tcBorders>
            <w:shd w:val="clear" w:color="auto" w:fill="auto"/>
            <w:vAlign w:val="center"/>
            <w:hideMark/>
          </w:tcPr>
          <w:p w:rsidR="00342243" w:rsidRPr="00342243" w:rsidRDefault="00342243" w:rsidP="00342243">
            <w:pPr>
              <w:spacing w:after="0" w:line="240" w:lineRule="auto"/>
              <w:rPr>
                <w:rFonts w:ascii="Arial" w:hAnsi="Arial" w:cs="Arial"/>
                <w:sz w:val="16"/>
                <w:szCs w:val="16"/>
              </w:rPr>
            </w:pPr>
            <w:r w:rsidRPr="00342243">
              <w:rPr>
                <w:rFonts w:ascii="Arial" w:hAnsi="Arial" w:cs="Arial"/>
                <w:sz w:val="16"/>
                <w:szCs w:val="16"/>
              </w:rPr>
              <w:t> </w:t>
            </w:r>
          </w:p>
        </w:tc>
        <w:tc>
          <w:tcPr>
            <w:tcW w:w="903" w:type="dxa"/>
            <w:tcBorders>
              <w:top w:val="single" w:sz="4" w:space="0" w:color="auto"/>
              <w:left w:val="nil"/>
              <w:bottom w:val="single" w:sz="4" w:space="0" w:color="auto"/>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Pr>
                <w:rFonts w:ascii="Arial" w:hAnsi="Arial" w:cs="Arial"/>
                <w:sz w:val="16"/>
                <w:szCs w:val="16"/>
              </w:rPr>
              <w:t>2017–</w:t>
            </w:r>
            <w:r w:rsidRPr="00342243">
              <w:rPr>
                <w:rFonts w:ascii="Arial" w:hAnsi="Arial" w:cs="Arial"/>
                <w:sz w:val="16"/>
                <w:szCs w:val="16"/>
              </w:rPr>
              <w:t>18 Estimated actual</w:t>
            </w:r>
            <w:r w:rsidRPr="00342243">
              <w:rPr>
                <w:rFonts w:ascii="Arial" w:hAnsi="Arial" w:cs="Arial"/>
                <w:sz w:val="16"/>
                <w:szCs w:val="16"/>
              </w:rPr>
              <w:br/>
              <w:t>$'000</w:t>
            </w:r>
          </w:p>
        </w:tc>
        <w:tc>
          <w:tcPr>
            <w:tcW w:w="837" w:type="dxa"/>
            <w:tcBorders>
              <w:top w:val="single" w:sz="4" w:space="0" w:color="auto"/>
              <w:left w:val="nil"/>
              <w:bottom w:val="single" w:sz="4" w:space="0" w:color="auto"/>
              <w:right w:val="nil"/>
            </w:tcBorders>
            <w:shd w:val="clear" w:color="000000" w:fill="E6E6E6"/>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2018</w:t>
            </w:r>
            <w:r>
              <w:rPr>
                <w:rFonts w:ascii="Arial" w:hAnsi="Arial" w:cs="Arial"/>
                <w:sz w:val="16"/>
                <w:szCs w:val="16"/>
              </w:rPr>
              <w:t>–</w:t>
            </w:r>
            <w:r w:rsidRPr="00342243">
              <w:rPr>
                <w:rFonts w:ascii="Arial" w:hAnsi="Arial" w:cs="Arial"/>
                <w:sz w:val="16"/>
                <w:szCs w:val="16"/>
              </w:rPr>
              <w:t>19</w:t>
            </w:r>
            <w:r w:rsidRPr="00342243">
              <w:rPr>
                <w:rFonts w:ascii="Arial" w:hAnsi="Arial" w:cs="Arial"/>
                <w:sz w:val="16"/>
                <w:szCs w:val="16"/>
              </w:rPr>
              <w:br/>
              <w:t>Budget</w:t>
            </w:r>
            <w:r w:rsidRPr="00342243">
              <w:rPr>
                <w:rFonts w:ascii="Arial" w:hAnsi="Arial" w:cs="Arial"/>
                <w:sz w:val="16"/>
                <w:szCs w:val="16"/>
              </w:rPr>
              <w:br/>
            </w:r>
            <w:r w:rsidRPr="00342243">
              <w:rPr>
                <w:rFonts w:ascii="Arial" w:hAnsi="Arial" w:cs="Arial"/>
                <w:sz w:val="16"/>
                <w:szCs w:val="16"/>
              </w:rPr>
              <w:br/>
              <w:t>$'000</w:t>
            </w:r>
          </w:p>
        </w:tc>
        <w:tc>
          <w:tcPr>
            <w:tcW w:w="837" w:type="dxa"/>
            <w:tcBorders>
              <w:top w:val="single" w:sz="4" w:space="0" w:color="auto"/>
              <w:left w:val="nil"/>
              <w:bottom w:val="single" w:sz="4" w:space="0" w:color="auto"/>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Pr>
                <w:rFonts w:ascii="Arial" w:hAnsi="Arial" w:cs="Arial"/>
                <w:sz w:val="16"/>
                <w:szCs w:val="16"/>
              </w:rPr>
              <w:t>2019–</w:t>
            </w:r>
            <w:r w:rsidRPr="00342243">
              <w:rPr>
                <w:rFonts w:ascii="Arial" w:hAnsi="Arial" w:cs="Arial"/>
                <w:sz w:val="16"/>
                <w:szCs w:val="16"/>
              </w:rPr>
              <w:t>20 Forward estimate</w:t>
            </w:r>
            <w:r w:rsidRPr="00342243">
              <w:rPr>
                <w:rFonts w:ascii="Arial" w:hAnsi="Arial" w:cs="Arial"/>
                <w:sz w:val="16"/>
                <w:szCs w:val="16"/>
              </w:rPr>
              <w:br/>
              <w:t>$'000</w:t>
            </w:r>
          </w:p>
        </w:tc>
        <w:tc>
          <w:tcPr>
            <w:tcW w:w="837" w:type="dxa"/>
            <w:tcBorders>
              <w:top w:val="single" w:sz="4" w:space="0" w:color="auto"/>
              <w:left w:val="nil"/>
              <w:bottom w:val="single" w:sz="4" w:space="0" w:color="auto"/>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2020</w:t>
            </w:r>
            <w:r>
              <w:rPr>
                <w:rFonts w:ascii="Arial" w:hAnsi="Arial" w:cs="Arial"/>
                <w:sz w:val="16"/>
                <w:szCs w:val="16"/>
              </w:rPr>
              <w:t>–</w:t>
            </w:r>
            <w:r w:rsidRPr="00342243">
              <w:rPr>
                <w:rFonts w:ascii="Arial" w:hAnsi="Arial" w:cs="Arial"/>
                <w:sz w:val="16"/>
                <w:szCs w:val="16"/>
              </w:rPr>
              <w:t>21 Forward estimate</w:t>
            </w:r>
            <w:r w:rsidRPr="00342243">
              <w:rPr>
                <w:rFonts w:ascii="Arial" w:hAnsi="Arial" w:cs="Arial"/>
                <w:sz w:val="16"/>
                <w:szCs w:val="16"/>
              </w:rPr>
              <w:br/>
              <w:t>$'000</w:t>
            </w:r>
          </w:p>
        </w:tc>
        <w:tc>
          <w:tcPr>
            <w:tcW w:w="838" w:type="dxa"/>
            <w:tcBorders>
              <w:top w:val="single" w:sz="4" w:space="0" w:color="auto"/>
              <w:left w:val="nil"/>
              <w:bottom w:val="single" w:sz="4" w:space="0" w:color="auto"/>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2021</w:t>
            </w:r>
            <w:r>
              <w:rPr>
                <w:rFonts w:ascii="Arial" w:hAnsi="Arial" w:cs="Arial"/>
                <w:sz w:val="16"/>
                <w:szCs w:val="16"/>
              </w:rPr>
              <w:t>–</w:t>
            </w:r>
            <w:r w:rsidRPr="00342243">
              <w:rPr>
                <w:rFonts w:ascii="Arial" w:hAnsi="Arial" w:cs="Arial"/>
                <w:sz w:val="16"/>
                <w:szCs w:val="16"/>
              </w:rPr>
              <w:t>22</w:t>
            </w:r>
            <w:r w:rsidRPr="00342243">
              <w:rPr>
                <w:rFonts w:ascii="Arial" w:hAnsi="Arial" w:cs="Arial"/>
                <w:sz w:val="16"/>
                <w:szCs w:val="16"/>
              </w:rPr>
              <w:br/>
              <w:t>Forward estimate</w:t>
            </w:r>
            <w:r w:rsidRPr="00342243">
              <w:rPr>
                <w:rFonts w:ascii="Arial" w:hAnsi="Arial" w:cs="Arial"/>
                <w:sz w:val="16"/>
                <w:szCs w:val="16"/>
              </w:rPr>
              <w:br/>
              <w:t>$'000</w:t>
            </w:r>
          </w:p>
        </w:tc>
      </w:tr>
      <w:tr w:rsidR="00342243" w:rsidRPr="00342243"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1.1—</w:t>
            </w:r>
            <w:r w:rsidRPr="00342243">
              <w:rPr>
                <w:rFonts w:ascii="Arial" w:hAnsi="Arial" w:cs="Arial"/>
                <w:i/>
                <w:iCs/>
                <w:sz w:val="16"/>
                <w:szCs w:val="16"/>
              </w:rPr>
              <w:t>Work Health, Safety and Rehabilitation Regulation</w:t>
            </w: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Appropriation</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722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718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719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724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728 </w:t>
            </w:r>
          </w:p>
        </w:tc>
      </w:tr>
      <w:tr w:rsidR="00342243" w:rsidRPr="00342243" w:rsidTr="00342243">
        <w:trPr>
          <w:trHeight w:val="397"/>
        </w:trPr>
        <w:tc>
          <w:tcPr>
            <w:tcW w:w="341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28,975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28,985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29,305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29,969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28,892 </w:t>
            </w:r>
          </w:p>
        </w:tc>
      </w:tr>
      <w:tr w:rsidR="00342243" w:rsidRPr="003D53BE" w:rsidTr="00342243">
        <w:trPr>
          <w:trHeight w:val="227"/>
        </w:trPr>
        <w:tc>
          <w:tcPr>
            <w:tcW w:w="3418" w:type="dxa"/>
            <w:tcBorders>
              <w:top w:val="nil"/>
              <w:left w:val="nil"/>
              <w:bottom w:val="nil"/>
              <w:right w:val="nil"/>
            </w:tcBorders>
            <w:shd w:val="clear" w:color="auto" w:fill="auto"/>
            <w:noWrap/>
            <w:vAlign w:val="center"/>
            <w:hideMark/>
          </w:tcPr>
          <w:p w:rsidR="00342243" w:rsidRPr="003D53BE" w:rsidRDefault="00342243" w:rsidP="003D53BE">
            <w:pPr>
              <w:spacing w:after="0" w:line="240" w:lineRule="auto"/>
              <w:ind w:firstLineChars="100" w:firstLine="160"/>
              <w:rPr>
                <w:rFonts w:ascii="Arial" w:hAnsi="Arial" w:cs="Arial"/>
                <w:b/>
                <w:sz w:val="16"/>
                <w:szCs w:val="16"/>
              </w:rPr>
            </w:pPr>
            <w:r w:rsidRPr="003D53BE">
              <w:rPr>
                <w:rFonts w:ascii="Arial" w:hAnsi="Arial" w:cs="Arial"/>
                <w:b/>
                <w:sz w:val="16"/>
                <w:szCs w:val="16"/>
              </w:rPr>
              <w:t>Total component 1.1 expenses</w:t>
            </w:r>
          </w:p>
        </w:tc>
        <w:tc>
          <w:tcPr>
            <w:tcW w:w="903" w:type="dxa"/>
            <w:tcBorders>
              <w:top w:val="single" w:sz="4" w:space="0" w:color="auto"/>
              <w:left w:val="nil"/>
              <w:bottom w:val="nil"/>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29,697 </w:t>
            </w:r>
          </w:p>
        </w:tc>
        <w:tc>
          <w:tcPr>
            <w:tcW w:w="837" w:type="dxa"/>
            <w:tcBorders>
              <w:top w:val="single" w:sz="4" w:space="0" w:color="auto"/>
              <w:left w:val="nil"/>
              <w:bottom w:val="nil"/>
              <w:right w:val="nil"/>
            </w:tcBorders>
            <w:shd w:val="clear" w:color="000000" w:fill="E6E6E6"/>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29,703 </w:t>
            </w:r>
          </w:p>
        </w:tc>
        <w:tc>
          <w:tcPr>
            <w:tcW w:w="837" w:type="dxa"/>
            <w:tcBorders>
              <w:top w:val="single" w:sz="4" w:space="0" w:color="auto"/>
              <w:left w:val="nil"/>
              <w:bottom w:val="nil"/>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30,024 </w:t>
            </w:r>
          </w:p>
        </w:tc>
        <w:tc>
          <w:tcPr>
            <w:tcW w:w="837" w:type="dxa"/>
            <w:tcBorders>
              <w:top w:val="single" w:sz="4" w:space="0" w:color="auto"/>
              <w:left w:val="nil"/>
              <w:bottom w:val="nil"/>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30,693 </w:t>
            </w:r>
          </w:p>
        </w:tc>
        <w:tc>
          <w:tcPr>
            <w:tcW w:w="838" w:type="dxa"/>
            <w:tcBorders>
              <w:top w:val="single" w:sz="4" w:space="0" w:color="auto"/>
              <w:left w:val="nil"/>
              <w:bottom w:val="nil"/>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29,620 </w:t>
            </w:r>
          </w:p>
        </w:tc>
      </w:tr>
      <w:tr w:rsidR="00342243" w:rsidRPr="00342243"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1.2—</w:t>
            </w:r>
            <w:r w:rsidRPr="00342243">
              <w:rPr>
                <w:rFonts w:ascii="Arial" w:hAnsi="Arial" w:cs="Arial"/>
                <w:i/>
                <w:iCs/>
                <w:sz w:val="16"/>
                <w:szCs w:val="16"/>
              </w:rPr>
              <w:t>Comcare Workers Compensation Scheme Management</w:t>
            </w:r>
          </w:p>
        </w:tc>
      </w:tr>
      <w:tr w:rsidR="00342243" w:rsidRPr="00342243" w:rsidTr="00342243">
        <w:trPr>
          <w:trHeight w:val="397"/>
        </w:trPr>
        <w:tc>
          <w:tcPr>
            <w:tcW w:w="341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7,840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7,356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7,416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7,583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7,665 </w:t>
            </w:r>
          </w:p>
        </w:tc>
      </w:tr>
      <w:tr w:rsidR="00342243" w:rsidRPr="003D53BE" w:rsidTr="00342243">
        <w:trPr>
          <w:trHeight w:val="227"/>
        </w:trPr>
        <w:tc>
          <w:tcPr>
            <w:tcW w:w="3418" w:type="dxa"/>
            <w:tcBorders>
              <w:top w:val="nil"/>
              <w:left w:val="nil"/>
              <w:bottom w:val="nil"/>
              <w:right w:val="nil"/>
            </w:tcBorders>
            <w:shd w:val="clear" w:color="auto" w:fill="auto"/>
            <w:noWrap/>
            <w:vAlign w:val="center"/>
            <w:hideMark/>
          </w:tcPr>
          <w:p w:rsidR="00342243" w:rsidRPr="003D53BE" w:rsidRDefault="00342243" w:rsidP="003D53BE">
            <w:pPr>
              <w:spacing w:after="0" w:line="240" w:lineRule="auto"/>
              <w:ind w:firstLineChars="100" w:firstLine="160"/>
              <w:rPr>
                <w:rFonts w:ascii="Arial" w:hAnsi="Arial" w:cs="Arial"/>
                <w:b/>
                <w:sz w:val="16"/>
                <w:szCs w:val="16"/>
              </w:rPr>
            </w:pPr>
            <w:r w:rsidRPr="003D53BE">
              <w:rPr>
                <w:rFonts w:ascii="Arial" w:hAnsi="Arial" w:cs="Arial"/>
                <w:b/>
                <w:sz w:val="16"/>
                <w:szCs w:val="16"/>
              </w:rPr>
              <w:t>Total component 1.2 expenses</w:t>
            </w:r>
          </w:p>
        </w:tc>
        <w:tc>
          <w:tcPr>
            <w:tcW w:w="903"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7,840 </w:t>
            </w:r>
          </w:p>
        </w:tc>
        <w:tc>
          <w:tcPr>
            <w:tcW w:w="837" w:type="dxa"/>
            <w:tcBorders>
              <w:top w:val="single" w:sz="4" w:space="0" w:color="auto"/>
              <w:left w:val="nil"/>
              <w:bottom w:val="single" w:sz="4" w:space="0" w:color="auto"/>
              <w:right w:val="nil"/>
            </w:tcBorders>
            <w:shd w:val="clear" w:color="000000" w:fill="E6E6E6"/>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7,356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7,416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7,583 </w:t>
            </w:r>
          </w:p>
        </w:tc>
        <w:tc>
          <w:tcPr>
            <w:tcW w:w="838"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7,665 </w:t>
            </w:r>
          </w:p>
        </w:tc>
      </w:tr>
      <w:tr w:rsidR="00342243" w:rsidRPr="00342243"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1.3—</w:t>
            </w:r>
            <w:r w:rsidRPr="00342243">
              <w:rPr>
                <w:rFonts w:ascii="Arial" w:hAnsi="Arial" w:cs="Arial"/>
                <w:i/>
                <w:iCs/>
                <w:sz w:val="16"/>
                <w:szCs w:val="16"/>
              </w:rPr>
              <w:t>SRCC and Seacare Authority Support</w:t>
            </w: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Appropriation</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361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360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360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362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364 </w:t>
            </w:r>
          </w:p>
        </w:tc>
      </w:tr>
      <w:tr w:rsidR="00342243" w:rsidRPr="00342243" w:rsidTr="00342243">
        <w:trPr>
          <w:trHeight w:val="397"/>
        </w:trPr>
        <w:tc>
          <w:tcPr>
            <w:tcW w:w="341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4,778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4,802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4,887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4,966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5,047 </w:t>
            </w:r>
          </w:p>
        </w:tc>
      </w:tr>
      <w:tr w:rsidR="00342243" w:rsidRPr="003D53BE" w:rsidTr="00342243">
        <w:trPr>
          <w:trHeight w:val="227"/>
        </w:trPr>
        <w:tc>
          <w:tcPr>
            <w:tcW w:w="3418" w:type="dxa"/>
            <w:tcBorders>
              <w:top w:val="nil"/>
              <w:left w:val="nil"/>
              <w:bottom w:val="nil"/>
              <w:right w:val="nil"/>
            </w:tcBorders>
            <w:shd w:val="clear" w:color="auto" w:fill="auto"/>
            <w:noWrap/>
            <w:vAlign w:val="center"/>
            <w:hideMark/>
          </w:tcPr>
          <w:p w:rsidR="00342243" w:rsidRPr="003D53BE" w:rsidRDefault="00342243" w:rsidP="003D53BE">
            <w:pPr>
              <w:spacing w:after="0" w:line="240" w:lineRule="auto"/>
              <w:ind w:firstLineChars="100" w:firstLine="160"/>
              <w:rPr>
                <w:rFonts w:ascii="Arial" w:hAnsi="Arial" w:cs="Arial"/>
                <w:b/>
                <w:sz w:val="16"/>
                <w:szCs w:val="16"/>
              </w:rPr>
            </w:pPr>
            <w:r w:rsidRPr="003D53BE">
              <w:rPr>
                <w:rFonts w:ascii="Arial" w:hAnsi="Arial" w:cs="Arial"/>
                <w:b/>
                <w:sz w:val="16"/>
                <w:szCs w:val="16"/>
              </w:rPr>
              <w:t>Total component 1.3 expenses</w:t>
            </w:r>
          </w:p>
        </w:tc>
        <w:tc>
          <w:tcPr>
            <w:tcW w:w="903"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5,139 </w:t>
            </w:r>
          </w:p>
        </w:tc>
        <w:tc>
          <w:tcPr>
            <w:tcW w:w="837" w:type="dxa"/>
            <w:tcBorders>
              <w:top w:val="single" w:sz="4" w:space="0" w:color="auto"/>
              <w:left w:val="nil"/>
              <w:bottom w:val="single" w:sz="4" w:space="0" w:color="auto"/>
              <w:right w:val="nil"/>
            </w:tcBorders>
            <w:shd w:val="clear" w:color="000000" w:fill="E6E6E6"/>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5,162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5,247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5,328 </w:t>
            </w:r>
          </w:p>
        </w:tc>
        <w:tc>
          <w:tcPr>
            <w:tcW w:w="838"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5,411 </w:t>
            </w:r>
          </w:p>
        </w:tc>
      </w:tr>
      <w:tr w:rsidR="00342243" w:rsidRPr="00342243"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1.4—</w:t>
            </w:r>
            <w:r w:rsidRPr="00342243">
              <w:rPr>
                <w:rFonts w:ascii="Arial" w:hAnsi="Arial" w:cs="Arial"/>
                <w:i/>
                <w:iCs/>
                <w:sz w:val="16"/>
                <w:szCs w:val="16"/>
              </w:rPr>
              <w:t>Premium Claims</w:t>
            </w: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Appropriation</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205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204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204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205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207 </w:t>
            </w:r>
          </w:p>
        </w:tc>
      </w:tr>
      <w:tr w:rsidR="00342243" w:rsidRPr="00342243" w:rsidTr="00342243">
        <w:trPr>
          <w:trHeight w:val="397"/>
        </w:trPr>
        <w:tc>
          <w:tcPr>
            <w:tcW w:w="341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196,885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281,088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320,080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332,540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346,744 </w:t>
            </w:r>
          </w:p>
        </w:tc>
      </w:tr>
      <w:tr w:rsidR="00342243" w:rsidRPr="003D53BE" w:rsidTr="00342243">
        <w:trPr>
          <w:trHeight w:val="227"/>
        </w:trPr>
        <w:tc>
          <w:tcPr>
            <w:tcW w:w="3418" w:type="dxa"/>
            <w:tcBorders>
              <w:top w:val="nil"/>
              <w:left w:val="nil"/>
              <w:bottom w:val="nil"/>
              <w:right w:val="nil"/>
            </w:tcBorders>
            <w:shd w:val="clear" w:color="auto" w:fill="auto"/>
            <w:noWrap/>
            <w:vAlign w:val="center"/>
            <w:hideMark/>
          </w:tcPr>
          <w:p w:rsidR="00342243" w:rsidRPr="003D53BE" w:rsidRDefault="00342243" w:rsidP="003D53BE">
            <w:pPr>
              <w:spacing w:after="0" w:line="240" w:lineRule="auto"/>
              <w:ind w:firstLineChars="100" w:firstLine="160"/>
              <w:rPr>
                <w:rFonts w:ascii="Arial" w:hAnsi="Arial" w:cs="Arial"/>
                <w:b/>
                <w:sz w:val="16"/>
                <w:szCs w:val="16"/>
              </w:rPr>
            </w:pPr>
            <w:r w:rsidRPr="003D53BE">
              <w:rPr>
                <w:rFonts w:ascii="Arial" w:hAnsi="Arial" w:cs="Arial"/>
                <w:b/>
                <w:sz w:val="16"/>
                <w:szCs w:val="16"/>
              </w:rPr>
              <w:t>Total component 1.4 expenses</w:t>
            </w:r>
          </w:p>
        </w:tc>
        <w:tc>
          <w:tcPr>
            <w:tcW w:w="903"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197,090 </w:t>
            </w:r>
          </w:p>
        </w:tc>
        <w:tc>
          <w:tcPr>
            <w:tcW w:w="837" w:type="dxa"/>
            <w:tcBorders>
              <w:top w:val="single" w:sz="4" w:space="0" w:color="auto"/>
              <w:left w:val="nil"/>
              <w:bottom w:val="single" w:sz="4" w:space="0" w:color="auto"/>
              <w:right w:val="nil"/>
            </w:tcBorders>
            <w:shd w:val="clear" w:color="000000" w:fill="E6E6E6"/>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281,292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320,284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332,745 </w:t>
            </w:r>
          </w:p>
        </w:tc>
        <w:tc>
          <w:tcPr>
            <w:tcW w:w="838"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346,951 </w:t>
            </w:r>
          </w:p>
        </w:tc>
      </w:tr>
      <w:tr w:rsidR="00342243" w:rsidRPr="00342243"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rsidR="00342243" w:rsidRPr="00B52818" w:rsidRDefault="00342243" w:rsidP="00342243">
            <w:pPr>
              <w:spacing w:after="0" w:line="240" w:lineRule="auto"/>
              <w:rPr>
                <w:rFonts w:ascii="Arial" w:hAnsi="Arial" w:cs="Arial"/>
                <w:i/>
                <w:iCs/>
                <w:sz w:val="16"/>
                <w:szCs w:val="16"/>
              </w:rPr>
            </w:pPr>
            <w:r w:rsidRPr="00B52818">
              <w:rPr>
                <w:rFonts w:ascii="Arial" w:hAnsi="Arial" w:cs="Arial"/>
                <w:i/>
                <w:iCs/>
                <w:sz w:val="16"/>
                <w:szCs w:val="16"/>
              </w:rPr>
              <w:t>1.5—Pre-premium Claims</w:t>
            </w:r>
          </w:p>
        </w:tc>
      </w:tr>
      <w:tr w:rsidR="00342243" w:rsidRPr="00342243" w:rsidTr="003D53BE">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1"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r>
      <w:tr w:rsidR="00342243" w:rsidRPr="00342243" w:rsidTr="003D53BE">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Grants received from portfolio department</w:t>
            </w:r>
          </w:p>
        </w:tc>
        <w:tc>
          <w:tcPr>
            <w:tcW w:w="901"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30,697 </w:t>
            </w:r>
          </w:p>
        </w:tc>
        <w:tc>
          <w:tcPr>
            <w:tcW w:w="839"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31,227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30,035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28,720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27,440 </w:t>
            </w:r>
          </w:p>
        </w:tc>
      </w:tr>
      <w:tr w:rsidR="00342243" w:rsidRPr="00342243" w:rsidTr="003D53BE">
        <w:trPr>
          <w:trHeight w:val="397"/>
        </w:trPr>
        <w:tc>
          <w:tcPr>
            <w:tcW w:w="341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1"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(31,701)</w:t>
            </w:r>
          </w:p>
        </w:tc>
        <w:tc>
          <w:tcPr>
            <w:tcW w:w="839"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(26,945)</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(24,553)</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(22,485)</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(20,673)</w:t>
            </w:r>
          </w:p>
        </w:tc>
      </w:tr>
      <w:tr w:rsidR="00342243" w:rsidRPr="003D53BE" w:rsidTr="003D53BE">
        <w:trPr>
          <w:trHeight w:val="227"/>
        </w:trPr>
        <w:tc>
          <w:tcPr>
            <w:tcW w:w="3418" w:type="dxa"/>
            <w:tcBorders>
              <w:top w:val="nil"/>
              <w:left w:val="nil"/>
              <w:bottom w:val="nil"/>
              <w:right w:val="nil"/>
            </w:tcBorders>
            <w:shd w:val="clear" w:color="auto" w:fill="auto"/>
            <w:noWrap/>
            <w:vAlign w:val="center"/>
            <w:hideMark/>
          </w:tcPr>
          <w:p w:rsidR="00342243" w:rsidRPr="003D53BE" w:rsidRDefault="00342243" w:rsidP="003D53BE">
            <w:pPr>
              <w:spacing w:after="0" w:line="240" w:lineRule="auto"/>
              <w:ind w:firstLineChars="100" w:firstLine="160"/>
              <w:rPr>
                <w:rFonts w:ascii="Arial" w:hAnsi="Arial" w:cs="Arial"/>
                <w:b/>
                <w:sz w:val="16"/>
                <w:szCs w:val="16"/>
              </w:rPr>
            </w:pPr>
            <w:r w:rsidRPr="003D53BE">
              <w:rPr>
                <w:rFonts w:ascii="Arial" w:hAnsi="Arial" w:cs="Arial"/>
                <w:b/>
                <w:sz w:val="16"/>
                <w:szCs w:val="16"/>
              </w:rPr>
              <w:t>Total component 1.5 expenses</w:t>
            </w:r>
          </w:p>
        </w:tc>
        <w:tc>
          <w:tcPr>
            <w:tcW w:w="901"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(1,004)</w:t>
            </w:r>
          </w:p>
        </w:tc>
        <w:tc>
          <w:tcPr>
            <w:tcW w:w="839" w:type="dxa"/>
            <w:tcBorders>
              <w:top w:val="single" w:sz="4" w:space="0" w:color="auto"/>
              <w:left w:val="nil"/>
              <w:bottom w:val="single" w:sz="4" w:space="0" w:color="auto"/>
              <w:right w:val="nil"/>
            </w:tcBorders>
            <w:shd w:val="clear" w:color="000000" w:fill="E6E6E6"/>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4,282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5,482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6,235 </w:t>
            </w:r>
          </w:p>
        </w:tc>
        <w:tc>
          <w:tcPr>
            <w:tcW w:w="838"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6,767 </w:t>
            </w:r>
          </w:p>
        </w:tc>
      </w:tr>
      <w:tr w:rsidR="00342243" w:rsidRPr="00342243"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1.6—</w:t>
            </w:r>
            <w:r w:rsidRPr="00342243">
              <w:rPr>
                <w:rFonts w:ascii="Arial" w:hAnsi="Arial" w:cs="Arial"/>
                <w:i/>
                <w:iCs/>
                <w:sz w:val="16"/>
                <w:szCs w:val="16"/>
              </w:rPr>
              <w:t>Asbestos Claims</w:t>
            </w: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Appropriation</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4,732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4,707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4,712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4,743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4,770 </w:t>
            </w:r>
          </w:p>
        </w:tc>
      </w:tr>
      <w:tr w:rsidR="00342243" w:rsidRPr="00342243" w:rsidTr="00342243">
        <w:trPr>
          <w:trHeight w:val="227"/>
        </w:trPr>
        <w:tc>
          <w:tcPr>
            <w:tcW w:w="3418" w:type="dxa"/>
            <w:tcBorders>
              <w:top w:val="nil"/>
              <w:left w:val="nil"/>
              <w:bottom w:val="nil"/>
              <w:right w:val="nil"/>
            </w:tcBorders>
            <w:shd w:val="clear" w:color="auto" w:fill="auto"/>
            <w:noWrap/>
            <w:vAlign w:val="center"/>
            <w:hideMark/>
          </w:tcPr>
          <w:p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Grants received from portfolio department</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24,675 </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29,309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27,126 </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28,137 </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28,837 </w:t>
            </w:r>
          </w:p>
        </w:tc>
      </w:tr>
      <w:tr w:rsidR="00342243" w:rsidRPr="00342243" w:rsidTr="00342243">
        <w:trPr>
          <w:trHeight w:val="397"/>
        </w:trPr>
        <w:tc>
          <w:tcPr>
            <w:tcW w:w="341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(11,658)</w:t>
            </w:r>
          </w:p>
        </w:tc>
        <w:tc>
          <w:tcPr>
            <w:tcW w:w="837" w:type="dxa"/>
            <w:tcBorders>
              <w:top w:val="nil"/>
              <w:left w:val="nil"/>
              <w:bottom w:val="nil"/>
              <w:right w:val="nil"/>
            </w:tcBorders>
            <w:shd w:val="clear" w:color="000000" w:fill="E6E6E6"/>
            <w:noWrap/>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(20,134)</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(17,317)</w:t>
            </w:r>
          </w:p>
        </w:tc>
        <w:tc>
          <w:tcPr>
            <w:tcW w:w="837"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(19,560)</w:t>
            </w:r>
          </w:p>
        </w:tc>
        <w:tc>
          <w:tcPr>
            <w:tcW w:w="838" w:type="dxa"/>
            <w:tcBorders>
              <w:top w:val="nil"/>
              <w:left w:val="nil"/>
              <w:bottom w:val="nil"/>
              <w:right w:val="nil"/>
            </w:tcBorders>
            <w:shd w:val="clear" w:color="auto" w:fill="auto"/>
            <w:vAlign w:val="center"/>
            <w:hideMark/>
          </w:tcPr>
          <w:p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(21,241)</w:t>
            </w:r>
          </w:p>
        </w:tc>
      </w:tr>
      <w:tr w:rsidR="00342243" w:rsidRPr="003D53BE" w:rsidTr="00342243">
        <w:trPr>
          <w:trHeight w:val="227"/>
        </w:trPr>
        <w:tc>
          <w:tcPr>
            <w:tcW w:w="3418" w:type="dxa"/>
            <w:tcBorders>
              <w:top w:val="nil"/>
              <w:left w:val="nil"/>
              <w:bottom w:val="nil"/>
              <w:right w:val="nil"/>
            </w:tcBorders>
            <w:shd w:val="clear" w:color="auto" w:fill="auto"/>
            <w:noWrap/>
            <w:vAlign w:val="center"/>
            <w:hideMark/>
          </w:tcPr>
          <w:p w:rsidR="00342243" w:rsidRPr="003D53BE" w:rsidRDefault="00342243" w:rsidP="003D53BE">
            <w:pPr>
              <w:spacing w:after="0" w:line="240" w:lineRule="auto"/>
              <w:ind w:firstLineChars="100" w:firstLine="160"/>
              <w:rPr>
                <w:rFonts w:ascii="Arial" w:hAnsi="Arial" w:cs="Arial"/>
                <w:b/>
                <w:sz w:val="16"/>
                <w:szCs w:val="16"/>
              </w:rPr>
            </w:pPr>
            <w:r w:rsidRPr="003D53BE">
              <w:rPr>
                <w:rFonts w:ascii="Arial" w:hAnsi="Arial" w:cs="Arial"/>
                <w:b/>
                <w:sz w:val="16"/>
                <w:szCs w:val="16"/>
              </w:rPr>
              <w:t>Total component 1.6 expenses</w:t>
            </w:r>
          </w:p>
        </w:tc>
        <w:tc>
          <w:tcPr>
            <w:tcW w:w="903"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17,749 </w:t>
            </w:r>
          </w:p>
        </w:tc>
        <w:tc>
          <w:tcPr>
            <w:tcW w:w="837" w:type="dxa"/>
            <w:tcBorders>
              <w:top w:val="single" w:sz="4" w:space="0" w:color="auto"/>
              <w:left w:val="nil"/>
              <w:bottom w:val="single" w:sz="4" w:space="0" w:color="auto"/>
              <w:right w:val="nil"/>
            </w:tcBorders>
            <w:shd w:val="clear" w:color="000000" w:fill="E6E6E6"/>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13,882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14,521 </w:t>
            </w:r>
          </w:p>
        </w:tc>
        <w:tc>
          <w:tcPr>
            <w:tcW w:w="837"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13,320 </w:t>
            </w:r>
          </w:p>
        </w:tc>
        <w:tc>
          <w:tcPr>
            <w:tcW w:w="838" w:type="dxa"/>
            <w:tcBorders>
              <w:top w:val="single" w:sz="4" w:space="0" w:color="auto"/>
              <w:left w:val="nil"/>
              <w:bottom w:val="single" w:sz="4" w:space="0" w:color="auto"/>
              <w:right w:val="nil"/>
            </w:tcBorders>
            <w:shd w:val="clear" w:color="auto" w:fill="auto"/>
            <w:noWrap/>
            <w:vAlign w:val="center"/>
            <w:hideMark/>
          </w:tcPr>
          <w:p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12,366 </w:t>
            </w:r>
          </w:p>
        </w:tc>
      </w:tr>
      <w:tr w:rsidR="00342243" w:rsidRPr="00342243" w:rsidTr="00342243">
        <w:trPr>
          <w:trHeight w:val="227"/>
        </w:trPr>
        <w:tc>
          <w:tcPr>
            <w:tcW w:w="3418" w:type="dxa"/>
            <w:tcBorders>
              <w:top w:val="nil"/>
              <w:left w:val="nil"/>
              <w:bottom w:val="single" w:sz="4" w:space="0" w:color="auto"/>
              <w:right w:val="nil"/>
            </w:tcBorders>
            <w:shd w:val="clear" w:color="auto" w:fill="auto"/>
            <w:noWrap/>
            <w:vAlign w:val="bottom"/>
            <w:hideMark/>
          </w:tcPr>
          <w:p w:rsidR="00342243" w:rsidRPr="00342243" w:rsidRDefault="00342243" w:rsidP="00342243">
            <w:pPr>
              <w:spacing w:after="0" w:line="240" w:lineRule="auto"/>
              <w:rPr>
                <w:rFonts w:ascii="Arial" w:hAnsi="Arial" w:cs="Arial"/>
                <w:b/>
                <w:bCs/>
                <w:sz w:val="16"/>
                <w:szCs w:val="16"/>
              </w:rPr>
            </w:pPr>
            <w:r w:rsidRPr="00342243">
              <w:rPr>
                <w:rFonts w:ascii="Arial" w:hAnsi="Arial" w:cs="Arial"/>
                <w:b/>
                <w:bCs/>
                <w:sz w:val="16"/>
                <w:szCs w:val="16"/>
              </w:rPr>
              <w:t xml:space="preserve">Total program expenses </w:t>
            </w:r>
          </w:p>
        </w:tc>
        <w:tc>
          <w:tcPr>
            <w:tcW w:w="903" w:type="dxa"/>
            <w:tcBorders>
              <w:top w:val="nil"/>
              <w:left w:val="nil"/>
              <w:bottom w:val="single" w:sz="4" w:space="0" w:color="auto"/>
              <w:right w:val="nil"/>
            </w:tcBorders>
            <w:shd w:val="clear" w:color="auto" w:fill="auto"/>
            <w:noWrap/>
            <w:vAlign w:val="bottom"/>
            <w:hideMark/>
          </w:tcPr>
          <w:p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256,511 </w:t>
            </w:r>
          </w:p>
        </w:tc>
        <w:tc>
          <w:tcPr>
            <w:tcW w:w="837" w:type="dxa"/>
            <w:tcBorders>
              <w:top w:val="nil"/>
              <w:left w:val="nil"/>
              <w:bottom w:val="single" w:sz="4" w:space="0" w:color="auto"/>
              <w:right w:val="nil"/>
            </w:tcBorders>
            <w:shd w:val="clear" w:color="000000" w:fill="E6E6E6"/>
            <w:noWrap/>
            <w:vAlign w:val="bottom"/>
            <w:hideMark/>
          </w:tcPr>
          <w:p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341,677 </w:t>
            </w:r>
          </w:p>
        </w:tc>
        <w:tc>
          <w:tcPr>
            <w:tcW w:w="837" w:type="dxa"/>
            <w:tcBorders>
              <w:top w:val="nil"/>
              <w:left w:val="nil"/>
              <w:bottom w:val="single" w:sz="4" w:space="0" w:color="auto"/>
              <w:right w:val="nil"/>
            </w:tcBorders>
            <w:shd w:val="clear" w:color="auto" w:fill="auto"/>
            <w:noWrap/>
            <w:vAlign w:val="bottom"/>
            <w:hideMark/>
          </w:tcPr>
          <w:p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382,974 </w:t>
            </w:r>
          </w:p>
        </w:tc>
        <w:tc>
          <w:tcPr>
            <w:tcW w:w="837" w:type="dxa"/>
            <w:tcBorders>
              <w:top w:val="nil"/>
              <w:left w:val="nil"/>
              <w:bottom w:val="single" w:sz="4" w:space="0" w:color="auto"/>
              <w:right w:val="nil"/>
            </w:tcBorders>
            <w:shd w:val="clear" w:color="auto" w:fill="auto"/>
            <w:noWrap/>
            <w:vAlign w:val="bottom"/>
            <w:hideMark/>
          </w:tcPr>
          <w:p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395,904 </w:t>
            </w:r>
          </w:p>
        </w:tc>
        <w:tc>
          <w:tcPr>
            <w:tcW w:w="838" w:type="dxa"/>
            <w:tcBorders>
              <w:top w:val="nil"/>
              <w:left w:val="nil"/>
              <w:bottom w:val="single" w:sz="4" w:space="0" w:color="auto"/>
              <w:right w:val="nil"/>
            </w:tcBorders>
            <w:shd w:val="clear" w:color="auto" w:fill="auto"/>
            <w:noWrap/>
            <w:vAlign w:val="bottom"/>
            <w:hideMark/>
          </w:tcPr>
          <w:p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408,780 </w:t>
            </w:r>
          </w:p>
        </w:tc>
      </w:tr>
    </w:tbl>
    <w:p w:rsidR="00342243" w:rsidRPr="00342243" w:rsidRDefault="00342243" w:rsidP="00342243">
      <w:pPr>
        <w:pStyle w:val="ChartandTableFootnote"/>
        <w:rPr>
          <w:lang w:eastAsia="en-AU"/>
        </w:rPr>
      </w:pPr>
      <w:r>
        <w:t>Note: Departmental appropriation splits and totals are indicative estimates and may change in the course of the budget year as government priorities change.</w:t>
      </w:r>
    </w:p>
    <w:p w:rsidR="008F2A2D" w:rsidRPr="008F2A2D" w:rsidRDefault="00342243" w:rsidP="008F2A2D">
      <w:pPr>
        <w:pStyle w:val="TableHeading"/>
        <w:rPr>
          <w:lang w:val="en-AU"/>
        </w:rPr>
      </w:pPr>
      <w:r>
        <w:rPr>
          <w:highlight w:val="yellow"/>
          <w:lang w:val="en-US"/>
        </w:rPr>
        <w:br w:type="page"/>
      </w:r>
      <w:r w:rsidR="008F2A2D" w:rsidRPr="00F71634">
        <w:lastRenderedPageBreak/>
        <w:t>Table 2.</w:t>
      </w:r>
      <w:r w:rsidR="008F2A2D">
        <w:rPr>
          <w:lang w:val="en-AU"/>
        </w:rPr>
        <w:t>1</w:t>
      </w:r>
      <w:r w:rsidR="008F2A2D" w:rsidRPr="00F71634">
        <w:t>.3: Pe</w:t>
      </w:r>
      <w:r w:rsidR="008F2A2D">
        <w:t xml:space="preserve">rformance criteria for Outcome </w:t>
      </w:r>
      <w:r w:rsidR="008F2A2D">
        <w:rPr>
          <w:lang w:val="en-AU"/>
        </w:rPr>
        <w:t>1</w:t>
      </w:r>
    </w:p>
    <w:p w:rsidR="008F2A2D" w:rsidRPr="00F71634" w:rsidRDefault="008F2A2D" w:rsidP="008F2A2D">
      <w:r>
        <w:t>Table 2.1</w:t>
      </w:r>
      <w:r w:rsidRPr="00B166C6">
        <w:t xml:space="preserve">.3 below details the performance criteria for each program associated with Outcome </w:t>
      </w:r>
      <w:r>
        <w:t>1</w:t>
      </w:r>
      <w:r w:rsidRPr="00B166C6">
        <w:t>. It also summarises how each prog</w:t>
      </w:r>
      <w:r>
        <w:t>ram is delivered and where 2018–</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8F2A2D" w:rsidRPr="00F71634" w:rsidTr="008F2A2D">
        <w:trPr>
          <w:tblHeader/>
        </w:trPr>
        <w:tc>
          <w:tcPr>
            <w:tcW w:w="7741" w:type="dxa"/>
            <w:gridSpan w:val="3"/>
            <w:shd w:val="clear" w:color="auto" w:fill="F2F2F2"/>
          </w:tcPr>
          <w:p w:rsidR="008F2A2D" w:rsidRPr="006906E4" w:rsidRDefault="008F2A2D" w:rsidP="008F2A2D">
            <w:pPr>
              <w:pStyle w:val="TableColumnHeadingLeft"/>
            </w:pPr>
            <w:r>
              <w:t>Outcome 1—Support participation and productivity through healthy and safe workplaces that minimise the impact of harm</w:t>
            </w:r>
          </w:p>
        </w:tc>
      </w:tr>
      <w:tr w:rsidR="008F2A2D" w:rsidRPr="00F71634" w:rsidTr="008F2A2D">
        <w:trPr>
          <w:tblHeader/>
        </w:trPr>
        <w:tc>
          <w:tcPr>
            <w:tcW w:w="7741" w:type="dxa"/>
            <w:gridSpan w:val="3"/>
            <w:shd w:val="clear" w:color="auto" w:fill="F2F2F2"/>
          </w:tcPr>
          <w:p w:rsidR="008F2A2D" w:rsidRPr="008F2A2D" w:rsidRDefault="008F2A2D" w:rsidP="008F2A2D">
            <w:pPr>
              <w:pStyle w:val="TableTextLeft"/>
              <w:rPr>
                <w:b/>
              </w:rPr>
            </w:pPr>
            <w:r w:rsidRPr="008F2A2D">
              <w:rPr>
                <w:b/>
              </w:rPr>
              <w:t>Program</w:t>
            </w:r>
            <w:r>
              <w:rPr>
                <w:b/>
              </w:rPr>
              <w:t xml:space="preserve"> Component</w:t>
            </w:r>
            <w:r w:rsidRPr="008F2A2D">
              <w:rPr>
                <w:b/>
              </w:rPr>
              <w:t xml:space="preserve"> 1.1—Work Health, Safety and Rehabilitation Regulation</w:t>
            </w:r>
          </w:p>
          <w:p w:rsidR="008F2A2D" w:rsidRPr="006906E4" w:rsidRDefault="008F2A2D" w:rsidP="008F2A2D">
            <w:pPr>
              <w:pStyle w:val="TableTextLeft"/>
            </w:pPr>
            <w:r>
              <w:t xml:space="preserve">This program component contributes to the outcome by achieving compliance with the SRC Act and WHS Act and regulations. It leads continuous improvements in work health and safety and rehabilitation outcomes. </w:t>
            </w:r>
          </w:p>
        </w:tc>
      </w:tr>
      <w:tr w:rsidR="008F2A2D" w:rsidRPr="00F71634" w:rsidTr="008F2A2D">
        <w:tc>
          <w:tcPr>
            <w:tcW w:w="1276" w:type="dxa"/>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rsidR="008F2A2D" w:rsidRDefault="008F2A2D" w:rsidP="008F2A2D">
            <w:pPr>
              <w:pStyle w:val="TableTextLeft"/>
              <w:rPr>
                <w:color w:val="FF0000"/>
              </w:rPr>
            </w:pPr>
            <w:r w:rsidRPr="007E482B">
              <w:t>Effective National Regulator</w:t>
            </w:r>
            <w:r>
              <w:t>—Achieving safer and healthier workplaces through promoting continuous improvements in work health, safety and rehabilitation practices and monitoring compliance with the law.</w:t>
            </w:r>
          </w:p>
        </w:tc>
      </w:tr>
      <w:tr w:rsidR="008F2A2D" w:rsidRPr="00F71634" w:rsidTr="008F2A2D">
        <w:tc>
          <w:tcPr>
            <w:tcW w:w="1276" w:type="dxa"/>
            <w:tcBorders>
              <w:bottom w:val="doub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8F2A2D" w:rsidRDefault="008F2A2D" w:rsidP="008F2A2D">
            <w:pPr>
              <w:pStyle w:val="TableTextLeft"/>
            </w:pPr>
            <w:r>
              <w:t xml:space="preserve">Comcare will foster and monitor continuous improvement and WHS compliance across the jurisdiction. Delivery of effective and consistent compliance enforcement activities. </w:t>
            </w:r>
          </w:p>
        </w:tc>
      </w:tr>
      <w:tr w:rsidR="008F2A2D" w:rsidRPr="00F71634" w:rsidTr="008F2A2D">
        <w:tc>
          <w:tcPr>
            <w:tcW w:w="7741" w:type="dxa"/>
            <w:gridSpan w:val="3"/>
            <w:tcBorders>
              <w:top w:val="double" w:sz="4" w:space="0" w:color="auto"/>
              <w:bottom w:val="doub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8F2A2D" w:rsidRPr="00F71634" w:rsidTr="008F2A2D">
        <w:tc>
          <w:tcPr>
            <w:tcW w:w="1276" w:type="dxa"/>
            <w:tcBorders>
              <w:top w:val="double" w:sz="4" w:space="0" w:color="auto"/>
              <w:bottom w:val="single" w:sz="4" w:space="0" w:color="auto"/>
              <w:right w:val="sing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8F2A2D" w:rsidRPr="00F71634" w:rsidTr="008F2A2D">
        <w:trPr>
          <w:trHeight w:val="60"/>
        </w:trPr>
        <w:tc>
          <w:tcPr>
            <w:tcW w:w="1276" w:type="dxa"/>
            <w:tcBorders>
              <w:top w:val="single" w:sz="4" w:space="0" w:color="auto"/>
              <w:bottom w:val="nil"/>
              <w:right w:val="single" w:sz="4" w:space="0" w:color="auto"/>
            </w:tcBorders>
          </w:tcPr>
          <w:p w:rsidR="008F2A2D" w:rsidRPr="006906E4" w:rsidRDefault="008F2A2D" w:rsidP="008F2A2D">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rsidR="008F2A2D" w:rsidRDefault="008F2A2D" w:rsidP="008F2A2D">
            <w:pPr>
              <w:pStyle w:val="TableTextLeft"/>
            </w:pPr>
            <w:r>
              <w:t>Our proactive regulatory reach is extended to all entities in our scheme, to further our breadth of activities both in cities and remote workplaces, and ensure we have increased the number of act</w:t>
            </w:r>
            <w:r w:rsidR="00747FC3">
              <w:t>ive relationships with entities</w:t>
            </w:r>
          </w:p>
        </w:tc>
        <w:tc>
          <w:tcPr>
            <w:tcW w:w="2565" w:type="dxa"/>
            <w:tcBorders>
              <w:top w:val="single" w:sz="4" w:space="0" w:color="auto"/>
              <w:left w:val="single" w:sz="4" w:space="0" w:color="auto"/>
              <w:bottom w:val="dotted" w:sz="4" w:space="0" w:color="auto"/>
            </w:tcBorders>
          </w:tcPr>
          <w:p w:rsidR="008F2A2D" w:rsidRDefault="008F2A2D" w:rsidP="008F2A2D">
            <w:pPr>
              <w:pStyle w:val="TableTextLeft"/>
              <w:rPr>
                <w:b/>
              </w:rPr>
            </w:pPr>
            <w:r>
              <w:rPr>
                <w:b/>
              </w:rPr>
              <w:t xml:space="preserve">Assessment: </w:t>
            </w:r>
            <w:r>
              <w:t>On track</w:t>
            </w:r>
          </w:p>
        </w:tc>
      </w:tr>
      <w:tr w:rsidR="008F2A2D" w:rsidRPr="00F71634" w:rsidTr="008F2A2D">
        <w:tc>
          <w:tcPr>
            <w:tcW w:w="1276" w:type="dxa"/>
            <w:tcBorders>
              <w:top w:val="nil"/>
              <w:bottom w:val="nil"/>
              <w:right w:val="single" w:sz="4" w:space="0" w:color="auto"/>
            </w:tcBorders>
          </w:tcPr>
          <w:p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8F2A2D" w:rsidRDefault="008F2A2D" w:rsidP="008F2A2D">
            <w:pPr>
              <w:pStyle w:val="TableTextLeft"/>
            </w:pPr>
            <w:r>
              <w:t>Our approach improves WHS outcomes in workplaces, measured by increased knowledge, awareness and compliance to ensure regulatory intervent</w:t>
            </w:r>
            <w:r w:rsidR="00747FC3">
              <w:t>ion makes a positive difference</w:t>
            </w:r>
          </w:p>
        </w:tc>
        <w:tc>
          <w:tcPr>
            <w:tcW w:w="2565" w:type="dxa"/>
            <w:tcBorders>
              <w:top w:val="dotted" w:sz="4" w:space="0" w:color="auto"/>
              <w:left w:val="single" w:sz="4" w:space="0" w:color="auto"/>
              <w:bottom w:val="dotted" w:sz="4" w:space="0" w:color="auto"/>
            </w:tcBorders>
          </w:tcPr>
          <w:p w:rsidR="008F2A2D" w:rsidRDefault="008F2A2D" w:rsidP="008F2A2D">
            <w:pPr>
              <w:pStyle w:val="TableTextLeft"/>
              <w:rPr>
                <w:i/>
              </w:rPr>
            </w:pPr>
            <w:r>
              <w:rPr>
                <w:b/>
              </w:rPr>
              <w:t xml:space="preserve">Assessment: </w:t>
            </w:r>
            <w:r>
              <w:t>On track</w:t>
            </w:r>
          </w:p>
        </w:tc>
      </w:tr>
      <w:tr w:rsidR="008F2A2D" w:rsidRPr="00F71634" w:rsidTr="008F2A2D">
        <w:tc>
          <w:tcPr>
            <w:tcW w:w="1276" w:type="dxa"/>
            <w:tcBorders>
              <w:top w:val="nil"/>
              <w:bottom w:val="single" w:sz="4" w:space="0" w:color="auto"/>
              <w:right w:val="single" w:sz="4" w:space="0" w:color="auto"/>
            </w:tcBorders>
          </w:tcPr>
          <w:p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8F2A2D" w:rsidRDefault="008F2A2D" w:rsidP="008F2A2D">
            <w:pPr>
              <w:pStyle w:val="TableTextLeft"/>
            </w:pPr>
            <w:r>
              <w:t>A sustained high level of satisfaction and engagement with services provided, measured by survey, to ensure regulatory actions are appro</w:t>
            </w:r>
            <w:r w:rsidR="00747FC3">
              <w:t>priate, responsive and relevant</w:t>
            </w:r>
          </w:p>
        </w:tc>
        <w:tc>
          <w:tcPr>
            <w:tcW w:w="2565" w:type="dxa"/>
            <w:tcBorders>
              <w:top w:val="dotted" w:sz="4" w:space="0" w:color="auto"/>
              <w:left w:val="single" w:sz="4" w:space="0" w:color="auto"/>
              <w:bottom w:val="single" w:sz="4" w:space="0" w:color="auto"/>
            </w:tcBorders>
          </w:tcPr>
          <w:p w:rsidR="008F2A2D" w:rsidRDefault="008F2A2D" w:rsidP="008F2A2D">
            <w:pPr>
              <w:pStyle w:val="TableTextLeft"/>
              <w:rPr>
                <w:i/>
              </w:rPr>
            </w:pPr>
            <w:r>
              <w:rPr>
                <w:b/>
              </w:rPr>
              <w:t xml:space="preserve">Assessment: </w:t>
            </w:r>
            <w:r>
              <w:t>On track</w:t>
            </w:r>
          </w:p>
        </w:tc>
      </w:tr>
      <w:tr w:rsidR="008F2A2D" w:rsidRPr="00F71634" w:rsidTr="008F2A2D">
        <w:tc>
          <w:tcPr>
            <w:tcW w:w="1276" w:type="dxa"/>
            <w:tcBorders>
              <w:top w:val="single" w:sz="4" w:space="0" w:color="auto"/>
              <w:bottom w:val="nil"/>
              <w:right w:val="single" w:sz="4" w:space="0" w:color="auto"/>
            </w:tcBorders>
          </w:tcPr>
          <w:p w:rsidR="008F2A2D" w:rsidRPr="006906E4" w:rsidRDefault="008F2A2D" w:rsidP="008F2A2D">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rsidR="008F2A2D" w:rsidRDefault="008F2A2D" w:rsidP="008F2A2D">
            <w:pPr>
              <w:pStyle w:val="TableTextLeft"/>
            </w:pPr>
            <w:r>
              <w:t>Our proactive regulatory reach is extended to all entities in our scheme, to further our breadth of activities both in cities and remote workplaces, and ensure we have increased the number of act</w:t>
            </w:r>
            <w:r w:rsidR="00747FC3">
              <w:t>ive relationships with entities</w:t>
            </w:r>
          </w:p>
        </w:tc>
        <w:tc>
          <w:tcPr>
            <w:tcW w:w="2565" w:type="dxa"/>
            <w:tcBorders>
              <w:top w:val="single" w:sz="4" w:space="0" w:color="auto"/>
              <w:left w:val="single" w:sz="4" w:space="0" w:color="auto"/>
              <w:bottom w:val="dotted" w:sz="4" w:space="0" w:color="auto"/>
            </w:tcBorders>
          </w:tcPr>
          <w:p w:rsidR="008F2A2D" w:rsidRDefault="008F2A2D" w:rsidP="008F2A2D">
            <w:pPr>
              <w:pStyle w:val="TableTextLeft"/>
            </w:pPr>
            <w:r>
              <w:t>Regulator interaction with</w:t>
            </w:r>
            <w:r w:rsidR="00747FC3">
              <w:t xml:space="preserve"> 100% of entities in our scheme</w:t>
            </w:r>
          </w:p>
        </w:tc>
      </w:tr>
      <w:tr w:rsidR="008F2A2D" w:rsidRPr="00F71634" w:rsidTr="008F2A2D">
        <w:tc>
          <w:tcPr>
            <w:tcW w:w="1276" w:type="dxa"/>
            <w:tcBorders>
              <w:top w:val="nil"/>
              <w:bottom w:val="nil"/>
              <w:right w:val="single" w:sz="4" w:space="0" w:color="auto"/>
            </w:tcBorders>
          </w:tcPr>
          <w:p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8F2A2D" w:rsidRDefault="008F2A2D" w:rsidP="008F2A2D">
            <w:pPr>
              <w:pStyle w:val="TableTextLeft"/>
            </w:pPr>
            <w:r>
              <w:t>Our approach improves WHS outcomes in workplaces, measured by increased knowledge, awareness and compliance to ensure regulatory intervent</w:t>
            </w:r>
            <w:r w:rsidR="00747FC3">
              <w:t>ion makes a positive difference</w:t>
            </w:r>
          </w:p>
        </w:tc>
        <w:tc>
          <w:tcPr>
            <w:tcW w:w="2565" w:type="dxa"/>
            <w:tcBorders>
              <w:top w:val="dotted" w:sz="4" w:space="0" w:color="auto"/>
              <w:left w:val="single" w:sz="4" w:space="0" w:color="auto"/>
              <w:bottom w:val="dotted" w:sz="4" w:space="0" w:color="auto"/>
            </w:tcBorders>
          </w:tcPr>
          <w:p w:rsidR="008F2A2D" w:rsidRDefault="008F2A2D" w:rsidP="008F2A2D">
            <w:pPr>
              <w:pStyle w:val="TableTextLeft"/>
            </w:pPr>
            <w:r>
              <w:t>80% of surveyed workplaces have improved WHS outcomes fo</w:t>
            </w:r>
            <w:r w:rsidR="00747FC3">
              <w:t>llowing regulatory intervention</w:t>
            </w:r>
          </w:p>
        </w:tc>
      </w:tr>
      <w:tr w:rsidR="008F2A2D" w:rsidRPr="00F71634" w:rsidTr="00931196">
        <w:tc>
          <w:tcPr>
            <w:tcW w:w="1276" w:type="dxa"/>
            <w:tcBorders>
              <w:top w:val="nil"/>
              <w:bottom w:val="single" w:sz="4" w:space="0" w:color="auto"/>
              <w:right w:val="single" w:sz="4" w:space="0" w:color="auto"/>
            </w:tcBorders>
          </w:tcPr>
          <w:p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8F2A2D" w:rsidRDefault="008F2A2D" w:rsidP="008F2A2D">
            <w:pPr>
              <w:pStyle w:val="TableTextLeft"/>
            </w:pPr>
            <w:r>
              <w:t>A sustained high level of satisfaction and engagement with services provided, measured by survey, to ensure regulatory actions are appro</w:t>
            </w:r>
            <w:r w:rsidR="00747FC3">
              <w:t>priate, responsive and relevant</w:t>
            </w:r>
          </w:p>
        </w:tc>
        <w:tc>
          <w:tcPr>
            <w:tcW w:w="2565" w:type="dxa"/>
            <w:tcBorders>
              <w:top w:val="dotted" w:sz="4" w:space="0" w:color="auto"/>
              <w:left w:val="single" w:sz="4" w:space="0" w:color="auto"/>
              <w:bottom w:val="single" w:sz="4" w:space="0" w:color="auto"/>
            </w:tcBorders>
          </w:tcPr>
          <w:p w:rsidR="008F2A2D" w:rsidRDefault="008F2A2D" w:rsidP="008F2A2D">
            <w:pPr>
              <w:pStyle w:val="TableTextLeft"/>
            </w:pPr>
            <w:r>
              <w:t>Sat</w:t>
            </w:r>
            <w:r w:rsidR="00747FC3">
              <w:t>isfaction rating of 85% or more</w:t>
            </w:r>
          </w:p>
        </w:tc>
      </w:tr>
      <w:tr w:rsidR="008F2A2D" w:rsidRPr="00F71634" w:rsidTr="00931196">
        <w:tc>
          <w:tcPr>
            <w:tcW w:w="1276" w:type="dxa"/>
            <w:tcBorders>
              <w:top w:val="single" w:sz="4" w:space="0" w:color="auto"/>
              <w:bottom w:val="dotted" w:sz="4" w:space="0" w:color="auto"/>
              <w:right w:val="single" w:sz="4" w:space="0" w:color="auto"/>
            </w:tcBorders>
          </w:tcPr>
          <w:p w:rsidR="008F2A2D" w:rsidRPr="006906E4" w:rsidRDefault="008F2A2D" w:rsidP="008F2A2D">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rsidR="008F2A2D" w:rsidRDefault="008F2A2D" w:rsidP="008F2A2D">
            <w:pPr>
              <w:pStyle w:val="TableTextLeft"/>
            </w:pPr>
            <w:r>
              <w:t>Our proactive regulatory reach is extended to all entities in our scheme, to further our breadth of activities both in cities and remote workplaces, and ensure we have increased the number of act</w:t>
            </w:r>
            <w:r w:rsidR="00747FC3">
              <w:t>ive relationships with entities</w:t>
            </w:r>
          </w:p>
        </w:tc>
        <w:tc>
          <w:tcPr>
            <w:tcW w:w="2565" w:type="dxa"/>
            <w:tcBorders>
              <w:top w:val="single" w:sz="4" w:space="0" w:color="auto"/>
              <w:left w:val="single" w:sz="4" w:space="0" w:color="auto"/>
              <w:bottom w:val="dotted" w:sz="4" w:space="0" w:color="auto"/>
            </w:tcBorders>
          </w:tcPr>
          <w:p w:rsidR="008F2A2D" w:rsidRDefault="008F2A2D" w:rsidP="008F2A2D">
            <w:pPr>
              <w:pStyle w:val="TableTextLeft"/>
            </w:pPr>
            <w:r>
              <w:t>Regulator interaction with</w:t>
            </w:r>
            <w:r w:rsidR="00747FC3">
              <w:t xml:space="preserve"> 100% of entities in our scheme</w:t>
            </w:r>
          </w:p>
        </w:tc>
      </w:tr>
      <w:tr w:rsidR="008F2A2D" w:rsidRPr="00F71634" w:rsidTr="00931196">
        <w:tc>
          <w:tcPr>
            <w:tcW w:w="1276" w:type="dxa"/>
            <w:tcBorders>
              <w:top w:val="dotted" w:sz="4" w:space="0" w:color="auto"/>
              <w:bottom w:val="nil"/>
              <w:right w:val="single" w:sz="4" w:space="0" w:color="auto"/>
            </w:tcBorders>
          </w:tcPr>
          <w:p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8F2A2D" w:rsidRDefault="008F2A2D" w:rsidP="008F2A2D">
            <w:pPr>
              <w:pStyle w:val="TableTextLeft"/>
            </w:pPr>
            <w:r>
              <w:t>Our approach improves WHS outcomes in workplaces, measured by increased knowledge, awareness and compliance to ensure regulatory intervent</w:t>
            </w:r>
            <w:r w:rsidR="00747FC3">
              <w:t>ion makes a positive difference</w:t>
            </w:r>
          </w:p>
        </w:tc>
        <w:tc>
          <w:tcPr>
            <w:tcW w:w="2565" w:type="dxa"/>
            <w:tcBorders>
              <w:top w:val="dotted" w:sz="4" w:space="0" w:color="auto"/>
              <w:left w:val="single" w:sz="4" w:space="0" w:color="auto"/>
              <w:bottom w:val="dotted" w:sz="4" w:space="0" w:color="auto"/>
            </w:tcBorders>
          </w:tcPr>
          <w:p w:rsidR="008F2A2D" w:rsidRDefault="008F2A2D" w:rsidP="008F2A2D">
            <w:pPr>
              <w:pStyle w:val="TableTextLeft"/>
            </w:pPr>
            <w:r>
              <w:t>85% of surveyed workplaces have improved WHS outcomes fo</w:t>
            </w:r>
            <w:r w:rsidR="00747FC3">
              <w:t>llowing regulatory intervention</w:t>
            </w:r>
          </w:p>
        </w:tc>
      </w:tr>
      <w:tr w:rsidR="008F2A2D" w:rsidRPr="00F71634" w:rsidTr="008F2A2D">
        <w:tc>
          <w:tcPr>
            <w:tcW w:w="1276" w:type="dxa"/>
            <w:tcBorders>
              <w:top w:val="nil"/>
              <w:right w:val="single" w:sz="4" w:space="0" w:color="auto"/>
            </w:tcBorders>
          </w:tcPr>
          <w:p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right w:val="single" w:sz="4" w:space="0" w:color="auto"/>
            </w:tcBorders>
          </w:tcPr>
          <w:p w:rsidR="008F2A2D" w:rsidRDefault="008F2A2D" w:rsidP="008F2A2D">
            <w:pPr>
              <w:pStyle w:val="TableTextLeft"/>
            </w:pPr>
            <w:r>
              <w:t>A sustained high level of satisfaction and engagement with services provided, measured by survey, to ensure regulatory actions are appro</w:t>
            </w:r>
            <w:r w:rsidR="00747FC3">
              <w:t>priate, responsive and relevant</w:t>
            </w:r>
          </w:p>
        </w:tc>
        <w:tc>
          <w:tcPr>
            <w:tcW w:w="2565" w:type="dxa"/>
            <w:tcBorders>
              <w:top w:val="dotted" w:sz="4" w:space="0" w:color="auto"/>
              <w:left w:val="single" w:sz="4" w:space="0" w:color="auto"/>
            </w:tcBorders>
          </w:tcPr>
          <w:p w:rsidR="008F2A2D" w:rsidRDefault="008F2A2D" w:rsidP="008F2A2D">
            <w:pPr>
              <w:pStyle w:val="TableTextLeft"/>
            </w:pPr>
            <w:r>
              <w:t>Sat</w:t>
            </w:r>
            <w:r w:rsidR="00747FC3">
              <w:t>isfaction rating of 85% or more</w:t>
            </w:r>
          </w:p>
        </w:tc>
      </w:tr>
      <w:tr w:rsidR="008F2A2D" w:rsidRPr="008F2A2D" w:rsidTr="008F2A2D">
        <w:tc>
          <w:tcPr>
            <w:tcW w:w="7741" w:type="dxa"/>
            <w:gridSpan w:val="3"/>
          </w:tcPr>
          <w:p w:rsidR="008F2A2D" w:rsidRPr="008F2A2D" w:rsidRDefault="008F2A2D" w:rsidP="008F2A2D">
            <w:pPr>
              <w:pStyle w:val="TableTextLeft"/>
              <w:rPr>
                <w:rStyle w:val="BodyTextChar"/>
                <w:rFonts w:ascii="Arial" w:hAnsi="Arial"/>
                <w:b/>
                <w:sz w:val="17"/>
                <w:szCs w:val="20"/>
                <w:lang w:eastAsia="en-AU"/>
              </w:rPr>
            </w:pPr>
            <w:r w:rsidRPr="008F2A2D">
              <w:rPr>
                <w:rStyle w:val="BodyTextChar"/>
                <w:rFonts w:ascii="Arial" w:hAnsi="Arial"/>
                <w:b/>
                <w:sz w:val="17"/>
                <w:szCs w:val="20"/>
                <w:lang w:eastAsia="en-AU"/>
              </w:rPr>
              <w:t xml:space="preserve">Material changes to Program </w:t>
            </w:r>
            <w:r>
              <w:rPr>
                <w:rStyle w:val="BodyTextChar"/>
                <w:rFonts w:ascii="Arial" w:hAnsi="Arial"/>
                <w:b/>
                <w:sz w:val="17"/>
                <w:szCs w:val="20"/>
                <w:lang w:eastAsia="en-AU"/>
              </w:rPr>
              <w:t>Component 1</w:t>
            </w:r>
            <w:r w:rsidRPr="008F2A2D">
              <w:rPr>
                <w:rStyle w:val="BodyTextChar"/>
                <w:rFonts w:ascii="Arial" w:hAnsi="Arial"/>
                <w:b/>
                <w:sz w:val="17"/>
                <w:szCs w:val="20"/>
                <w:lang w:eastAsia="en-AU"/>
              </w:rPr>
              <w:t>.1 resulting from the following measures:</w:t>
            </w:r>
          </w:p>
          <w:p w:rsidR="008F2A2D" w:rsidRPr="008F2A2D" w:rsidRDefault="008F2A2D" w:rsidP="008F2A2D">
            <w:pPr>
              <w:pStyle w:val="TableTextLeft"/>
            </w:pPr>
            <w:r w:rsidRPr="008F2A2D">
              <w:rPr>
                <w:rStyle w:val="BodyTextChar"/>
                <w:rFonts w:ascii="Arial" w:hAnsi="Arial"/>
                <w:sz w:val="17"/>
                <w:szCs w:val="20"/>
                <w:lang w:eastAsia="en-AU"/>
              </w:rPr>
              <w:t>Nil</w:t>
            </w:r>
          </w:p>
        </w:tc>
      </w:tr>
    </w:tbl>
    <w:p w:rsidR="008F2A2D" w:rsidRDefault="008F2A2D" w:rsidP="0055067B">
      <w:pPr>
        <w:spacing w:after="120"/>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8F2A2D" w:rsidRPr="00F71634" w:rsidTr="008F2A2D">
        <w:trPr>
          <w:tblHeader/>
        </w:trPr>
        <w:tc>
          <w:tcPr>
            <w:tcW w:w="7741" w:type="dxa"/>
            <w:gridSpan w:val="3"/>
            <w:shd w:val="clear" w:color="auto" w:fill="F2F2F2"/>
          </w:tcPr>
          <w:p w:rsidR="008F2A2D" w:rsidRPr="008F2A2D" w:rsidRDefault="008F2A2D" w:rsidP="008F2A2D">
            <w:pPr>
              <w:pStyle w:val="TableTextLeft"/>
              <w:rPr>
                <w:b/>
              </w:rPr>
            </w:pPr>
            <w:r w:rsidRPr="008F2A2D">
              <w:rPr>
                <w:b/>
              </w:rPr>
              <w:t xml:space="preserve">Program Component 1.2—Comcare Workers’ Compensation Scheme Management </w:t>
            </w:r>
          </w:p>
          <w:p w:rsidR="008F2A2D" w:rsidRPr="006906E4" w:rsidRDefault="008F2A2D" w:rsidP="008F2A2D">
            <w:pPr>
              <w:pStyle w:val="TableTextLeft"/>
            </w:pPr>
            <w:r>
              <w:t>National leader in the design, implementation and management of the national schemes that improves work health, safety and rehabilitation outcomes.</w:t>
            </w:r>
          </w:p>
        </w:tc>
      </w:tr>
      <w:tr w:rsidR="008F2A2D" w:rsidRPr="00F71634" w:rsidTr="008F2A2D">
        <w:tc>
          <w:tcPr>
            <w:tcW w:w="1276" w:type="dxa"/>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rsidR="008F2A2D" w:rsidRDefault="008F2A2D" w:rsidP="008F2A2D">
            <w:pPr>
              <w:pStyle w:val="TableTextLeft"/>
            </w:pPr>
            <w:r w:rsidRPr="007E482B">
              <w:t>Excellent in Scheme Design and Management</w:t>
            </w:r>
            <w:r>
              <w:t>—Excellence in scheme design and management to achieve sustainable and better national schemes.</w:t>
            </w:r>
          </w:p>
        </w:tc>
      </w:tr>
      <w:tr w:rsidR="008F2A2D" w:rsidRPr="00F71634" w:rsidTr="008F2A2D">
        <w:tc>
          <w:tcPr>
            <w:tcW w:w="1276" w:type="dxa"/>
            <w:tcBorders>
              <w:bottom w:val="doub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8F2A2D" w:rsidRDefault="008F2A2D" w:rsidP="008F2A2D">
            <w:pPr>
              <w:pStyle w:val="TableTextLeft"/>
            </w:pPr>
            <w:r>
              <w:t>Leadership of the scheme, provision of high quality advice and assistance, increase knowledge and understanding of the scheme requirements, provide quality analysis and insights that highlight emerging risks and trends. Transparent pricing of the scheme management, regulatory function and develop i</w:t>
            </w:r>
            <w:r w:rsidR="00797B21">
              <w:t>nnovative policies and program</w:t>
            </w:r>
            <w:r>
              <w:t xml:space="preserve">s. </w:t>
            </w:r>
          </w:p>
        </w:tc>
      </w:tr>
      <w:tr w:rsidR="008F2A2D" w:rsidRPr="00F71634" w:rsidTr="008F2A2D">
        <w:tc>
          <w:tcPr>
            <w:tcW w:w="7741" w:type="dxa"/>
            <w:gridSpan w:val="3"/>
            <w:tcBorders>
              <w:top w:val="double" w:sz="4" w:space="0" w:color="auto"/>
              <w:bottom w:val="doub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8F2A2D" w:rsidRPr="00F71634" w:rsidTr="008F2A2D">
        <w:tc>
          <w:tcPr>
            <w:tcW w:w="1276" w:type="dxa"/>
            <w:tcBorders>
              <w:top w:val="double" w:sz="4" w:space="0" w:color="auto"/>
              <w:bottom w:val="single" w:sz="4" w:space="0" w:color="auto"/>
              <w:right w:val="sing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8F2A2D" w:rsidRPr="00F71634" w:rsidTr="008F2A2D">
        <w:trPr>
          <w:trHeight w:val="60"/>
        </w:trPr>
        <w:tc>
          <w:tcPr>
            <w:tcW w:w="1276" w:type="dxa"/>
            <w:tcBorders>
              <w:top w:val="single" w:sz="4" w:space="0" w:color="auto"/>
              <w:bottom w:val="nil"/>
              <w:right w:val="single" w:sz="4" w:space="0" w:color="auto"/>
            </w:tcBorders>
          </w:tcPr>
          <w:p w:rsidR="008F2A2D" w:rsidRPr="006906E4" w:rsidRDefault="008F2A2D" w:rsidP="008F2A2D">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rsidR="008F2A2D" w:rsidRDefault="008F2A2D">
            <w:pPr>
              <w:tabs>
                <w:tab w:val="left" w:pos="709"/>
              </w:tabs>
              <w:spacing w:before="60" w:after="60" w:line="240" w:lineRule="auto"/>
              <w:rPr>
                <w:rFonts w:ascii="Arial" w:hAnsi="Arial" w:cs="Arial"/>
                <w:color w:val="000000"/>
                <w:sz w:val="16"/>
                <w:szCs w:val="16"/>
              </w:rPr>
            </w:pPr>
            <w:r>
              <w:rPr>
                <w:rFonts w:ascii="Arial" w:hAnsi="Arial" w:cs="Arial"/>
                <w:color w:val="000000"/>
                <w:sz w:val="16"/>
                <w:szCs w:val="16"/>
              </w:rPr>
              <w:t>Return to work rates developed through the existing biennial Return to Work Survey indicating the r</w:t>
            </w:r>
            <w:r w:rsidR="00747FC3">
              <w:rPr>
                <w:rFonts w:ascii="Arial" w:hAnsi="Arial" w:cs="Arial"/>
                <w:color w:val="000000"/>
                <w:sz w:val="16"/>
                <w:szCs w:val="16"/>
              </w:rPr>
              <w:t>ehabilitation outcomes achieved</w:t>
            </w:r>
          </w:p>
        </w:tc>
        <w:tc>
          <w:tcPr>
            <w:tcW w:w="2565" w:type="dxa"/>
            <w:tcBorders>
              <w:top w:val="single" w:sz="4" w:space="0" w:color="auto"/>
              <w:left w:val="single" w:sz="4" w:space="0" w:color="auto"/>
              <w:bottom w:val="dotted" w:sz="4" w:space="0" w:color="auto"/>
            </w:tcBorders>
          </w:tcPr>
          <w:p w:rsidR="008F2A2D" w:rsidRDefault="008F2A2D">
            <w:pPr>
              <w:tabs>
                <w:tab w:val="left" w:pos="709"/>
              </w:tabs>
              <w:spacing w:before="60" w:after="60" w:line="240" w:lineRule="auto"/>
              <w:rPr>
                <w:rFonts w:ascii="Arial" w:hAnsi="Arial" w:cs="Arial"/>
                <w:b/>
                <w:color w:val="000000"/>
                <w:sz w:val="16"/>
                <w:szCs w:val="16"/>
              </w:rPr>
            </w:pPr>
            <w:r>
              <w:rPr>
                <w:rFonts w:ascii="Arial" w:hAnsi="Arial" w:cs="Arial"/>
                <w:b/>
                <w:color w:val="000000"/>
                <w:sz w:val="16"/>
                <w:szCs w:val="16"/>
              </w:rPr>
              <w:t xml:space="preserve">Assessment: </w:t>
            </w:r>
            <w:r>
              <w:rPr>
                <w:rFonts w:ascii="Arial" w:hAnsi="Arial" w:cs="Arial"/>
                <w:color w:val="000000"/>
                <w:sz w:val="16"/>
                <w:szCs w:val="16"/>
              </w:rPr>
              <w:t>On track</w:t>
            </w:r>
          </w:p>
        </w:tc>
      </w:tr>
      <w:tr w:rsidR="008F2A2D" w:rsidRPr="00F71634" w:rsidTr="008F2A2D">
        <w:tc>
          <w:tcPr>
            <w:tcW w:w="1276" w:type="dxa"/>
            <w:tcBorders>
              <w:top w:val="nil"/>
              <w:bottom w:val="nil"/>
              <w:right w:val="single" w:sz="4" w:space="0" w:color="auto"/>
            </w:tcBorders>
          </w:tcPr>
          <w:p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8F2A2D" w:rsidRDefault="008F2A2D">
            <w:pPr>
              <w:spacing w:before="60" w:after="60" w:line="240" w:lineRule="auto"/>
              <w:rPr>
                <w:rFonts w:ascii="Arial" w:hAnsi="Arial" w:cs="Arial"/>
                <w:color w:val="000000"/>
                <w:sz w:val="16"/>
                <w:szCs w:val="16"/>
              </w:rPr>
            </w:pPr>
            <w:r>
              <w:rPr>
                <w:rFonts w:ascii="Arial" w:hAnsi="Arial" w:cs="Arial"/>
                <w:color w:val="000000"/>
                <w:sz w:val="16"/>
                <w:szCs w:val="16"/>
              </w:rPr>
              <w:t>Improve the financial sustainability of the scheme me</w:t>
            </w:r>
            <w:r w:rsidR="00747FC3">
              <w:rPr>
                <w:rFonts w:ascii="Arial" w:hAnsi="Arial" w:cs="Arial"/>
                <w:color w:val="000000"/>
                <w:sz w:val="16"/>
                <w:szCs w:val="16"/>
              </w:rPr>
              <w:t>asured by notional premium rate</w:t>
            </w:r>
          </w:p>
        </w:tc>
        <w:tc>
          <w:tcPr>
            <w:tcW w:w="2565" w:type="dxa"/>
            <w:tcBorders>
              <w:top w:val="dotted" w:sz="4" w:space="0" w:color="auto"/>
              <w:left w:val="single" w:sz="4" w:space="0" w:color="auto"/>
              <w:bottom w:val="dotted" w:sz="4" w:space="0" w:color="auto"/>
            </w:tcBorders>
          </w:tcPr>
          <w:p w:rsidR="008F2A2D" w:rsidRDefault="008F2A2D">
            <w:pPr>
              <w:tabs>
                <w:tab w:val="left" w:pos="709"/>
              </w:tabs>
              <w:spacing w:before="60" w:after="60" w:line="240" w:lineRule="auto"/>
              <w:rPr>
                <w:rFonts w:ascii="Arial" w:hAnsi="Arial" w:cs="Arial"/>
                <w:i/>
                <w:color w:val="000000"/>
                <w:sz w:val="16"/>
                <w:szCs w:val="16"/>
              </w:rPr>
            </w:pPr>
            <w:r>
              <w:rPr>
                <w:rFonts w:ascii="Arial" w:hAnsi="Arial" w:cs="Arial"/>
                <w:b/>
                <w:color w:val="000000"/>
                <w:sz w:val="16"/>
                <w:szCs w:val="16"/>
              </w:rPr>
              <w:t xml:space="preserve">Assessment: </w:t>
            </w:r>
            <w:r>
              <w:rPr>
                <w:rFonts w:ascii="Arial" w:hAnsi="Arial" w:cs="Arial"/>
                <w:color w:val="000000"/>
                <w:sz w:val="16"/>
                <w:szCs w:val="16"/>
              </w:rPr>
              <w:t>On track</w:t>
            </w:r>
          </w:p>
        </w:tc>
      </w:tr>
      <w:tr w:rsidR="008F2A2D" w:rsidRPr="00F71634" w:rsidTr="008F2A2D">
        <w:tc>
          <w:tcPr>
            <w:tcW w:w="1276" w:type="dxa"/>
            <w:tcBorders>
              <w:top w:val="nil"/>
              <w:bottom w:val="single" w:sz="4" w:space="0" w:color="auto"/>
              <w:right w:val="single" w:sz="4" w:space="0" w:color="auto"/>
            </w:tcBorders>
          </w:tcPr>
          <w:p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8F2A2D" w:rsidRDefault="008F2A2D">
            <w:pPr>
              <w:spacing w:before="60" w:after="60" w:line="240" w:lineRule="auto"/>
              <w:rPr>
                <w:rFonts w:ascii="Arial" w:hAnsi="Arial" w:cs="Arial"/>
                <w:color w:val="000000"/>
                <w:sz w:val="16"/>
                <w:szCs w:val="16"/>
              </w:rPr>
            </w:pPr>
            <w:r>
              <w:rPr>
                <w:rFonts w:ascii="Arial" w:hAnsi="Arial" w:cs="Arial"/>
                <w:color w:val="000000"/>
                <w:sz w:val="16"/>
                <w:szCs w:val="16"/>
              </w:rPr>
              <w:t>Better practice scheme management assessed through qualit</w:t>
            </w:r>
            <w:r w:rsidR="00747FC3">
              <w:rPr>
                <w:rFonts w:ascii="Arial" w:hAnsi="Arial" w:cs="Arial"/>
                <w:color w:val="000000"/>
                <w:sz w:val="16"/>
                <w:szCs w:val="16"/>
              </w:rPr>
              <w:t>ative review</w:t>
            </w:r>
          </w:p>
        </w:tc>
        <w:tc>
          <w:tcPr>
            <w:tcW w:w="2565" w:type="dxa"/>
            <w:tcBorders>
              <w:top w:val="dotted" w:sz="4" w:space="0" w:color="auto"/>
              <w:left w:val="single" w:sz="4" w:space="0" w:color="auto"/>
              <w:bottom w:val="single" w:sz="4" w:space="0" w:color="auto"/>
            </w:tcBorders>
          </w:tcPr>
          <w:p w:rsidR="008F2A2D" w:rsidRDefault="008F2A2D">
            <w:pPr>
              <w:tabs>
                <w:tab w:val="left" w:pos="709"/>
              </w:tabs>
              <w:spacing w:before="60" w:after="60" w:line="240" w:lineRule="auto"/>
              <w:rPr>
                <w:rFonts w:ascii="Arial" w:hAnsi="Arial" w:cs="Arial"/>
                <w:i/>
                <w:color w:val="000000"/>
                <w:sz w:val="16"/>
                <w:szCs w:val="16"/>
              </w:rPr>
            </w:pPr>
            <w:r>
              <w:rPr>
                <w:rFonts w:ascii="Arial" w:hAnsi="Arial" w:cs="Arial"/>
                <w:b/>
                <w:color w:val="000000"/>
                <w:sz w:val="16"/>
                <w:szCs w:val="16"/>
              </w:rPr>
              <w:t xml:space="preserve">Assessment: </w:t>
            </w:r>
            <w:r>
              <w:rPr>
                <w:rFonts w:ascii="Arial" w:hAnsi="Arial" w:cs="Arial"/>
                <w:color w:val="000000"/>
                <w:sz w:val="16"/>
                <w:szCs w:val="16"/>
              </w:rPr>
              <w:t>On track</w:t>
            </w:r>
          </w:p>
        </w:tc>
      </w:tr>
      <w:tr w:rsidR="001405B1" w:rsidRPr="00F71634" w:rsidTr="008F2A2D">
        <w:tc>
          <w:tcPr>
            <w:tcW w:w="1276" w:type="dxa"/>
            <w:tcBorders>
              <w:top w:val="single" w:sz="4" w:space="0" w:color="auto"/>
              <w:bottom w:val="nil"/>
              <w:right w:val="single" w:sz="4" w:space="0" w:color="auto"/>
            </w:tcBorders>
          </w:tcPr>
          <w:p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rsidR="001405B1" w:rsidRDefault="001405B1" w:rsidP="001405B1">
            <w:pPr>
              <w:pStyle w:val="TableTextLeft"/>
            </w:pPr>
            <w:r>
              <w:t>Return to work rates developed through the existing biennial Return to Work Survey indicating the r</w:t>
            </w:r>
            <w:r w:rsidR="00747FC3">
              <w:t>ehabilitation outcomes achieved</w:t>
            </w:r>
          </w:p>
        </w:tc>
        <w:tc>
          <w:tcPr>
            <w:tcW w:w="2565" w:type="dxa"/>
            <w:tcBorders>
              <w:top w:val="single" w:sz="4" w:space="0" w:color="auto"/>
              <w:left w:val="single" w:sz="4" w:space="0" w:color="auto"/>
              <w:bottom w:val="dotted" w:sz="4" w:space="0" w:color="auto"/>
            </w:tcBorders>
          </w:tcPr>
          <w:p w:rsidR="001405B1" w:rsidRDefault="001405B1" w:rsidP="001405B1">
            <w:pPr>
              <w:pStyle w:val="TableTextLeft"/>
            </w:pPr>
            <w:r>
              <w:t>The National return to work survey will be c</w:t>
            </w:r>
            <w:r w:rsidR="00747FC3">
              <w:t>onducted in 2019–20 and 2021–22</w:t>
            </w:r>
          </w:p>
        </w:tc>
      </w:tr>
      <w:tr w:rsidR="001405B1" w:rsidRPr="00F71634" w:rsidTr="008F2A2D">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Improve the financial sustainability of the scheme me</w:t>
            </w:r>
            <w:r w:rsidR="00747FC3">
              <w:t>asured by notional premium rate</w:t>
            </w:r>
          </w:p>
        </w:tc>
        <w:tc>
          <w:tcPr>
            <w:tcW w:w="2565" w:type="dxa"/>
            <w:tcBorders>
              <w:top w:val="dotted" w:sz="4" w:space="0" w:color="auto"/>
              <w:left w:val="single" w:sz="4" w:space="0" w:color="auto"/>
              <w:bottom w:val="dotted" w:sz="4" w:space="0" w:color="auto"/>
            </w:tcBorders>
          </w:tcPr>
          <w:p w:rsidR="001405B1" w:rsidRDefault="001405B1" w:rsidP="001405B1">
            <w:pPr>
              <w:pStyle w:val="TableTextLeft"/>
            </w:pPr>
            <w:r>
              <w:t>Comcare schem</w:t>
            </w:r>
            <w:r w:rsidR="00747FC3">
              <w:t>e notional premium rate = 1.12%</w:t>
            </w:r>
          </w:p>
        </w:tc>
      </w:tr>
      <w:tr w:rsidR="001405B1" w:rsidRPr="00F71634" w:rsidTr="00931196">
        <w:tc>
          <w:tcPr>
            <w:tcW w:w="1276" w:type="dxa"/>
            <w:tcBorders>
              <w:top w:val="nil"/>
              <w:bottom w:val="single" w:sz="4" w:space="0" w:color="auto"/>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1405B1" w:rsidRDefault="001405B1" w:rsidP="001405B1">
            <w:pPr>
              <w:pStyle w:val="TableTextLeft"/>
            </w:pPr>
            <w:r>
              <w:t>Better practice scheme management asse</w:t>
            </w:r>
            <w:r w:rsidR="00747FC3">
              <w:t>ssed through qualitative review</w:t>
            </w:r>
          </w:p>
        </w:tc>
        <w:tc>
          <w:tcPr>
            <w:tcW w:w="2565" w:type="dxa"/>
            <w:tcBorders>
              <w:top w:val="dotted" w:sz="4" w:space="0" w:color="auto"/>
              <w:left w:val="single" w:sz="4" w:space="0" w:color="auto"/>
              <w:bottom w:val="single" w:sz="4" w:space="0" w:color="auto"/>
            </w:tcBorders>
          </w:tcPr>
          <w:p w:rsidR="001405B1" w:rsidRDefault="001405B1" w:rsidP="001405B1">
            <w:pPr>
              <w:pStyle w:val="TableTextLeft"/>
            </w:pPr>
            <w:r>
              <w:t>Qualitative evaluation of scheme management identifies the adoption/</w:t>
            </w:r>
            <w:r w:rsidR="007E482B">
              <w:t xml:space="preserve"> </w:t>
            </w:r>
            <w:r>
              <w:t>promotion of better practice</w:t>
            </w:r>
          </w:p>
        </w:tc>
      </w:tr>
      <w:tr w:rsidR="001405B1" w:rsidRPr="00F71634" w:rsidTr="00931196">
        <w:tc>
          <w:tcPr>
            <w:tcW w:w="1276" w:type="dxa"/>
            <w:tcBorders>
              <w:top w:val="single" w:sz="4" w:space="0" w:color="auto"/>
              <w:bottom w:val="dotted" w:sz="4" w:space="0" w:color="auto"/>
              <w:right w:val="single" w:sz="4" w:space="0" w:color="auto"/>
            </w:tcBorders>
          </w:tcPr>
          <w:p w:rsidR="001405B1" w:rsidRPr="006906E4" w:rsidRDefault="001405B1" w:rsidP="008F2A2D">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rsidR="001405B1" w:rsidRDefault="001405B1" w:rsidP="001405B1">
            <w:pPr>
              <w:pStyle w:val="TableTextLeft"/>
            </w:pPr>
            <w:r>
              <w:t>Return to work rates developed through the existing biennial Return to Work Survey indicating the r</w:t>
            </w:r>
            <w:r w:rsidR="00747FC3">
              <w:t>ehabilitation outcomes achieved</w:t>
            </w:r>
          </w:p>
        </w:tc>
        <w:tc>
          <w:tcPr>
            <w:tcW w:w="2565" w:type="dxa"/>
            <w:tcBorders>
              <w:top w:val="single" w:sz="4" w:space="0" w:color="auto"/>
              <w:left w:val="single" w:sz="4" w:space="0" w:color="auto"/>
              <w:bottom w:val="dotted" w:sz="4" w:space="0" w:color="auto"/>
            </w:tcBorders>
          </w:tcPr>
          <w:p w:rsidR="001405B1" w:rsidRDefault="001405B1" w:rsidP="001405B1">
            <w:pPr>
              <w:pStyle w:val="TableTextLeft"/>
            </w:pPr>
            <w:r>
              <w:t>Comcare S</w:t>
            </w:r>
            <w:r w:rsidR="00747FC3">
              <w:t>cheme return to work rate = 95%</w:t>
            </w:r>
          </w:p>
        </w:tc>
      </w:tr>
      <w:tr w:rsidR="001405B1" w:rsidRPr="00F71634" w:rsidTr="00931196">
        <w:tc>
          <w:tcPr>
            <w:tcW w:w="1276" w:type="dxa"/>
            <w:tcBorders>
              <w:top w:val="dotted" w:sz="4" w:space="0" w:color="auto"/>
              <w:bottom w:val="nil"/>
              <w:right w:val="single" w:sz="4" w:space="0" w:color="auto"/>
            </w:tcBorders>
          </w:tcPr>
          <w:p w:rsidR="001405B1" w:rsidRDefault="001405B1"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Improve the financial sustainability of the scheme me</w:t>
            </w:r>
            <w:r w:rsidR="00747FC3">
              <w:t>asured by notional premium rate</w:t>
            </w:r>
          </w:p>
        </w:tc>
        <w:tc>
          <w:tcPr>
            <w:tcW w:w="2565" w:type="dxa"/>
            <w:tcBorders>
              <w:top w:val="dotted" w:sz="4" w:space="0" w:color="auto"/>
              <w:left w:val="single" w:sz="4" w:space="0" w:color="auto"/>
              <w:bottom w:val="dotted" w:sz="4" w:space="0" w:color="auto"/>
            </w:tcBorders>
          </w:tcPr>
          <w:p w:rsidR="001405B1" w:rsidRDefault="001405B1" w:rsidP="001405B1">
            <w:pPr>
              <w:pStyle w:val="TableTextLeft"/>
            </w:pPr>
            <w:r>
              <w:t>Comcare schem</w:t>
            </w:r>
            <w:r w:rsidR="00747FC3">
              <w:t>e notional premium rate = 1.11%</w:t>
            </w:r>
          </w:p>
        </w:tc>
      </w:tr>
      <w:tr w:rsidR="001405B1" w:rsidRPr="00F71634" w:rsidTr="008F2A2D">
        <w:tc>
          <w:tcPr>
            <w:tcW w:w="1276" w:type="dxa"/>
            <w:tcBorders>
              <w:top w:val="nil"/>
              <w:right w:val="single" w:sz="4" w:space="0" w:color="auto"/>
            </w:tcBorders>
          </w:tcPr>
          <w:p w:rsidR="001405B1" w:rsidRDefault="001405B1"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right w:val="single" w:sz="4" w:space="0" w:color="auto"/>
            </w:tcBorders>
          </w:tcPr>
          <w:p w:rsidR="001405B1" w:rsidRDefault="001405B1" w:rsidP="001405B1">
            <w:pPr>
              <w:pStyle w:val="TableTextLeft"/>
            </w:pPr>
            <w:r>
              <w:t>Better practice scheme management asse</w:t>
            </w:r>
            <w:r w:rsidR="00747FC3">
              <w:t>ssed through qualitative review</w:t>
            </w:r>
          </w:p>
        </w:tc>
        <w:tc>
          <w:tcPr>
            <w:tcW w:w="2565" w:type="dxa"/>
            <w:tcBorders>
              <w:top w:val="dotted" w:sz="4" w:space="0" w:color="auto"/>
              <w:left w:val="single" w:sz="4" w:space="0" w:color="auto"/>
            </w:tcBorders>
          </w:tcPr>
          <w:p w:rsidR="001405B1" w:rsidRDefault="001405B1" w:rsidP="001405B1">
            <w:pPr>
              <w:pStyle w:val="TableTextLeft"/>
            </w:pPr>
            <w:r>
              <w:t>Qualitative evaluation of scheme management identifies the adoption/</w:t>
            </w:r>
            <w:r w:rsidR="007E482B">
              <w:t xml:space="preserve"> </w:t>
            </w:r>
            <w:r>
              <w:t>promotion of better practice</w:t>
            </w:r>
          </w:p>
        </w:tc>
      </w:tr>
      <w:tr w:rsidR="008F2A2D" w:rsidRPr="008F2A2D" w:rsidTr="008F2A2D">
        <w:tc>
          <w:tcPr>
            <w:tcW w:w="7741" w:type="dxa"/>
            <w:gridSpan w:val="3"/>
          </w:tcPr>
          <w:p w:rsidR="008F2A2D" w:rsidRPr="008F2A2D" w:rsidRDefault="008F2A2D" w:rsidP="008F2A2D">
            <w:pPr>
              <w:pStyle w:val="TableTextLeft"/>
              <w:rPr>
                <w:rStyle w:val="BodyTextChar"/>
                <w:rFonts w:ascii="Arial" w:hAnsi="Arial"/>
                <w:b/>
                <w:sz w:val="17"/>
                <w:szCs w:val="20"/>
                <w:lang w:eastAsia="en-AU"/>
              </w:rPr>
            </w:pPr>
            <w:r w:rsidRPr="008F2A2D">
              <w:rPr>
                <w:rStyle w:val="BodyTextChar"/>
                <w:rFonts w:ascii="Arial" w:hAnsi="Arial"/>
                <w:b/>
                <w:sz w:val="17"/>
                <w:szCs w:val="20"/>
                <w:lang w:eastAsia="en-AU"/>
              </w:rPr>
              <w:t xml:space="preserve">Material changes to Program </w:t>
            </w:r>
            <w:r>
              <w:rPr>
                <w:rStyle w:val="BodyTextChar"/>
                <w:rFonts w:ascii="Arial" w:hAnsi="Arial"/>
                <w:b/>
                <w:sz w:val="17"/>
                <w:szCs w:val="20"/>
                <w:lang w:eastAsia="en-AU"/>
              </w:rPr>
              <w:t>Component 1</w:t>
            </w:r>
            <w:r w:rsidR="001405B1">
              <w:rPr>
                <w:rStyle w:val="BodyTextChar"/>
                <w:rFonts w:ascii="Arial" w:hAnsi="Arial"/>
                <w:b/>
                <w:sz w:val="17"/>
                <w:szCs w:val="20"/>
                <w:lang w:eastAsia="en-AU"/>
              </w:rPr>
              <w:t>.2</w:t>
            </w:r>
            <w:r w:rsidRPr="008F2A2D">
              <w:rPr>
                <w:rStyle w:val="BodyTextChar"/>
                <w:rFonts w:ascii="Arial" w:hAnsi="Arial"/>
                <w:b/>
                <w:sz w:val="17"/>
                <w:szCs w:val="20"/>
                <w:lang w:eastAsia="en-AU"/>
              </w:rPr>
              <w:t xml:space="preserve"> resulting from the following measures:</w:t>
            </w:r>
          </w:p>
          <w:p w:rsidR="008F2A2D" w:rsidRPr="008F2A2D" w:rsidRDefault="008F2A2D" w:rsidP="008F2A2D">
            <w:pPr>
              <w:pStyle w:val="TableTextLeft"/>
            </w:pPr>
            <w:r w:rsidRPr="008F2A2D">
              <w:rPr>
                <w:rStyle w:val="BodyTextChar"/>
                <w:rFonts w:ascii="Arial" w:hAnsi="Arial"/>
                <w:sz w:val="17"/>
                <w:szCs w:val="20"/>
                <w:lang w:eastAsia="en-AU"/>
              </w:rPr>
              <w:t>Nil</w:t>
            </w:r>
          </w:p>
        </w:tc>
      </w:tr>
    </w:tbl>
    <w:p w:rsidR="008F2A2D" w:rsidRDefault="008F2A2D" w:rsidP="0055067B">
      <w:pPr>
        <w:spacing w:after="120"/>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1405B1" w:rsidRPr="00F71634" w:rsidTr="001405B1">
        <w:trPr>
          <w:tblHeader/>
        </w:trPr>
        <w:tc>
          <w:tcPr>
            <w:tcW w:w="7741" w:type="dxa"/>
            <w:gridSpan w:val="3"/>
            <w:shd w:val="clear" w:color="auto" w:fill="F2F2F2"/>
          </w:tcPr>
          <w:p w:rsidR="001405B1" w:rsidRPr="001405B1" w:rsidRDefault="001405B1" w:rsidP="001405B1">
            <w:pPr>
              <w:pStyle w:val="TableTextLeft"/>
              <w:rPr>
                <w:b/>
              </w:rPr>
            </w:pPr>
            <w:r w:rsidRPr="001405B1">
              <w:rPr>
                <w:b/>
              </w:rPr>
              <w:t>Program Component 1.3—Safety, Rehabilitation and Compensation Commission (SRCC), and Seafarers Safety, Rehabilitation and Compensation Authority (Seacare Authority) support.</w:t>
            </w:r>
          </w:p>
        </w:tc>
      </w:tr>
      <w:tr w:rsidR="001405B1" w:rsidRPr="00F71634" w:rsidTr="001405B1">
        <w:tc>
          <w:tcPr>
            <w:tcW w:w="1276" w:type="dxa"/>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rsidR="001405B1" w:rsidRDefault="001405B1" w:rsidP="001405B1">
            <w:pPr>
              <w:pStyle w:val="TableTextLeft"/>
              <w:rPr>
                <w:i/>
                <w:color w:val="FF0000"/>
              </w:rPr>
            </w:pPr>
            <w:r w:rsidRPr="007E482B">
              <w:t>Excellent in Scheme Design and Management</w:t>
            </w:r>
            <w:r>
              <w:t>—Excellence in scheme design and management to achieve sustainable and better national schemes.</w:t>
            </w:r>
          </w:p>
        </w:tc>
      </w:tr>
      <w:tr w:rsidR="001405B1" w:rsidRPr="00F71634" w:rsidTr="001405B1">
        <w:tc>
          <w:tcPr>
            <w:tcW w:w="1276" w:type="dxa"/>
            <w:tcBorders>
              <w:bottom w:val="doub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1405B1" w:rsidRDefault="001405B1" w:rsidP="001405B1">
            <w:pPr>
              <w:pStyle w:val="TableTextLeft"/>
            </w:pPr>
            <w:r>
              <w:t>Provide expert advice and services to the SRCC and the Seacare Authority.</w:t>
            </w:r>
          </w:p>
        </w:tc>
      </w:tr>
      <w:tr w:rsidR="001405B1" w:rsidRPr="00F71634" w:rsidTr="001405B1">
        <w:tc>
          <w:tcPr>
            <w:tcW w:w="7741" w:type="dxa"/>
            <w:gridSpan w:val="3"/>
            <w:tcBorders>
              <w:top w:val="double" w:sz="4" w:space="0" w:color="auto"/>
              <w:bottom w:val="doub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1405B1" w:rsidRPr="00F71634" w:rsidTr="001405B1">
        <w:tc>
          <w:tcPr>
            <w:tcW w:w="1276" w:type="dxa"/>
            <w:tcBorders>
              <w:top w:val="double" w:sz="4" w:space="0" w:color="auto"/>
              <w:bottom w:val="single" w:sz="4" w:space="0" w:color="auto"/>
              <w:right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1405B1" w:rsidRPr="00F71634" w:rsidTr="001405B1">
        <w:trPr>
          <w:trHeight w:val="60"/>
        </w:trPr>
        <w:tc>
          <w:tcPr>
            <w:tcW w:w="1276" w:type="dxa"/>
            <w:tcBorders>
              <w:top w:val="single" w:sz="4" w:space="0" w:color="auto"/>
              <w:bottom w:val="nil"/>
              <w:right w:val="single" w:sz="4" w:space="0" w:color="auto"/>
            </w:tcBorders>
          </w:tcPr>
          <w:p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rsidR="001405B1" w:rsidRDefault="001405B1" w:rsidP="001405B1">
            <w:pPr>
              <w:pStyle w:val="TableTextLeft"/>
            </w:pPr>
            <w:r>
              <w:t>SRCC satisfaction</w:t>
            </w:r>
            <w:r w:rsidR="00747FC3">
              <w:t xml:space="preserve"> of support provided by Comcare</w:t>
            </w:r>
          </w:p>
        </w:tc>
        <w:tc>
          <w:tcPr>
            <w:tcW w:w="2565" w:type="dxa"/>
            <w:tcBorders>
              <w:top w:val="single" w:sz="4" w:space="0" w:color="auto"/>
              <w:left w:val="single" w:sz="4" w:space="0" w:color="auto"/>
              <w:bottom w:val="dotted" w:sz="4" w:space="0" w:color="auto"/>
            </w:tcBorders>
          </w:tcPr>
          <w:p w:rsidR="001405B1" w:rsidRDefault="001405B1" w:rsidP="001405B1">
            <w:pPr>
              <w:pStyle w:val="TableTextLeft"/>
              <w:rPr>
                <w:i/>
              </w:rPr>
            </w:pPr>
            <w:r>
              <w:rPr>
                <w:b/>
              </w:rPr>
              <w:t xml:space="preserve">Assessment: </w:t>
            </w:r>
            <w:r>
              <w:t>On track</w:t>
            </w:r>
          </w:p>
        </w:tc>
      </w:tr>
      <w:tr w:rsidR="001405B1" w:rsidRPr="00F71634" w:rsidTr="001405B1">
        <w:tc>
          <w:tcPr>
            <w:tcW w:w="1276" w:type="dxa"/>
            <w:tcBorders>
              <w:top w:val="nil"/>
              <w:bottom w:val="single" w:sz="4" w:space="0" w:color="auto"/>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1405B1" w:rsidRDefault="001405B1" w:rsidP="001405B1">
            <w:pPr>
              <w:pStyle w:val="TableTextLeft"/>
            </w:pPr>
            <w:r>
              <w:t>Seacare Authority satisfaction</w:t>
            </w:r>
            <w:r w:rsidR="00747FC3">
              <w:t xml:space="preserve"> of support provided by Comcare</w:t>
            </w:r>
          </w:p>
        </w:tc>
        <w:tc>
          <w:tcPr>
            <w:tcW w:w="2565" w:type="dxa"/>
            <w:tcBorders>
              <w:top w:val="dotted" w:sz="4" w:space="0" w:color="auto"/>
              <w:left w:val="single" w:sz="4" w:space="0" w:color="auto"/>
              <w:bottom w:val="single" w:sz="4" w:space="0" w:color="auto"/>
            </w:tcBorders>
          </w:tcPr>
          <w:p w:rsidR="001405B1" w:rsidRDefault="001405B1" w:rsidP="001405B1">
            <w:pPr>
              <w:pStyle w:val="TableTextLeft"/>
              <w:rPr>
                <w:i/>
              </w:rPr>
            </w:pPr>
            <w:r>
              <w:rPr>
                <w:b/>
              </w:rPr>
              <w:t xml:space="preserve">Assessment: </w:t>
            </w:r>
            <w:r>
              <w:t>On track</w:t>
            </w:r>
          </w:p>
        </w:tc>
      </w:tr>
      <w:tr w:rsidR="001405B1" w:rsidRPr="00F71634" w:rsidTr="001405B1">
        <w:tc>
          <w:tcPr>
            <w:tcW w:w="1276" w:type="dxa"/>
            <w:tcBorders>
              <w:top w:val="single" w:sz="4" w:space="0" w:color="auto"/>
              <w:bottom w:val="nil"/>
              <w:right w:val="single" w:sz="4" w:space="0" w:color="auto"/>
            </w:tcBorders>
          </w:tcPr>
          <w:p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rsidR="001405B1" w:rsidRDefault="001405B1" w:rsidP="001405B1">
            <w:pPr>
              <w:pStyle w:val="TableTextLeft"/>
            </w:pPr>
            <w:r>
              <w:t>SRCC satisfaction</w:t>
            </w:r>
            <w:r w:rsidR="00747FC3">
              <w:t xml:space="preserve"> of support provided by Comcare</w:t>
            </w:r>
          </w:p>
        </w:tc>
        <w:tc>
          <w:tcPr>
            <w:tcW w:w="2565" w:type="dxa"/>
            <w:tcBorders>
              <w:top w:val="single" w:sz="4" w:space="0" w:color="auto"/>
              <w:left w:val="single" w:sz="4" w:space="0" w:color="auto"/>
              <w:bottom w:val="dotted" w:sz="4" w:space="0" w:color="auto"/>
            </w:tcBorders>
          </w:tcPr>
          <w:p w:rsidR="001405B1" w:rsidRDefault="001405B1" w:rsidP="001405B1">
            <w:pPr>
              <w:pStyle w:val="TableTextLeft"/>
            </w:pPr>
            <w:r>
              <w:t>Qualitative evaluation using structured services and feedback from the Chair</w:t>
            </w:r>
          </w:p>
        </w:tc>
      </w:tr>
      <w:tr w:rsidR="001405B1" w:rsidRPr="00F71634" w:rsidTr="001405B1">
        <w:tc>
          <w:tcPr>
            <w:tcW w:w="1276" w:type="dxa"/>
            <w:tcBorders>
              <w:top w:val="nil"/>
              <w:bottom w:val="single" w:sz="4" w:space="0" w:color="auto"/>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1405B1" w:rsidRDefault="001405B1" w:rsidP="001405B1">
            <w:pPr>
              <w:pStyle w:val="TableTextLeft"/>
            </w:pPr>
            <w:r>
              <w:t>Seacare Authority satisfaction</w:t>
            </w:r>
            <w:r w:rsidR="00747FC3">
              <w:t xml:space="preserve"> of support provided by Comcare</w:t>
            </w:r>
          </w:p>
        </w:tc>
        <w:tc>
          <w:tcPr>
            <w:tcW w:w="2565" w:type="dxa"/>
            <w:tcBorders>
              <w:top w:val="dotted" w:sz="4" w:space="0" w:color="auto"/>
              <w:left w:val="single" w:sz="4" w:space="0" w:color="auto"/>
              <w:bottom w:val="single" w:sz="4" w:space="0" w:color="auto"/>
            </w:tcBorders>
          </w:tcPr>
          <w:p w:rsidR="001405B1" w:rsidRDefault="001405B1" w:rsidP="001405B1">
            <w:pPr>
              <w:pStyle w:val="TableTextLeft"/>
            </w:pPr>
            <w:r>
              <w:t>Qualitative evaluation using structured services and feedback from the Chair</w:t>
            </w:r>
          </w:p>
        </w:tc>
      </w:tr>
      <w:tr w:rsidR="001405B1" w:rsidRPr="00F71634" w:rsidTr="001405B1">
        <w:tc>
          <w:tcPr>
            <w:tcW w:w="1276" w:type="dxa"/>
            <w:tcBorders>
              <w:top w:val="single" w:sz="4" w:space="0" w:color="auto"/>
              <w:bottom w:val="nil"/>
              <w:right w:val="single" w:sz="4" w:space="0" w:color="auto"/>
            </w:tcBorders>
          </w:tcPr>
          <w:p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rsidR="001405B1" w:rsidRDefault="00340128">
            <w:pPr>
              <w:spacing w:before="60" w:after="60" w:line="240" w:lineRule="auto"/>
              <w:rPr>
                <w:rFonts w:ascii="Arial" w:hAnsi="Arial" w:cs="Arial"/>
                <w:color w:val="000000"/>
                <w:sz w:val="16"/>
                <w:szCs w:val="16"/>
              </w:rPr>
            </w:pPr>
            <w:r>
              <w:rPr>
                <w:rFonts w:ascii="Arial" w:hAnsi="Arial" w:cs="Arial"/>
                <w:color w:val="000000"/>
                <w:sz w:val="16"/>
                <w:szCs w:val="16"/>
              </w:rPr>
              <w:t>As per 2018–</w:t>
            </w:r>
            <w:r w:rsidR="001405B1">
              <w:rPr>
                <w:rFonts w:ascii="Arial" w:hAnsi="Arial" w:cs="Arial"/>
                <w:color w:val="000000"/>
                <w:sz w:val="16"/>
                <w:szCs w:val="16"/>
              </w:rPr>
              <w:t xml:space="preserve">19 </w:t>
            </w:r>
          </w:p>
        </w:tc>
        <w:tc>
          <w:tcPr>
            <w:tcW w:w="2565" w:type="dxa"/>
            <w:tcBorders>
              <w:top w:val="single" w:sz="4" w:space="0" w:color="auto"/>
              <w:left w:val="single" w:sz="4" w:space="0" w:color="auto"/>
              <w:bottom w:val="dotted" w:sz="4" w:space="0" w:color="auto"/>
            </w:tcBorders>
          </w:tcPr>
          <w:p w:rsidR="001405B1" w:rsidRDefault="00340128">
            <w:pPr>
              <w:tabs>
                <w:tab w:val="left" w:pos="709"/>
              </w:tabs>
              <w:spacing w:before="60" w:after="60" w:line="240" w:lineRule="auto"/>
              <w:rPr>
                <w:rFonts w:ascii="Arial" w:hAnsi="Arial" w:cs="Arial"/>
                <w:color w:val="000000"/>
                <w:sz w:val="16"/>
                <w:szCs w:val="16"/>
              </w:rPr>
            </w:pPr>
            <w:r>
              <w:rPr>
                <w:rFonts w:ascii="Arial" w:hAnsi="Arial" w:cs="Arial"/>
                <w:color w:val="000000"/>
                <w:sz w:val="16"/>
                <w:szCs w:val="16"/>
              </w:rPr>
              <w:t>As per 2018–</w:t>
            </w:r>
            <w:r w:rsidR="001405B1">
              <w:rPr>
                <w:rFonts w:ascii="Arial" w:hAnsi="Arial" w:cs="Arial"/>
                <w:color w:val="000000"/>
                <w:sz w:val="16"/>
                <w:szCs w:val="16"/>
              </w:rPr>
              <w:t>19</w:t>
            </w:r>
          </w:p>
        </w:tc>
      </w:tr>
      <w:tr w:rsidR="001405B1" w:rsidRPr="008F2A2D" w:rsidTr="001405B1">
        <w:tc>
          <w:tcPr>
            <w:tcW w:w="7741" w:type="dxa"/>
            <w:gridSpan w:val="3"/>
          </w:tcPr>
          <w:p w:rsidR="001405B1" w:rsidRPr="008F2A2D" w:rsidRDefault="001405B1" w:rsidP="001405B1">
            <w:pPr>
              <w:pStyle w:val="TableTextLeft"/>
              <w:rPr>
                <w:rStyle w:val="BodyTextChar"/>
                <w:rFonts w:ascii="Arial" w:hAnsi="Arial"/>
                <w:b/>
                <w:sz w:val="17"/>
                <w:szCs w:val="20"/>
                <w:lang w:eastAsia="en-AU"/>
              </w:rPr>
            </w:pPr>
            <w:r w:rsidRPr="008F2A2D">
              <w:rPr>
                <w:rStyle w:val="BodyTextChar"/>
                <w:rFonts w:ascii="Arial" w:hAnsi="Arial"/>
                <w:b/>
                <w:sz w:val="17"/>
                <w:szCs w:val="20"/>
                <w:lang w:eastAsia="en-AU"/>
              </w:rPr>
              <w:t xml:space="preserve">Material changes to Program </w:t>
            </w:r>
            <w:r>
              <w:rPr>
                <w:rStyle w:val="BodyTextChar"/>
                <w:rFonts w:ascii="Arial" w:hAnsi="Arial"/>
                <w:b/>
                <w:sz w:val="17"/>
                <w:szCs w:val="20"/>
                <w:lang w:eastAsia="en-AU"/>
              </w:rPr>
              <w:t>Component 1.3</w:t>
            </w:r>
            <w:r w:rsidRPr="008F2A2D">
              <w:rPr>
                <w:rStyle w:val="BodyTextChar"/>
                <w:rFonts w:ascii="Arial" w:hAnsi="Arial"/>
                <w:b/>
                <w:sz w:val="17"/>
                <w:szCs w:val="20"/>
                <w:lang w:eastAsia="en-AU"/>
              </w:rPr>
              <w:t xml:space="preserve"> resulting from the following measures:</w:t>
            </w:r>
          </w:p>
          <w:p w:rsidR="001405B1" w:rsidRPr="008F2A2D" w:rsidRDefault="001405B1" w:rsidP="001405B1">
            <w:pPr>
              <w:pStyle w:val="TableTextLeft"/>
            </w:pPr>
            <w:r w:rsidRPr="008F2A2D">
              <w:rPr>
                <w:rStyle w:val="BodyTextChar"/>
                <w:rFonts w:ascii="Arial" w:hAnsi="Arial"/>
                <w:sz w:val="17"/>
                <w:szCs w:val="20"/>
                <w:lang w:eastAsia="en-AU"/>
              </w:rPr>
              <w:t>Nil</w:t>
            </w:r>
          </w:p>
        </w:tc>
      </w:tr>
    </w:tbl>
    <w:p w:rsidR="001405B1" w:rsidRPr="0055067B" w:rsidRDefault="0055067B" w:rsidP="0055067B">
      <w:pPr>
        <w:spacing w:after="0" w:line="240" w:lineRule="auto"/>
        <w:rPr>
          <w:sz w:val="4"/>
        </w:rPr>
      </w:pPr>
      <w: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69"/>
        <w:gridCol w:w="2496"/>
      </w:tblGrid>
      <w:tr w:rsidR="001405B1" w:rsidRPr="00F71634" w:rsidTr="0055067B">
        <w:trPr>
          <w:trHeight w:val="227"/>
          <w:tblHeader/>
        </w:trPr>
        <w:tc>
          <w:tcPr>
            <w:tcW w:w="7741" w:type="dxa"/>
            <w:gridSpan w:val="3"/>
            <w:shd w:val="clear" w:color="auto" w:fill="F2F2F2"/>
          </w:tcPr>
          <w:p w:rsidR="001405B1" w:rsidRPr="006906E4" w:rsidRDefault="001405B1" w:rsidP="001405B1">
            <w:pPr>
              <w:pStyle w:val="TableTextLeft"/>
            </w:pPr>
            <w:r>
              <w:rPr>
                <w:b/>
              </w:rPr>
              <w:lastRenderedPageBreak/>
              <w:t>Program Component 1.4</w:t>
            </w:r>
            <w:r w:rsidRPr="008F2A2D">
              <w:rPr>
                <w:b/>
              </w:rPr>
              <w:t>—</w:t>
            </w:r>
            <w:r>
              <w:rPr>
                <w:b/>
              </w:rPr>
              <w:t>Premium Claims</w:t>
            </w:r>
          </w:p>
        </w:tc>
      </w:tr>
      <w:tr w:rsidR="001405B1" w:rsidRPr="00F71634" w:rsidTr="0055067B">
        <w:trPr>
          <w:trHeight w:val="624"/>
        </w:trPr>
        <w:tc>
          <w:tcPr>
            <w:tcW w:w="1276" w:type="dxa"/>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rsidR="001405B1" w:rsidRDefault="001405B1" w:rsidP="001405B1">
            <w:pPr>
              <w:pStyle w:val="TableTextLeft"/>
              <w:rPr>
                <w:i/>
                <w:color w:val="FF0000"/>
              </w:rPr>
            </w:pPr>
            <w:r w:rsidRPr="007E482B">
              <w:t>Leading Workers’ Compensation Insurer</w:t>
            </w:r>
            <w:r>
              <w:rPr>
                <w:i/>
              </w:rPr>
              <w:t>—</w:t>
            </w:r>
            <w:r>
              <w:t>To foster participation and productivity by minimising the impact of harm in workplaces, facilitate recovery at and return to work, and deliver sustainable management of the fund.</w:t>
            </w:r>
          </w:p>
        </w:tc>
      </w:tr>
      <w:tr w:rsidR="001405B1" w:rsidRPr="00F71634" w:rsidTr="0055067B">
        <w:trPr>
          <w:trHeight w:val="510"/>
        </w:trPr>
        <w:tc>
          <w:tcPr>
            <w:tcW w:w="1276" w:type="dxa"/>
            <w:tcBorders>
              <w:bottom w:val="doub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1405B1" w:rsidRDefault="001405B1" w:rsidP="001405B1">
            <w:pPr>
              <w:pStyle w:val="TableTextLeft"/>
            </w:pPr>
            <w:r>
              <w:t xml:space="preserve">Responsible management of liabilities and premiums, supported by effective, value driven and outcome focused services. </w:t>
            </w:r>
          </w:p>
        </w:tc>
      </w:tr>
      <w:tr w:rsidR="001405B1" w:rsidRPr="00F71634" w:rsidTr="001405B1">
        <w:tc>
          <w:tcPr>
            <w:tcW w:w="7741" w:type="dxa"/>
            <w:gridSpan w:val="3"/>
            <w:tcBorders>
              <w:top w:val="double" w:sz="4" w:space="0" w:color="auto"/>
              <w:bottom w:val="doub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1405B1" w:rsidRPr="00F71634" w:rsidTr="0055067B">
        <w:trPr>
          <w:trHeight w:val="227"/>
        </w:trPr>
        <w:tc>
          <w:tcPr>
            <w:tcW w:w="1276" w:type="dxa"/>
            <w:tcBorders>
              <w:top w:val="double" w:sz="4" w:space="0" w:color="auto"/>
              <w:bottom w:val="single" w:sz="4" w:space="0" w:color="auto"/>
              <w:right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69" w:type="dxa"/>
            <w:tcBorders>
              <w:top w:val="double" w:sz="4" w:space="0" w:color="auto"/>
              <w:left w:val="single" w:sz="4" w:space="0" w:color="auto"/>
              <w:bottom w:val="single" w:sz="4" w:space="0" w:color="auto"/>
              <w:right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496" w:type="dxa"/>
            <w:tcBorders>
              <w:top w:val="double" w:sz="4" w:space="0" w:color="auto"/>
              <w:left w:val="single" w:sz="4" w:space="0" w:color="auto"/>
              <w:bottom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1405B1" w:rsidRPr="00F71634" w:rsidTr="0055067B">
        <w:trPr>
          <w:trHeight w:val="113"/>
        </w:trPr>
        <w:tc>
          <w:tcPr>
            <w:tcW w:w="1276" w:type="dxa"/>
            <w:tcBorders>
              <w:top w:val="single" w:sz="4" w:space="0" w:color="auto"/>
              <w:bottom w:val="nil"/>
              <w:right w:val="single" w:sz="4" w:space="0" w:color="auto"/>
            </w:tcBorders>
          </w:tcPr>
          <w:p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69" w:type="dxa"/>
            <w:tcBorders>
              <w:top w:val="single" w:sz="4" w:space="0" w:color="auto"/>
              <w:left w:val="single" w:sz="4" w:space="0" w:color="auto"/>
              <w:bottom w:val="dotted" w:sz="4" w:space="0" w:color="auto"/>
              <w:right w:val="single" w:sz="4" w:space="0" w:color="auto"/>
            </w:tcBorders>
          </w:tcPr>
          <w:p w:rsidR="001405B1" w:rsidRDefault="001405B1" w:rsidP="001405B1">
            <w:pPr>
              <w:pStyle w:val="TableTextLeft"/>
            </w:pPr>
            <w:r>
              <w:t>The insured sche</w:t>
            </w:r>
            <w:r w:rsidR="00747FC3">
              <w:t>me continues to be fully funded</w:t>
            </w:r>
          </w:p>
        </w:tc>
        <w:tc>
          <w:tcPr>
            <w:tcW w:w="2496" w:type="dxa"/>
            <w:tcBorders>
              <w:top w:val="single" w:sz="4" w:space="0" w:color="auto"/>
              <w:left w:val="single" w:sz="4" w:space="0" w:color="auto"/>
              <w:bottom w:val="dotted" w:sz="4" w:space="0" w:color="auto"/>
            </w:tcBorders>
          </w:tcPr>
          <w:p w:rsidR="001405B1" w:rsidRDefault="001405B1" w:rsidP="001405B1">
            <w:pPr>
              <w:pStyle w:val="TableTextLeft"/>
              <w:rPr>
                <w:b/>
              </w:rPr>
            </w:pPr>
            <w:r>
              <w:rPr>
                <w:b/>
              </w:rPr>
              <w:t xml:space="preserve">Assessment: </w:t>
            </w:r>
            <w:r>
              <w:t>On track</w:t>
            </w:r>
          </w:p>
        </w:tc>
      </w:tr>
      <w:tr w:rsidR="001405B1" w:rsidRPr="00F71634" w:rsidTr="0055067B">
        <w:trPr>
          <w:trHeight w:val="907"/>
        </w:trPr>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The average Commonwea</w:t>
            </w:r>
            <w:r w:rsidR="000A6D23">
              <w:t>lth premium rate reduced to 1.1 per cent</w:t>
            </w:r>
            <w:r>
              <w:t xml:space="preserve"> of payroll (excluding GST) by 2018–19, to ensure the scheme </w:t>
            </w:r>
            <w:r w:rsidR="00747FC3">
              <w:t>remains financially sustainable</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rPr>
                <w:b/>
              </w:rPr>
            </w:pPr>
            <w:r>
              <w:rPr>
                <w:b/>
              </w:rPr>
              <w:t xml:space="preserve">Assessment: </w:t>
            </w:r>
            <w:r>
              <w:t>Target achieved</w:t>
            </w:r>
          </w:p>
        </w:tc>
      </w:tr>
      <w:tr w:rsidR="001405B1" w:rsidRPr="00F71634" w:rsidTr="0055067B">
        <w:trPr>
          <w:trHeight w:val="907"/>
        </w:trPr>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Reduce the i</w:t>
            </w:r>
            <w:r w:rsidR="00340128">
              <w:t>nsured scheme liability to $1.9 </w:t>
            </w:r>
            <w:r>
              <w:t>billion, a reduction of $1 billion from the baseline at 30 June 2014, to ensure the scheme remains financially s</w:t>
            </w:r>
            <w:r w:rsidR="00747FC3">
              <w:t>ustainable</w:t>
            </w:r>
          </w:p>
        </w:tc>
        <w:tc>
          <w:tcPr>
            <w:tcW w:w="2496" w:type="dxa"/>
            <w:tcBorders>
              <w:top w:val="dotted" w:sz="4" w:space="0" w:color="auto"/>
              <w:left w:val="single" w:sz="4" w:space="0" w:color="auto"/>
              <w:bottom w:val="dotted" w:sz="4" w:space="0" w:color="auto"/>
            </w:tcBorders>
          </w:tcPr>
          <w:p w:rsidR="001405B1" w:rsidRPr="001405B1" w:rsidRDefault="001405B1" w:rsidP="001405B1">
            <w:pPr>
              <w:pStyle w:val="TableTextLeft"/>
            </w:pPr>
            <w:r>
              <w:rPr>
                <w:b/>
              </w:rPr>
              <w:t xml:space="preserve">Assessment: </w:t>
            </w:r>
            <w:r>
              <w:t>On track</w:t>
            </w:r>
          </w:p>
        </w:tc>
      </w:tr>
      <w:tr w:rsidR="001405B1" w:rsidRPr="00F71634" w:rsidTr="0055067B">
        <w:trPr>
          <w:trHeight w:val="1077"/>
        </w:trPr>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340128">
            <w:pPr>
              <w:pStyle w:val="TableTextLeft"/>
            </w:pPr>
            <w:r>
              <w:t>Reduce the direct a</w:t>
            </w:r>
            <w:r w:rsidR="00686A76">
              <w:t>dministration cost ratio</w:t>
            </w:r>
            <w:r w:rsidR="00340128">
              <w:t xml:space="preserve"> to 20 per cent</w:t>
            </w:r>
            <w:r>
              <w:t xml:space="preserve"> by 2018</w:t>
            </w:r>
            <w:r w:rsidR="00340128">
              <w:t>–</w:t>
            </w:r>
            <w:r>
              <w:t>19, measured by Safe Work Australia’s comparative performance monitoring methodology, to ensure cost ef</w:t>
            </w:r>
            <w:r w:rsidR="00747FC3">
              <w:t>fective management of the fund</w:t>
            </w:r>
          </w:p>
        </w:tc>
        <w:tc>
          <w:tcPr>
            <w:tcW w:w="2496" w:type="dxa"/>
            <w:tcBorders>
              <w:top w:val="dotted" w:sz="4" w:space="0" w:color="auto"/>
              <w:left w:val="single" w:sz="4" w:space="0" w:color="auto"/>
              <w:bottom w:val="dotted" w:sz="4" w:space="0" w:color="auto"/>
            </w:tcBorders>
          </w:tcPr>
          <w:p w:rsidR="001405B1" w:rsidRPr="001405B1" w:rsidRDefault="001405B1" w:rsidP="00686A76">
            <w:pPr>
              <w:pStyle w:val="TableTextLeft"/>
            </w:pPr>
            <w:r>
              <w:rPr>
                <w:b/>
              </w:rPr>
              <w:t xml:space="preserve">Assessment: </w:t>
            </w:r>
            <w:r w:rsidR="00686A76" w:rsidRPr="00686A76">
              <w:t>Not o</w:t>
            </w:r>
            <w:r>
              <w:t>n track</w:t>
            </w:r>
            <w:r w:rsidR="00686A76">
              <w:rPr>
                <w:rStyle w:val="FootnoteReference"/>
              </w:rPr>
              <w:footnoteReference w:id="9"/>
            </w:r>
          </w:p>
        </w:tc>
      </w:tr>
      <w:tr w:rsidR="001405B1" w:rsidRPr="00F71634" w:rsidTr="0055067B">
        <w:trPr>
          <w:trHeight w:val="1587"/>
        </w:trPr>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Increase the proportion of employees who have returned to work, measured by duration on incapacity benefits, to facilitate recovery and reduce liability. Reported by periods of:</w:t>
            </w:r>
          </w:p>
          <w:p w:rsidR="001405B1" w:rsidRDefault="001405B1" w:rsidP="001405B1">
            <w:pPr>
              <w:pStyle w:val="TableTextLeft"/>
            </w:pPr>
            <w:r>
              <w:t xml:space="preserve">13 weeks—73% </w:t>
            </w:r>
          </w:p>
          <w:p w:rsidR="001405B1" w:rsidRDefault="001405B1" w:rsidP="001405B1">
            <w:pPr>
              <w:pStyle w:val="TableTextLeft"/>
            </w:pPr>
            <w:r>
              <w:t xml:space="preserve">26 weeks—82% </w:t>
            </w:r>
          </w:p>
          <w:p w:rsidR="001405B1" w:rsidRDefault="00747FC3" w:rsidP="001405B1">
            <w:pPr>
              <w:pStyle w:val="TableTextLeft"/>
            </w:pPr>
            <w:r>
              <w:t>78 weeks—91%</w:t>
            </w:r>
            <w:r w:rsidR="001405B1">
              <w:t xml:space="preserve"> </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pPr>
            <w:r>
              <w:rPr>
                <w:b/>
              </w:rPr>
              <w:t xml:space="preserve">Assessment: </w:t>
            </w:r>
          </w:p>
          <w:p w:rsidR="001405B1" w:rsidRDefault="001405B1" w:rsidP="001405B1">
            <w:pPr>
              <w:pStyle w:val="TableTextLeft"/>
            </w:pPr>
            <w:bookmarkStart w:id="335" w:name="_Hlk509998762"/>
            <w:r>
              <w:t>13 weeks—Not on track</w:t>
            </w:r>
            <w:r>
              <w:rPr>
                <w:rStyle w:val="FootnoteReference"/>
                <w:rFonts w:cs="Arial"/>
                <w:color w:val="000000"/>
                <w:sz w:val="16"/>
                <w:szCs w:val="16"/>
              </w:rPr>
              <w:footnoteReference w:id="10"/>
            </w:r>
          </w:p>
          <w:p w:rsidR="001405B1" w:rsidRDefault="001405B1" w:rsidP="001405B1">
            <w:pPr>
              <w:pStyle w:val="TableTextLeft"/>
            </w:pPr>
            <w:r>
              <w:t>26 weeks—On track</w:t>
            </w:r>
          </w:p>
          <w:p w:rsidR="001405B1" w:rsidRDefault="001405B1" w:rsidP="001405B1">
            <w:pPr>
              <w:pStyle w:val="TableTextLeft"/>
              <w:rPr>
                <w:b/>
              </w:rPr>
            </w:pPr>
            <w:r>
              <w:t>78 weeks—On track</w:t>
            </w:r>
            <w:bookmarkEnd w:id="335"/>
          </w:p>
        </w:tc>
      </w:tr>
      <w:tr w:rsidR="001405B1" w:rsidRPr="00F71634" w:rsidTr="0055067B">
        <w:trPr>
          <w:trHeight w:val="850"/>
        </w:trPr>
        <w:tc>
          <w:tcPr>
            <w:tcW w:w="1276" w:type="dxa"/>
            <w:tcBorders>
              <w:top w:val="nil"/>
              <w:bottom w:val="single" w:sz="4" w:space="0" w:color="auto"/>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single" w:sz="4" w:space="0" w:color="auto"/>
              <w:right w:val="single" w:sz="4" w:space="0" w:color="auto"/>
            </w:tcBorders>
          </w:tcPr>
          <w:p w:rsidR="001405B1" w:rsidRDefault="001405B1" w:rsidP="001405B1">
            <w:pPr>
              <w:pStyle w:val="TableTextLeft"/>
            </w:pPr>
            <w:r>
              <w:t>A sustained high level of satisfaction and engagement with the services provided, measured by survey to ensure services are appro</w:t>
            </w:r>
            <w:r w:rsidR="00747FC3">
              <w:t>priate, responsive and relevant</w:t>
            </w:r>
            <w:r>
              <w:t xml:space="preserve"> </w:t>
            </w:r>
          </w:p>
        </w:tc>
        <w:tc>
          <w:tcPr>
            <w:tcW w:w="2496" w:type="dxa"/>
            <w:tcBorders>
              <w:top w:val="dotted" w:sz="4" w:space="0" w:color="auto"/>
              <w:left w:val="single" w:sz="4" w:space="0" w:color="auto"/>
              <w:bottom w:val="single" w:sz="4" w:space="0" w:color="auto"/>
            </w:tcBorders>
          </w:tcPr>
          <w:p w:rsidR="001405B1" w:rsidRDefault="001405B1" w:rsidP="001405B1">
            <w:pPr>
              <w:pStyle w:val="TableTextLeft"/>
              <w:rPr>
                <w:b/>
              </w:rPr>
            </w:pPr>
            <w:r>
              <w:rPr>
                <w:b/>
              </w:rPr>
              <w:t xml:space="preserve">Assessment: </w:t>
            </w:r>
            <w:r>
              <w:t>On track</w:t>
            </w:r>
          </w:p>
        </w:tc>
      </w:tr>
      <w:tr w:rsidR="001405B1" w:rsidRPr="00F71634" w:rsidTr="00DA18BF">
        <w:trPr>
          <w:trHeight w:val="356"/>
        </w:trPr>
        <w:tc>
          <w:tcPr>
            <w:tcW w:w="1276" w:type="dxa"/>
            <w:tcBorders>
              <w:top w:val="single" w:sz="4" w:space="0" w:color="auto"/>
              <w:bottom w:val="nil"/>
              <w:right w:val="single" w:sz="4" w:space="0" w:color="auto"/>
            </w:tcBorders>
          </w:tcPr>
          <w:p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69" w:type="dxa"/>
            <w:tcBorders>
              <w:top w:val="single" w:sz="4" w:space="0" w:color="auto"/>
              <w:left w:val="single" w:sz="4" w:space="0" w:color="auto"/>
              <w:bottom w:val="dotted" w:sz="4" w:space="0" w:color="auto"/>
              <w:right w:val="single" w:sz="4" w:space="0" w:color="auto"/>
            </w:tcBorders>
          </w:tcPr>
          <w:p w:rsidR="001405B1" w:rsidRDefault="001405B1" w:rsidP="001405B1">
            <w:pPr>
              <w:pStyle w:val="TableTextLeft"/>
            </w:pPr>
            <w:r>
              <w:t>The insured sche</w:t>
            </w:r>
            <w:r w:rsidR="00747FC3">
              <w:t>me continues to be fully funded</w:t>
            </w:r>
          </w:p>
        </w:tc>
        <w:tc>
          <w:tcPr>
            <w:tcW w:w="2496" w:type="dxa"/>
            <w:tcBorders>
              <w:top w:val="single" w:sz="4" w:space="0" w:color="auto"/>
              <w:left w:val="single" w:sz="4" w:space="0" w:color="auto"/>
              <w:bottom w:val="dotted" w:sz="4" w:space="0" w:color="auto"/>
            </w:tcBorders>
          </w:tcPr>
          <w:p w:rsidR="001405B1" w:rsidRDefault="00DA18BF" w:rsidP="001405B1">
            <w:pPr>
              <w:pStyle w:val="TableTextLeft"/>
            </w:pPr>
            <w:r>
              <w:t>100–</w:t>
            </w:r>
            <w:r w:rsidR="001405B1">
              <w:t>110%</w:t>
            </w:r>
          </w:p>
        </w:tc>
      </w:tr>
      <w:tr w:rsidR="001405B1" w:rsidRPr="00F71634" w:rsidTr="0055067B">
        <w:trPr>
          <w:trHeight w:val="567"/>
        </w:trPr>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The average Commonwealth premium rate reduces to 1.1</w:t>
            </w:r>
            <w:r w:rsidR="000A6D23">
              <w:t> </w:t>
            </w:r>
            <w:r>
              <w:t xml:space="preserve">per cent of payroll (excluding GST) for the 2018–19 premium year, to ensure the scheme </w:t>
            </w:r>
            <w:r w:rsidR="00747FC3">
              <w:t>remains financially sustainable</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pPr>
            <w:r>
              <w:t>Average Commonwealth premium rate = 1</w:t>
            </w:r>
            <w:r w:rsidR="00747FC3">
              <w:t>.1% of payroll</w:t>
            </w:r>
          </w:p>
        </w:tc>
      </w:tr>
      <w:tr w:rsidR="001405B1" w:rsidRPr="00F71634" w:rsidTr="00931196">
        <w:trPr>
          <w:trHeight w:val="510"/>
        </w:trPr>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 xml:space="preserve">Reduce the insured scheme liability to ensure the scheme </w:t>
            </w:r>
            <w:r w:rsidR="00747FC3">
              <w:t>remains financially sustainable</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pPr>
            <w:r>
              <w:t xml:space="preserve">Scheme liability is $1.9 billion or less </w:t>
            </w:r>
            <w:r w:rsidR="00686A76">
              <w:t xml:space="preserve">by </w:t>
            </w:r>
            <w:r w:rsidR="00747FC3">
              <w:t>30 June 2019</w:t>
            </w:r>
          </w:p>
        </w:tc>
      </w:tr>
      <w:tr w:rsidR="001405B1" w:rsidRPr="00F71634" w:rsidTr="00931196">
        <w:tc>
          <w:tcPr>
            <w:tcW w:w="1276" w:type="dxa"/>
            <w:tcBorders>
              <w:top w:val="nil"/>
              <w:bottom w:val="dotted" w:sz="4" w:space="0" w:color="auto"/>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That claims administration cost as a ratio of all claims expenses is 20 per cent or lower for each injury year, measured by Safe Work Australia’s comparative performance monitoring methodology, to ensure cost e</w:t>
            </w:r>
            <w:r w:rsidR="00747FC3">
              <w:t>ffective management of the fund</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pPr>
            <w:r>
              <w:t>Administra</w:t>
            </w:r>
            <w:r w:rsidR="00747FC3">
              <w:t>tive cost ratio is 20% or lower</w:t>
            </w:r>
          </w:p>
        </w:tc>
      </w:tr>
      <w:tr w:rsidR="001405B1" w:rsidRPr="00F71634" w:rsidTr="00931196">
        <w:tc>
          <w:tcPr>
            <w:tcW w:w="1276" w:type="dxa"/>
            <w:tcBorders>
              <w:top w:val="dotted" w:sz="4" w:space="0" w:color="auto"/>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Increase the proportion of employees who have returned to work, measured by duration on incapacity benefits, to facilitat</w:t>
            </w:r>
            <w:r w:rsidR="00747FC3">
              <w:t>e recovery and reduce liability</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pPr>
            <w:r>
              <w:t xml:space="preserve">13 weeks — 76% </w:t>
            </w:r>
          </w:p>
          <w:p w:rsidR="001405B1" w:rsidRDefault="001405B1" w:rsidP="001405B1">
            <w:pPr>
              <w:pStyle w:val="TableTextLeft"/>
            </w:pPr>
            <w:r>
              <w:t>26 weeks — 84%</w:t>
            </w:r>
          </w:p>
          <w:p w:rsidR="001405B1" w:rsidRDefault="001405B1" w:rsidP="001405B1">
            <w:pPr>
              <w:pStyle w:val="TableTextLeft"/>
            </w:pPr>
            <w:r>
              <w:t>78 weeks — 92%</w:t>
            </w:r>
          </w:p>
        </w:tc>
      </w:tr>
      <w:tr w:rsidR="001405B1" w:rsidRPr="00F71634" w:rsidTr="0055067B">
        <w:tc>
          <w:tcPr>
            <w:tcW w:w="1276" w:type="dxa"/>
            <w:tcBorders>
              <w:top w:val="nil"/>
              <w:bottom w:val="single" w:sz="4" w:space="0" w:color="auto"/>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single" w:sz="4" w:space="0" w:color="auto"/>
              <w:right w:val="single" w:sz="4" w:space="0" w:color="auto"/>
            </w:tcBorders>
          </w:tcPr>
          <w:p w:rsidR="001405B1" w:rsidRDefault="001405B1" w:rsidP="001405B1">
            <w:pPr>
              <w:pStyle w:val="TableTextLeft"/>
            </w:pPr>
            <w:r>
              <w:t>A sustained high level of satisfaction and engagement with the services provided, measured by survey, to ensure services are appro</w:t>
            </w:r>
            <w:r w:rsidR="00747FC3">
              <w:t>priate, responsive and relevant</w:t>
            </w:r>
          </w:p>
        </w:tc>
        <w:tc>
          <w:tcPr>
            <w:tcW w:w="2496" w:type="dxa"/>
            <w:tcBorders>
              <w:top w:val="dotted" w:sz="4" w:space="0" w:color="auto"/>
              <w:left w:val="single" w:sz="4" w:space="0" w:color="auto"/>
              <w:bottom w:val="single" w:sz="4" w:space="0" w:color="auto"/>
            </w:tcBorders>
          </w:tcPr>
          <w:p w:rsidR="001405B1" w:rsidRDefault="001405B1" w:rsidP="001405B1">
            <w:pPr>
              <w:pStyle w:val="TableTextLeft"/>
            </w:pPr>
            <w:r>
              <w:t>A stakeholder satisfaction rating of 82% or more fo</w:t>
            </w:r>
            <w:r w:rsidR="00747FC3">
              <w:t>r services provided to the Fund</w:t>
            </w:r>
          </w:p>
        </w:tc>
      </w:tr>
      <w:tr w:rsidR="001405B1" w:rsidRPr="00F71634" w:rsidTr="0055067B">
        <w:tc>
          <w:tcPr>
            <w:tcW w:w="1276" w:type="dxa"/>
            <w:tcBorders>
              <w:top w:val="single" w:sz="4" w:space="0" w:color="auto"/>
              <w:bottom w:val="nil"/>
              <w:right w:val="single" w:sz="4" w:space="0" w:color="auto"/>
            </w:tcBorders>
          </w:tcPr>
          <w:p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69" w:type="dxa"/>
            <w:tcBorders>
              <w:top w:val="single" w:sz="4" w:space="0" w:color="auto"/>
              <w:left w:val="single" w:sz="4" w:space="0" w:color="auto"/>
              <w:bottom w:val="dotted" w:sz="4" w:space="0" w:color="auto"/>
              <w:right w:val="single" w:sz="4" w:space="0" w:color="auto"/>
            </w:tcBorders>
          </w:tcPr>
          <w:p w:rsidR="001405B1" w:rsidRDefault="001405B1" w:rsidP="001405B1">
            <w:pPr>
              <w:pStyle w:val="TableTextLeft"/>
            </w:pPr>
            <w:r>
              <w:t>The insured sche</w:t>
            </w:r>
            <w:r w:rsidR="00747FC3">
              <w:t>me continues to be fully funded</w:t>
            </w:r>
          </w:p>
        </w:tc>
        <w:tc>
          <w:tcPr>
            <w:tcW w:w="2496" w:type="dxa"/>
            <w:tcBorders>
              <w:top w:val="single" w:sz="4" w:space="0" w:color="auto"/>
              <w:left w:val="single" w:sz="4" w:space="0" w:color="auto"/>
              <w:bottom w:val="dotted" w:sz="4" w:space="0" w:color="auto"/>
            </w:tcBorders>
          </w:tcPr>
          <w:p w:rsidR="001405B1" w:rsidRDefault="00DA18BF" w:rsidP="001405B1">
            <w:pPr>
              <w:pStyle w:val="TableTextLeft"/>
            </w:pPr>
            <w:r>
              <w:t>100–</w:t>
            </w:r>
            <w:r w:rsidR="001405B1">
              <w:t>110%</w:t>
            </w:r>
          </w:p>
        </w:tc>
      </w:tr>
      <w:tr w:rsidR="001405B1" w:rsidRPr="00F71634" w:rsidTr="0055067B">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The average Commonwealth premium rate reduces to 1.1</w:t>
            </w:r>
            <w:r w:rsidR="000A6D23">
              <w:t> </w:t>
            </w:r>
            <w:r>
              <w:t xml:space="preserve">per cent of payroll (excluding GST) for the 2018–19 premium year, to ensure the scheme </w:t>
            </w:r>
            <w:r w:rsidR="00747FC3">
              <w:t>remains financially sustainable</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pPr>
            <w:r>
              <w:t>Average Commonwealth</w:t>
            </w:r>
            <w:r w:rsidR="00747FC3">
              <w:t xml:space="preserve"> premium rate = 1.0% of payroll</w:t>
            </w:r>
          </w:p>
        </w:tc>
      </w:tr>
      <w:tr w:rsidR="001405B1" w:rsidRPr="00F71634" w:rsidTr="0055067B">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Reduce the insured scheme liability to ensure the scheme remains fi</w:t>
            </w:r>
            <w:r w:rsidR="00747FC3">
              <w:t>nancially sustainable</w:t>
            </w:r>
          </w:p>
        </w:tc>
        <w:tc>
          <w:tcPr>
            <w:tcW w:w="2496" w:type="dxa"/>
            <w:tcBorders>
              <w:top w:val="dotted" w:sz="4" w:space="0" w:color="auto"/>
              <w:left w:val="single" w:sz="4" w:space="0" w:color="auto"/>
              <w:bottom w:val="dotted" w:sz="4" w:space="0" w:color="auto"/>
            </w:tcBorders>
          </w:tcPr>
          <w:p w:rsidR="001405B1" w:rsidRDefault="007E482B" w:rsidP="00686A76">
            <w:pPr>
              <w:pStyle w:val="TableTextLeft"/>
            </w:pPr>
            <w:r>
              <w:t>Scheme liability is $1.71 </w:t>
            </w:r>
            <w:r w:rsidR="001405B1">
              <w:t xml:space="preserve">billion or less </w:t>
            </w:r>
            <w:r w:rsidR="00686A76">
              <w:t xml:space="preserve">by </w:t>
            </w:r>
            <w:r w:rsidR="001405B1">
              <w:t>30</w:t>
            </w:r>
            <w:r w:rsidR="00686A76">
              <w:t> </w:t>
            </w:r>
            <w:r w:rsidR="00747FC3">
              <w:t>June 2019</w:t>
            </w:r>
          </w:p>
        </w:tc>
      </w:tr>
      <w:tr w:rsidR="001405B1" w:rsidRPr="00F71634" w:rsidTr="0055067B">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That claims administration cost as a ratio of all claims expenses is 20 per cent or lower for each injury year, measured by Safe Work Australia’s comparative performance monitoring methodology, to ensure cost e</w:t>
            </w:r>
            <w:r w:rsidR="00747FC3">
              <w:t>ffective management of the fund</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pPr>
            <w:r>
              <w:t>Administra</w:t>
            </w:r>
            <w:r w:rsidR="00747FC3">
              <w:t>tive cost ratio is 20% or lower</w:t>
            </w:r>
          </w:p>
        </w:tc>
      </w:tr>
      <w:tr w:rsidR="001405B1" w:rsidRPr="00F71634" w:rsidTr="0055067B">
        <w:tc>
          <w:tcPr>
            <w:tcW w:w="1276" w:type="dxa"/>
            <w:tcBorders>
              <w:top w:val="nil"/>
              <w:bottom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rsidR="001405B1" w:rsidRDefault="001405B1" w:rsidP="001405B1">
            <w:pPr>
              <w:pStyle w:val="TableTextLeft"/>
            </w:pPr>
            <w:r>
              <w:t>Increase the proportion of employees who have returned to work, measured by duration on incapacity benefits, to facilitate recovery and redu</w:t>
            </w:r>
            <w:r w:rsidR="00747FC3">
              <w:t>ce liability</w:t>
            </w:r>
          </w:p>
        </w:tc>
        <w:tc>
          <w:tcPr>
            <w:tcW w:w="2496" w:type="dxa"/>
            <w:tcBorders>
              <w:top w:val="dotted" w:sz="4" w:space="0" w:color="auto"/>
              <w:left w:val="single" w:sz="4" w:space="0" w:color="auto"/>
              <w:bottom w:val="dotted" w:sz="4" w:space="0" w:color="auto"/>
            </w:tcBorders>
          </w:tcPr>
          <w:p w:rsidR="001405B1" w:rsidRDefault="001405B1" w:rsidP="001405B1">
            <w:pPr>
              <w:pStyle w:val="TableTextLeft"/>
            </w:pPr>
            <w:r>
              <w:t xml:space="preserve">13 weeks — 80% </w:t>
            </w:r>
          </w:p>
          <w:p w:rsidR="001405B1" w:rsidRDefault="001405B1" w:rsidP="001405B1">
            <w:pPr>
              <w:pStyle w:val="TableTextLeft"/>
            </w:pPr>
            <w:r>
              <w:t>26 weeks — 88%</w:t>
            </w:r>
          </w:p>
          <w:p w:rsidR="001405B1" w:rsidRDefault="001405B1" w:rsidP="001405B1">
            <w:pPr>
              <w:pStyle w:val="TableTextLeft"/>
            </w:pPr>
            <w:r>
              <w:t>78 weeks — 95%</w:t>
            </w:r>
          </w:p>
        </w:tc>
      </w:tr>
      <w:tr w:rsidR="001405B1" w:rsidRPr="00F71634" w:rsidTr="0055067B">
        <w:tc>
          <w:tcPr>
            <w:tcW w:w="1276" w:type="dxa"/>
            <w:tcBorders>
              <w:top w:val="nil"/>
              <w:right w:val="single" w:sz="4" w:space="0" w:color="auto"/>
            </w:tcBorders>
          </w:tcPr>
          <w:p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right w:val="single" w:sz="4" w:space="0" w:color="auto"/>
            </w:tcBorders>
          </w:tcPr>
          <w:p w:rsidR="001405B1" w:rsidRDefault="001405B1" w:rsidP="001405B1">
            <w:pPr>
              <w:pStyle w:val="TableTextLeft"/>
            </w:pPr>
            <w:r>
              <w:t>A sustained high level of satisfaction and engagement with the services provided, measured by survey, to ensure services are appro</w:t>
            </w:r>
            <w:r w:rsidR="00747FC3">
              <w:t>priate, responsive and relevant</w:t>
            </w:r>
          </w:p>
        </w:tc>
        <w:tc>
          <w:tcPr>
            <w:tcW w:w="2496" w:type="dxa"/>
            <w:tcBorders>
              <w:top w:val="dotted" w:sz="4" w:space="0" w:color="auto"/>
              <w:left w:val="single" w:sz="4" w:space="0" w:color="auto"/>
            </w:tcBorders>
          </w:tcPr>
          <w:p w:rsidR="001405B1" w:rsidRDefault="001405B1" w:rsidP="001405B1">
            <w:pPr>
              <w:pStyle w:val="TableTextLeft"/>
            </w:pPr>
            <w:r>
              <w:t>A stakeholder satisfaction rating of 85% or more fo</w:t>
            </w:r>
            <w:r w:rsidR="00747FC3">
              <w:t>r services provided to the Fund</w:t>
            </w:r>
          </w:p>
        </w:tc>
      </w:tr>
      <w:tr w:rsidR="001405B1" w:rsidRPr="008F2A2D" w:rsidTr="001405B1">
        <w:tc>
          <w:tcPr>
            <w:tcW w:w="7741" w:type="dxa"/>
            <w:gridSpan w:val="3"/>
          </w:tcPr>
          <w:p w:rsidR="001405B1" w:rsidRPr="008F2A2D" w:rsidRDefault="001405B1" w:rsidP="001405B1">
            <w:pPr>
              <w:pStyle w:val="TableTextLeft"/>
              <w:rPr>
                <w:rStyle w:val="BodyTextChar"/>
                <w:rFonts w:ascii="Arial" w:hAnsi="Arial"/>
                <w:b/>
                <w:sz w:val="17"/>
                <w:szCs w:val="20"/>
                <w:lang w:eastAsia="en-AU"/>
              </w:rPr>
            </w:pPr>
            <w:r w:rsidRPr="008F2A2D">
              <w:rPr>
                <w:rStyle w:val="BodyTextChar"/>
                <w:rFonts w:ascii="Arial" w:hAnsi="Arial"/>
                <w:b/>
                <w:sz w:val="17"/>
                <w:szCs w:val="20"/>
                <w:lang w:eastAsia="en-AU"/>
              </w:rPr>
              <w:t xml:space="preserve">Material changes to Program </w:t>
            </w:r>
            <w:r>
              <w:rPr>
                <w:rStyle w:val="BodyTextChar"/>
                <w:rFonts w:ascii="Arial" w:hAnsi="Arial"/>
                <w:b/>
                <w:sz w:val="17"/>
                <w:szCs w:val="20"/>
                <w:lang w:eastAsia="en-AU"/>
              </w:rPr>
              <w:t>Component 1.4</w:t>
            </w:r>
            <w:r w:rsidRPr="008F2A2D">
              <w:rPr>
                <w:rStyle w:val="BodyTextChar"/>
                <w:rFonts w:ascii="Arial" w:hAnsi="Arial"/>
                <w:b/>
                <w:sz w:val="17"/>
                <w:szCs w:val="20"/>
                <w:lang w:eastAsia="en-AU"/>
              </w:rPr>
              <w:t xml:space="preserve"> resulting from the following measures:</w:t>
            </w:r>
          </w:p>
          <w:p w:rsidR="001405B1" w:rsidRPr="008F2A2D" w:rsidRDefault="001405B1" w:rsidP="001405B1">
            <w:pPr>
              <w:pStyle w:val="TableTextLeft"/>
            </w:pPr>
            <w:r w:rsidRPr="008F2A2D">
              <w:rPr>
                <w:rStyle w:val="BodyTextChar"/>
                <w:rFonts w:ascii="Arial" w:hAnsi="Arial"/>
                <w:sz w:val="17"/>
                <w:szCs w:val="20"/>
                <w:lang w:eastAsia="en-AU"/>
              </w:rPr>
              <w:t>Nil</w:t>
            </w:r>
          </w:p>
        </w:tc>
      </w:tr>
    </w:tbl>
    <w:p w:rsidR="001405B1" w:rsidRPr="0055067B" w:rsidRDefault="001405B1" w:rsidP="0055067B">
      <w:pPr>
        <w:spacing w:after="0" w:line="240" w:lineRule="auto"/>
        <w:rPr>
          <w:sz w:val="2"/>
        </w:rPr>
      </w:pPr>
      <w:r>
        <w:rPr>
          <w:b/>
        </w:rP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1405B1" w:rsidRPr="00F71634" w:rsidTr="0055067B">
        <w:trPr>
          <w:trHeight w:val="283"/>
          <w:tblHeader/>
        </w:trPr>
        <w:tc>
          <w:tcPr>
            <w:tcW w:w="7741" w:type="dxa"/>
            <w:gridSpan w:val="3"/>
            <w:shd w:val="clear" w:color="auto" w:fill="F2F2F2"/>
          </w:tcPr>
          <w:p w:rsidR="001405B1" w:rsidRPr="001405B1" w:rsidRDefault="001405B1" w:rsidP="001405B1">
            <w:pPr>
              <w:pStyle w:val="TableTextLeft"/>
              <w:rPr>
                <w:b/>
              </w:rPr>
            </w:pPr>
            <w:r w:rsidRPr="001405B1">
              <w:rPr>
                <w:b/>
              </w:rPr>
              <w:lastRenderedPageBreak/>
              <w:t>Program Component 1.</w:t>
            </w:r>
            <w:r>
              <w:rPr>
                <w:b/>
              </w:rPr>
              <w:t>5—Pre-premium claims</w:t>
            </w:r>
          </w:p>
        </w:tc>
      </w:tr>
      <w:tr w:rsidR="001405B1" w:rsidRPr="00F71634" w:rsidTr="0055067B">
        <w:trPr>
          <w:trHeight w:val="680"/>
        </w:trPr>
        <w:tc>
          <w:tcPr>
            <w:tcW w:w="1276" w:type="dxa"/>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rsidR="001405B1" w:rsidRDefault="001405B1" w:rsidP="001405B1">
            <w:pPr>
              <w:pStyle w:val="TableTextLeft"/>
            </w:pPr>
            <w:r w:rsidRPr="007E482B">
              <w:t>Leading Workers’ Compensation Insurer</w:t>
            </w:r>
            <w:r>
              <w:rPr>
                <w:i/>
              </w:rPr>
              <w:t>—</w:t>
            </w:r>
            <w:r>
              <w:t>To foster participation and productivity by minimising the impact of harm in workplaces, facilitate recovery at and return to work, and deliver sustainable management of the fund.</w:t>
            </w:r>
          </w:p>
        </w:tc>
      </w:tr>
      <w:tr w:rsidR="001405B1" w:rsidRPr="00F71634" w:rsidTr="001405B1">
        <w:tc>
          <w:tcPr>
            <w:tcW w:w="1276" w:type="dxa"/>
            <w:tcBorders>
              <w:bottom w:val="doub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1405B1" w:rsidRDefault="001405B1" w:rsidP="001405B1">
            <w:pPr>
              <w:pStyle w:val="TableTextLeft"/>
            </w:pPr>
            <w:r>
              <w:t>Build a high-performance business and service culture that is committed to quality and outcomes.</w:t>
            </w:r>
          </w:p>
        </w:tc>
      </w:tr>
      <w:tr w:rsidR="001405B1" w:rsidRPr="00F71634" w:rsidTr="0055067B">
        <w:trPr>
          <w:trHeight w:val="283"/>
        </w:trPr>
        <w:tc>
          <w:tcPr>
            <w:tcW w:w="7741" w:type="dxa"/>
            <w:gridSpan w:val="3"/>
            <w:tcBorders>
              <w:top w:val="double" w:sz="4" w:space="0" w:color="auto"/>
              <w:bottom w:val="doub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1405B1" w:rsidRPr="00F71634" w:rsidTr="00DA18BF">
        <w:trPr>
          <w:trHeight w:val="283"/>
        </w:trPr>
        <w:tc>
          <w:tcPr>
            <w:tcW w:w="1276" w:type="dxa"/>
            <w:tcBorders>
              <w:top w:val="double" w:sz="4" w:space="0" w:color="auto"/>
              <w:bottom w:val="single" w:sz="4" w:space="0" w:color="auto"/>
              <w:right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1405B1" w:rsidRPr="00F71634" w:rsidTr="001405B1">
        <w:trPr>
          <w:trHeight w:val="60"/>
        </w:trPr>
        <w:tc>
          <w:tcPr>
            <w:tcW w:w="1276" w:type="dxa"/>
            <w:tcBorders>
              <w:top w:val="single" w:sz="4" w:space="0" w:color="auto"/>
              <w:bottom w:val="nil"/>
              <w:right w:val="single" w:sz="4" w:space="0" w:color="auto"/>
            </w:tcBorders>
          </w:tcPr>
          <w:p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rsidR="001405B1" w:rsidRDefault="001405B1" w:rsidP="001405B1">
            <w:pPr>
              <w:pStyle w:val="TableTextLeft"/>
            </w:pPr>
            <w:r>
              <w:t>Reduce the direct administra</w:t>
            </w:r>
            <w:r w:rsidR="00340128">
              <w:t>tion cost ra</w:t>
            </w:r>
            <w:r w:rsidR="00686A76">
              <w:t>tio</w:t>
            </w:r>
            <w:r w:rsidR="00340128">
              <w:t xml:space="preserve"> to 20 per cent by 2018–</w:t>
            </w:r>
            <w:r>
              <w:t>19, measured by Safe Work Australia’s comparative performance monitoring methodology, to ensure cost e</w:t>
            </w:r>
            <w:r w:rsidR="00DA00A2">
              <w:t>ffective management of the fund</w:t>
            </w:r>
          </w:p>
        </w:tc>
        <w:tc>
          <w:tcPr>
            <w:tcW w:w="2565" w:type="dxa"/>
            <w:tcBorders>
              <w:top w:val="single" w:sz="4" w:space="0" w:color="auto"/>
              <w:left w:val="single" w:sz="4" w:space="0" w:color="auto"/>
              <w:bottom w:val="dotted" w:sz="4" w:space="0" w:color="auto"/>
            </w:tcBorders>
          </w:tcPr>
          <w:p w:rsidR="001405B1" w:rsidRDefault="001405B1" w:rsidP="001405B1">
            <w:pPr>
              <w:pStyle w:val="TableTextLeft"/>
              <w:rPr>
                <w:i/>
                <w:color w:val="FF0000"/>
              </w:rPr>
            </w:pPr>
            <w:r>
              <w:rPr>
                <w:b/>
              </w:rPr>
              <w:t xml:space="preserve">Assessment: </w:t>
            </w:r>
            <w:r>
              <w:t>Not on track</w:t>
            </w:r>
            <w:r>
              <w:rPr>
                <w:rStyle w:val="FootnoteReference"/>
                <w:rFonts w:cs="Arial"/>
                <w:color w:val="000000"/>
                <w:sz w:val="16"/>
                <w:szCs w:val="16"/>
              </w:rPr>
              <w:footnoteReference w:id="11"/>
            </w:r>
          </w:p>
        </w:tc>
      </w:tr>
      <w:tr w:rsidR="0055067B" w:rsidRPr="00F71634" w:rsidTr="001405B1">
        <w:tc>
          <w:tcPr>
            <w:tcW w:w="1276" w:type="dxa"/>
            <w:tcBorders>
              <w:top w:val="single" w:sz="4" w:space="0" w:color="auto"/>
              <w:bottom w:val="nil"/>
              <w:right w:val="single" w:sz="4" w:space="0" w:color="auto"/>
            </w:tcBorders>
          </w:tcPr>
          <w:p w:rsidR="0055067B" w:rsidRPr="006906E4" w:rsidRDefault="0055067B" w:rsidP="001405B1">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rsidR="0055067B" w:rsidRDefault="0055067B" w:rsidP="0055067B">
            <w:pPr>
              <w:pStyle w:val="TableTextLeft"/>
            </w:pPr>
            <w:r>
              <w:t>That claims administration cost as a ratio of all claims expenses is 20 per cent or lower for each injury year, measured by Safe Work Australia’s comparative performance monitoring methodology, to ensure cost e</w:t>
            </w:r>
            <w:r w:rsidR="00DA00A2">
              <w:t>ffective management of the fund</w:t>
            </w:r>
          </w:p>
        </w:tc>
        <w:tc>
          <w:tcPr>
            <w:tcW w:w="2565" w:type="dxa"/>
            <w:tcBorders>
              <w:top w:val="single" w:sz="4" w:space="0" w:color="auto"/>
              <w:left w:val="single" w:sz="4" w:space="0" w:color="auto"/>
              <w:bottom w:val="dotted" w:sz="4" w:space="0" w:color="auto"/>
            </w:tcBorders>
          </w:tcPr>
          <w:p w:rsidR="0055067B" w:rsidRDefault="0055067B" w:rsidP="0055067B">
            <w:pPr>
              <w:pStyle w:val="TableTextLeft"/>
            </w:pPr>
            <w:r>
              <w:t>Administrative cost ratio is 20%</w:t>
            </w:r>
            <w:r w:rsidR="00DA00A2">
              <w:t xml:space="preserve"> or lower</w:t>
            </w:r>
          </w:p>
        </w:tc>
      </w:tr>
      <w:tr w:rsidR="001405B1" w:rsidRPr="00F71634" w:rsidTr="0055067B">
        <w:trPr>
          <w:trHeight w:val="454"/>
        </w:trPr>
        <w:tc>
          <w:tcPr>
            <w:tcW w:w="1276" w:type="dxa"/>
            <w:tcBorders>
              <w:top w:val="single" w:sz="4" w:space="0" w:color="auto"/>
              <w:bottom w:val="nil"/>
              <w:right w:val="single" w:sz="4" w:space="0" w:color="auto"/>
            </w:tcBorders>
          </w:tcPr>
          <w:p w:rsidR="001405B1" w:rsidRPr="006906E4" w:rsidRDefault="001405B1" w:rsidP="00DA18BF">
            <w:pPr>
              <w:tabs>
                <w:tab w:val="left" w:pos="709"/>
              </w:tabs>
              <w:spacing w:before="60" w:after="4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rsidR="001405B1" w:rsidRDefault="00340128" w:rsidP="001405B1">
            <w:pPr>
              <w:spacing w:before="60" w:after="60" w:line="240" w:lineRule="auto"/>
              <w:rPr>
                <w:rFonts w:ascii="Arial" w:hAnsi="Arial" w:cs="Arial"/>
                <w:color w:val="000000"/>
                <w:sz w:val="16"/>
                <w:szCs w:val="16"/>
              </w:rPr>
            </w:pPr>
            <w:r>
              <w:rPr>
                <w:rFonts w:ascii="Arial" w:hAnsi="Arial" w:cs="Arial"/>
                <w:color w:val="000000"/>
                <w:sz w:val="16"/>
                <w:szCs w:val="16"/>
              </w:rPr>
              <w:t>As per 2018–</w:t>
            </w:r>
            <w:r w:rsidR="001405B1">
              <w:rPr>
                <w:rFonts w:ascii="Arial" w:hAnsi="Arial" w:cs="Arial"/>
                <w:color w:val="000000"/>
                <w:sz w:val="16"/>
                <w:szCs w:val="16"/>
              </w:rPr>
              <w:t xml:space="preserve">19 </w:t>
            </w:r>
          </w:p>
        </w:tc>
        <w:tc>
          <w:tcPr>
            <w:tcW w:w="2565" w:type="dxa"/>
            <w:tcBorders>
              <w:top w:val="single" w:sz="4" w:space="0" w:color="auto"/>
              <w:left w:val="single" w:sz="4" w:space="0" w:color="auto"/>
              <w:bottom w:val="dotted" w:sz="4" w:space="0" w:color="auto"/>
            </w:tcBorders>
          </w:tcPr>
          <w:p w:rsidR="001405B1" w:rsidRDefault="001405B1" w:rsidP="00686A76">
            <w:pPr>
              <w:tabs>
                <w:tab w:val="left" w:pos="709"/>
              </w:tabs>
              <w:spacing w:before="60" w:after="60" w:line="240" w:lineRule="auto"/>
              <w:rPr>
                <w:rFonts w:ascii="Arial" w:hAnsi="Arial" w:cs="Arial"/>
                <w:color w:val="000000"/>
                <w:sz w:val="16"/>
                <w:szCs w:val="16"/>
              </w:rPr>
            </w:pPr>
            <w:r>
              <w:rPr>
                <w:rFonts w:ascii="Arial" w:hAnsi="Arial" w:cs="Arial"/>
                <w:color w:val="000000"/>
                <w:sz w:val="16"/>
                <w:szCs w:val="16"/>
              </w:rPr>
              <w:t>As per 2018</w:t>
            </w:r>
            <w:r w:rsidR="00686A76">
              <w:rPr>
                <w:rFonts w:ascii="Arial" w:hAnsi="Arial" w:cs="Arial"/>
                <w:color w:val="000000"/>
                <w:sz w:val="16"/>
                <w:szCs w:val="16"/>
              </w:rPr>
              <w:t>–</w:t>
            </w:r>
            <w:r>
              <w:rPr>
                <w:rFonts w:ascii="Arial" w:hAnsi="Arial" w:cs="Arial"/>
                <w:color w:val="000000"/>
                <w:sz w:val="16"/>
                <w:szCs w:val="16"/>
              </w:rPr>
              <w:t>19</w:t>
            </w:r>
          </w:p>
        </w:tc>
      </w:tr>
      <w:tr w:rsidR="001405B1" w:rsidRPr="00DA18BF" w:rsidTr="00DA18BF">
        <w:trPr>
          <w:trHeight w:val="227"/>
        </w:trPr>
        <w:tc>
          <w:tcPr>
            <w:tcW w:w="7741" w:type="dxa"/>
            <w:gridSpan w:val="3"/>
          </w:tcPr>
          <w:p w:rsidR="001405B1" w:rsidRPr="00DA18BF" w:rsidRDefault="001405B1" w:rsidP="0055067B">
            <w:pPr>
              <w:pStyle w:val="TableTextLeft"/>
              <w:rPr>
                <w:sz w:val="16"/>
              </w:rPr>
            </w:pPr>
            <w:r w:rsidRPr="00DA18BF">
              <w:rPr>
                <w:rStyle w:val="BodyTextChar"/>
                <w:rFonts w:ascii="Arial" w:hAnsi="Arial"/>
                <w:b/>
                <w:sz w:val="16"/>
                <w:szCs w:val="20"/>
                <w:lang w:eastAsia="en-AU"/>
              </w:rPr>
              <w:t>Material changes to Program Component 1.</w:t>
            </w:r>
            <w:r w:rsidR="0055067B" w:rsidRPr="00DA18BF">
              <w:rPr>
                <w:rStyle w:val="BodyTextChar"/>
                <w:rFonts w:ascii="Arial" w:hAnsi="Arial"/>
                <w:b/>
                <w:sz w:val="16"/>
                <w:szCs w:val="20"/>
                <w:lang w:eastAsia="en-AU"/>
              </w:rPr>
              <w:t>5</w:t>
            </w:r>
            <w:r w:rsidRPr="00DA18BF">
              <w:rPr>
                <w:rStyle w:val="BodyTextChar"/>
                <w:rFonts w:ascii="Arial" w:hAnsi="Arial"/>
                <w:b/>
                <w:sz w:val="16"/>
                <w:szCs w:val="20"/>
                <w:lang w:eastAsia="en-AU"/>
              </w:rPr>
              <w:t xml:space="preserve"> resulting from the following measures:</w:t>
            </w:r>
            <w:r w:rsidR="0055067B" w:rsidRPr="00DA18BF">
              <w:rPr>
                <w:rStyle w:val="BodyTextChar"/>
                <w:rFonts w:ascii="Arial" w:hAnsi="Arial"/>
                <w:b/>
                <w:sz w:val="16"/>
                <w:szCs w:val="20"/>
                <w:lang w:eastAsia="en-AU"/>
              </w:rPr>
              <w:t xml:space="preserve"> </w:t>
            </w:r>
            <w:r w:rsidRPr="00DA18BF">
              <w:rPr>
                <w:rStyle w:val="BodyTextChar"/>
                <w:rFonts w:ascii="Arial" w:hAnsi="Arial"/>
                <w:sz w:val="16"/>
                <w:szCs w:val="20"/>
                <w:lang w:eastAsia="en-AU"/>
              </w:rPr>
              <w:t>Nil</w:t>
            </w:r>
          </w:p>
        </w:tc>
      </w:tr>
    </w:tbl>
    <w:p w:rsidR="001405B1" w:rsidRPr="0055067B" w:rsidRDefault="001405B1" w:rsidP="0055067B">
      <w:pPr>
        <w:spacing w:after="0" w:line="240" w:lineRule="auto"/>
        <w:rPr>
          <w:sz w:val="16"/>
        </w:rPr>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55067B" w:rsidRPr="00F71634" w:rsidTr="0055067B">
        <w:trPr>
          <w:trHeight w:val="283"/>
          <w:tblHeader/>
        </w:trPr>
        <w:tc>
          <w:tcPr>
            <w:tcW w:w="7741" w:type="dxa"/>
            <w:gridSpan w:val="3"/>
            <w:shd w:val="clear" w:color="auto" w:fill="F2F2F2"/>
          </w:tcPr>
          <w:p w:rsidR="0055067B" w:rsidRPr="001405B1" w:rsidRDefault="0055067B" w:rsidP="0055067B">
            <w:pPr>
              <w:pStyle w:val="TableTextLeft"/>
              <w:rPr>
                <w:b/>
              </w:rPr>
            </w:pPr>
            <w:r w:rsidRPr="001405B1">
              <w:rPr>
                <w:b/>
              </w:rPr>
              <w:t>Program Component 1.</w:t>
            </w:r>
            <w:r>
              <w:rPr>
                <w:b/>
              </w:rPr>
              <w:t>6</w:t>
            </w:r>
            <w:r w:rsidRPr="001405B1">
              <w:rPr>
                <w:b/>
              </w:rPr>
              <w:t>—</w:t>
            </w:r>
            <w:r>
              <w:rPr>
                <w:b/>
              </w:rPr>
              <w:t>Asbestos Claims</w:t>
            </w:r>
          </w:p>
        </w:tc>
      </w:tr>
      <w:tr w:rsidR="0055067B" w:rsidRPr="00F71634" w:rsidTr="0055067B">
        <w:trPr>
          <w:trHeight w:val="680"/>
        </w:trPr>
        <w:tc>
          <w:tcPr>
            <w:tcW w:w="1276" w:type="dxa"/>
          </w:tcPr>
          <w:p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rsidR="0055067B" w:rsidRPr="0055067B" w:rsidRDefault="0055067B" w:rsidP="0055067B">
            <w:pPr>
              <w:pStyle w:val="TableTextLeft"/>
            </w:pPr>
            <w:r w:rsidRPr="007E482B">
              <w:t>Leading Workers’ Compensation Insurer</w:t>
            </w:r>
            <w:r>
              <w:rPr>
                <w:i/>
              </w:rPr>
              <w:t>—</w:t>
            </w:r>
            <w:r w:rsidRPr="0055067B">
              <w:t>To foster participation and productivity by minimising the impact of harm in workplaces, facilitate recovery at and return to work, and deliver sustainable management of the fund.</w:t>
            </w:r>
          </w:p>
        </w:tc>
      </w:tr>
      <w:tr w:rsidR="0055067B" w:rsidRPr="00F71634" w:rsidTr="0055067B">
        <w:tc>
          <w:tcPr>
            <w:tcW w:w="1276" w:type="dxa"/>
            <w:tcBorders>
              <w:bottom w:val="double" w:sz="4" w:space="0" w:color="auto"/>
            </w:tcBorders>
          </w:tcPr>
          <w:p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55067B" w:rsidRPr="0055067B" w:rsidRDefault="0055067B" w:rsidP="0055067B">
            <w:pPr>
              <w:pStyle w:val="TableTextLeft"/>
            </w:pPr>
            <w:r w:rsidRPr="0055067B">
              <w:t>Proactive management of asbestos claims and recoveries from third parties.</w:t>
            </w:r>
          </w:p>
        </w:tc>
      </w:tr>
      <w:tr w:rsidR="0055067B" w:rsidRPr="00F71634" w:rsidTr="0055067B">
        <w:trPr>
          <w:trHeight w:val="283"/>
        </w:trPr>
        <w:tc>
          <w:tcPr>
            <w:tcW w:w="7741" w:type="dxa"/>
            <w:gridSpan w:val="3"/>
            <w:tcBorders>
              <w:top w:val="double" w:sz="4" w:space="0" w:color="auto"/>
              <w:bottom w:val="double" w:sz="4" w:space="0" w:color="auto"/>
            </w:tcBorders>
          </w:tcPr>
          <w:p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55067B" w:rsidRPr="00F71634" w:rsidTr="00DA18BF">
        <w:trPr>
          <w:trHeight w:val="283"/>
        </w:trPr>
        <w:tc>
          <w:tcPr>
            <w:tcW w:w="1276" w:type="dxa"/>
            <w:tcBorders>
              <w:top w:val="double" w:sz="4" w:space="0" w:color="auto"/>
              <w:bottom w:val="single" w:sz="4" w:space="0" w:color="auto"/>
              <w:right w:val="single" w:sz="4" w:space="0" w:color="auto"/>
            </w:tcBorders>
          </w:tcPr>
          <w:p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55067B" w:rsidRPr="00F71634" w:rsidTr="0055067B">
        <w:trPr>
          <w:trHeight w:val="60"/>
        </w:trPr>
        <w:tc>
          <w:tcPr>
            <w:tcW w:w="1276" w:type="dxa"/>
            <w:tcBorders>
              <w:top w:val="single" w:sz="4" w:space="0" w:color="auto"/>
              <w:bottom w:val="nil"/>
              <w:right w:val="single" w:sz="4" w:space="0" w:color="auto"/>
            </w:tcBorders>
          </w:tcPr>
          <w:p w:rsidR="0055067B" w:rsidRPr="006906E4" w:rsidRDefault="0055067B" w:rsidP="00DA18BF">
            <w:pPr>
              <w:tabs>
                <w:tab w:val="left" w:pos="709"/>
              </w:tabs>
              <w:spacing w:before="60" w:after="4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rsidR="0055067B" w:rsidRDefault="0055067B" w:rsidP="00DA18BF">
            <w:pPr>
              <w:pStyle w:val="TableTextLeft"/>
              <w:spacing w:after="40"/>
            </w:pPr>
            <w:r>
              <w:t>Timeliness of claims resolution (i.e. percentage of primary asbestos claims res</w:t>
            </w:r>
            <w:r w:rsidR="00DA00A2">
              <w:t>olved within 180 calendar days)</w:t>
            </w:r>
          </w:p>
        </w:tc>
        <w:tc>
          <w:tcPr>
            <w:tcW w:w="2565" w:type="dxa"/>
            <w:tcBorders>
              <w:top w:val="single" w:sz="4" w:space="0" w:color="auto"/>
              <w:left w:val="single" w:sz="4" w:space="0" w:color="auto"/>
              <w:bottom w:val="dotted" w:sz="4" w:space="0" w:color="auto"/>
            </w:tcBorders>
          </w:tcPr>
          <w:p w:rsidR="0055067B" w:rsidRPr="0055067B" w:rsidRDefault="0055067B" w:rsidP="00DA18BF">
            <w:pPr>
              <w:pStyle w:val="TableTextLeft"/>
              <w:spacing w:after="40"/>
            </w:pPr>
            <w:r>
              <w:rPr>
                <w:b/>
              </w:rPr>
              <w:t xml:space="preserve">Assessment: </w:t>
            </w:r>
            <w:r>
              <w:t>On track</w:t>
            </w:r>
          </w:p>
        </w:tc>
      </w:tr>
      <w:tr w:rsidR="0055067B" w:rsidRPr="00F71634" w:rsidTr="0055067B">
        <w:tc>
          <w:tcPr>
            <w:tcW w:w="1276" w:type="dxa"/>
            <w:tcBorders>
              <w:top w:val="nil"/>
              <w:bottom w:val="single" w:sz="4" w:space="0" w:color="auto"/>
              <w:right w:val="single" w:sz="4" w:space="0" w:color="auto"/>
            </w:tcBorders>
          </w:tcPr>
          <w:p w:rsidR="0055067B" w:rsidRDefault="0055067B" w:rsidP="00DA18BF">
            <w:pPr>
              <w:tabs>
                <w:tab w:val="left" w:pos="709"/>
              </w:tabs>
              <w:spacing w:before="60" w:after="4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55067B" w:rsidRDefault="0055067B" w:rsidP="00DA18BF">
            <w:pPr>
              <w:pStyle w:val="TableTextLeft"/>
              <w:spacing w:after="40"/>
            </w:pPr>
            <w:r>
              <w:t>Third party recovery rate (i.e. percentage of the value of asbestos claims settlement</w:t>
            </w:r>
            <w:r w:rsidR="00DA00A2">
              <w:t>s recovered from third parties)</w:t>
            </w:r>
          </w:p>
        </w:tc>
        <w:tc>
          <w:tcPr>
            <w:tcW w:w="2565" w:type="dxa"/>
            <w:tcBorders>
              <w:top w:val="dotted" w:sz="4" w:space="0" w:color="auto"/>
              <w:left w:val="single" w:sz="4" w:space="0" w:color="auto"/>
              <w:bottom w:val="single" w:sz="4" w:space="0" w:color="auto"/>
            </w:tcBorders>
          </w:tcPr>
          <w:p w:rsidR="0055067B" w:rsidRDefault="0055067B" w:rsidP="00DA18BF">
            <w:pPr>
              <w:pStyle w:val="TableTextLeft"/>
              <w:spacing w:after="40"/>
              <w:rPr>
                <w:b/>
              </w:rPr>
            </w:pPr>
            <w:r>
              <w:rPr>
                <w:b/>
              </w:rPr>
              <w:t xml:space="preserve">Assessment: </w:t>
            </w:r>
            <w:r>
              <w:t>On track</w:t>
            </w:r>
          </w:p>
        </w:tc>
      </w:tr>
      <w:tr w:rsidR="0055067B" w:rsidRPr="00F71634" w:rsidTr="0055067B">
        <w:trPr>
          <w:trHeight w:val="680"/>
        </w:trPr>
        <w:tc>
          <w:tcPr>
            <w:tcW w:w="1276" w:type="dxa"/>
            <w:tcBorders>
              <w:top w:val="single" w:sz="4" w:space="0" w:color="auto"/>
              <w:bottom w:val="nil"/>
              <w:right w:val="single" w:sz="4" w:space="0" w:color="auto"/>
            </w:tcBorders>
          </w:tcPr>
          <w:p w:rsidR="0055067B" w:rsidRPr="006906E4" w:rsidRDefault="0055067B" w:rsidP="0055067B">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rsidR="0055067B" w:rsidRDefault="0055067B" w:rsidP="0055067B">
            <w:pPr>
              <w:pStyle w:val="TableTextLeft"/>
            </w:pPr>
            <w:r>
              <w:t>Timeliness of claims resolution (i.e. percentage of primary asbe</w:t>
            </w:r>
            <w:r w:rsidR="00DA18BF">
              <w:t>stos claims resolved within 180 </w:t>
            </w:r>
            <w:r w:rsidR="00DA00A2">
              <w:t>calendar days)</w:t>
            </w:r>
          </w:p>
        </w:tc>
        <w:tc>
          <w:tcPr>
            <w:tcW w:w="2565" w:type="dxa"/>
            <w:tcBorders>
              <w:top w:val="single" w:sz="4" w:space="0" w:color="auto"/>
              <w:left w:val="single" w:sz="4" w:space="0" w:color="auto"/>
              <w:bottom w:val="dotted" w:sz="4" w:space="0" w:color="auto"/>
            </w:tcBorders>
          </w:tcPr>
          <w:p w:rsidR="0055067B" w:rsidRDefault="0055067B" w:rsidP="0055067B">
            <w:pPr>
              <w:pStyle w:val="TableTextLeft"/>
            </w:pPr>
            <w:r>
              <w:t>80%</w:t>
            </w:r>
          </w:p>
        </w:tc>
      </w:tr>
      <w:tr w:rsidR="0055067B" w:rsidRPr="00F71634" w:rsidTr="0055067B">
        <w:trPr>
          <w:trHeight w:val="680"/>
        </w:trPr>
        <w:tc>
          <w:tcPr>
            <w:tcW w:w="1276" w:type="dxa"/>
            <w:tcBorders>
              <w:top w:val="nil"/>
              <w:bottom w:val="single" w:sz="4" w:space="0" w:color="auto"/>
              <w:right w:val="single" w:sz="4" w:space="0" w:color="auto"/>
            </w:tcBorders>
          </w:tcPr>
          <w:p w:rsidR="0055067B" w:rsidRDefault="0055067B" w:rsidP="0055067B">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55067B" w:rsidRDefault="0055067B" w:rsidP="0055067B">
            <w:pPr>
              <w:pStyle w:val="TableTextLeft"/>
            </w:pPr>
            <w:r>
              <w:t>Third party recovery rate (i.e. percentage of the value of asbestos claims settlement</w:t>
            </w:r>
            <w:r w:rsidR="00DA00A2">
              <w:t>s recovered from third parties)</w:t>
            </w:r>
          </w:p>
        </w:tc>
        <w:tc>
          <w:tcPr>
            <w:tcW w:w="2565" w:type="dxa"/>
            <w:tcBorders>
              <w:top w:val="dotted" w:sz="4" w:space="0" w:color="auto"/>
              <w:left w:val="single" w:sz="4" w:space="0" w:color="auto"/>
              <w:bottom w:val="single" w:sz="4" w:space="0" w:color="auto"/>
            </w:tcBorders>
          </w:tcPr>
          <w:p w:rsidR="0055067B" w:rsidRDefault="0055067B" w:rsidP="0055067B">
            <w:pPr>
              <w:pStyle w:val="TableTextLeft"/>
            </w:pPr>
            <w:r>
              <w:t>10%</w:t>
            </w:r>
          </w:p>
        </w:tc>
      </w:tr>
      <w:tr w:rsidR="0055067B" w:rsidRPr="00F71634" w:rsidTr="0055067B">
        <w:trPr>
          <w:trHeight w:val="454"/>
        </w:trPr>
        <w:tc>
          <w:tcPr>
            <w:tcW w:w="1276" w:type="dxa"/>
            <w:tcBorders>
              <w:top w:val="single" w:sz="4" w:space="0" w:color="auto"/>
              <w:bottom w:val="nil"/>
              <w:right w:val="single" w:sz="4" w:space="0" w:color="auto"/>
            </w:tcBorders>
          </w:tcPr>
          <w:p w:rsidR="0055067B" w:rsidRPr="006906E4" w:rsidRDefault="0055067B" w:rsidP="00DA18BF">
            <w:pPr>
              <w:tabs>
                <w:tab w:val="left" w:pos="709"/>
              </w:tabs>
              <w:spacing w:before="60" w:after="4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rsidR="0055067B" w:rsidRDefault="00340128" w:rsidP="0055067B">
            <w:pPr>
              <w:pStyle w:val="TableTextLeft"/>
            </w:pPr>
            <w:r>
              <w:t>As per 2018–</w:t>
            </w:r>
            <w:r w:rsidR="0055067B">
              <w:t xml:space="preserve">19 </w:t>
            </w:r>
          </w:p>
        </w:tc>
        <w:tc>
          <w:tcPr>
            <w:tcW w:w="2565" w:type="dxa"/>
            <w:tcBorders>
              <w:top w:val="single" w:sz="4" w:space="0" w:color="auto"/>
              <w:left w:val="single" w:sz="4" w:space="0" w:color="auto"/>
              <w:bottom w:val="dotted" w:sz="4" w:space="0" w:color="auto"/>
            </w:tcBorders>
          </w:tcPr>
          <w:p w:rsidR="0055067B" w:rsidRDefault="00340128" w:rsidP="0055067B">
            <w:pPr>
              <w:pStyle w:val="TableTextLeft"/>
            </w:pPr>
            <w:r>
              <w:t>As per 2018–</w:t>
            </w:r>
            <w:r w:rsidR="0055067B">
              <w:t>19</w:t>
            </w:r>
          </w:p>
        </w:tc>
      </w:tr>
      <w:tr w:rsidR="0055067B" w:rsidRPr="008F2A2D" w:rsidTr="0055067B">
        <w:tc>
          <w:tcPr>
            <w:tcW w:w="7741" w:type="dxa"/>
            <w:gridSpan w:val="3"/>
          </w:tcPr>
          <w:p w:rsidR="0055067B" w:rsidRPr="008F2A2D" w:rsidRDefault="0055067B" w:rsidP="0055067B">
            <w:pPr>
              <w:pStyle w:val="TableTextLeft"/>
            </w:pPr>
            <w:r w:rsidRPr="0055067B">
              <w:rPr>
                <w:rStyle w:val="BodyTextChar"/>
                <w:rFonts w:ascii="Arial" w:hAnsi="Arial"/>
                <w:b/>
                <w:sz w:val="17"/>
                <w:szCs w:val="20"/>
                <w:lang w:eastAsia="en-AU"/>
              </w:rPr>
              <w:t xml:space="preserve">Material </w:t>
            </w:r>
            <w:r w:rsidR="00DA18BF">
              <w:rPr>
                <w:rStyle w:val="BodyTextChar"/>
                <w:rFonts w:ascii="Arial" w:hAnsi="Arial"/>
                <w:b/>
                <w:sz w:val="17"/>
                <w:szCs w:val="20"/>
                <w:lang w:eastAsia="en-AU"/>
              </w:rPr>
              <w:t>changes to Program Component 1.6</w:t>
            </w:r>
            <w:r w:rsidRPr="0055067B">
              <w:rPr>
                <w:rStyle w:val="BodyTextChar"/>
                <w:rFonts w:ascii="Arial" w:hAnsi="Arial"/>
                <w:b/>
                <w:sz w:val="17"/>
                <w:szCs w:val="20"/>
                <w:lang w:eastAsia="en-AU"/>
              </w:rPr>
              <w:t xml:space="preserve"> resulting from the following measures:</w:t>
            </w:r>
            <w:r>
              <w:rPr>
                <w:rStyle w:val="BodyTextChar"/>
                <w:rFonts w:ascii="Arial" w:hAnsi="Arial"/>
                <w:b/>
                <w:sz w:val="17"/>
                <w:szCs w:val="20"/>
                <w:lang w:eastAsia="en-AU"/>
              </w:rPr>
              <w:t xml:space="preserve"> </w:t>
            </w:r>
            <w:r w:rsidRPr="0055067B">
              <w:rPr>
                <w:rStyle w:val="BodyTextChar"/>
                <w:rFonts w:ascii="Arial" w:hAnsi="Arial"/>
                <w:sz w:val="17"/>
                <w:szCs w:val="20"/>
                <w:lang w:eastAsia="en-AU"/>
              </w:rPr>
              <w:t>Nil</w:t>
            </w:r>
          </w:p>
        </w:tc>
      </w:tr>
    </w:tbl>
    <w:p w:rsidR="00DA18BF" w:rsidRPr="00AD42E2" w:rsidRDefault="008F2A2D" w:rsidP="00DA18BF">
      <w:pPr>
        <w:pStyle w:val="Heading2"/>
      </w:pPr>
      <w:r w:rsidRPr="00C3303C">
        <w:rPr>
          <w:i/>
          <w:color w:val="FF0000"/>
        </w:rPr>
        <w:br w:type="page"/>
      </w:r>
      <w:bookmarkStart w:id="336" w:name="_Toc511656278"/>
      <w:bookmarkStart w:id="337" w:name="_Toc511722651"/>
      <w:bookmarkStart w:id="338" w:name="_Toc511736982"/>
      <w:bookmarkStart w:id="339" w:name="_Toc511747244"/>
      <w:bookmarkStart w:id="340" w:name="_Toc511765647"/>
      <w:bookmarkStart w:id="341" w:name="_Toc511828703"/>
      <w:bookmarkStart w:id="342" w:name="_Toc511836842"/>
      <w:bookmarkStart w:id="343" w:name="_Toc511902548"/>
      <w:r w:rsidR="00DA18BF" w:rsidRPr="00AD42E2">
        <w:lastRenderedPageBreak/>
        <w:t>Section 3: Budgeted financial statements</w:t>
      </w:r>
      <w:bookmarkEnd w:id="336"/>
      <w:bookmarkEnd w:id="337"/>
      <w:bookmarkEnd w:id="338"/>
      <w:bookmarkEnd w:id="339"/>
      <w:bookmarkEnd w:id="340"/>
      <w:bookmarkEnd w:id="341"/>
      <w:bookmarkEnd w:id="342"/>
      <w:bookmarkEnd w:id="343"/>
    </w:p>
    <w:p w:rsidR="00DA18BF" w:rsidRDefault="00DA18BF" w:rsidP="00DA18BF">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rsidR="00DA18BF" w:rsidRDefault="00DA18BF" w:rsidP="00DA18BF">
      <w:pPr>
        <w:pStyle w:val="Heading3"/>
      </w:pPr>
      <w:bookmarkStart w:id="344" w:name="_Toc511656279"/>
      <w:bookmarkStart w:id="345" w:name="_Toc511722652"/>
      <w:bookmarkStart w:id="346" w:name="_Toc511736983"/>
      <w:bookmarkStart w:id="347" w:name="_Toc511747245"/>
      <w:bookmarkStart w:id="348" w:name="_Toc511765648"/>
      <w:bookmarkStart w:id="349" w:name="_Toc511828704"/>
      <w:bookmarkStart w:id="350" w:name="_Toc511836843"/>
      <w:bookmarkStart w:id="351" w:name="_Toc511902549"/>
      <w:r>
        <w:t>3.1</w:t>
      </w:r>
      <w:r>
        <w:tab/>
        <w:t>Budgeted financial statements</w:t>
      </w:r>
      <w:bookmarkEnd w:id="344"/>
      <w:bookmarkEnd w:id="345"/>
      <w:bookmarkEnd w:id="346"/>
      <w:bookmarkEnd w:id="347"/>
      <w:bookmarkEnd w:id="348"/>
      <w:bookmarkEnd w:id="349"/>
      <w:bookmarkEnd w:id="350"/>
      <w:bookmarkEnd w:id="351"/>
    </w:p>
    <w:p w:rsidR="00DA18BF" w:rsidRDefault="00DA18BF" w:rsidP="00DA18BF">
      <w:pPr>
        <w:pStyle w:val="Heading4"/>
      </w:pPr>
      <w:r>
        <w:t>3.1.1</w:t>
      </w:r>
      <w:r>
        <w:tab/>
        <w:t>Differences between entity resourcing and financial statements</w:t>
      </w:r>
    </w:p>
    <w:p w:rsidR="0013171A" w:rsidRDefault="0013171A" w:rsidP="0013171A">
      <w:r>
        <w:t>The difference between the available resources shown in Table 1.1: Comcare resource statement and Table 3.1: Comprehensive Income Statement is due to prior year amounts available in 2018–19, and non-cash movements in the value of the workers compensation claims liability and notional interest receipts. The prior year amounts relate to retained premium funds, which are held to discharge future premium claims liabilities. Table 3.2: Budgeted Departmental Balance Sheet also includes significant financial assets (appropriations receivable) which will fund claim payments over the lifetime of the outstanding claims liabilities.</w:t>
      </w:r>
    </w:p>
    <w:p w:rsidR="00DA18BF" w:rsidRDefault="00DA18BF" w:rsidP="00DA18BF">
      <w:pPr>
        <w:pStyle w:val="Heading4"/>
      </w:pPr>
      <w:r>
        <w:t>3.1.2</w:t>
      </w:r>
      <w:r>
        <w:tab/>
        <w:t>Explanatory notes and analysis of budgeted financial statements</w:t>
      </w:r>
    </w:p>
    <w:p w:rsidR="0013171A" w:rsidRDefault="0013171A" w:rsidP="0013171A">
      <w:pPr>
        <w:pStyle w:val="Heading5"/>
      </w:pPr>
      <w:r>
        <w:t>Income</w:t>
      </w:r>
    </w:p>
    <w:p w:rsidR="0013171A" w:rsidRDefault="0013171A" w:rsidP="0013171A">
      <w:r>
        <w:t>Comcare’s total income in 2018–19 is budgeted at $341.7 million, compared to $256.5 million in 2017–18 (an increase of $85.2 million, Table 3.1). The increase in revenue is mainly due to a significant favourable movement in premium liabilities in 2017–18 leading to a lower liability offset in 2018–19.</w:t>
      </w:r>
    </w:p>
    <w:p w:rsidR="0013171A" w:rsidRDefault="0013171A" w:rsidP="0013171A">
      <w:pPr>
        <w:pStyle w:val="Heading5"/>
      </w:pPr>
      <w:r>
        <w:t>Expenses</w:t>
      </w:r>
    </w:p>
    <w:p w:rsidR="0013171A" w:rsidRDefault="0013171A" w:rsidP="0013171A">
      <w:r>
        <w:t>Comcare’s total expenses in 2018–19 are budgeted at $341.7 million, compared to $256.5 million in 2017–18 (an increase of $85.2 million) due to a significant favourable movement in premium liabilities in 2017–18.</w:t>
      </w:r>
    </w:p>
    <w:p w:rsidR="0013171A" w:rsidRDefault="0013171A" w:rsidP="0013171A">
      <w:r>
        <w:t>Comcare’s administration expenses are budgeted to decrease in 2018–19 by $4.5 million (from $112.1 million to $107.6 million) due to efficiencies in Comcare operations.</w:t>
      </w:r>
    </w:p>
    <w:p w:rsidR="0013171A" w:rsidRDefault="0013171A" w:rsidP="0013171A">
      <w:pPr>
        <w:pStyle w:val="Heading5"/>
      </w:pPr>
      <w:r>
        <w:t>Operating Result</w:t>
      </w:r>
    </w:p>
    <w:p w:rsidR="0013171A" w:rsidRDefault="0013171A" w:rsidP="0013171A">
      <w:r>
        <w:t>Comcare’s operating r</w:t>
      </w:r>
      <w:r w:rsidR="00931196">
        <w:t>esult for 2018–19 is budgeted to</w:t>
      </w:r>
      <w:r>
        <w:t xml:space="preserve"> break even. </w:t>
      </w:r>
    </w:p>
    <w:p w:rsidR="0013171A" w:rsidRDefault="0013171A" w:rsidP="0013171A">
      <w:pPr>
        <w:pStyle w:val="Heading5"/>
      </w:pPr>
      <w:r>
        <w:t>Claims Liability</w:t>
      </w:r>
    </w:p>
    <w:p w:rsidR="0013171A" w:rsidRDefault="0013171A" w:rsidP="0013171A">
      <w:r>
        <w:t>Comcare has three separate claims liabilities:</w:t>
      </w:r>
    </w:p>
    <w:p w:rsidR="0013171A" w:rsidRDefault="0013171A" w:rsidP="0013171A">
      <w:pPr>
        <w:pStyle w:val="Bullet"/>
        <w:rPr>
          <w:rFonts w:eastAsia="Calibri"/>
        </w:rPr>
      </w:pPr>
      <w:r>
        <w:rPr>
          <w:rFonts w:eastAsia="Calibri"/>
        </w:rPr>
        <w:t>Premium workers’ compensation claims</w:t>
      </w:r>
      <w:r>
        <w:rPr>
          <w:rFonts w:eastAsia="Calibri"/>
          <w:lang w:val="en-AU"/>
        </w:rPr>
        <w:t>—</w:t>
      </w:r>
      <w:r>
        <w:rPr>
          <w:rFonts w:eastAsia="Calibri"/>
        </w:rPr>
        <w:t>these relate to workers’ compensation claims from premium paying agencies with a date of injury on or after 1 July 1989</w:t>
      </w:r>
      <w:r>
        <w:rPr>
          <w:rFonts w:eastAsia="Calibri"/>
          <w:lang w:val="en-AU"/>
        </w:rPr>
        <w:t>.</w:t>
      </w:r>
    </w:p>
    <w:p w:rsidR="0013171A" w:rsidRDefault="0013171A" w:rsidP="0013171A">
      <w:pPr>
        <w:pStyle w:val="Bullet"/>
        <w:rPr>
          <w:rFonts w:eastAsia="Calibri"/>
        </w:rPr>
      </w:pPr>
      <w:r>
        <w:rPr>
          <w:rFonts w:eastAsia="Calibri"/>
        </w:rPr>
        <w:lastRenderedPageBreak/>
        <w:t>Pre-premium workers’ compensation claims</w:t>
      </w:r>
      <w:r>
        <w:rPr>
          <w:rFonts w:eastAsia="Calibri"/>
          <w:lang w:val="en-AU"/>
        </w:rPr>
        <w:t>—</w:t>
      </w:r>
      <w:r>
        <w:rPr>
          <w:rFonts w:eastAsia="Calibri"/>
        </w:rPr>
        <w:t xml:space="preserve">these relate to workers’ compensation claims with a date of injury before 1 July 1989. It is expected that </w:t>
      </w:r>
      <w:r>
        <w:rPr>
          <w:rFonts w:eastAsia="Calibri"/>
          <w:lang w:val="en-AU"/>
        </w:rPr>
        <w:br/>
      </w:r>
      <w:r>
        <w:rPr>
          <w:rFonts w:eastAsia="Calibri"/>
        </w:rPr>
        <w:t>pre-premium claims liabilities will decrease over time as claims are settled.</w:t>
      </w:r>
    </w:p>
    <w:p w:rsidR="0013171A" w:rsidRDefault="0013171A" w:rsidP="0013171A">
      <w:pPr>
        <w:pStyle w:val="Bullet"/>
        <w:rPr>
          <w:rFonts w:eastAsia="Calibri"/>
        </w:rPr>
      </w:pPr>
      <w:r>
        <w:rPr>
          <w:rFonts w:eastAsia="Calibri"/>
        </w:rPr>
        <w:t>Asbestos-related common law liabilities</w:t>
      </w:r>
      <w:r>
        <w:rPr>
          <w:rFonts w:eastAsia="Calibri"/>
          <w:lang w:val="en-AU"/>
        </w:rPr>
        <w:t>—</w:t>
      </w:r>
      <w:r>
        <w:rPr>
          <w:rFonts w:eastAsia="Calibri"/>
        </w:rPr>
        <w:t>these relate to asbestos related claims where the Commonwealth has a liability.</w:t>
      </w:r>
    </w:p>
    <w:p w:rsidR="0013171A" w:rsidRDefault="0013171A" w:rsidP="0013171A">
      <w:r>
        <w:t>In the 2018–19 Portfolio Budget Statements, all claims liability provisions are based on independent actuarial valuations on the basis of the central estimate plus a risk margin that would achieve a 75 per cent probability of sufficiency.</w:t>
      </w:r>
    </w:p>
    <w:p w:rsidR="0013171A" w:rsidRDefault="0013171A" w:rsidP="0013171A">
      <w:r>
        <w:t>Estimates for gross claims liabilities as at 30 June each year are outlined in the table below.</w:t>
      </w:r>
    </w:p>
    <w:p w:rsidR="0013171A" w:rsidRDefault="0013171A" w:rsidP="0013171A">
      <w:pPr>
        <w:pStyle w:val="TableHeading"/>
        <w:rPr>
          <w:lang w:val="en-AU"/>
        </w:rPr>
      </w:pPr>
      <w:r>
        <w:t>Table 3.1.1 Estimates for gross claims liabilities as at 30 June each year</w:t>
      </w:r>
    </w:p>
    <w:tbl>
      <w:tblPr>
        <w:tblW w:w="7728" w:type="dxa"/>
        <w:tblInd w:w="93" w:type="dxa"/>
        <w:tblLook w:val="04A0" w:firstRow="1" w:lastRow="0" w:firstColumn="1" w:lastColumn="0" w:noHBand="0" w:noVBand="1"/>
      </w:tblPr>
      <w:tblGrid>
        <w:gridCol w:w="2976"/>
        <w:gridCol w:w="1040"/>
        <w:gridCol w:w="928"/>
        <w:gridCol w:w="928"/>
        <w:gridCol w:w="928"/>
        <w:gridCol w:w="928"/>
      </w:tblGrid>
      <w:tr w:rsidR="0013171A" w:rsidRPr="0013171A" w:rsidTr="0013171A">
        <w:trPr>
          <w:trHeight w:val="794"/>
        </w:trPr>
        <w:tc>
          <w:tcPr>
            <w:tcW w:w="2976" w:type="dxa"/>
            <w:tcBorders>
              <w:top w:val="single" w:sz="4" w:space="0" w:color="auto"/>
              <w:left w:val="nil"/>
              <w:bottom w:val="nil"/>
              <w:right w:val="nil"/>
            </w:tcBorders>
            <w:shd w:val="clear" w:color="auto" w:fill="auto"/>
            <w:vAlign w:val="center"/>
            <w:hideMark/>
          </w:tcPr>
          <w:p w:rsidR="0013171A" w:rsidRPr="0013171A" w:rsidRDefault="0013171A" w:rsidP="0013171A">
            <w:pPr>
              <w:spacing w:after="0" w:line="240" w:lineRule="auto"/>
              <w:rPr>
                <w:rFonts w:ascii="Arial" w:hAnsi="Arial" w:cs="Arial"/>
                <w:b/>
                <w:bCs/>
                <w:color w:val="000000"/>
                <w:sz w:val="16"/>
                <w:szCs w:val="16"/>
              </w:rPr>
            </w:pPr>
          </w:p>
        </w:tc>
        <w:tc>
          <w:tcPr>
            <w:tcW w:w="1040" w:type="dxa"/>
            <w:tcBorders>
              <w:top w:val="single" w:sz="4" w:space="0" w:color="auto"/>
              <w:left w:val="nil"/>
              <w:bottom w:val="single" w:sz="4" w:space="0" w:color="auto"/>
              <w:right w:val="nil"/>
            </w:tcBorders>
            <w:shd w:val="clear" w:color="auto" w:fill="auto"/>
            <w:vAlign w:val="center"/>
            <w:hideMark/>
          </w:tcPr>
          <w:p w:rsidR="0013171A" w:rsidRPr="0013171A" w:rsidRDefault="0013171A" w:rsidP="0013171A">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13171A" w:rsidRPr="0013171A" w:rsidTr="00F724D8">
        <w:trPr>
          <w:trHeight w:val="227"/>
        </w:trPr>
        <w:tc>
          <w:tcPr>
            <w:tcW w:w="2976" w:type="dxa"/>
            <w:tcBorders>
              <w:top w:val="nil"/>
              <w:left w:val="nil"/>
              <w:bottom w:val="nil"/>
              <w:right w:val="nil"/>
            </w:tcBorders>
            <w:shd w:val="clear" w:color="auto" w:fill="auto"/>
            <w:vAlign w:val="center"/>
            <w:hideMark/>
          </w:tcPr>
          <w:p w:rsidR="0013171A" w:rsidRPr="00F724D8" w:rsidRDefault="0013171A" w:rsidP="00F724D8">
            <w:pPr>
              <w:spacing w:after="0" w:line="240" w:lineRule="auto"/>
              <w:ind w:firstLineChars="100" w:firstLine="160"/>
              <w:rPr>
                <w:rFonts w:ascii="Arial" w:hAnsi="Arial" w:cs="Arial"/>
                <w:b/>
                <w:sz w:val="16"/>
                <w:szCs w:val="16"/>
              </w:rPr>
            </w:pPr>
            <w:r w:rsidRPr="00F724D8">
              <w:rPr>
                <w:rFonts w:ascii="Arial" w:hAnsi="Arial" w:cs="Arial"/>
                <w:b/>
                <w:sz w:val="16"/>
                <w:szCs w:val="16"/>
              </w:rPr>
              <w:t>Workers' compensation liabilities</w:t>
            </w:r>
          </w:p>
        </w:tc>
        <w:tc>
          <w:tcPr>
            <w:tcW w:w="1040"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color w:val="000000"/>
                <w:sz w:val="16"/>
                <w:szCs w:val="16"/>
              </w:rPr>
            </w:pPr>
          </w:p>
        </w:tc>
        <w:tc>
          <w:tcPr>
            <w:tcW w:w="928" w:type="dxa"/>
            <w:tcBorders>
              <w:top w:val="nil"/>
              <w:left w:val="nil"/>
              <w:bottom w:val="nil"/>
              <w:right w:val="nil"/>
            </w:tcBorders>
            <w:shd w:val="clear" w:color="000000" w:fill="E6E6E6"/>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p>
        </w:tc>
      </w:tr>
      <w:tr w:rsidR="0013171A" w:rsidRPr="0013171A" w:rsidTr="00F724D8">
        <w:trPr>
          <w:trHeight w:val="227"/>
        </w:trPr>
        <w:tc>
          <w:tcPr>
            <w:tcW w:w="2976" w:type="dxa"/>
            <w:tcBorders>
              <w:top w:val="nil"/>
              <w:left w:val="nil"/>
              <w:bottom w:val="nil"/>
              <w:right w:val="nil"/>
            </w:tcBorders>
            <w:shd w:val="clear" w:color="auto" w:fill="auto"/>
            <w:vAlign w:val="center"/>
            <w:hideMark/>
          </w:tcPr>
          <w:p w:rsidR="0013171A" w:rsidRPr="0013171A" w:rsidRDefault="0013171A" w:rsidP="0013171A">
            <w:pPr>
              <w:spacing w:after="0" w:line="240" w:lineRule="auto"/>
              <w:ind w:firstLineChars="100" w:firstLine="160"/>
              <w:rPr>
                <w:rFonts w:ascii="Arial" w:hAnsi="Arial" w:cs="Arial"/>
                <w:sz w:val="16"/>
                <w:szCs w:val="16"/>
              </w:rPr>
            </w:pPr>
            <w:r w:rsidRPr="0013171A">
              <w:rPr>
                <w:rFonts w:ascii="Arial" w:hAnsi="Arial" w:cs="Arial"/>
                <w:sz w:val="16"/>
                <w:szCs w:val="16"/>
              </w:rPr>
              <w:t>Premium</w:t>
            </w:r>
          </w:p>
        </w:tc>
        <w:tc>
          <w:tcPr>
            <w:tcW w:w="1040"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color w:val="000000"/>
                <w:sz w:val="16"/>
                <w:szCs w:val="16"/>
              </w:rPr>
            </w:pPr>
            <w:r w:rsidRPr="0013171A">
              <w:rPr>
                <w:rFonts w:ascii="Arial" w:hAnsi="Arial" w:cs="Arial"/>
                <w:color w:val="000000"/>
                <w:sz w:val="16"/>
                <w:szCs w:val="16"/>
              </w:rPr>
              <w:t xml:space="preserve">2,354,468 </w:t>
            </w:r>
          </w:p>
        </w:tc>
        <w:tc>
          <w:tcPr>
            <w:tcW w:w="928" w:type="dxa"/>
            <w:tcBorders>
              <w:top w:val="nil"/>
              <w:left w:val="nil"/>
              <w:bottom w:val="nil"/>
              <w:right w:val="nil"/>
            </w:tcBorders>
            <w:shd w:val="clear" w:color="000000" w:fill="E6E6E6"/>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2,359,704 </w:t>
            </w: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2,399,020 </w:t>
            </w: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2,442,422 </w:t>
            </w: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2,495,315 </w:t>
            </w:r>
          </w:p>
        </w:tc>
      </w:tr>
      <w:tr w:rsidR="0013171A" w:rsidRPr="0013171A" w:rsidTr="00F724D8">
        <w:trPr>
          <w:trHeight w:val="227"/>
        </w:trPr>
        <w:tc>
          <w:tcPr>
            <w:tcW w:w="2976" w:type="dxa"/>
            <w:tcBorders>
              <w:top w:val="nil"/>
              <w:left w:val="nil"/>
              <w:bottom w:val="nil"/>
              <w:right w:val="nil"/>
            </w:tcBorders>
            <w:shd w:val="clear" w:color="auto" w:fill="auto"/>
            <w:vAlign w:val="center"/>
            <w:hideMark/>
          </w:tcPr>
          <w:p w:rsidR="0013171A" w:rsidRPr="0013171A" w:rsidRDefault="0013171A" w:rsidP="0013171A">
            <w:pPr>
              <w:spacing w:after="0" w:line="240" w:lineRule="auto"/>
              <w:ind w:firstLineChars="100" w:firstLine="160"/>
              <w:rPr>
                <w:rFonts w:ascii="Arial" w:hAnsi="Arial" w:cs="Arial"/>
                <w:sz w:val="16"/>
                <w:szCs w:val="16"/>
              </w:rPr>
            </w:pPr>
            <w:r w:rsidRPr="0013171A">
              <w:rPr>
                <w:rFonts w:ascii="Arial" w:hAnsi="Arial" w:cs="Arial"/>
                <w:sz w:val="16"/>
                <w:szCs w:val="16"/>
              </w:rPr>
              <w:t>Pre-premium</w:t>
            </w:r>
          </w:p>
        </w:tc>
        <w:tc>
          <w:tcPr>
            <w:tcW w:w="1040"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color w:val="000000"/>
                <w:sz w:val="16"/>
                <w:szCs w:val="16"/>
              </w:rPr>
            </w:pPr>
            <w:r w:rsidRPr="0013171A">
              <w:rPr>
                <w:rFonts w:ascii="Arial" w:hAnsi="Arial" w:cs="Arial"/>
                <w:color w:val="000000"/>
                <w:sz w:val="16"/>
                <w:szCs w:val="16"/>
              </w:rPr>
              <w:t xml:space="preserve">316,173 </w:t>
            </w:r>
          </w:p>
        </w:tc>
        <w:tc>
          <w:tcPr>
            <w:tcW w:w="928" w:type="dxa"/>
            <w:tcBorders>
              <w:top w:val="nil"/>
              <w:left w:val="nil"/>
              <w:bottom w:val="nil"/>
              <w:right w:val="nil"/>
            </w:tcBorders>
            <w:shd w:val="clear" w:color="000000" w:fill="E6E6E6"/>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289,209 </w:t>
            </w: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264,637 </w:t>
            </w: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242,134 </w:t>
            </w:r>
          </w:p>
        </w:tc>
        <w:tc>
          <w:tcPr>
            <w:tcW w:w="928" w:type="dxa"/>
            <w:tcBorders>
              <w:top w:val="nil"/>
              <w:left w:val="nil"/>
              <w:bottom w:val="nil"/>
              <w:right w:val="nil"/>
            </w:tcBorders>
            <w:shd w:val="clear" w:color="auto" w:fill="auto"/>
            <w:noWrap/>
            <w:vAlign w:val="center"/>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221,442 </w:t>
            </w:r>
          </w:p>
        </w:tc>
      </w:tr>
      <w:tr w:rsidR="0013171A" w:rsidRPr="0013171A" w:rsidTr="00F724D8">
        <w:trPr>
          <w:trHeight w:val="227"/>
        </w:trPr>
        <w:tc>
          <w:tcPr>
            <w:tcW w:w="2976" w:type="dxa"/>
            <w:tcBorders>
              <w:top w:val="nil"/>
              <w:left w:val="nil"/>
              <w:bottom w:val="single" w:sz="4" w:space="0" w:color="auto"/>
              <w:right w:val="nil"/>
            </w:tcBorders>
            <w:shd w:val="clear" w:color="auto" w:fill="auto"/>
            <w:noWrap/>
            <w:vAlign w:val="bottom"/>
            <w:hideMark/>
          </w:tcPr>
          <w:p w:rsidR="0013171A" w:rsidRPr="0013171A" w:rsidRDefault="00B52818" w:rsidP="0013171A">
            <w:pPr>
              <w:spacing w:after="0" w:line="240" w:lineRule="auto"/>
              <w:ind w:firstLineChars="100" w:firstLine="160"/>
              <w:rPr>
                <w:rFonts w:ascii="Arial" w:hAnsi="Arial" w:cs="Arial"/>
                <w:sz w:val="16"/>
                <w:szCs w:val="16"/>
              </w:rPr>
            </w:pPr>
            <w:r>
              <w:rPr>
                <w:rFonts w:ascii="Arial" w:hAnsi="Arial" w:cs="Arial"/>
                <w:sz w:val="16"/>
                <w:szCs w:val="16"/>
              </w:rPr>
              <w:t>Asbestos related—</w:t>
            </w:r>
            <w:r w:rsidR="0013171A" w:rsidRPr="0013171A">
              <w:rPr>
                <w:rFonts w:ascii="Arial" w:hAnsi="Arial" w:cs="Arial"/>
                <w:sz w:val="16"/>
                <w:szCs w:val="16"/>
              </w:rPr>
              <w:t xml:space="preserve"> common law</w:t>
            </w:r>
          </w:p>
        </w:tc>
        <w:tc>
          <w:tcPr>
            <w:tcW w:w="1040" w:type="dxa"/>
            <w:tcBorders>
              <w:top w:val="nil"/>
              <w:left w:val="nil"/>
              <w:bottom w:val="single" w:sz="4" w:space="0" w:color="auto"/>
              <w:right w:val="nil"/>
            </w:tcBorders>
            <w:shd w:val="clear" w:color="auto" w:fill="auto"/>
            <w:vAlign w:val="bottom"/>
            <w:hideMark/>
          </w:tcPr>
          <w:p w:rsidR="0013171A" w:rsidRPr="0013171A" w:rsidRDefault="0013171A" w:rsidP="0013171A">
            <w:pPr>
              <w:spacing w:after="0" w:line="240" w:lineRule="auto"/>
              <w:jc w:val="right"/>
              <w:rPr>
                <w:rFonts w:ascii="Arial" w:hAnsi="Arial" w:cs="Arial"/>
                <w:color w:val="000000"/>
                <w:sz w:val="16"/>
                <w:szCs w:val="16"/>
              </w:rPr>
            </w:pPr>
            <w:r w:rsidRPr="0013171A">
              <w:rPr>
                <w:rFonts w:ascii="Arial" w:hAnsi="Arial" w:cs="Arial"/>
                <w:color w:val="000000"/>
                <w:sz w:val="16"/>
                <w:szCs w:val="16"/>
              </w:rPr>
              <w:t xml:space="preserve">955,500 </w:t>
            </w:r>
          </w:p>
        </w:tc>
        <w:tc>
          <w:tcPr>
            <w:tcW w:w="928" w:type="dxa"/>
            <w:tcBorders>
              <w:top w:val="nil"/>
              <w:left w:val="nil"/>
              <w:bottom w:val="single" w:sz="4" w:space="0" w:color="auto"/>
              <w:right w:val="nil"/>
            </w:tcBorders>
            <w:shd w:val="clear" w:color="000000" w:fill="E6E6E6"/>
            <w:noWrap/>
            <w:vAlign w:val="bottom"/>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931,980 </w:t>
            </w:r>
          </w:p>
        </w:tc>
        <w:tc>
          <w:tcPr>
            <w:tcW w:w="928" w:type="dxa"/>
            <w:tcBorders>
              <w:top w:val="nil"/>
              <w:left w:val="nil"/>
              <w:bottom w:val="single" w:sz="4" w:space="0" w:color="auto"/>
              <w:right w:val="nil"/>
            </w:tcBorders>
            <w:shd w:val="clear" w:color="auto" w:fill="auto"/>
            <w:noWrap/>
            <w:vAlign w:val="bottom"/>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911,680 </w:t>
            </w:r>
          </w:p>
        </w:tc>
        <w:tc>
          <w:tcPr>
            <w:tcW w:w="928" w:type="dxa"/>
            <w:tcBorders>
              <w:top w:val="nil"/>
              <w:left w:val="nil"/>
              <w:bottom w:val="single" w:sz="4" w:space="0" w:color="auto"/>
              <w:right w:val="nil"/>
            </w:tcBorders>
            <w:shd w:val="clear" w:color="auto" w:fill="auto"/>
            <w:noWrap/>
            <w:vAlign w:val="bottom"/>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888,860 </w:t>
            </w:r>
          </w:p>
        </w:tc>
        <w:tc>
          <w:tcPr>
            <w:tcW w:w="928" w:type="dxa"/>
            <w:tcBorders>
              <w:top w:val="nil"/>
              <w:left w:val="nil"/>
              <w:bottom w:val="single" w:sz="4" w:space="0" w:color="auto"/>
              <w:right w:val="nil"/>
            </w:tcBorders>
            <w:shd w:val="clear" w:color="auto" w:fill="auto"/>
            <w:noWrap/>
            <w:vAlign w:val="bottom"/>
            <w:hideMark/>
          </w:tcPr>
          <w:p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864,080 </w:t>
            </w:r>
          </w:p>
        </w:tc>
      </w:tr>
    </w:tbl>
    <w:p w:rsidR="00DA18BF" w:rsidRDefault="00DA18BF" w:rsidP="00DA18BF">
      <w:pPr>
        <w:pStyle w:val="Heading3"/>
      </w:pPr>
      <w:r>
        <w:br w:type="page"/>
      </w:r>
      <w:bookmarkStart w:id="352" w:name="_Toc511656280"/>
      <w:bookmarkStart w:id="353" w:name="_Toc511722653"/>
      <w:bookmarkStart w:id="354" w:name="_Toc511736984"/>
      <w:bookmarkStart w:id="355" w:name="_Toc511747246"/>
      <w:bookmarkStart w:id="356" w:name="_Toc511765649"/>
      <w:bookmarkStart w:id="357" w:name="_Toc511828705"/>
      <w:bookmarkStart w:id="358" w:name="_Toc511836844"/>
      <w:bookmarkStart w:id="359" w:name="_Toc511902550"/>
      <w:r>
        <w:lastRenderedPageBreak/>
        <w:t>3.2.</w:t>
      </w:r>
      <w:r>
        <w:tab/>
        <w:t>Budgeted financial statements tables</w:t>
      </w:r>
      <w:bookmarkEnd w:id="352"/>
      <w:bookmarkEnd w:id="353"/>
      <w:bookmarkEnd w:id="354"/>
      <w:bookmarkEnd w:id="355"/>
      <w:bookmarkEnd w:id="356"/>
      <w:bookmarkEnd w:id="357"/>
      <w:bookmarkEnd w:id="358"/>
      <w:bookmarkEnd w:id="359"/>
    </w:p>
    <w:p w:rsidR="00DA18BF" w:rsidRDefault="00DA18BF" w:rsidP="00DA18BF">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01" w:type="dxa"/>
        <w:tblInd w:w="93" w:type="dxa"/>
        <w:tblCellMar>
          <w:left w:w="57" w:type="dxa"/>
          <w:right w:w="57" w:type="dxa"/>
        </w:tblCellMar>
        <w:tblLook w:val="04A0" w:firstRow="1" w:lastRow="0" w:firstColumn="1" w:lastColumn="0" w:noHBand="0" w:noVBand="1"/>
      </w:tblPr>
      <w:tblGrid>
        <w:gridCol w:w="3373"/>
        <w:gridCol w:w="928"/>
        <w:gridCol w:w="850"/>
        <w:gridCol w:w="850"/>
        <w:gridCol w:w="850"/>
        <w:gridCol w:w="850"/>
      </w:tblGrid>
      <w:tr w:rsidR="00F724D8" w:rsidRPr="00F724D8" w:rsidTr="00F724D8">
        <w:trPr>
          <w:trHeight w:val="794"/>
        </w:trPr>
        <w:tc>
          <w:tcPr>
            <w:tcW w:w="3373" w:type="dxa"/>
            <w:tcBorders>
              <w:top w:val="single" w:sz="4" w:space="0" w:color="auto"/>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F724D8" w:rsidRPr="0013171A" w:rsidRDefault="00F724D8" w:rsidP="00F724D8">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F724D8" w:rsidRPr="0013171A" w:rsidRDefault="00F724D8" w:rsidP="00F724D8">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F724D8" w:rsidRPr="0013171A" w:rsidRDefault="00F724D8" w:rsidP="00F724D8">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F724D8" w:rsidRPr="0013171A" w:rsidRDefault="00F724D8" w:rsidP="00F724D8">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F724D8" w:rsidRPr="0013171A" w:rsidRDefault="00F724D8" w:rsidP="00F724D8">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EXPENSES</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Employee benefits</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72,091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69,023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69,526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70,855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70,996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34,596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33,536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31,945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31,778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31,550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Depreciation and amortisation</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5,416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5,041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5,181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5,181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5,181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Claims Payments</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278,929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275,443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278,473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286,376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289,781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Pr>
                <w:rFonts w:ascii="Arial" w:hAnsi="Arial" w:cs="Arial"/>
                <w:sz w:val="16"/>
                <w:szCs w:val="16"/>
              </w:rPr>
              <w:t>Claims—</w:t>
            </w:r>
            <w:r w:rsidRPr="00F724D8">
              <w:rPr>
                <w:rFonts w:ascii="Arial" w:hAnsi="Arial" w:cs="Arial"/>
                <w:sz w:val="16"/>
                <w:szCs w:val="16"/>
              </w:rPr>
              <w:t>Movement in liabilities</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(134,521)</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(41,366)</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(2,151)</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1,714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11,272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256,511 </w:t>
            </w:r>
          </w:p>
        </w:tc>
        <w:tc>
          <w:tcPr>
            <w:tcW w:w="850" w:type="dxa"/>
            <w:tcBorders>
              <w:top w:val="single" w:sz="4" w:space="0" w:color="auto"/>
              <w:left w:val="nil"/>
              <w:bottom w:val="single" w:sz="4" w:space="0" w:color="auto"/>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341,677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382,974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395,904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408,780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 xml:space="preserve">LESS: </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OWN-SOURCE INCOME</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Own-source revenue</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r>
      <w:tr w:rsidR="00F724D8" w:rsidRPr="00F724D8" w:rsidTr="00F724D8">
        <w:trPr>
          <w:trHeight w:val="227"/>
        </w:trPr>
        <w:tc>
          <w:tcPr>
            <w:tcW w:w="3373" w:type="dxa"/>
            <w:tcBorders>
              <w:top w:val="nil"/>
              <w:left w:val="nil"/>
              <w:bottom w:val="nil"/>
              <w:right w:val="nil"/>
            </w:tcBorders>
            <w:shd w:val="clear" w:color="auto" w:fill="auto"/>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Sale of goods and rendering of services</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2,770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3,992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3,242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4,067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1,095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Licence Fees</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15,601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15,954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16,213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16,462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17,015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Regulatory Contributions</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19,789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19,508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19,837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20,155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20,987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Interest</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29,012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30,048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30,152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30,391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30,508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Grants Received from Portfolio Department</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55,372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60,536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57,161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56,857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56,278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Wo</w:t>
            </w:r>
            <w:r>
              <w:rPr>
                <w:rFonts w:ascii="Arial" w:hAnsi="Arial" w:cs="Arial"/>
                <w:sz w:val="16"/>
                <w:szCs w:val="16"/>
              </w:rPr>
              <w:t>r</w:t>
            </w:r>
            <w:r w:rsidRPr="00F724D8">
              <w:rPr>
                <w:rFonts w:ascii="Arial" w:hAnsi="Arial" w:cs="Arial"/>
                <w:sz w:val="16"/>
                <w:szCs w:val="16"/>
              </w:rPr>
              <w:t>kers</w:t>
            </w:r>
            <w:r>
              <w:rPr>
                <w:rFonts w:ascii="Arial" w:hAnsi="Arial" w:cs="Arial"/>
                <w:sz w:val="16"/>
                <w:szCs w:val="16"/>
              </w:rPr>
              <w:t>’</w:t>
            </w:r>
            <w:r w:rsidRPr="00F724D8">
              <w:rPr>
                <w:rFonts w:ascii="Arial" w:hAnsi="Arial" w:cs="Arial"/>
                <w:sz w:val="16"/>
                <w:szCs w:val="16"/>
              </w:rPr>
              <w:t xml:space="preserve"> Compensation Premium</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284,895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277,430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287,907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299,135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310,202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Other Non-Tax Revenue (a)</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(156,948)</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(71,780)</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(37,533)</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(37,197)</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(33,374)</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250,491 </w:t>
            </w:r>
          </w:p>
        </w:tc>
        <w:tc>
          <w:tcPr>
            <w:tcW w:w="850" w:type="dxa"/>
            <w:tcBorders>
              <w:top w:val="single" w:sz="4" w:space="0" w:color="auto"/>
              <w:left w:val="nil"/>
              <w:bottom w:val="single" w:sz="4" w:space="0" w:color="auto"/>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335,688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376,979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389,870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402,711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250,491 </w:t>
            </w:r>
          </w:p>
        </w:tc>
        <w:tc>
          <w:tcPr>
            <w:tcW w:w="850" w:type="dxa"/>
            <w:tcBorders>
              <w:top w:val="nil"/>
              <w:left w:val="nil"/>
              <w:bottom w:val="single" w:sz="4" w:space="0" w:color="auto"/>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335,688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376,979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389,870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402,711 </w:t>
            </w:r>
          </w:p>
        </w:tc>
      </w:tr>
      <w:tr w:rsidR="00F724D8" w:rsidRPr="00F724D8" w:rsidTr="00F724D8">
        <w:trPr>
          <w:trHeight w:val="227"/>
        </w:trPr>
        <w:tc>
          <w:tcPr>
            <w:tcW w:w="3373" w:type="dxa"/>
            <w:tcBorders>
              <w:top w:val="nil"/>
              <w:left w:val="nil"/>
              <w:bottom w:val="nil"/>
              <w:right w:val="nil"/>
            </w:tcBorders>
            <w:shd w:val="clear" w:color="auto" w:fill="auto"/>
            <w:vAlign w:val="center"/>
            <w:hideMark/>
          </w:tcPr>
          <w:p w:rsidR="00F724D8" w:rsidRPr="00F724D8" w:rsidRDefault="00F724D8" w:rsidP="00F724D8">
            <w:pPr>
              <w:spacing w:after="0" w:line="240" w:lineRule="auto"/>
              <w:rPr>
                <w:rFonts w:ascii="Arial" w:hAnsi="Arial" w:cs="Arial"/>
                <w:b/>
                <w:bCs/>
                <w:color w:val="000000"/>
                <w:sz w:val="16"/>
                <w:szCs w:val="16"/>
              </w:rPr>
            </w:pPr>
            <w:r w:rsidRPr="00F724D8">
              <w:rPr>
                <w:rFonts w:ascii="Arial" w:hAnsi="Arial" w:cs="Arial"/>
                <w:b/>
                <w:bCs/>
                <w:color w:val="000000"/>
                <w:sz w:val="16"/>
                <w:szCs w:val="16"/>
              </w:rPr>
              <w:t>Net (cost of)/contribution by services</w:t>
            </w:r>
          </w:p>
        </w:tc>
        <w:tc>
          <w:tcPr>
            <w:tcW w:w="928"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(6,020)</w:t>
            </w:r>
          </w:p>
        </w:tc>
        <w:tc>
          <w:tcPr>
            <w:tcW w:w="850" w:type="dxa"/>
            <w:tcBorders>
              <w:top w:val="nil"/>
              <w:left w:val="nil"/>
              <w:bottom w:val="single" w:sz="4" w:space="0" w:color="auto"/>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(5,989)</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(5,995)</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(6,034)</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(6,069)</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6,020 </w:t>
            </w:r>
          </w:p>
        </w:tc>
        <w:tc>
          <w:tcPr>
            <w:tcW w:w="850" w:type="dxa"/>
            <w:tcBorders>
              <w:top w:val="nil"/>
              <w:left w:val="nil"/>
              <w:bottom w:val="single" w:sz="4" w:space="0" w:color="auto"/>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5,989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5,995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6,034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6,069 </w:t>
            </w:r>
          </w:p>
        </w:tc>
      </w:tr>
      <w:tr w:rsidR="00F724D8" w:rsidRPr="00F724D8" w:rsidTr="00F724D8">
        <w:trPr>
          <w:trHeight w:val="397"/>
        </w:trPr>
        <w:tc>
          <w:tcPr>
            <w:tcW w:w="3373" w:type="dxa"/>
            <w:tcBorders>
              <w:top w:val="nil"/>
              <w:left w:val="nil"/>
              <w:bottom w:val="nil"/>
              <w:right w:val="nil"/>
            </w:tcBorders>
            <w:shd w:val="clear" w:color="auto" w:fill="auto"/>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Surplus/(deficit) attributable to the</w:t>
            </w:r>
            <w:r w:rsidRPr="00F724D8">
              <w:rPr>
                <w:rFonts w:ascii="Arial" w:hAnsi="Arial" w:cs="Arial"/>
                <w:b/>
                <w:bCs/>
                <w:sz w:val="16"/>
                <w:szCs w:val="16"/>
              </w:rPr>
              <w:br/>
              <w:t xml:space="preserve">  Australian Government</w:t>
            </w:r>
          </w:p>
        </w:tc>
        <w:tc>
          <w:tcPr>
            <w:tcW w:w="928"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OTHER COMPREHENSIVE INCOME</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sz w:val="16"/>
                <w:szCs w:val="16"/>
              </w:rPr>
            </w:pP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Changes in asset revaluation surplus</w:t>
            </w:r>
          </w:p>
        </w:tc>
        <w:tc>
          <w:tcPr>
            <w:tcW w:w="928" w:type="dxa"/>
            <w:tcBorders>
              <w:top w:val="nil"/>
              <w:left w:val="nil"/>
              <w:bottom w:val="single" w:sz="4" w:space="0" w:color="auto"/>
              <w:right w:val="nil"/>
            </w:tcBorders>
            <w:shd w:val="clear" w:color="auto" w:fill="auto"/>
            <w:noWrap/>
            <w:vAlign w:val="center"/>
            <w:hideMark/>
          </w:tcPr>
          <w:p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c>
          <w:tcPr>
            <w:tcW w:w="850" w:type="dxa"/>
            <w:tcBorders>
              <w:top w:val="nil"/>
              <w:left w:val="nil"/>
              <w:bottom w:val="single" w:sz="4" w:space="0" w:color="auto"/>
              <w:right w:val="nil"/>
            </w:tcBorders>
            <w:shd w:val="clear" w:color="000000" w:fill="E6E6E6"/>
            <w:noWrap/>
            <w:vAlign w:val="center"/>
            <w:hideMark/>
          </w:tcPr>
          <w:p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nil"/>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r>
      <w:tr w:rsidR="00F724D8" w:rsidRPr="00F724D8" w:rsidTr="00F724D8">
        <w:trPr>
          <w:trHeight w:val="225"/>
        </w:trPr>
        <w:tc>
          <w:tcPr>
            <w:tcW w:w="3373" w:type="dxa"/>
            <w:tcBorders>
              <w:top w:val="nil"/>
              <w:left w:val="nil"/>
              <w:bottom w:val="nil"/>
              <w:right w:val="nil"/>
            </w:tcBorders>
            <w:shd w:val="clear" w:color="auto" w:fill="auto"/>
            <w:noWrap/>
            <w:vAlign w:val="center"/>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000000" w:fill="E6E6E6"/>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r>
      <w:tr w:rsidR="00F724D8" w:rsidRPr="00F724D8" w:rsidTr="00F724D8">
        <w:trPr>
          <w:trHeight w:val="397"/>
        </w:trPr>
        <w:tc>
          <w:tcPr>
            <w:tcW w:w="3373" w:type="dxa"/>
            <w:tcBorders>
              <w:top w:val="nil"/>
              <w:left w:val="nil"/>
              <w:bottom w:val="single" w:sz="4" w:space="0" w:color="auto"/>
              <w:right w:val="nil"/>
            </w:tcBorders>
            <w:shd w:val="clear" w:color="auto" w:fill="auto"/>
            <w:vAlign w:val="bottom"/>
            <w:hideMark/>
          </w:tcPr>
          <w:p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comprehensive income/(loss)</w:t>
            </w:r>
            <w:r w:rsidRPr="00F724D8">
              <w:rPr>
                <w:rFonts w:ascii="Arial" w:hAnsi="Arial" w:cs="Arial"/>
                <w:b/>
                <w:bCs/>
                <w:sz w:val="16"/>
                <w:szCs w:val="16"/>
              </w:rPr>
              <w:br/>
              <w:t xml:space="preserve">  attributable to the Australian Government</w:t>
            </w:r>
          </w:p>
        </w:tc>
        <w:tc>
          <w:tcPr>
            <w:tcW w:w="928" w:type="dxa"/>
            <w:tcBorders>
              <w:top w:val="nil"/>
              <w:left w:val="nil"/>
              <w:bottom w:val="single" w:sz="4" w:space="0" w:color="auto"/>
              <w:right w:val="nil"/>
            </w:tcBorders>
            <w:shd w:val="clear" w:color="auto" w:fill="auto"/>
            <w:noWrap/>
            <w:vAlign w:val="bottom"/>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000000" w:fill="E6E6E6"/>
            <w:noWrap/>
            <w:vAlign w:val="bottom"/>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r>
    </w:tbl>
    <w:p w:rsidR="00F724D8" w:rsidRDefault="00F724D8" w:rsidP="00E01B4E">
      <w:pPr>
        <w:pStyle w:val="ChartandTableFootnoteAlpha"/>
        <w:numPr>
          <w:ilvl w:val="0"/>
          <w:numId w:val="36"/>
        </w:numPr>
      </w:pPr>
      <w:r>
        <w:t xml:space="preserve">Relates to non-cash movements in workers’ compensation </w:t>
      </w:r>
      <w:r w:rsidR="00B956BD">
        <w:t>claims liabilities and asbestos-</w:t>
      </w:r>
      <w:r>
        <w:t>related claims liabilities.</w:t>
      </w:r>
    </w:p>
    <w:p w:rsidR="00F724D8" w:rsidRPr="00F724D8" w:rsidRDefault="00F724D8" w:rsidP="00F724D8">
      <w:pPr>
        <w:pStyle w:val="ChartandTableFootnote"/>
        <w:rPr>
          <w:lang w:val="en-AU"/>
        </w:rPr>
      </w:pPr>
      <w:r w:rsidRPr="009D54F3">
        <w:t>Prepared on Australian Accounting Standards basis.</w:t>
      </w:r>
    </w:p>
    <w:p w:rsidR="00F724D8" w:rsidRDefault="00F724D8" w:rsidP="00F724D8">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697" w:type="dxa"/>
        <w:tblInd w:w="93" w:type="dxa"/>
        <w:tblCellMar>
          <w:left w:w="57" w:type="dxa"/>
          <w:right w:w="57" w:type="dxa"/>
        </w:tblCellMar>
        <w:tblLook w:val="04A0" w:firstRow="1" w:lastRow="0" w:firstColumn="1" w:lastColumn="0" w:noHBand="0" w:noVBand="1"/>
      </w:tblPr>
      <w:tblGrid>
        <w:gridCol w:w="3061"/>
        <w:gridCol w:w="964"/>
        <w:gridCol w:w="918"/>
        <w:gridCol w:w="918"/>
        <w:gridCol w:w="918"/>
        <w:gridCol w:w="918"/>
      </w:tblGrid>
      <w:tr w:rsidR="00565D57" w:rsidRPr="00F724D8" w:rsidTr="00565D57">
        <w:trPr>
          <w:trHeight w:val="794"/>
        </w:trPr>
        <w:tc>
          <w:tcPr>
            <w:tcW w:w="3061" w:type="dxa"/>
            <w:tcBorders>
              <w:top w:val="single" w:sz="4" w:space="0" w:color="auto"/>
              <w:left w:val="nil"/>
              <w:bottom w:val="nil"/>
              <w:right w:val="nil"/>
            </w:tcBorders>
            <w:shd w:val="clear" w:color="auto" w:fill="auto"/>
            <w:noWrap/>
            <w:vAlign w:val="center"/>
            <w:hideMark/>
          </w:tcPr>
          <w:p w:rsidR="00565D57" w:rsidRPr="00F724D8" w:rsidRDefault="00565D57" w:rsidP="00565D57">
            <w:pPr>
              <w:spacing w:after="0" w:line="240" w:lineRule="auto"/>
              <w:rPr>
                <w:rFonts w:ascii="Arial" w:hAnsi="Arial" w:cs="Arial"/>
                <w:b/>
                <w:bCs/>
                <w:sz w:val="16"/>
                <w:szCs w:val="16"/>
              </w:rPr>
            </w:pPr>
            <w:r w:rsidRPr="00F724D8">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565D57" w:rsidRPr="0013171A" w:rsidRDefault="00565D57" w:rsidP="00565D57">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18" w:type="dxa"/>
            <w:tcBorders>
              <w:top w:val="single" w:sz="4" w:space="0" w:color="auto"/>
              <w:left w:val="nil"/>
              <w:bottom w:val="single" w:sz="4" w:space="0" w:color="auto"/>
              <w:right w:val="nil"/>
            </w:tcBorders>
            <w:shd w:val="clear" w:color="000000" w:fill="E6E6E6"/>
            <w:vAlign w:val="center"/>
            <w:hideMark/>
          </w:tcPr>
          <w:p w:rsidR="00565D57" w:rsidRPr="0013171A" w:rsidRDefault="00565D57" w:rsidP="00565D57">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18" w:type="dxa"/>
            <w:tcBorders>
              <w:top w:val="single" w:sz="4" w:space="0" w:color="auto"/>
              <w:left w:val="nil"/>
              <w:bottom w:val="single" w:sz="4" w:space="0" w:color="auto"/>
              <w:right w:val="nil"/>
            </w:tcBorders>
            <w:shd w:val="clear" w:color="auto" w:fill="auto"/>
            <w:vAlign w:val="center"/>
            <w:hideMark/>
          </w:tcPr>
          <w:p w:rsidR="00565D57" w:rsidRPr="0013171A" w:rsidRDefault="00565D57" w:rsidP="00565D57">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18" w:type="dxa"/>
            <w:tcBorders>
              <w:top w:val="single" w:sz="4" w:space="0" w:color="auto"/>
              <w:left w:val="nil"/>
              <w:bottom w:val="single" w:sz="4" w:space="0" w:color="auto"/>
              <w:right w:val="nil"/>
            </w:tcBorders>
            <w:shd w:val="clear" w:color="auto" w:fill="auto"/>
            <w:vAlign w:val="center"/>
            <w:hideMark/>
          </w:tcPr>
          <w:p w:rsidR="00565D57" w:rsidRPr="0013171A" w:rsidRDefault="00565D57" w:rsidP="00565D57">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18" w:type="dxa"/>
            <w:tcBorders>
              <w:top w:val="single" w:sz="4" w:space="0" w:color="auto"/>
              <w:left w:val="nil"/>
              <w:bottom w:val="single" w:sz="4" w:space="0" w:color="auto"/>
              <w:right w:val="nil"/>
            </w:tcBorders>
            <w:shd w:val="clear" w:color="auto" w:fill="auto"/>
            <w:vAlign w:val="center"/>
            <w:hideMark/>
          </w:tcPr>
          <w:p w:rsidR="00565D57" w:rsidRPr="0013171A" w:rsidRDefault="00565D57" w:rsidP="00565D57">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 xml:space="preserve">Cash </w:t>
            </w:r>
            <w:r w:rsidRPr="00F724D8">
              <w:rPr>
                <w:rFonts w:ascii="Arial" w:hAnsi="Arial" w:cs="Arial"/>
                <w:sz w:val="16"/>
                <w:szCs w:val="16"/>
              </w:rPr>
              <w:t>and cash equivalents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1,007,227</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1,041,281</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1,082,625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1,126,763</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1,169,056</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sz w:val="16"/>
                <w:szCs w:val="16"/>
              </w:rPr>
            </w:pPr>
            <w:r w:rsidRPr="00F724D8">
              <w:rPr>
                <w:rFonts w:ascii="Arial" w:hAnsi="Arial" w:cs="Arial"/>
                <w:sz w:val="16"/>
                <w:szCs w:val="16"/>
              </w:rPr>
              <w:t>Trade and other receivables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2,647,030</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2,567,065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2,521,814</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2,475,346</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2,437,924</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Other financial assets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r>
      <w:tr w:rsidR="00F724D8" w:rsidRPr="00F724D8" w:rsidTr="00565D57">
        <w:trPr>
          <w:trHeight w:val="227"/>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3,661,900 </w:t>
            </w:r>
          </w:p>
        </w:tc>
        <w:tc>
          <w:tcPr>
            <w:tcW w:w="918" w:type="dxa"/>
            <w:tcBorders>
              <w:top w:val="single" w:sz="4" w:space="0" w:color="000000"/>
              <w:left w:val="nil"/>
              <w:bottom w:val="single" w:sz="4" w:space="0" w:color="000000"/>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3,615,989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3,612,082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3,609,752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3,614,623 </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Property, plant and equipment</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13,618</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11,292</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7,491</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4,620</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4,039</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Intangibles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7,943</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12,315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15,835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19,115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22,245</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r>
      <w:tr w:rsidR="00F724D8" w:rsidRPr="00F724D8" w:rsidTr="00565D57">
        <w:trPr>
          <w:trHeight w:val="227"/>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23,006 </w:t>
            </w:r>
          </w:p>
        </w:tc>
        <w:tc>
          <w:tcPr>
            <w:tcW w:w="918" w:type="dxa"/>
            <w:tcBorders>
              <w:top w:val="single" w:sz="4" w:space="0" w:color="000000"/>
              <w:left w:val="nil"/>
              <w:bottom w:val="single" w:sz="4" w:space="0" w:color="000000"/>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25,052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24,771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25,180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27,729 </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Total assets</w:t>
            </w:r>
          </w:p>
        </w:tc>
        <w:tc>
          <w:tcPr>
            <w:tcW w:w="964" w:type="dxa"/>
            <w:tcBorders>
              <w:top w:val="nil"/>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3,684,906 </w:t>
            </w:r>
          </w:p>
        </w:tc>
        <w:tc>
          <w:tcPr>
            <w:tcW w:w="918" w:type="dxa"/>
            <w:tcBorders>
              <w:top w:val="nil"/>
              <w:left w:val="nil"/>
              <w:bottom w:val="single" w:sz="4" w:space="0" w:color="000000"/>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3,641,041 </w:t>
            </w:r>
          </w:p>
        </w:tc>
        <w:tc>
          <w:tcPr>
            <w:tcW w:w="918" w:type="dxa"/>
            <w:tcBorders>
              <w:top w:val="nil"/>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3,636,853 </w:t>
            </w:r>
          </w:p>
        </w:tc>
        <w:tc>
          <w:tcPr>
            <w:tcW w:w="918" w:type="dxa"/>
            <w:tcBorders>
              <w:top w:val="nil"/>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3,634,932 </w:t>
            </w:r>
          </w:p>
        </w:tc>
        <w:tc>
          <w:tcPr>
            <w:tcW w:w="918" w:type="dxa"/>
            <w:tcBorders>
              <w:top w:val="nil"/>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3,642,352 </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r>
      <w:tr w:rsidR="00F724D8" w:rsidRPr="00F724D8" w:rsidTr="00565D57">
        <w:trPr>
          <w:trHeight w:val="227"/>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c>
          <w:tcPr>
            <w:tcW w:w="918" w:type="dxa"/>
            <w:tcBorders>
              <w:top w:val="single" w:sz="4" w:space="0" w:color="000000"/>
              <w:left w:val="nil"/>
              <w:bottom w:val="single" w:sz="4" w:space="0" w:color="000000"/>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Employee provisions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18,064</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19,447</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20,814</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20,814</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20,814</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Other provisions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3,628,609</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3,583,361</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3,577,806</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3,575,885</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3,583,305</w:t>
            </w:r>
          </w:p>
        </w:tc>
      </w:tr>
      <w:tr w:rsidR="00F724D8" w:rsidRPr="00F724D8" w:rsidTr="00565D57">
        <w:trPr>
          <w:trHeight w:val="227"/>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3,646,673 </w:t>
            </w:r>
          </w:p>
        </w:tc>
        <w:tc>
          <w:tcPr>
            <w:tcW w:w="918" w:type="dxa"/>
            <w:tcBorders>
              <w:top w:val="single" w:sz="4" w:space="0" w:color="000000"/>
              <w:left w:val="nil"/>
              <w:bottom w:val="single" w:sz="4" w:space="0" w:color="000000"/>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3,602,808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3,598,620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3,596,699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3,604,119 </w:t>
            </w:r>
          </w:p>
        </w:tc>
      </w:tr>
      <w:tr w:rsidR="00F724D8" w:rsidRPr="00F724D8" w:rsidTr="00565D57">
        <w:trPr>
          <w:trHeight w:val="225"/>
        </w:trPr>
        <w:tc>
          <w:tcPr>
            <w:tcW w:w="3061" w:type="dxa"/>
            <w:tcBorders>
              <w:top w:val="nil"/>
              <w:left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Total liabilities</w:t>
            </w:r>
          </w:p>
        </w:tc>
        <w:tc>
          <w:tcPr>
            <w:tcW w:w="964"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3,669,648 </w:t>
            </w:r>
          </w:p>
        </w:tc>
        <w:tc>
          <w:tcPr>
            <w:tcW w:w="918" w:type="dxa"/>
            <w:tcBorders>
              <w:top w:val="single" w:sz="4" w:space="0" w:color="auto"/>
              <w:left w:val="nil"/>
              <w:bottom w:val="single" w:sz="4" w:space="0" w:color="auto"/>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3,625,783 </w:t>
            </w:r>
          </w:p>
        </w:tc>
        <w:tc>
          <w:tcPr>
            <w:tcW w:w="918"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3,621,595 </w:t>
            </w:r>
          </w:p>
        </w:tc>
        <w:tc>
          <w:tcPr>
            <w:tcW w:w="918"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3,619,674 </w:t>
            </w:r>
          </w:p>
        </w:tc>
        <w:tc>
          <w:tcPr>
            <w:tcW w:w="918" w:type="dxa"/>
            <w:tcBorders>
              <w:top w:val="single" w:sz="4" w:space="0" w:color="auto"/>
              <w:left w:val="nil"/>
              <w:bottom w:val="single" w:sz="4" w:space="0" w:color="auto"/>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3,627,094 </w:t>
            </w:r>
          </w:p>
        </w:tc>
      </w:tr>
      <w:tr w:rsidR="00F724D8" w:rsidRPr="00F724D8" w:rsidTr="00565D57">
        <w:trPr>
          <w:trHeight w:val="225"/>
        </w:trPr>
        <w:tc>
          <w:tcPr>
            <w:tcW w:w="3061" w:type="dxa"/>
            <w:tcBorders>
              <w:top w:val="nil"/>
              <w:left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sz w:val="16"/>
                <w:szCs w:val="16"/>
              </w:rPr>
            </w:pPr>
            <w:r w:rsidRPr="00F724D8">
              <w:rPr>
                <w:rFonts w:ascii="Arial" w:hAnsi="Arial" w:cs="Arial"/>
                <w:b/>
                <w:bCs/>
                <w:sz w:val="16"/>
                <w:szCs w:val="16"/>
              </w:rPr>
              <w:t>Net assets</w:t>
            </w:r>
          </w:p>
        </w:tc>
        <w:tc>
          <w:tcPr>
            <w:tcW w:w="964" w:type="dxa"/>
            <w:tcBorders>
              <w:top w:val="nil"/>
              <w:left w:val="nil"/>
              <w:bottom w:val="single" w:sz="4" w:space="0" w:color="auto"/>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auto"/>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auto"/>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auto"/>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auto"/>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r>
      <w:tr w:rsidR="00F724D8" w:rsidRPr="00F724D8" w:rsidTr="00565D57">
        <w:trPr>
          <w:trHeight w:val="225"/>
        </w:trPr>
        <w:tc>
          <w:tcPr>
            <w:tcW w:w="3061" w:type="dxa"/>
            <w:tcBorders>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EQUITY*</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Parent entity interest</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Contributed equity</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Reserves</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r>
      <w:tr w:rsidR="00F724D8" w:rsidRPr="00F724D8" w:rsidTr="00565D57">
        <w:trPr>
          <w:trHeight w:val="227"/>
        </w:trPr>
        <w:tc>
          <w:tcPr>
            <w:tcW w:w="3061" w:type="dxa"/>
            <w:tcBorders>
              <w:top w:val="nil"/>
              <w:left w:val="nil"/>
              <w:bottom w:val="nil"/>
              <w:right w:val="nil"/>
            </w:tcBorders>
            <w:shd w:val="clear" w:color="auto" w:fill="auto"/>
            <w:vAlign w:val="center"/>
            <w:hideMark/>
          </w:tcPr>
          <w:p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Retained surplus (accumulated deficit)</w:t>
            </w:r>
          </w:p>
        </w:tc>
        <w:tc>
          <w:tcPr>
            <w:tcW w:w="964"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c>
          <w:tcPr>
            <w:tcW w:w="918" w:type="dxa"/>
            <w:tcBorders>
              <w:top w:val="nil"/>
              <w:left w:val="nil"/>
              <w:bottom w:val="nil"/>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c>
          <w:tcPr>
            <w:tcW w:w="918"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r>
      <w:tr w:rsidR="00F724D8" w:rsidRPr="00F724D8" w:rsidTr="00565D57">
        <w:trPr>
          <w:trHeight w:val="225"/>
        </w:trPr>
        <w:tc>
          <w:tcPr>
            <w:tcW w:w="3061" w:type="dxa"/>
            <w:tcBorders>
              <w:top w:val="nil"/>
              <w:left w:val="nil"/>
              <w:bottom w:val="nil"/>
              <w:right w:val="nil"/>
            </w:tcBorders>
            <w:shd w:val="clear" w:color="auto" w:fill="auto"/>
            <w:noWrap/>
            <w:vAlign w:val="center"/>
            <w:hideMark/>
          </w:tcPr>
          <w:p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parent entity interest</w:t>
            </w:r>
          </w:p>
        </w:tc>
        <w:tc>
          <w:tcPr>
            <w:tcW w:w="964"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c>
          <w:tcPr>
            <w:tcW w:w="918" w:type="dxa"/>
            <w:tcBorders>
              <w:top w:val="single" w:sz="4" w:space="0" w:color="000000"/>
              <w:left w:val="nil"/>
              <w:bottom w:val="single" w:sz="4" w:space="0" w:color="000000"/>
              <w:right w:val="nil"/>
            </w:tcBorders>
            <w:shd w:val="clear" w:color="000000" w:fill="E6E6E6"/>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c>
          <w:tcPr>
            <w:tcW w:w="918" w:type="dxa"/>
            <w:tcBorders>
              <w:top w:val="single" w:sz="4" w:space="0" w:color="000000"/>
              <w:left w:val="nil"/>
              <w:bottom w:val="single" w:sz="4" w:space="0" w:color="000000"/>
              <w:right w:val="nil"/>
            </w:tcBorders>
            <w:shd w:val="clear" w:color="auto" w:fill="auto"/>
            <w:noWrap/>
            <w:vAlign w:val="center"/>
            <w:hideMark/>
          </w:tcPr>
          <w:p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r>
      <w:tr w:rsidR="00F724D8" w:rsidRPr="00F724D8" w:rsidTr="00565D57">
        <w:trPr>
          <w:trHeight w:val="225"/>
        </w:trPr>
        <w:tc>
          <w:tcPr>
            <w:tcW w:w="3061" w:type="dxa"/>
            <w:tcBorders>
              <w:top w:val="nil"/>
              <w:left w:val="nil"/>
              <w:bottom w:val="single" w:sz="4" w:space="0" w:color="000000"/>
              <w:right w:val="nil"/>
            </w:tcBorders>
            <w:shd w:val="clear" w:color="auto" w:fill="auto"/>
            <w:noWrap/>
            <w:vAlign w:val="bottom"/>
            <w:hideMark/>
          </w:tcPr>
          <w:p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Total equity</w:t>
            </w:r>
          </w:p>
        </w:tc>
        <w:tc>
          <w:tcPr>
            <w:tcW w:w="964" w:type="dxa"/>
            <w:tcBorders>
              <w:top w:val="nil"/>
              <w:left w:val="nil"/>
              <w:bottom w:val="single" w:sz="4" w:space="0" w:color="000000"/>
              <w:right w:val="nil"/>
            </w:tcBorders>
            <w:shd w:val="clear" w:color="auto" w:fill="auto"/>
            <w:noWrap/>
            <w:vAlign w:val="bottom"/>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000000"/>
              <w:right w:val="nil"/>
            </w:tcBorders>
            <w:shd w:val="clear" w:color="000000" w:fill="E6E6E6"/>
            <w:noWrap/>
            <w:vAlign w:val="bottom"/>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000000"/>
              <w:right w:val="nil"/>
            </w:tcBorders>
            <w:shd w:val="clear" w:color="auto" w:fill="auto"/>
            <w:noWrap/>
            <w:vAlign w:val="bottom"/>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000000"/>
              <w:right w:val="nil"/>
            </w:tcBorders>
            <w:shd w:val="clear" w:color="auto" w:fill="auto"/>
            <w:noWrap/>
            <w:vAlign w:val="bottom"/>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000000"/>
              <w:right w:val="nil"/>
            </w:tcBorders>
            <w:shd w:val="clear" w:color="auto" w:fill="auto"/>
            <w:noWrap/>
            <w:vAlign w:val="bottom"/>
            <w:hideMark/>
          </w:tcPr>
          <w:p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r>
    </w:tbl>
    <w:p w:rsidR="00565D57" w:rsidRPr="00132F9E" w:rsidRDefault="00565D57" w:rsidP="00565D57">
      <w:pPr>
        <w:pStyle w:val="ChartandTableFootnote"/>
      </w:pPr>
      <w:r w:rsidRPr="00132F9E">
        <w:t>*</w:t>
      </w:r>
      <w:r w:rsidR="009B3707">
        <w:t>Equity</w:t>
      </w:r>
      <w:r w:rsidRPr="00132F9E">
        <w:t xml:space="preserve"> is the residual interest in assets after deduction of liabilities.</w:t>
      </w:r>
    </w:p>
    <w:p w:rsidR="00565D57" w:rsidRPr="00565D57" w:rsidRDefault="00565D57" w:rsidP="00565D57">
      <w:pPr>
        <w:pStyle w:val="ChartandTableFootnote"/>
        <w:rPr>
          <w:lang w:val="en-AU"/>
        </w:rPr>
      </w:pPr>
      <w:r w:rsidRPr="00132F9E">
        <w:t>Prepared on Australian Accounting Standards basis.</w:t>
      </w:r>
    </w:p>
    <w:p w:rsidR="00565D57" w:rsidRDefault="00565D57" w:rsidP="00565D57">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33" w:type="dxa"/>
        <w:tblInd w:w="93" w:type="dxa"/>
        <w:tblLook w:val="04A0" w:firstRow="1" w:lastRow="0" w:firstColumn="1" w:lastColumn="0" w:noHBand="0" w:noVBand="1"/>
      </w:tblPr>
      <w:tblGrid>
        <w:gridCol w:w="3685"/>
        <w:gridCol w:w="1020"/>
        <w:gridCol w:w="1020"/>
        <w:gridCol w:w="1044"/>
        <w:gridCol w:w="964"/>
      </w:tblGrid>
      <w:tr w:rsidR="00565D57" w:rsidRPr="00565D57" w:rsidTr="004D33FA">
        <w:trPr>
          <w:trHeight w:val="794"/>
        </w:trPr>
        <w:tc>
          <w:tcPr>
            <w:tcW w:w="3685" w:type="dxa"/>
            <w:tcBorders>
              <w:top w:val="single" w:sz="4" w:space="0" w:color="auto"/>
              <w:left w:val="nil"/>
              <w:bottom w:val="nil"/>
              <w:right w:val="nil"/>
            </w:tcBorders>
            <w:shd w:val="clear" w:color="auto" w:fill="auto"/>
            <w:noWrap/>
            <w:vAlign w:val="center"/>
            <w:hideMark/>
          </w:tcPr>
          <w:p w:rsidR="00565D57" w:rsidRPr="00565D57" w:rsidRDefault="00565D57" w:rsidP="004D33FA">
            <w:pPr>
              <w:spacing w:after="0" w:line="240" w:lineRule="auto"/>
              <w:rPr>
                <w:rFonts w:ascii="Arial" w:hAnsi="Arial" w:cs="Arial"/>
                <w:color w:val="000000"/>
                <w:sz w:val="16"/>
                <w:szCs w:val="16"/>
              </w:rPr>
            </w:pPr>
            <w:r w:rsidRPr="00565D57">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Retained</w:t>
            </w:r>
            <w:r w:rsidRPr="00565D57">
              <w:rPr>
                <w:rFonts w:ascii="Arial" w:hAnsi="Arial" w:cs="Arial"/>
                <w:color w:val="000000"/>
                <w:sz w:val="16"/>
                <w:szCs w:val="16"/>
              </w:rPr>
              <w:br/>
              <w:t>earnings</w:t>
            </w:r>
            <w:r w:rsidRPr="00565D57">
              <w:rPr>
                <w:rFonts w:ascii="Arial" w:hAnsi="Arial" w:cs="Arial"/>
                <w:color w:val="000000"/>
                <w:sz w:val="16"/>
                <w:szCs w:val="16"/>
              </w:rPr>
              <w:br/>
            </w:r>
            <w:r w:rsidRPr="00565D57">
              <w:rPr>
                <w:rFonts w:ascii="Arial" w:hAnsi="Arial" w:cs="Arial"/>
                <w:color w:val="000000"/>
                <w:sz w:val="16"/>
                <w:szCs w:val="16"/>
              </w:rPr>
              <w:br/>
              <w:t>$'000</w:t>
            </w:r>
          </w:p>
        </w:tc>
        <w:tc>
          <w:tcPr>
            <w:tcW w:w="1020" w:type="dxa"/>
            <w:tcBorders>
              <w:top w:val="single" w:sz="4" w:space="0" w:color="auto"/>
              <w:left w:val="nil"/>
              <w:bottom w:val="single" w:sz="4" w:space="0" w:color="000000"/>
              <w:right w:val="nil"/>
            </w:tcBorders>
            <w:shd w:val="clear" w:color="auto" w:fill="auto"/>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Asset</w:t>
            </w:r>
            <w:r>
              <w:rPr>
                <w:rFonts w:ascii="Arial" w:hAnsi="Arial" w:cs="Arial"/>
                <w:color w:val="000000"/>
                <w:sz w:val="16"/>
                <w:szCs w:val="16"/>
              </w:rPr>
              <w:t xml:space="preserve"> </w:t>
            </w:r>
            <w:r w:rsidRPr="00565D57">
              <w:rPr>
                <w:rFonts w:ascii="Arial" w:hAnsi="Arial" w:cs="Arial"/>
                <w:color w:val="000000"/>
                <w:sz w:val="16"/>
                <w:szCs w:val="16"/>
              </w:rPr>
              <w:t>revaluation</w:t>
            </w:r>
            <w:r>
              <w:rPr>
                <w:rFonts w:ascii="Arial" w:hAnsi="Arial" w:cs="Arial"/>
                <w:color w:val="000000"/>
                <w:sz w:val="16"/>
                <w:szCs w:val="16"/>
              </w:rPr>
              <w:t xml:space="preserve"> </w:t>
            </w:r>
            <w:r w:rsidRPr="00565D57">
              <w:rPr>
                <w:rFonts w:ascii="Arial" w:hAnsi="Arial" w:cs="Arial"/>
                <w:color w:val="000000"/>
                <w:sz w:val="16"/>
                <w:szCs w:val="16"/>
              </w:rPr>
              <w:t>reserve</w:t>
            </w:r>
            <w:r w:rsidRPr="00565D57">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Contributed</w:t>
            </w:r>
            <w:r w:rsidRPr="00565D57">
              <w:rPr>
                <w:rFonts w:ascii="Arial" w:hAnsi="Arial" w:cs="Arial"/>
                <w:color w:val="000000"/>
                <w:sz w:val="16"/>
                <w:szCs w:val="16"/>
              </w:rPr>
              <w:br/>
              <w:t>equity/</w:t>
            </w:r>
            <w:r>
              <w:rPr>
                <w:rFonts w:ascii="Arial" w:hAnsi="Arial" w:cs="Arial"/>
                <w:color w:val="000000"/>
                <w:sz w:val="16"/>
                <w:szCs w:val="16"/>
              </w:rPr>
              <w:br/>
              <w:t>capital</w:t>
            </w:r>
            <w:r w:rsidRPr="00565D57">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rsidR="00565D57" w:rsidRPr="00565D57" w:rsidRDefault="00565D57" w:rsidP="0048396B">
            <w:pPr>
              <w:spacing w:after="0" w:line="240" w:lineRule="auto"/>
              <w:jc w:val="right"/>
              <w:rPr>
                <w:rFonts w:ascii="Arial" w:hAnsi="Arial" w:cs="Arial"/>
                <w:color w:val="000000"/>
                <w:sz w:val="16"/>
                <w:szCs w:val="16"/>
              </w:rPr>
            </w:pPr>
            <w:r w:rsidRPr="00565D57">
              <w:rPr>
                <w:rFonts w:ascii="Arial" w:hAnsi="Arial" w:cs="Arial"/>
                <w:color w:val="000000"/>
                <w:sz w:val="16"/>
                <w:szCs w:val="16"/>
              </w:rPr>
              <w:t>Total</w:t>
            </w:r>
            <w:r w:rsidR="0048396B">
              <w:rPr>
                <w:rFonts w:ascii="Arial" w:hAnsi="Arial" w:cs="Arial"/>
                <w:color w:val="000000"/>
                <w:sz w:val="16"/>
                <w:szCs w:val="16"/>
              </w:rPr>
              <w:t xml:space="preserve"> </w:t>
            </w:r>
            <w:r w:rsidRPr="00565D57">
              <w:rPr>
                <w:rFonts w:ascii="Arial" w:hAnsi="Arial" w:cs="Arial"/>
                <w:color w:val="000000"/>
                <w:sz w:val="16"/>
                <w:szCs w:val="16"/>
              </w:rPr>
              <w:t xml:space="preserve">equity </w:t>
            </w:r>
            <w:r w:rsidRPr="00565D57">
              <w:rPr>
                <w:rFonts w:ascii="Arial" w:hAnsi="Arial" w:cs="Arial"/>
                <w:color w:val="000000"/>
                <w:sz w:val="16"/>
                <w:szCs w:val="16"/>
              </w:rPr>
              <w:br/>
            </w:r>
            <w:r w:rsidRPr="00565D57">
              <w:rPr>
                <w:rFonts w:ascii="Arial" w:hAnsi="Arial" w:cs="Arial"/>
                <w:color w:val="000000"/>
                <w:sz w:val="16"/>
                <w:szCs w:val="16"/>
              </w:rPr>
              <w:br/>
              <w:t>$'000</w:t>
            </w:r>
          </w:p>
        </w:tc>
      </w:tr>
      <w:tr w:rsidR="00565D57" w:rsidRPr="00565D57" w:rsidTr="004D33FA">
        <w:trPr>
          <w:trHeight w:val="225"/>
        </w:trPr>
        <w:tc>
          <w:tcPr>
            <w:tcW w:w="3685" w:type="dxa"/>
            <w:tcBorders>
              <w:top w:val="nil"/>
              <w:left w:val="nil"/>
              <w:bottom w:val="nil"/>
              <w:right w:val="nil"/>
            </w:tcBorders>
            <w:shd w:val="clear" w:color="auto" w:fill="auto"/>
            <w:vAlign w:val="center"/>
            <w:hideMark/>
          </w:tcPr>
          <w:p w:rsidR="00565D57" w:rsidRPr="00565D57" w:rsidRDefault="00565D57" w:rsidP="004D33FA">
            <w:pPr>
              <w:spacing w:after="0" w:line="240" w:lineRule="auto"/>
              <w:rPr>
                <w:rFonts w:ascii="Arial" w:hAnsi="Arial" w:cs="Arial"/>
                <w:b/>
                <w:bCs/>
                <w:color w:val="000000"/>
                <w:sz w:val="16"/>
                <w:szCs w:val="16"/>
              </w:rPr>
            </w:pPr>
            <w:r w:rsidRPr="00565D57">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p>
        </w:tc>
      </w:tr>
      <w:tr w:rsidR="00565D57" w:rsidRPr="00565D57" w:rsidTr="004D33FA">
        <w:trPr>
          <w:trHeight w:val="227"/>
        </w:trPr>
        <w:tc>
          <w:tcPr>
            <w:tcW w:w="3685" w:type="dxa"/>
            <w:tcBorders>
              <w:top w:val="nil"/>
              <w:left w:val="nil"/>
              <w:bottom w:val="nil"/>
              <w:right w:val="nil"/>
            </w:tcBorders>
            <w:shd w:val="clear" w:color="auto" w:fill="auto"/>
            <w:vAlign w:val="center"/>
            <w:hideMark/>
          </w:tcPr>
          <w:p w:rsidR="00565D57" w:rsidRPr="00565D57" w:rsidRDefault="00565D57" w:rsidP="004D33FA">
            <w:pPr>
              <w:spacing w:after="0" w:line="240" w:lineRule="auto"/>
              <w:ind w:firstLineChars="100" w:firstLine="160"/>
              <w:rPr>
                <w:rFonts w:ascii="Arial" w:hAnsi="Arial" w:cs="Arial"/>
                <w:color w:val="000000"/>
                <w:sz w:val="16"/>
                <w:szCs w:val="16"/>
              </w:rPr>
            </w:pPr>
            <w:r w:rsidRPr="00565D57">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3,399 </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4,142 </w:t>
            </w:r>
          </w:p>
        </w:tc>
        <w:tc>
          <w:tcPr>
            <w:tcW w:w="104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7,717 </w:t>
            </w:r>
          </w:p>
        </w:tc>
        <w:tc>
          <w:tcPr>
            <w:tcW w:w="96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15,258 </w:t>
            </w:r>
          </w:p>
        </w:tc>
      </w:tr>
      <w:tr w:rsidR="00565D57" w:rsidRPr="00565D57" w:rsidTr="004D33FA">
        <w:trPr>
          <w:trHeight w:val="227"/>
        </w:trPr>
        <w:tc>
          <w:tcPr>
            <w:tcW w:w="3685" w:type="dxa"/>
            <w:tcBorders>
              <w:top w:val="nil"/>
              <w:left w:val="nil"/>
              <w:bottom w:val="nil"/>
              <w:right w:val="nil"/>
            </w:tcBorders>
            <w:shd w:val="clear" w:color="auto" w:fill="auto"/>
            <w:vAlign w:val="center"/>
            <w:hideMark/>
          </w:tcPr>
          <w:p w:rsidR="00565D57" w:rsidRPr="00565D57" w:rsidRDefault="00565D57" w:rsidP="004D33FA">
            <w:pPr>
              <w:spacing w:after="0" w:line="240" w:lineRule="auto"/>
              <w:ind w:firstLineChars="100" w:firstLine="160"/>
              <w:rPr>
                <w:rFonts w:ascii="Arial" w:hAnsi="Arial" w:cs="Arial"/>
                <w:color w:val="000000"/>
                <w:sz w:val="16"/>
                <w:szCs w:val="16"/>
              </w:rPr>
            </w:pPr>
            <w:r w:rsidRPr="00565D57">
              <w:rPr>
                <w:rFonts w:ascii="Arial" w:hAnsi="Arial" w:cs="Arial"/>
                <w:color w:val="000000"/>
                <w:sz w:val="16"/>
                <w:szCs w:val="16"/>
              </w:rPr>
              <w:t>Adjustment for changes in accounting policies</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r>
      <w:tr w:rsidR="00565D57" w:rsidRPr="00565D57" w:rsidTr="004D33FA">
        <w:trPr>
          <w:trHeight w:val="227"/>
        </w:trPr>
        <w:tc>
          <w:tcPr>
            <w:tcW w:w="3685" w:type="dxa"/>
            <w:tcBorders>
              <w:top w:val="nil"/>
              <w:left w:val="nil"/>
              <w:bottom w:val="nil"/>
              <w:right w:val="nil"/>
            </w:tcBorders>
            <w:shd w:val="clear" w:color="auto" w:fill="auto"/>
            <w:vAlign w:val="center"/>
            <w:hideMark/>
          </w:tcPr>
          <w:p w:rsidR="00565D57" w:rsidRPr="00565D57" w:rsidRDefault="00565D57" w:rsidP="004D33FA">
            <w:pPr>
              <w:spacing w:after="0" w:line="240" w:lineRule="auto"/>
              <w:rPr>
                <w:rFonts w:ascii="Arial" w:hAnsi="Arial" w:cs="Arial"/>
                <w:b/>
                <w:bCs/>
                <w:i/>
                <w:iCs/>
                <w:color w:val="000000"/>
                <w:sz w:val="16"/>
                <w:szCs w:val="16"/>
              </w:rPr>
            </w:pPr>
            <w:r w:rsidRPr="00565D57">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3,399 </w:t>
            </w:r>
          </w:p>
        </w:tc>
        <w:tc>
          <w:tcPr>
            <w:tcW w:w="1020" w:type="dxa"/>
            <w:tcBorders>
              <w:top w:val="single" w:sz="4" w:space="0" w:color="000000"/>
              <w:left w:val="nil"/>
              <w:bottom w:val="single" w:sz="4" w:space="0" w:color="000000"/>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4,142 </w:t>
            </w:r>
          </w:p>
        </w:tc>
        <w:tc>
          <w:tcPr>
            <w:tcW w:w="1044" w:type="dxa"/>
            <w:tcBorders>
              <w:top w:val="single" w:sz="4" w:space="0" w:color="000000"/>
              <w:left w:val="nil"/>
              <w:bottom w:val="single" w:sz="4" w:space="0" w:color="000000"/>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7,717 </w:t>
            </w:r>
          </w:p>
        </w:tc>
        <w:tc>
          <w:tcPr>
            <w:tcW w:w="964" w:type="dxa"/>
            <w:tcBorders>
              <w:top w:val="single" w:sz="4" w:space="0" w:color="000000"/>
              <w:left w:val="nil"/>
              <w:bottom w:val="single" w:sz="4" w:space="0" w:color="000000"/>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15,258 </w:t>
            </w:r>
          </w:p>
        </w:tc>
      </w:tr>
      <w:tr w:rsidR="00565D57" w:rsidRPr="00565D57" w:rsidTr="004D33FA">
        <w:trPr>
          <w:trHeight w:val="225"/>
        </w:trPr>
        <w:tc>
          <w:tcPr>
            <w:tcW w:w="3685"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rPr>
                <w:rFonts w:ascii="Arial" w:hAnsi="Arial" w:cs="Arial"/>
                <w:b/>
                <w:bCs/>
                <w:color w:val="000000"/>
                <w:sz w:val="16"/>
                <w:szCs w:val="16"/>
              </w:rPr>
            </w:pPr>
            <w:r w:rsidRPr="00565D57">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p>
        </w:tc>
      </w:tr>
      <w:tr w:rsidR="00565D57" w:rsidRPr="00565D57" w:rsidTr="004D33FA">
        <w:trPr>
          <w:trHeight w:val="225"/>
        </w:trPr>
        <w:tc>
          <w:tcPr>
            <w:tcW w:w="3685"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ind w:firstLineChars="100" w:firstLine="160"/>
              <w:rPr>
                <w:rFonts w:ascii="Arial" w:hAnsi="Arial" w:cs="Arial"/>
                <w:color w:val="000000"/>
                <w:sz w:val="16"/>
                <w:szCs w:val="16"/>
              </w:rPr>
            </w:pPr>
            <w:r w:rsidRPr="00565D57">
              <w:rPr>
                <w:rFonts w:ascii="Arial" w:hAnsi="Arial" w:cs="Arial"/>
                <w:color w:val="000000"/>
                <w:sz w:val="16"/>
                <w:szCs w:val="16"/>
              </w:rPr>
              <w:t>Other comprehensive income</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r>
      <w:tr w:rsidR="00565D57" w:rsidRPr="00565D57" w:rsidTr="004D33FA">
        <w:trPr>
          <w:trHeight w:val="225"/>
        </w:trPr>
        <w:tc>
          <w:tcPr>
            <w:tcW w:w="3685"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ind w:firstLineChars="100" w:firstLine="160"/>
              <w:rPr>
                <w:rFonts w:ascii="Arial" w:hAnsi="Arial" w:cs="Arial"/>
                <w:sz w:val="16"/>
                <w:szCs w:val="16"/>
              </w:rPr>
            </w:pPr>
            <w:r w:rsidRPr="00565D57">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r>
      <w:tr w:rsidR="00565D57" w:rsidRPr="00565D57" w:rsidTr="004D33FA">
        <w:trPr>
          <w:trHeight w:val="227"/>
        </w:trPr>
        <w:tc>
          <w:tcPr>
            <w:tcW w:w="3685" w:type="dxa"/>
            <w:tcBorders>
              <w:top w:val="nil"/>
              <w:left w:val="nil"/>
              <w:bottom w:val="nil"/>
              <w:right w:val="nil"/>
            </w:tcBorders>
            <w:shd w:val="clear" w:color="auto" w:fill="auto"/>
            <w:vAlign w:val="center"/>
            <w:hideMark/>
          </w:tcPr>
          <w:p w:rsidR="00565D57" w:rsidRPr="00565D57" w:rsidRDefault="00565D57" w:rsidP="004D33FA">
            <w:pPr>
              <w:spacing w:after="0" w:line="240" w:lineRule="auto"/>
              <w:rPr>
                <w:rFonts w:ascii="Arial" w:hAnsi="Arial" w:cs="Arial"/>
                <w:b/>
                <w:bCs/>
                <w:i/>
                <w:iCs/>
                <w:color w:val="000000"/>
                <w:sz w:val="16"/>
                <w:szCs w:val="16"/>
              </w:rPr>
            </w:pPr>
            <w:r w:rsidRPr="00565D57">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 </w:t>
            </w:r>
          </w:p>
        </w:tc>
        <w:tc>
          <w:tcPr>
            <w:tcW w:w="1020" w:type="dxa"/>
            <w:tcBorders>
              <w:top w:val="single" w:sz="4" w:space="0" w:color="000000"/>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 </w:t>
            </w:r>
          </w:p>
        </w:tc>
        <w:tc>
          <w:tcPr>
            <w:tcW w:w="964" w:type="dxa"/>
            <w:tcBorders>
              <w:top w:val="single" w:sz="4" w:space="0" w:color="000000"/>
              <w:left w:val="nil"/>
              <w:bottom w:val="nil"/>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 </w:t>
            </w:r>
          </w:p>
        </w:tc>
      </w:tr>
      <w:tr w:rsidR="00565D57" w:rsidRPr="00565D57" w:rsidTr="004D33FA">
        <w:trPr>
          <w:trHeight w:val="227"/>
        </w:trPr>
        <w:tc>
          <w:tcPr>
            <w:tcW w:w="3685" w:type="dxa"/>
            <w:tcBorders>
              <w:top w:val="nil"/>
              <w:left w:val="nil"/>
              <w:bottom w:val="nil"/>
              <w:right w:val="nil"/>
            </w:tcBorders>
            <w:shd w:val="clear" w:color="auto" w:fill="auto"/>
            <w:vAlign w:val="center"/>
            <w:hideMark/>
          </w:tcPr>
          <w:p w:rsidR="00565D57" w:rsidRPr="00565D57" w:rsidRDefault="00565D57" w:rsidP="004D33FA">
            <w:pPr>
              <w:spacing w:after="0" w:line="240" w:lineRule="auto"/>
              <w:rPr>
                <w:rFonts w:ascii="Arial" w:hAnsi="Arial" w:cs="Arial"/>
                <w:b/>
                <w:bCs/>
                <w:color w:val="000000"/>
                <w:sz w:val="16"/>
                <w:szCs w:val="16"/>
              </w:rPr>
            </w:pPr>
            <w:r w:rsidRPr="00565D57">
              <w:rPr>
                <w:rFonts w:ascii="Arial" w:hAnsi="Arial" w:cs="Arial"/>
                <w:b/>
                <w:bCs/>
                <w:color w:val="000000"/>
                <w:sz w:val="16"/>
                <w:szCs w:val="16"/>
              </w:rPr>
              <w:t>Estimated closing balance as at 30 June 2019</w:t>
            </w:r>
          </w:p>
        </w:tc>
        <w:tc>
          <w:tcPr>
            <w:tcW w:w="1020" w:type="dxa"/>
            <w:tcBorders>
              <w:top w:val="single" w:sz="4" w:space="0" w:color="auto"/>
              <w:left w:val="nil"/>
              <w:bottom w:val="single" w:sz="4" w:space="0" w:color="auto"/>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3,399 </w:t>
            </w:r>
          </w:p>
        </w:tc>
        <w:tc>
          <w:tcPr>
            <w:tcW w:w="1020" w:type="dxa"/>
            <w:tcBorders>
              <w:top w:val="single" w:sz="4" w:space="0" w:color="auto"/>
              <w:left w:val="nil"/>
              <w:bottom w:val="single" w:sz="4" w:space="0" w:color="auto"/>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4,142 </w:t>
            </w:r>
          </w:p>
        </w:tc>
        <w:tc>
          <w:tcPr>
            <w:tcW w:w="1044" w:type="dxa"/>
            <w:tcBorders>
              <w:top w:val="single" w:sz="4" w:space="0" w:color="auto"/>
              <w:left w:val="nil"/>
              <w:bottom w:val="single" w:sz="4" w:space="0" w:color="auto"/>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7,717 </w:t>
            </w:r>
          </w:p>
        </w:tc>
        <w:tc>
          <w:tcPr>
            <w:tcW w:w="964" w:type="dxa"/>
            <w:tcBorders>
              <w:top w:val="single" w:sz="4" w:space="0" w:color="auto"/>
              <w:left w:val="nil"/>
              <w:bottom w:val="single" w:sz="4" w:space="0" w:color="auto"/>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15,258 </w:t>
            </w:r>
          </w:p>
        </w:tc>
      </w:tr>
      <w:tr w:rsidR="00565D57" w:rsidRPr="00565D57" w:rsidTr="004D33FA">
        <w:trPr>
          <w:trHeight w:val="225"/>
        </w:trPr>
        <w:tc>
          <w:tcPr>
            <w:tcW w:w="3685" w:type="dxa"/>
            <w:tcBorders>
              <w:top w:val="nil"/>
              <w:left w:val="nil"/>
              <w:bottom w:val="nil"/>
              <w:right w:val="nil"/>
            </w:tcBorders>
            <w:shd w:val="clear" w:color="auto" w:fill="auto"/>
            <w:noWrap/>
            <w:vAlign w:val="center"/>
            <w:hideMark/>
          </w:tcPr>
          <w:p w:rsidR="00565D57" w:rsidRPr="00565D57" w:rsidRDefault="00565D57" w:rsidP="004D33FA">
            <w:pPr>
              <w:spacing w:after="0" w:line="240" w:lineRule="auto"/>
              <w:ind w:firstLineChars="100" w:firstLine="160"/>
              <w:rPr>
                <w:rFonts w:ascii="Arial" w:hAnsi="Arial" w:cs="Arial"/>
                <w:color w:val="000000"/>
                <w:sz w:val="16"/>
                <w:szCs w:val="16"/>
              </w:rPr>
            </w:pPr>
            <w:r w:rsidRPr="00565D57">
              <w:rPr>
                <w:rFonts w:ascii="Arial" w:hAnsi="Arial" w:cs="Arial"/>
                <w:color w:val="000000"/>
                <w:sz w:val="16"/>
                <w:szCs w:val="16"/>
              </w:rPr>
              <w:t>Less: non-controlling interests</w:t>
            </w:r>
          </w:p>
        </w:tc>
        <w:tc>
          <w:tcPr>
            <w:tcW w:w="1020" w:type="dxa"/>
            <w:tcBorders>
              <w:top w:val="nil"/>
              <w:left w:val="nil"/>
              <w:bottom w:val="single" w:sz="4" w:space="0" w:color="auto"/>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20" w:type="dxa"/>
            <w:tcBorders>
              <w:top w:val="nil"/>
              <w:left w:val="nil"/>
              <w:bottom w:val="single" w:sz="4" w:space="0" w:color="auto"/>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44" w:type="dxa"/>
            <w:tcBorders>
              <w:top w:val="nil"/>
              <w:left w:val="nil"/>
              <w:bottom w:val="single" w:sz="4" w:space="0" w:color="auto"/>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964" w:type="dxa"/>
            <w:tcBorders>
              <w:top w:val="nil"/>
              <w:left w:val="nil"/>
              <w:bottom w:val="single" w:sz="4" w:space="0" w:color="auto"/>
              <w:right w:val="nil"/>
            </w:tcBorders>
            <w:shd w:val="clear" w:color="auto" w:fill="auto"/>
            <w:noWrap/>
            <w:vAlign w:val="center"/>
            <w:hideMark/>
          </w:tcPr>
          <w:p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r>
      <w:tr w:rsidR="00565D57" w:rsidRPr="00565D57" w:rsidTr="004D33FA">
        <w:trPr>
          <w:trHeight w:val="397"/>
        </w:trPr>
        <w:tc>
          <w:tcPr>
            <w:tcW w:w="3685" w:type="dxa"/>
            <w:tcBorders>
              <w:top w:val="nil"/>
              <w:left w:val="nil"/>
              <w:bottom w:val="single" w:sz="4" w:space="0" w:color="000000"/>
              <w:right w:val="nil"/>
            </w:tcBorders>
            <w:shd w:val="clear" w:color="auto" w:fill="auto"/>
            <w:vAlign w:val="bottom"/>
            <w:hideMark/>
          </w:tcPr>
          <w:p w:rsidR="00565D57" w:rsidRPr="00565D57" w:rsidRDefault="00565D57" w:rsidP="004D33FA">
            <w:pPr>
              <w:spacing w:after="0" w:line="240" w:lineRule="auto"/>
              <w:ind w:left="191" w:hanging="191"/>
              <w:rPr>
                <w:rFonts w:ascii="Arial" w:hAnsi="Arial" w:cs="Arial"/>
                <w:b/>
                <w:bCs/>
                <w:color w:val="000000"/>
                <w:sz w:val="16"/>
                <w:szCs w:val="16"/>
              </w:rPr>
            </w:pPr>
            <w:r w:rsidRPr="00565D57">
              <w:rPr>
                <w:rFonts w:ascii="Arial" w:hAnsi="Arial" w:cs="Arial"/>
                <w:b/>
                <w:bCs/>
                <w:color w:val="000000"/>
                <w:sz w:val="16"/>
                <w:szCs w:val="16"/>
              </w:rPr>
              <w:t>Closing balance attributable to the Australian</w:t>
            </w:r>
            <w:r w:rsidR="004D33FA">
              <w:rPr>
                <w:rFonts w:ascii="Arial" w:hAnsi="Arial" w:cs="Arial"/>
                <w:b/>
                <w:bCs/>
                <w:color w:val="000000"/>
                <w:sz w:val="16"/>
                <w:szCs w:val="16"/>
              </w:rPr>
              <w:t> </w:t>
            </w:r>
            <w:r w:rsidRPr="00565D57">
              <w:rPr>
                <w:rFonts w:ascii="Arial" w:hAnsi="Arial" w:cs="Arial"/>
                <w:b/>
                <w:bCs/>
                <w:color w:val="000000"/>
                <w:sz w:val="16"/>
                <w:szCs w:val="16"/>
              </w:rPr>
              <w:t>Government</w:t>
            </w:r>
          </w:p>
        </w:tc>
        <w:tc>
          <w:tcPr>
            <w:tcW w:w="1020" w:type="dxa"/>
            <w:tcBorders>
              <w:top w:val="nil"/>
              <w:left w:val="nil"/>
              <w:bottom w:val="single" w:sz="4" w:space="0" w:color="auto"/>
              <w:right w:val="nil"/>
            </w:tcBorders>
            <w:shd w:val="clear" w:color="auto" w:fill="auto"/>
            <w:noWrap/>
            <w:vAlign w:val="bottom"/>
            <w:hideMark/>
          </w:tcPr>
          <w:p w:rsidR="00565D57" w:rsidRPr="00565D57" w:rsidRDefault="00565D57" w:rsidP="00565D57">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3,399 </w:t>
            </w:r>
          </w:p>
        </w:tc>
        <w:tc>
          <w:tcPr>
            <w:tcW w:w="1020" w:type="dxa"/>
            <w:tcBorders>
              <w:top w:val="nil"/>
              <w:left w:val="nil"/>
              <w:bottom w:val="single" w:sz="4" w:space="0" w:color="auto"/>
              <w:right w:val="nil"/>
            </w:tcBorders>
            <w:shd w:val="clear" w:color="auto" w:fill="auto"/>
            <w:noWrap/>
            <w:vAlign w:val="bottom"/>
            <w:hideMark/>
          </w:tcPr>
          <w:p w:rsidR="00565D57" w:rsidRPr="00565D57" w:rsidRDefault="00565D57" w:rsidP="00565D57">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4,142 </w:t>
            </w:r>
          </w:p>
        </w:tc>
        <w:tc>
          <w:tcPr>
            <w:tcW w:w="1044" w:type="dxa"/>
            <w:tcBorders>
              <w:top w:val="nil"/>
              <w:left w:val="nil"/>
              <w:bottom w:val="single" w:sz="4" w:space="0" w:color="auto"/>
              <w:right w:val="nil"/>
            </w:tcBorders>
            <w:shd w:val="clear" w:color="auto" w:fill="auto"/>
            <w:noWrap/>
            <w:vAlign w:val="bottom"/>
            <w:hideMark/>
          </w:tcPr>
          <w:p w:rsidR="00565D57" w:rsidRPr="00565D57" w:rsidRDefault="00565D57" w:rsidP="00565D57">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7,717 </w:t>
            </w:r>
          </w:p>
        </w:tc>
        <w:tc>
          <w:tcPr>
            <w:tcW w:w="964" w:type="dxa"/>
            <w:tcBorders>
              <w:top w:val="nil"/>
              <w:left w:val="nil"/>
              <w:bottom w:val="single" w:sz="4" w:space="0" w:color="auto"/>
              <w:right w:val="nil"/>
            </w:tcBorders>
            <w:shd w:val="clear" w:color="auto" w:fill="auto"/>
            <w:noWrap/>
            <w:vAlign w:val="bottom"/>
            <w:hideMark/>
          </w:tcPr>
          <w:p w:rsidR="00565D57" w:rsidRPr="00565D57" w:rsidRDefault="00565D57" w:rsidP="00565D57">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15,258 </w:t>
            </w:r>
          </w:p>
        </w:tc>
      </w:tr>
    </w:tbl>
    <w:p w:rsidR="00565D57" w:rsidRDefault="00565D57" w:rsidP="00565D57">
      <w:pPr>
        <w:pStyle w:val="ChartandTableFootnote"/>
      </w:pPr>
      <w:r>
        <w:t>Prepared on Australian Accounting Standards basis.</w:t>
      </w:r>
    </w:p>
    <w:p w:rsidR="00730E5A" w:rsidRDefault="00565D57" w:rsidP="00730E5A">
      <w:pPr>
        <w:pStyle w:val="TableHeading"/>
      </w:pPr>
      <w:r>
        <w:br w:type="page"/>
      </w:r>
      <w:r w:rsidR="00730E5A">
        <w:lastRenderedPageBreak/>
        <w:t xml:space="preserve">Table 3.4: </w:t>
      </w:r>
      <w:r w:rsidR="00730E5A" w:rsidRPr="00D30CBA">
        <w:t xml:space="preserve">Budgeted </w:t>
      </w:r>
      <w:r w:rsidR="00730E5A">
        <w:t>d</w:t>
      </w:r>
      <w:r w:rsidR="00730E5A" w:rsidRPr="00D30CBA">
        <w:t>epar</w:t>
      </w:r>
      <w:r w:rsidR="00730E5A">
        <w:t xml:space="preserve">tmental statement of cash flows </w:t>
      </w:r>
      <w:r w:rsidR="00730E5A" w:rsidRPr="00D30CBA">
        <w:t>(</w:t>
      </w:r>
      <w:r w:rsidR="00730E5A">
        <w:t>for the period ended</w:t>
      </w:r>
      <w:r w:rsidR="00730E5A" w:rsidRPr="00D30CBA">
        <w:t xml:space="preserve"> 30 June)</w:t>
      </w:r>
    </w:p>
    <w:tbl>
      <w:tblPr>
        <w:tblW w:w="7710" w:type="dxa"/>
        <w:tblInd w:w="93" w:type="dxa"/>
        <w:tblCellMar>
          <w:left w:w="57" w:type="dxa"/>
          <w:right w:w="57" w:type="dxa"/>
        </w:tblCellMar>
        <w:tblLook w:val="04A0" w:firstRow="1" w:lastRow="0" w:firstColumn="1" w:lastColumn="0" w:noHBand="0" w:noVBand="1"/>
      </w:tblPr>
      <w:tblGrid>
        <w:gridCol w:w="3118"/>
        <w:gridCol w:w="964"/>
        <w:gridCol w:w="907"/>
        <w:gridCol w:w="907"/>
        <w:gridCol w:w="907"/>
        <w:gridCol w:w="907"/>
      </w:tblGrid>
      <w:tr w:rsidR="00730E5A" w:rsidRPr="00730E5A" w:rsidTr="00730E5A">
        <w:trPr>
          <w:trHeight w:val="794"/>
        </w:trPr>
        <w:tc>
          <w:tcPr>
            <w:tcW w:w="3118" w:type="dxa"/>
            <w:tcBorders>
              <w:top w:val="single" w:sz="4" w:space="0" w:color="auto"/>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730E5A" w:rsidRPr="0013171A" w:rsidRDefault="00730E5A" w:rsidP="00730E5A">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OPERATING ACTIVITIES</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Cash received</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Appropriations</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6,020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5,989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5,995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6,034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6,069 </w:t>
            </w:r>
          </w:p>
        </w:tc>
      </w:tr>
      <w:tr w:rsidR="00730E5A" w:rsidRPr="00730E5A" w:rsidTr="00730E5A">
        <w:trPr>
          <w:trHeight w:val="227"/>
        </w:trPr>
        <w:tc>
          <w:tcPr>
            <w:tcW w:w="3118" w:type="dxa"/>
            <w:tcBorders>
              <w:top w:val="nil"/>
              <w:left w:val="nil"/>
              <w:bottom w:val="nil"/>
              <w:right w:val="nil"/>
            </w:tcBorders>
            <w:shd w:val="clear" w:color="auto" w:fill="auto"/>
            <w:vAlign w:val="center"/>
            <w:hideMark/>
          </w:tcPr>
          <w:p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Sale of goods and rendering of services</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70,465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71,143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72,012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74,666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74,027 </w:t>
            </w: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Interest</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29,012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30,048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30,152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30,391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30,508 </w:t>
            </w: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Grants from Portfolio Agencies</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55,373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60,536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57,161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56,857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56,278 </w:t>
            </w: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Other</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293,109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285,615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295,625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308,406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314,250 </w:t>
            </w:r>
          </w:p>
        </w:tc>
      </w:tr>
      <w:tr w:rsidR="00730E5A" w:rsidRPr="00730E5A" w:rsidTr="00730E5A">
        <w:trPr>
          <w:trHeight w:val="227"/>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i/>
                <w:iCs/>
                <w:color w:val="000000"/>
                <w:sz w:val="16"/>
                <w:szCs w:val="16"/>
              </w:rPr>
            </w:pPr>
            <w:r w:rsidRPr="00730E5A">
              <w:rPr>
                <w:rFonts w:ascii="Arial" w:hAnsi="Arial" w:cs="Arial"/>
                <w:b/>
                <w:bCs/>
                <w:i/>
                <w:iCs/>
                <w:color w:val="000000"/>
                <w:sz w:val="16"/>
                <w:szCs w:val="16"/>
              </w:rPr>
              <w:t>Total cash received</w:t>
            </w:r>
          </w:p>
        </w:tc>
        <w:tc>
          <w:tcPr>
            <w:tcW w:w="964" w:type="dxa"/>
            <w:tcBorders>
              <w:top w:val="single" w:sz="4" w:space="0" w:color="000000"/>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453,979 </w:t>
            </w:r>
          </w:p>
        </w:tc>
        <w:tc>
          <w:tcPr>
            <w:tcW w:w="907" w:type="dxa"/>
            <w:tcBorders>
              <w:top w:val="single" w:sz="4" w:space="0" w:color="000000"/>
              <w:left w:val="nil"/>
              <w:bottom w:val="single" w:sz="4" w:space="0" w:color="000000"/>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453,331 </w:t>
            </w:r>
          </w:p>
        </w:tc>
        <w:tc>
          <w:tcPr>
            <w:tcW w:w="907" w:type="dxa"/>
            <w:tcBorders>
              <w:top w:val="single" w:sz="4" w:space="0" w:color="000000"/>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460,945 </w:t>
            </w:r>
          </w:p>
        </w:tc>
        <w:tc>
          <w:tcPr>
            <w:tcW w:w="907" w:type="dxa"/>
            <w:tcBorders>
              <w:top w:val="single" w:sz="4" w:space="0" w:color="000000"/>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476,354 </w:t>
            </w:r>
          </w:p>
        </w:tc>
        <w:tc>
          <w:tcPr>
            <w:tcW w:w="907" w:type="dxa"/>
            <w:tcBorders>
              <w:top w:val="single" w:sz="4" w:space="0" w:color="000000"/>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481,132 </w:t>
            </w: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Cash used</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Employees</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70,696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67,640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68,159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70,855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70,996 </w:t>
            </w: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42,191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40,974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39,269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39,202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39,002 </w:t>
            </w: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ind w:firstLineChars="100" w:firstLine="160"/>
              <w:rPr>
                <w:rFonts w:ascii="Arial" w:hAnsi="Arial" w:cs="Arial"/>
                <w:sz w:val="16"/>
                <w:szCs w:val="16"/>
              </w:rPr>
            </w:pPr>
            <w:r w:rsidRPr="00730E5A">
              <w:rPr>
                <w:rFonts w:ascii="Arial" w:hAnsi="Arial" w:cs="Arial"/>
                <w:sz w:val="16"/>
                <w:szCs w:val="16"/>
              </w:rPr>
              <w:t>Net GST paid</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22,657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24,251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25,396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26,558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27,478 </w:t>
            </w:r>
          </w:p>
        </w:tc>
      </w:tr>
      <w:tr w:rsidR="00730E5A" w:rsidRPr="00730E5A" w:rsidTr="00730E5A">
        <w:trPr>
          <w:trHeight w:val="225"/>
        </w:trPr>
        <w:tc>
          <w:tcPr>
            <w:tcW w:w="3118" w:type="dxa"/>
            <w:tcBorders>
              <w:top w:val="nil"/>
              <w:left w:val="nil"/>
              <w:bottom w:val="nil"/>
              <w:right w:val="nil"/>
            </w:tcBorders>
            <w:shd w:val="clear" w:color="auto" w:fill="auto"/>
            <w:vAlign w:val="center"/>
            <w:hideMark/>
          </w:tcPr>
          <w:p w:rsidR="00730E5A" w:rsidRPr="00730E5A" w:rsidRDefault="0010135F" w:rsidP="00730E5A">
            <w:pPr>
              <w:spacing w:after="0" w:line="240" w:lineRule="auto"/>
              <w:ind w:firstLineChars="100" w:firstLine="160"/>
              <w:rPr>
                <w:rFonts w:ascii="Arial" w:hAnsi="Arial" w:cs="Arial"/>
                <w:sz w:val="16"/>
                <w:szCs w:val="16"/>
              </w:rPr>
            </w:pPr>
            <w:r>
              <w:rPr>
                <w:rFonts w:ascii="Arial" w:hAnsi="Arial" w:cs="Arial"/>
                <w:sz w:val="16"/>
                <w:szCs w:val="16"/>
              </w:rPr>
              <w:t>Cash Used—</w:t>
            </w:r>
            <w:r w:rsidR="00730E5A" w:rsidRPr="00730E5A">
              <w:rPr>
                <w:rFonts w:ascii="Arial" w:hAnsi="Arial" w:cs="Arial"/>
                <w:sz w:val="16"/>
                <w:szCs w:val="16"/>
              </w:rPr>
              <w:t>Other</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282,187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279,325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281,877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290,011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293,633 </w:t>
            </w:r>
          </w:p>
        </w:tc>
      </w:tr>
      <w:tr w:rsidR="00730E5A" w:rsidRPr="00730E5A" w:rsidTr="00730E5A">
        <w:trPr>
          <w:trHeight w:val="227"/>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i/>
                <w:iCs/>
                <w:color w:val="000000"/>
                <w:sz w:val="16"/>
                <w:szCs w:val="16"/>
              </w:rPr>
            </w:pPr>
            <w:r w:rsidRPr="00730E5A">
              <w:rPr>
                <w:rFonts w:ascii="Arial" w:hAnsi="Arial" w:cs="Arial"/>
                <w:b/>
                <w:bCs/>
                <w:i/>
                <w:iCs/>
                <w:color w:val="000000"/>
                <w:sz w:val="16"/>
                <w:szCs w:val="16"/>
              </w:rPr>
              <w:t>Total cash used</w:t>
            </w:r>
          </w:p>
        </w:tc>
        <w:tc>
          <w:tcPr>
            <w:tcW w:w="964" w:type="dxa"/>
            <w:tcBorders>
              <w:top w:val="single" w:sz="4" w:space="0" w:color="000000"/>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417,731 </w:t>
            </w:r>
          </w:p>
        </w:tc>
        <w:tc>
          <w:tcPr>
            <w:tcW w:w="907" w:type="dxa"/>
            <w:tcBorders>
              <w:top w:val="single" w:sz="4" w:space="0" w:color="000000"/>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412,190 </w:t>
            </w:r>
          </w:p>
        </w:tc>
        <w:tc>
          <w:tcPr>
            <w:tcW w:w="907" w:type="dxa"/>
            <w:tcBorders>
              <w:top w:val="single" w:sz="4" w:space="0" w:color="000000"/>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414,701 </w:t>
            </w:r>
          </w:p>
        </w:tc>
        <w:tc>
          <w:tcPr>
            <w:tcW w:w="907" w:type="dxa"/>
            <w:tcBorders>
              <w:top w:val="single" w:sz="4" w:space="0" w:color="000000"/>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426,626 </w:t>
            </w:r>
          </w:p>
        </w:tc>
        <w:tc>
          <w:tcPr>
            <w:tcW w:w="907" w:type="dxa"/>
            <w:tcBorders>
              <w:top w:val="single" w:sz="4" w:space="0" w:color="000000"/>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431,109 </w:t>
            </w:r>
          </w:p>
        </w:tc>
      </w:tr>
      <w:tr w:rsidR="00730E5A" w:rsidRPr="00730E5A" w:rsidTr="00730E5A">
        <w:trPr>
          <w:trHeight w:val="397"/>
        </w:trPr>
        <w:tc>
          <w:tcPr>
            <w:tcW w:w="3118" w:type="dxa"/>
            <w:tcBorders>
              <w:top w:val="nil"/>
              <w:left w:val="nil"/>
              <w:bottom w:val="nil"/>
              <w:right w:val="nil"/>
            </w:tcBorders>
            <w:shd w:val="clear" w:color="auto" w:fill="auto"/>
            <w:vAlign w:val="center"/>
            <w:hideMark/>
          </w:tcPr>
          <w:p w:rsidR="00730E5A" w:rsidRPr="00730E5A" w:rsidRDefault="00730E5A" w:rsidP="00730E5A">
            <w:pPr>
              <w:spacing w:after="0" w:line="240" w:lineRule="auto"/>
              <w:ind w:left="191" w:hanging="191"/>
              <w:rPr>
                <w:rFonts w:ascii="Arial" w:hAnsi="Arial" w:cs="Arial"/>
                <w:b/>
                <w:bCs/>
                <w:color w:val="000000"/>
                <w:sz w:val="16"/>
                <w:szCs w:val="16"/>
              </w:rPr>
            </w:pPr>
            <w:r w:rsidRPr="00730E5A">
              <w:rPr>
                <w:rFonts w:ascii="Arial" w:hAnsi="Arial" w:cs="Arial"/>
                <w:b/>
                <w:bCs/>
                <w:color w:val="000000"/>
                <w:sz w:val="16"/>
                <w:szCs w:val="16"/>
              </w:rPr>
              <w:t>Net cash from/(used by) operating activities</w:t>
            </w:r>
          </w:p>
        </w:tc>
        <w:tc>
          <w:tcPr>
            <w:tcW w:w="964" w:type="dxa"/>
            <w:tcBorders>
              <w:top w:val="single" w:sz="4" w:space="0" w:color="auto"/>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36,248 </w:t>
            </w:r>
          </w:p>
        </w:tc>
        <w:tc>
          <w:tcPr>
            <w:tcW w:w="907" w:type="dxa"/>
            <w:tcBorders>
              <w:top w:val="single" w:sz="4" w:space="0" w:color="auto"/>
              <w:left w:val="nil"/>
              <w:bottom w:val="single" w:sz="4" w:space="0" w:color="auto"/>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41,141 </w:t>
            </w:r>
          </w:p>
        </w:tc>
        <w:tc>
          <w:tcPr>
            <w:tcW w:w="907" w:type="dxa"/>
            <w:tcBorders>
              <w:top w:val="single" w:sz="4" w:space="0" w:color="auto"/>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46,244 </w:t>
            </w:r>
          </w:p>
        </w:tc>
        <w:tc>
          <w:tcPr>
            <w:tcW w:w="907" w:type="dxa"/>
            <w:tcBorders>
              <w:top w:val="single" w:sz="4" w:space="0" w:color="auto"/>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49,728 </w:t>
            </w:r>
          </w:p>
        </w:tc>
        <w:tc>
          <w:tcPr>
            <w:tcW w:w="907" w:type="dxa"/>
            <w:tcBorders>
              <w:top w:val="single" w:sz="4" w:space="0" w:color="auto"/>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50,023 </w:t>
            </w: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INVESTING ACTIVITIES</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r>
      <w:tr w:rsidR="00730E5A" w:rsidRPr="00730E5A" w:rsidTr="00730E5A">
        <w:trPr>
          <w:trHeight w:val="225"/>
        </w:trPr>
        <w:tc>
          <w:tcPr>
            <w:tcW w:w="311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Cash used</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p>
        </w:tc>
      </w:tr>
      <w:tr w:rsidR="00730E5A" w:rsidRPr="00730E5A" w:rsidTr="00730E5A">
        <w:trPr>
          <w:trHeight w:val="397"/>
        </w:trPr>
        <w:tc>
          <w:tcPr>
            <w:tcW w:w="3118" w:type="dxa"/>
            <w:tcBorders>
              <w:top w:val="nil"/>
              <w:left w:val="nil"/>
              <w:bottom w:val="nil"/>
              <w:right w:val="nil"/>
            </w:tcBorders>
            <w:shd w:val="clear" w:color="auto" w:fill="auto"/>
            <w:vAlign w:val="center"/>
            <w:hideMark/>
          </w:tcPr>
          <w:p w:rsidR="00730E5A" w:rsidRPr="00730E5A" w:rsidRDefault="00730E5A" w:rsidP="00730E5A">
            <w:pPr>
              <w:spacing w:after="0" w:line="240" w:lineRule="auto"/>
              <w:ind w:leftChars="80" w:left="333" w:hangingChars="108" w:hanging="173"/>
              <w:rPr>
                <w:rFonts w:ascii="Arial" w:hAnsi="Arial" w:cs="Arial"/>
                <w:color w:val="000000"/>
                <w:sz w:val="16"/>
                <w:szCs w:val="16"/>
              </w:rPr>
            </w:pPr>
            <w:r w:rsidRPr="00730E5A">
              <w:rPr>
                <w:rFonts w:ascii="Arial" w:hAnsi="Arial" w:cs="Arial"/>
                <w:color w:val="000000"/>
                <w:sz w:val="16"/>
                <w:szCs w:val="16"/>
              </w:rPr>
              <w:t>Purchase of property, plant and equipment and intangibles</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8,800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7,087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4,900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5,590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7,730 </w:t>
            </w:r>
          </w:p>
        </w:tc>
      </w:tr>
      <w:tr w:rsidR="00730E5A" w:rsidRPr="00730E5A" w:rsidTr="00730E5A">
        <w:trPr>
          <w:trHeight w:val="227"/>
        </w:trPr>
        <w:tc>
          <w:tcPr>
            <w:tcW w:w="3118" w:type="dxa"/>
            <w:tcBorders>
              <w:top w:val="nil"/>
              <w:left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i/>
                <w:iCs/>
                <w:color w:val="000000"/>
                <w:sz w:val="16"/>
                <w:szCs w:val="16"/>
              </w:rPr>
            </w:pPr>
            <w:r w:rsidRPr="00730E5A">
              <w:rPr>
                <w:rFonts w:ascii="Arial" w:hAnsi="Arial" w:cs="Arial"/>
                <w:b/>
                <w:bCs/>
                <w:i/>
                <w:iCs/>
                <w:color w:val="000000"/>
                <w:sz w:val="16"/>
                <w:szCs w:val="16"/>
              </w:rPr>
              <w:t>Total cash used</w:t>
            </w:r>
          </w:p>
        </w:tc>
        <w:tc>
          <w:tcPr>
            <w:tcW w:w="964" w:type="dxa"/>
            <w:tcBorders>
              <w:top w:val="single" w:sz="4" w:space="0" w:color="000000"/>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8,800 </w:t>
            </w:r>
          </w:p>
        </w:tc>
        <w:tc>
          <w:tcPr>
            <w:tcW w:w="907" w:type="dxa"/>
            <w:tcBorders>
              <w:top w:val="single" w:sz="4" w:space="0" w:color="000000"/>
              <w:left w:val="nil"/>
              <w:bottom w:val="single" w:sz="4" w:space="0" w:color="000000"/>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7,087 </w:t>
            </w:r>
          </w:p>
        </w:tc>
        <w:tc>
          <w:tcPr>
            <w:tcW w:w="907" w:type="dxa"/>
            <w:tcBorders>
              <w:top w:val="single" w:sz="4" w:space="0" w:color="000000"/>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4,900 </w:t>
            </w:r>
          </w:p>
        </w:tc>
        <w:tc>
          <w:tcPr>
            <w:tcW w:w="907" w:type="dxa"/>
            <w:tcBorders>
              <w:top w:val="single" w:sz="4" w:space="0" w:color="000000"/>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5,590 </w:t>
            </w:r>
          </w:p>
        </w:tc>
        <w:tc>
          <w:tcPr>
            <w:tcW w:w="907" w:type="dxa"/>
            <w:tcBorders>
              <w:top w:val="single" w:sz="4" w:space="0" w:color="000000"/>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7,730 </w:t>
            </w:r>
          </w:p>
        </w:tc>
      </w:tr>
      <w:tr w:rsidR="00730E5A" w:rsidRPr="00730E5A" w:rsidTr="00730E5A">
        <w:trPr>
          <w:trHeight w:val="397"/>
        </w:trPr>
        <w:tc>
          <w:tcPr>
            <w:tcW w:w="3118" w:type="dxa"/>
            <w:tcBorders>
              <w:top w:val="nil"/>
              <w:left w:val="nil"/>
              <w:right w:val="nil"/>
            </w:tcBorders>
            <w:shd w:val="clear" w:color="auto" w:fill="auto"/>
            <w:vAlign w:val="center"/>
            <w:hideMark/>
          </w:tcPr>
          <w:p w:rsidR="00730E5A" w:rsidRPr="00730E5A" w:rsidRDefault="00730E5A" w:rsidP="00730E5A">
            <w:pPr>
              <w:spacing w:after="0" w:line="240" w:lineRule="auto"/>
              <w:ind w:left="191" w:hanging="191"/>
              <w:rPr>
                <w:rFonts w:ascii="Arial" w:hAnsi="Arial" w:cs="Arial"/>
                <w:b/>
                <w:bCs/>
                <w:color w:val="000000"/>
                <w:sz w:val="16"/>
                <w:szCs w:val="16"/>
              </w:rPr>
            </w:pPr>
            <w:r w:rsidRPr="00730E5A">
              <w:rPr>
                <w:rFonts w:ascii="Arial" w:hAnsi="Arial" w:cs="Arial"/>
                <w:b/>
                <w:bCs/>
                <w:color w:val="000000"/>
                <w:sz w:val="16"/>
                <w:szCs w:val="16"/>
              </w:rPr>
              <w:t>Net cash from/(used by) investing activities</w:t>
            </w:r>
          </w:p>
        </w:tc>
        <w:tc>
          <w:tcPr>
            <w:tcW w:w="964" w:type="dxa"/>
            <w:tcBorders>
              <w:top w:val="nil"/>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(8,800)</w:t>
            </w:r>
          </w:p>
        </w:tc>
        <w:tc>
          <w:tcPr>
            <w:tcW w:w="907" w:type="dxa"/>
            <w:tcBorders>
              <w:top w:val="nil"/>
              <w:left w:val="nil"/>
              <w:bottom w:val="single" w:sz="4" w:space="0" w:color="auto"/>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(7,087)</w:t>
            </w:r>
          </w:p>
        </w:tc>
        <w:tc>
          <w:tcPr>
            <w:tcW w:w="907" w:type="dxa"/>
            <w:tcBorders>
              <w:top w:val="nil"/>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(4,900)</w:t>
            </w:r>
          </w:p>
        </w:tc>
        <w:tc>
          <w:tcPr>
            <w:tcW w:w="907" w:type="dxa"/>
            <w:tcBorders>
              <w:top w:val="nil"/>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(5,590)</w:t>
            </w:r>
          </w:p>
        </w:tc>
        <w:tc>
          <w:tcPr>
            <w:tcW w:w="907" w:type="dxa"/>
            <w:tcBorders>
              <w:top w:val="nil"/>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(7,730)</w:t>
            </w:r>
          </w:p>
        </w:tc>
      </w:tr>
      <w:tr w:rsidR="00730E5A" w:rsidRPr="00730E5A" w:rsidTr="00730E5A">
        <w:trPr>
          <w:trHeight w:val="227"/>
        </w:trPr>
        <w:tc>
          <w:tcPr>
            <w:tcW w:w="3118" w:type="dxa"/>
            <w:tcBorders>
              <w:left w:val="nil"/>
              <w:bottom w:val="nil"/>
              <w:right w:val="nil"/>
            </w:tcBorders>
            <w:shd w:val="clear" w:color="auto" w:fill="auto"/>
            <w:vAlign w:val="center"/>
            <w:hideMark/>
          </w:tcPr>
          <w:p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Net increase/(decrease) in cash held</w:t>
            </w:r>
          </w:p>
        </w:tc>
        <w:tc>
          <w:tcPr>
            <w:tcW w:w="964" w:type="dxa"/>
            <w:tcBorders>
              <w:top w:val="nil"/>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27,448 </w:t>
            </w:r>
          </w:p>
        </w:tc>
        <w:tc>
          <w:tcPr>
            <w:tcW w:w="907" w:type="dxa"/>
            <w:tcBorders>
              <w:top w:val="nil"/>
              <w:left w:val="nil"/>
              <w:bottom w:val="single" w:sz="4" w:space="0" w:color="000000"/>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34,054 </w:t>
            </w:r>
          </w:p>
        </w:tc>
        <w:tc>
          <w:tcPr>
            <w:tcW w:w="907" w:type="dxa"/>
            <w:tcBorders>
              <w:top w:val="nil"/>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41,344 </w:t>
            </w:r>
          </w:p>
        </w:tc>
        <w:tc>
          <w:tcPr>
            <w:tcW w:w="907" w:type="dxa"/>
            <w:tcBorders>
              <w:top w:val="nil"/>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44,138 </w:t>
            </w:r>
          </w:p>
        </w:tc>
        <w:tc>
          <w:tcPr>
            <w:tcW w:w="907" w:type="dxa"/>
            <w:tcBorders>
              <w:top w:val="nil"/>
              <w:left w:val="nil"/>
              <w:bottom w:val="single" w:sz="4" w:space="0" w:color="000000"/>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42,293 </w:t>
            </w:r>
          </w:p>
        </w:tc>
      </w:tr>
      <w:tr w:rsidR="00730E5A" w:rsidRPr="00730E5A" w:rsidTr="00730E5A">
        <w:trPr>
          <w:trHeight w:val="397"/>
        </w:trPr>
        <w:tc>
          <w:tcPr>
            <w:tcW w:w="3118" w:type="dxa"/>
            <w:tcBorders>
              <w:top w:val="nil"/>
              <w:left w:val="nil"/>
              <w:bottom w:val="nil"/>
              <w:right w:val="nil"/>
            </w:tcBorders>
            <w:shd w:val="clear" w:color="auto" w:fill="auto"/>
            <w:vAlign w:val="center"/>
            <w:hideMark/>
          </w:tcPr>
          <w:p w:rsidR="00730E5A" w:rsidRPr="00730E5A" w:rsidRDefault="00730E5A" w:rsidP="00730E5A">
            <w:pPr>
              <w:spacing w:after="0" w:line="240" w:lineRule="auto"/>
              <w:ind w:leftChars="80" w:left="333" w:hangingChars="108" w:hanging="173"/>
              <w:rPr>
                <w:rFonts w:ascii="Arial" w:hAnsi="Arial" w:cs="Arial"/>
                <w:color w:val="000000"/>
                <w:sz w:val="16"/>
                <w:szCs w:val="16"/>
              </w:rPr>
            </w:pPr>
            <w:r w:rsidRPr="00730E5A">
              <w:rPr>
                <w:rFonts w:ascii="Arial" w:hAnsi="Arial" w:cs="Arial"/>
                <w:color w:val="000000"/>
                <w:sz w:val="16"/>
                <w:szCs w:val="16"/>
              </w:rPr>
              <w:t>Cash and cash equivalents at the beginning of the reporting period</w:t>
            </w:r>
          </w:p>
        </w:tc>
        <w:tc>
          <w:tcPr>
            <w:tcW w:w="964"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979,779 </w:t>
            </w:r>
          </w:p>
        </w:tc>
        <w:tc>
          <w:tcPr>
            <w:tcW w:w="907"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1,007,227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1,041,281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1,082,625 </w:t>
            </w:r>
          </w:p>
        </w:tc>
        <w:tc>
          <w:tcPr>
            <w:tcW w:w="90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1,126,763 </w:t>
            </w:r>
          </w:p>
        </w:tc>
      </w:tr>
      <w:tr w:rsidR="00730E5A" w:rsidRPr="00730E5A" w:rsidTr="00730E5A">
        <w:trPr>
          <w:trHeight w:val="397"/>
        </w:trPr>
        <w:tc>
          <w:tcPr>
            <w:tcW w:w="3118" w:type="dxa"/>
            <w:tcBorders>
              <w:top w:val="nil"/>
              <w:left w:val="nil"/>
              <w:bottom w:val="single" w:sz="4" w:space="0" w:color="auto"/>
              <w:right w:val="nil"/>
            </w:tcBorders>
            <w:shd w:val="clear" w:color="auto" w:fill="auto"/>
            <w:vAlign w:val="bottom"/>
            <w:hideMark/>
          </w:tcPr>
          <w:p w:rsidR="00730E5A" w:rsidRPr="00730E5A" w:rsidRDefault="00730E5A" w:rsidP="00730E5A">
            <w:pPr>
              <w:spacing w:after="0" w:line="240" w:lineRule="auto"/>
              <w:ind w:left="191" w:hanging="191"/>
              <w:rPr>
                <w:rFonts w:ascii="Arial" w:hAnsi="Arial" w:cs="Arial"/>
                <w:b/>
                <w:bCs/>
                <w:color w:val="000000"/>
                <w:sz w:val="16"/>
                <w:szCs w:val="16"/>
              </w:rPr>
            </w:pPr>
            <w:r w:rsidRPr="00730E5A">
              <w:rPr>
                <w:rFonts w:ascii="Arial" w:hAnsi="Arial" w:cs="Arial"/>
                <w:b/>
                <w:bCs/>
                <w:color w:val="000000"/>
                <w:sz w:val="16"/>
                <w:szCs w:val="16"/>
              </w:rPr>
              <w:t>Cash and cash equivalents at the end of the reporting period</w:t>
            </w:r>
          </w:p>
        </w:tc>
        <w:tc>
          <w:tcPr>
            <w:tcW w:w="964" w:type="dxa"/>
            <w:tcBorders>
              <w:top w:val="single" w:sz="4" w:space="0" w:color="000000"/>
              <w:left w:val="nil"/>
              <w:bottom w:val="single" w:sz="4" w:space="0" w:color="auto"/>
              <w:right w:val="nil"/>
            </w:tcBorders>
            <w:shd w:val="clear" w:color="auto" w:fill="auto"/>
            <w:noWrap/>
            <w:vAlign w:val="bottom"/>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1,007,227 </w:t>
            </w:r>
          </w:p>
        </w:tc>
        <w:tc>
          <w:tcPr>
            <w:tcW w:w="907" w:type="dxa"/>
            <w:tcBorders>
              <w:top w:val="single" w:sz="4" w:space="0" w:color="000000"/>
              <w:left w:val="nil"/>
              <w:bottom w:val="single" w:sz="4" w:space="0" w:color="auto"/>
              <w:right w:val="nil"/>
            </w:tcBorders>
            <w:shd w:val="clear" w:color="000000" w:fill="E6E6E6"/>
            <w:noWrap/>
            <w:vAlign w:val="bottom"/>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1,041,281 </w:t>
            </w:r>
          </w:p>
        </w:tc>
        <w:tc>
          <w:tcPr>
            <w:tcW w:w="907" w:type="dxa"/>
            <w:tcBorders>
              <w:top w:val="single" w:sz="4" w:space="0" w:color="000000"/>
              <w:left w:val="nil"/>
              <w:bottom w:val="single" w:sz="4" w:space="0" w:color="auto"/>
              <w:right w:val="nil"/>
            </w:tcBorders>
            <w:shd w:val="clear" w:color="auto" w:fill="auto"/>
            <w:noWrap/>
            <w:vAlign w:val="bottom"/>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1,082,625 </w:t>
            </w:r>
          </w:p>
        </w:tc>
        <w:tc>
          <w:tcPr>
            <w:tcW w:w="907" w:type="dxa"/>
            <w:tcBorders>
              <w:top w:val="single" w:sz="4" w:space="0" w:color="000000"/>
              <w:left w:val="nil"/>
              <w:bottom w:val="single" w:sz="4" w:space="0" w:color="auto"/>
              <w:right w:val="nil"/>
            </w:tcBorders>
            <w:shd w:val="clear" w:color="auto" w:fill="auto"/>
            <w:noWrap/>
            <w:vAlign w:val="bottom"/>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1,126,763 </w:t>
            </w:r>
          </w:p>
        </w:tc>
        <w:tc>
          <w:tcPr>
            <w:tcW w:w="907" w:type="dxa"/>
            <w:tcBorders>
              <w:top w:val="single" w:sz="4" w:space="0" w:color="000000"/>
              <w:left w:val="nil"/>
              <w:bottom w:val="single" w:sz="4" w:space="0" w:color="auto"/>
              <w:right w:val="nil"/>
            </w:tcBorders>
            <w:shd w:val="clear" w:color="auto" w:fill="auto"/>
            <w:noWrap/>
            <w:vAlign w:val="bottom"/>
            <w:hideMark/>
          </w:tcPr>
          <w:p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1,169,056 </w:t>
            </w:r>
          </w:p>
        </w:tc>
      </w:tr>
    </w:tbl>
    <w:p w:rsidR="00730E5A" w:rsidRPr="00730E5A" w:rsidRDefault="00730E5A" w:rsidP="00730E5A">
      <w:pPr>
        <w:pStyle w:val="ChartandTableFootnote"/>
        <w:rPr>
          <w:lang w:val="en-AU"/>
        </w:rPr>
      </w:pPr>
      <w:r w:rsidRPr="00132F9E">
        <w:t>Prepared on Australian Accounting Standards basis.</w:t>
      </w:r>
    </w:p>
    <w:p w:rsidR="00D73896" w:rsidRDefault="00D73896" w:rsidP="00D73896"/>
    <w:p w:rsidR="00730E5A" w:rsidRPr="0041404E" w:rsidRDefault="00730E5A" w:rsidP="00730E5A">
      <w:pPr>
        <w:pStyle w:val="TableHeading"/>
      </w:pPr>
      <w:r w:rsidRPr="00D30CBA">
        <w:t>Table</w:t>
      </w:r>
      <w:r>
        <w:t xml:space="preserve"> 3.5</w:t>
      </w:r>
      <w:r w:rsidRPr="00D30CBA">
        <w:t xml:space="preserve">: </w:t>
      </w:r>
      <w:r>
        <w:t>Departmental capital budget statement (for the period ended 30 June)</w:t>
      </w:r>
    </w:p>
    <w:tbl>
      <w:tblPr>
        <w:tblW w:w="7685" w:type="dxa"/>
        <w:tblInd w:w="93" w:type="dxa"/>
        <w:tblCellMar>
          <w:left w:w="57" w:type="dxa"/>
          <w:right w:w="57" w:type="dxa"/>
        </w:tblCellMar>
        <w:tblLook w:val="04A0" w:firstRow="1" w:lastRow="0" w:firstColumn="1" w:lastColumn="0" w:noHBand="0" w:noVBand="1"/>
      </w:tblPr>
      <w:tblGrid>
        <w:gridCol w:w="3317"/>
        <w:gridCol w:w="928"/>
        <w:gridCol w:w="860"/>
        <w:gridCol w:w="860"/>
        <w:gridCol w:w="860"/>
        <w:gridCol w:w="860"/>
      </w:tblGrid>
      <w:tr w:rsidR="00730E5A" w:rsidRPr="00730E5A" w:rsidTr="00730E5A">
        <w:trPr>
          <w:trHeight w:val="794"/>
        </w:trPr>
        <w:tc>
          <w:tcPr>
            <w:tcW w:w="3317" w:type="dxa"/>
            <w:tcBorders>
              <w:top w:val="single" w:sz="4" w:space="0" w:color="auto"/>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730E5A" w:rsidRPr="0013171A" w:rsidRDefault="00730E5A" w:rsidP="00730E5A">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center"/>
            <w:hideMark/>
          </w:tcPr>
          <w:p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730E5A" w:rsidRPr="00730E5A" w:rsidTr="00730E5A">
        <w:trPr>
          <w:trHeight w:val="227"/>
        </w:trPr>
        <w:tc>
          <w:tcPr>
            <w:tcW w:w="3317" w:type="dxa"/>
            <w:tcBorders>
              <w:top w:val="nil"/>
              <w:left w:val="nil"/>
              <w:bottom w:val="nil"/>
              <w:right w:val="nil"/>
            </w:tcBorders>
            <w:shd w:val="clear" w:color="auto" w:fill="auto"/>
            <w:vAlign w:val="center"/>
            <w:hideMark/>
          </w:tcPr>
          <w:p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PURCHASE OF NON-FINANCIAL ASSETS</w:t>
            </w:r>
          </w:p>
        </w:tc>
        <w:tc>
          <w:tcPr>
            <w:tcW w:w="928" w:type="dxa"/>
            <w:tcBorders>
              <w:top w:val="nil"/>
              <w:left w:val="nil"/>
              <w:bottom w:val="nil"/>
              <w:right w:val="nil"/>
            </w:tcBorders>
            <w:shd w:val="clear" w:color="auto" w:fill="auto"/>
            <w:vAlign w:val="center"/>
            <w:hideMark/>
          </w:tcPr>
          <w:p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w:t>
            </w:r>
          </w:p>
        </w:tc>
        <w:tc>
          <w:tcPr>
            <w:tcW w:w="860" w:type="dxa"/>
            <w:tcBorders>
              <w:top w:val="nil"/>
              <w:left w:val="nil"/>
              <w:bottom w:val="nil"/>
              <w:right w:val="nil"/>
            </w:tcBorders>
            <w:shd w:val="clear" w:color="auto" w:fill="auto"/>
            <w:vAlign w:val="center"/>
            <w:hideMark/>
          </w:tcPr>
          <w:p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vAlign w:val="center"/>
            <w:hideMark/>
          </w:tcPr>
          <w:p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vAlign w:val="center"/>
            <w:hideMark/>
          </w:tcPr>
          <w:p w:rsidR="00730E5A" w:rsidRPr="00730E5A" w:rsidRDefault="00730E5A" w:rsidP="00730E5A">
            <w:pPr>
              <w:spacing w:after="0" w:line="240" w:lineRule="auto"/>
              <w:jc w:val="right"/>
              <w:rPr>
                <w:rFonts w:ascii="Arial" w:hAnsi="Arial" w:cs="Arial"/>
                <w:sz w:val="16"/>
                <w:szCs w:val="16"/>
              </w:rPr>
            </w:pPr>
          </w:p>
        </w:tc>
      </w:tr>
      <w:tr w:rsidR="00730E5A" w:rsidRPr="00730E5A" w:rsidTr="00730E5A">
        <w:trPr>
          <w:trHeight w:val="397"/>
        </w:trPr>
        <w:tc>
          <w:tcPr>
            <w:tcW w:w="3317" w:type="dxa"/>
            <w:tcBorders>
              <w:top w:val="nil"/>
              <w:left w:val="nil"/>
              <w:bottom w:val="nil"/>
              <w:right w:val="nil"/>
            </w:tcBorders>
            <w:shd w:val="clear" w:color="auto" w:fill="auto"/>
            <w:vAlign w:val="center"/>
            <w:hideMark/>
          </w:tcPr>
          <w:p w:rsidR="00730E5A" w:rsidRPr="00730E5A" w:rsidRDefault="00730E5A" w:rsidP="00730E5A">
            <w:pPr>
              <w:spacing w:after="0" w:line="240" w:lineRule="auto"/>
              <w:ind w:leftChars="80" w:left="333" w:hangingChars="108" w:hanging="173"/>
              <w:rPr>
                <w:rFonts w:ascii="Arial" w:hAnsi="Arial" w:cs="Arial"/>
                <w:sz w:val="16"/>
                <w:szCs w:val="16"/>
              </w:rPr>
            </w:pPr>
            <w:r w:rsidRPr="00730E5A">
              <w:rPr>
                <w:rFonts w:ascii="Arial" w:hAnsi="Arial" w:cs="Arial"/>
                <w:sz w:val="16"/>
                <w:szCs w:val="16"/>
              </w:rPr>
              <w:t>Funded internally from departmental resources</w:t>
            </w:r>
          </w:p>
        </w:tc>
        <w:tc>
          <w:tcPr>
            <w:tcW w:w="92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8,800 </w:t>
            </w:r>
          </w:p>
        </w:tc>
        <w:tc>
          <w:tcPr>
            <w:tcW w:w="860"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7,087 </w:t>
            </w: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4,900 </w:t>
            </w: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5,590 </w:t>
            </w: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7,730 </w:t>
            </w:r>
          </w:p>
        </w:tc>
      </w:tr>
      <w:tr w:rsidR="00730E5A" w:rsidRPr="00730E5A" w:rsidTr="00730E5A">
        <w:trPr>
          <w:trHeight w:val="225"/>
        </w:trPr>
        <w:tc>
          <w:tcPr>
            <w:tcW w:w="331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TOTAL</w:t>
            </w:r>
          </w:p>
        </w:tc>
        <w:tc>
          <w:tcPr>
            <w:tcW w:w="928" w:type="dxa"/>
            <w:tcBorders>
              <w:top w:val="single" w:sz="4" w:space="0" w:color="auto"/>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8,800 </w:t>
            </w:r>
          </w:p>
        </w:tc>
        <w:tc>
          <w:tcPr>
            <w:tcW w:w="860" w:type="dxa"/>
            <w:tcBorders>
              <w:top w:val="single" w:sz="4" w:space="0" w:color="auto"/>
              <w:left w:val="nil"/>
              <w:bottom w:val="single" w:sz="4" w:space="0" w:color="auto"/>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7,087 </w:t>
            </w:r>
          </w:p>
        </w:tc>
        <w:tc>
          <w:tcPr>
            <w:tcW w:w="860" w:type="dxa"/>
            <w:tcBorders>
              <w:top w:val="single" w:sz="4" w:space="0" w:color="auto"/>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4,900 </w:t>
            </w:r>
          </w:p>
        </w:tc>
        <w:tc>
          <w:tcPr>
            <w:tcW w:w="860" w:type="dxa"/>
            <w:tcBorders>
              <w:top w:val="single" w:sz="4" w:space="0" w:color="auto"/>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5,590 </w:t>
            </w:r>
          </w:p>
        </w:tc>
        <w:tc>
          <w:tcPr>
            <w:tcW w:w="860" w:type="dxa"/>
            <w:tcBorders>
              <w:top w:val="single" w:sz="4" w:space="0" w:color="auto"/>
              <w:left w:val="nil"/>
              <w:bottom w:val="single" w:sz="4" w:space="0" w:color="auto"/>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7,730 </w:t>
            </w:r>
          </w:p>
        </w:tc>
      </w:tr>
      <w:tr w:rsidR="00730E5A" w:rsidRPr="00730E5A" w:rsidTr="00D73896">
        <w:trPr>
          <w:trHeight w:val="624"/>
        </w:trPr>
        <w:tc>
          <w:tcPr>
            <w:tcW w:w="3317" w:type="dxa"/>
            <w:tcBorders>
              <w:top w:val="nil"/>
              <w:left w:val="nil"/>
              <w:bottom w:val="nil"/>
              <w:right w:val="nil"/>
            </w:tcBorders>
            <w:shd w:val="clear" w:color="auto" w:fill="auto"/>
            <w:vAlign w:val="center"/>
            <w:hideMark/>
          </w:tcPr>
          <w:p w:rsidR="00730E5A" w:rsidRPr="00730E5A" w:rsidRDefault="00730E5A" w:rsidP="00D73896">
            <w:pPr>
              <w:spacing w:after="0" w:line="240" w:lineRule="auto"/>
              <w:ind w:left="191" w:hanging="191"/>
              <w:rPr>
                <w:rFonts w:ascii="Arial" w:hAnsi="Arial" w:cs="Arial"/>
                <w:b/>
                <w:bCs/>
                <w:sz w:val="16"/>
                <w:szCs w:val="16"/>
              </w:rPr>
            </w:pPr>
            <w:r w:rsidRPr="00730E5A">
              <w:rPr>
                <w:rFonts w:ascii="Arial" w:hAnsi="Arial" w:cs="Arial"/>
                <w:b/>
                <w:bCs/>
                <w:sz w:val="16"/>
                <w:szCs w:val="16"/>
              </w:rPr>
              <w:t>RECONCILIATION OF CASH USED TO ACQUIRE ASSETS TO ASSET MOVEMENT TABLE</w:t>
            </w:r>
          </w:p>
        </w:tc>
        <w:tc>
          <w:tcPr>
            <w:tcW w:w="92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p>
        </w:tc>
      </w:tr>
      <w:tr w:rsidR="00730E5A" w:rsidRPr="00730E5A" w:rsidTr="00730E5A">
        <w:trPr>
          <w:trHeight w:val="225"/>
        </w:trPr>
        <w:tc>
          <w:tcPr>
            <w:tcW w:w="3317"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ind w:firstLineChars="100" w:firstLine="160"/>
              <w:rPr>
                <w:rFonts w:ascii="Arial" w:hAnsi="Arial" w:cs="Arial"/>
                <w:sz w:val="16"/>
                <w:szCs w:val="16"/>
              </w:rPr>
            </w:pPr>
            <w:r w:rsidRPr="00730E5A">
              <w:rPr>
                <w:rFonts w:ascii="Arial" w:hAnsi="Arial" w:cs="Arial"/>
                <w:sz w:val="16"/>
                <w:szCs w:val="16"/>
              </w:rPr>
              <w:t>Total purchases</w:t>
            </w:r>
          </w:p>
        </w:tc>
        <w:tc>
          <w:tcPr>
            <w:tcW w:w="928"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8,800 </w:t>
            </w:r>
          </w:p>
        </w:tc>
        <w:tc>
          <w:tcPr>
            <w:tcW w:w="860" w:type="dxa"/>
            <w:tcBorders>
              <w:top w:val="nil"/>
              <w:left w:val="nil"/>
              <w:bottom w:val="nil"/>
              <w:right w:val="nil"/>
            </w:tcBorders>
            <w:shd w:val="clear" w:color="000000" w:fill="E6E6E6"/>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7,087 </w:t>
            </w: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4,900 </w:t>
            </w: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5,590 </w:t>
            </w:r>
          </w:p>
        </w:tc>
        <w:tc>
          <w:tcPr>
            <w:tcW w:w="860" w:type="dxa"/>
            <w:tcBorders>
              <w:top w:val="nil"/>
              <w:left w:val="nil"/>
              <w:bottom w:val="nil"/>
              <w:right w:val="nil"/>
            </w:tcBorders>
            <w:shd w:val="clear" w:color="auto" w:fill="auto"/>
            <w:noWrap/>
            <w:vAlign w:val="center"/>
            <w:hideMark/>
          </w:tcPr>
          <w:p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7,730 </w:t>
            </w:r>
          </w:p>
        </w:tc>
      </w:tr>
      <w:tr w:rsidR="00730E5A" w:rsidRPr="00730E5A" w:rsidTr="00730E5A">
        <w:trPr>
          <w:trHeight w:val="225"/>
        </w:trPr>
        <w:tc>
          <w:tcPr>
            <w:tcW w:w="3317" w:type="dxa"/>
            <w:tcBorders>
              <w:top w:val="nil"/>
              <w:left w:val="nil"/>
              <w:bottom w:val="single" w:sz="4" w:space="0" w:color="auto"/>
              <w:right w:val="nil"/>
            </w:tcBorders>
            <w:shd w:val="clear" w:color="auto" w:fill="auto"/>
            <w:vAlign w:val="bottom"/>
            <w:hideMark/>
          </w:tcPr>
          <w:p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Total cash used to acquire assets</w:t>
            </w:r>
          </w:p>
        </w:tc>
        <w:tc>
          <w:tcPr>
            <w:tcW w:w="928" w:type="dxa"/>
            <w:tcBorders>
              <w:top w:val="single" w:sz="4" w:space="0" w:color="auto"/>
              <w:left w:val="nil"/>
              <w:bottom w:val="single" w:sz="4" w:space="0" w:color="auto"/>
              <w:right w:val="nil"/>
            </w:tcBorders>
            <w:shd w:val="clear" w:color="auto" w:fill="auto"/>
            <w:noWrap/>
            <w:vAlign w:val="bottom"/>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8,800 </w:t>
            </w:r>
          </w:p>
        </w:tc>
        <w:tc>
          <w:tcPr>
            <w:tcW w:w="860" w:type="dxa"/>
            <w:tcBorders>
              <w:top w:val="single" w:sz="4" w:space="0" w:color="auto"/>
              <w:left w:val="nil"/>
              <w:bottom w:val="single" w:sz="4" w:space="0" w:color="auto"/>
              <w:right w:val="nil"/>
            </w:tcBorders>
            <w:shd w:val="clear" w:color="000000" w:fill="E6E6E6"/>
            <w:noWrap/>
            <w:vAlign w:val="bottom"/>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7,087 </w:t>
            </w:r>
          </w:p>
        </w:tc>
        <w:tc>
          <w:tcPr>
            <w:tcW w:w="860" w:type="dxa"/>
            <w:tcBorders>
              <w:top w:val="single" w:sz="4" w:space="0" w:color="auto"/>
              <w:left w:val="nil"/>
              <w:bottom w:val="single" w:sz="4" w:space="0" w:color="auto"/>
              <w:right w:val="nil"/>
            </w:tcBorders>
            <w:shd w:val="clear" w:color="auto" w:fill="auto"/>
            <w:noWrap/>
            <w:vAlign w:val="bottom"/>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4,900 </w:t>
            </w:r>
          </w:p>
        </w:tc>
        <w:tc>
          <w:tcPr>
            <w:tcW w:w="860" w:type="dxa"/>
            <w:tcBorders>
              <w:top w:val="single" w:sz="4" w:space="0" w:color="auto"/>
              <w:left w:val="nil"/>
              <w:bottom w:val="single" w:sz="4" w:space="0" w:color="auto"/>
              <w:right w:val="nil"/>
            </w:tcBorders>
            <w:shd w:val="clear" w:color="auto" w:fill="auto"/>
            <w:noWrap/>
            <w:vAlign w:val="bottom"/>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5,590 </w:t>
            </w:r>
          </w:p>
        </w:tc>
        <w:tc>
          <w:tcPr>
            <w:tcW w:w="860" w:type="dxa"/>
            <w:tcBorders>
              <w:top w:val="single" w:sz="4" w:space="0" w:color="auto"/>
              <w:left w:val="nil"/>
              <w:bottom w:val="single" w:sz="4" w:space="0" w:color="auto"/>
              <w:right w:val="nil"/>
            </w:tcBorders>
            <w:shd w:val="clear" w:color="auto" w:fill="auto"/>
            <w:noWrap/>
            <w:vAlign w:val="bottom"/>
            <w:hideMark/>
          </w:tcPr>
          <w:p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7,730 </w:t>
            </w:r>
          </w:p>
        </w:tc>
      </w:tr>
    </w:tbl>
    <w:p w:rsidR="00D73896" w:rsidRPr="00D73896" w:rsidRDefault="00D73896" w:rsidP="00D73896">
      <w:pPr>
        <w:pStyle w:val="ChartandTableFootnote"/>
        <w:rPr>
          <w:lang w:val="en-AU"/>
        </w:rPr>
      </w:pPr>
      <w:r w:rsidRPr="00132F9E">
        <w:t>Prepared on Australian Accounting Standards basis.</w:t>
      </w:r>
    </w:p>
    <w:p w:rsidR="00D73896" w:rsidRDefault="00D73896" w:rsidP="00D73896">
      <w:pPr>
        <w:pStyle w:val="TableHeading"/>
      </w:pPr>
      <w:r>
        <w:rPr>
          <w:rFonts w:cs="Arial"/>
          <w:szCs w:val="16"/>
        </w:rPr>
        <w:br w:type="page"/>
      </w:r>
      <w:r w:rsidRPr="00D30CBA">
        <w:lastRenderedPageBreak/>
        <w:t>Table</w:t>
      </w:r>
      <w:r>
        <w:t xml:space="preserve"> 3.6</w:t>
      </w:r>
      <w:r w:rsidRPr="00D30CBA">
        <w:t xml:space="preserve">: </w:t>
      </w:r>
      <w:r>
        <w:t>Statement of asset movements (Budget year 2018</w:t>
      </w:r>
      <w:r>
        <w:rPr>
          <w:lang w:val="en-AU"/>
        </w:rPr>
        <w:t>–</w:t>
      </w:r>
      <w:r>
        <w:t>19)</w:t>
      </w:r>
    </w:p>
    <w:tbl>
      <w:tblPr>
        <w:tblW w:w="7739" w:type="dxa"/>
        <w:tblInd w:w="93" w:type="dxa"/>
        <w:tblLook w:val="04A0" w:firstRow="1" w:lastRow="0" w:firstColumn="1" w:lastColumn="0" w:noHBand="0" w:noVBand="1"/>
      </w:tblPr>
      <w:tblGrid>
        <w:gridCol w:w="3912"/>
        <w:gridCol w:w="1389"/>
        <w:gridCol w:w="1304"/>
        <w:gridCol w:w="1134"/>
      </w:tblGrid>
      <w:tr w:rsidR="00D73896" w:rsidRPr="00D73896" w:rsidTr="00D73896">
        <w:trPr>
          <w:trHeight w:val="794"/>
        </w:trPr>
        <w:tc>
          <w:tcPr>
            <w:tcW w:w="3912" w:type="dxa"/>
            <w:tcBorders>
              <w:top w:val="single" w:sz="4" w:space="0" w:color="auto"/>
              <w:left w:val="nil"/>
              <w:bottom w:val="nil"/>
              <w:right w:val="nil"/>
            </w:tcBorders>
            <w:shd w:val="clear" w:color="auto" w:fill="auto"/>
            <w:noWrap/>
            <w:vAlign w:val="center"/>
            <w:hideMark/>
          </w:tcPr>
          <w:p w:rsidR="00D73896" w:rsidRPr="00D73896" w:rsidRDefault="00D73896" w:rsidP="00D73896">
            <w:pPr>
              <w:spacing w:after="0" w:line="240" w:lineRule="auto"/>
              <w:rPr>
                <w:rFonts w:ascii="Arial" w:hAnsi="Arial" w:cs="Arial"/>
                <w:sz w:val="16"/>
                <w:szCs w:val="16"/>
              </w:rPr>
            </w:pPr>
            <w:r w:rsidRPr="00D73896">
              <w:rPr>
                <w:rFonts w:ascii="Arial" w:hAnsi="Arial" w:cs="Arial"/>
                <w:sz w:val="16"/>
                <w:szCs w:val="16"/>
              </w:rPr>
              <w:t> </w:t>
            </w:r>
          </w:p>
        </w:tc>
        <w:tc>
          <w:tcPr>
            <w:tcW w:w="1389" w:type="dxa"/>
            <w:tcBorders>
              <w:top w:val="single" w:sz="4" w:space="0" w:color="auto"/>
              <w:left w:val="nil"/>
              <w:bottom w:val="single" w:sz="4" w:space="0" w:color="auto"/>
              <w:right w:val="nil"/>
            </w:tcBorders>
            <w:shd w:val="clear" w:color="auto" w:fill="auto"/>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Other</w:t>
            </w:r>
            <w:r>
              <w:rPr>
                <w:rFonts w:ascii="Arial" w:hAnsi="Arial" w:cs="Arial"/>
                <w:sz w:val="16"/>
                <w:szCs w:val="16"/>
              </w:rPr>
              <w:t xml:space="preserve"> </w:t>
            </w:r>
            <w:r w:rsidRPr="00D73896">
              <w:rPr>
                <w:rFonts w:ascii="Arial" w:hAnsi="Arial" w:cs="Arial"/>
                <w:sz w:val="16"/>
                <w:szCs w:val="16"/>
              </w:rPr>
              <w:t>property,</w:t>
            </w:r>
            <w:r>
              <w:rPr>
                <w:rFonts w:ascii="Arial" w:hAnsi="Arial" w:cs="Arial"/>
                <w:sz w:val="16"/>
                <w:szCs w:val="16"/>
              </w:rPr>
              <w:t xml:space="preserve"> </w:t>
            </w:r>
            <w:r w:rsidRPr="00D73896">
              <w:rPr>
                <w:rFonts w:ascii="Arial" w:hAnsi="Arial" w:cs="Arial"/>
                <w:sz w:val="16"/>
                <w:szCs w:val="16"/>
              </w:rPr>
              <w:t>plant and</w:t>
            </w:r>
            <w:r>
              <w:rPr>
                <w:rFonts w:ascii="Arial" w:hAnsi="Arial" w:cs="Arial"/>
                <w:sz w:val="16"/>
                <w:szCs w:val="16"/>
              </w:rPr>
              <w:t xml:space="preserve"> </w:t>
            </w:r>
            <w:r w:rsidRPr="00D73896">
              <w:rPr>
                <w:rFonts w:ascii="Arial" w:hAnsi="Arial" w:cs="Arial"/>
                <w:sz w:val="16"/>
                <w:szCs w:val="16"/>
              </w:rPr>
              <w:t>equipment</w:t>
            </w:r>
            <w:r w:rsidRPr="00D73896">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Computer</w:t>
            </w:r>
            <w:r w:rsidRPr="00D73896">
              <w:rPr>
                <w:rFonts w:ascii="Arial" w:hAnsi="Arial" w:cs="Arial"/>
                <w:sz w:val="16"/>
                <w:szCs w:val="16"/>
              </w:rPr>
              <w:br/>
              <w:t>software and</w:t>
            </w:r>
            <w:r w:rsidRPr="00D73896">
              <w:rPr>
                <w:rFonts w:ascii="Arial" w:hAnsi="Arial" w:cs="Arial"/>
                <w:sz w:val="16"/>
                <w:szCs w:val="16"/>
              </w:rPr>
              <w:br/>
              <w:t>intangibles</w:t>
            </w:r>
            <w:r w:rsidRPr="00D73896">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Total</w:t>
            </w:r>
            <w:r w:rsidRPr="00D73896">
              <w:rPr>
                <w:rFonts w:ascii="Arial" w:hAnsi="Arial" w:cs="Arial"/>
                <w:sz w:val="16"/>
                <w:szCs w:val="16"/>
              </w:rPr>
              <w:br/>
            </w:r>
            <w:r w:rsidRPr="00D73896">
              <w:rPr>
                <w:rFonts w:ascii="Arial" w:hAnsi="Arial" w:cs="Arial"/>
                <w:sz w:val="16"/>
                <w:szCs w:val="16"/>
              </w:rPr>
              <w:br/>
            </w:r>
            <w:r w:rsidRPr="00D73896">
              <w:rPr>
                <w:rFonts w:ascii="Arial" w:hAnsi="Arial" w:cs="Arial"/>
                <w:sz w:val="16"/>
                <w:szCs w:val="16"/>
              </w:rPr>
              <w:br/>
              <w:t>$'000</w:t>
            </w:r>
          </w:p>
        </w:tc>
      </w:tr>
      <w:tr w:rsidR="00D73896" w:rsidRPr="00D73896" w:rsidTr="00D73896">
        <w:trPr>
          <w:trHeight w:val="225"/>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As at 1 July 2018</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r>
      <w:tr w:rsidR="00D73896" w:rsidRPr="00D73896" w:rsidTr="00D73896">
        <w:trPr>
          <w:trHeight w:val="225"/>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ind w:firstLineChars="100" w:firstLine="160"/>
              <w:rPr>
                <w:rFonts w:ascii="Arial" w:hAnsi="Arial" w:cs="Arial"/>
                <w:sz w:val="16"/>
                <w:szCs w:val="16"/>
              </w:rPr>
            </w:pPr>
            <w:r w:rsidRPr="00D73896">
              <w:rPr>
                <w:rFonts w:ascii="Arial" w:hAnsi="Arial" w:cs="Arial"/>
                <w:sz w:val="16"/>
                <w:szCs w:val="16"/>
              </w:rPr>
              <w:t xml:space="preserve">Gross book value </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35,600 </w:t>
            </w: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25,548 </w:t>
            </w: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61,148 </w:t>
            </w:r>
          </w:p>
        </w:tc>
      </w:tr>
      <w:tr w:rsidR="00D73896" w:rsidRPr="00D73896" w:rsidTr="00D73896">
        <w:trPr>
          <w:trHeight w:val="397"/>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ind w:leftChars="80" w:left="333" w:hangingChars="108" w:hanging="173"/>
              <w:rPr>
                <w:rFonts w:ascii="Arial" w:hAnsi="Arial" w:cs="Arial"/>
                <w:sz w:val="16"/>
                <w:szCs w:val="16"/>
              </w:rPr>
            </w:pPr>
            <w:r w:rsidRPr="00D73896">
              <w:rPr>
                <w:rFonts w:ascii="Arial" w:hAnsi="Arial" w:cs="Arial"/>
                <w:sz w:val="16"/>
                <w:szCs w:val="16"/>
              </w:rPr>
              <w:t>Accumulated depreciation/amortisation and impairment</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(21,982)</w:t>
            </w: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(17,605)</w:t>
            </w: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(39,587)</w:t>
            </w:r>
          </w:p>
        </w:tc>
      </w:tr>
      <w:tr w:rsidR="00D73896" w:rsidRPr="00D73896" w:rsidTr="00D73896">
        <w:trPr>
          <w:trHeight w:val="225"/>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Opening net book balance</w:t>
            </w:r>
          </w:p>
        </w:tc>
        <w:tc>
          <w:tcPr>
            <w:tcW w:w="1389"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13,618 </w:t>
            </w:r>
          </w:p>
        </w:tc>
        <w:tc>
          <w:tcPr>
            <w:tcW w:w="1304"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7,943 </w:t>
            </w:r>
          </w:p>
        </w:tc>
        <w:tc>
          <w:tcPr>
            <w:tcW w:w="1134"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21,561 </w:t>
            </w:r>
          </w:p>
        </w:tc>
      </w:tr>
      <w:tr w:rsidR="00D73896" w:rsidRPr="00D73896" w:rsidTr="00D73896">
        <w:trPr>
          <w:trHeight w:val="225"/>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Capital asset additions</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r>
      <w:tr w:rsidR="00D73896" w:rsidRPr="00D73896" w:rsidTr="00D73896">
        <w:trPr>
          <w:trHeight w:val="397"/>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ind w:leftChars="81" w:left="332" w:hangingChars="106" w:hanging="170"/>
              <w:rPr>
                <w:rFonts w:ascii="Arial" w:hAnsi="Arial" w:cs="Arial"/>
                <w:b/>
                <w:bCs/>
                <w:sz w:val="16"/>
                <w:szCs w:val="16"/>
              </w:rPr>
            </w:pPr>
            <w:r w:rsidRPr="00D73896">
              <w:rPr>
                <w:rFonts w:ascii="Arial" w:hAnsi="Arial" w:cs="Arial"/>
                <w:b/>
                <w:bCs/>
                <w:sz w:val="16"/>
                <w:szCs w:val="16"/>
              </w:rPr>
              <w:t>Estimated expenditure on new or replacement assets</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r>
      <w:tr w:rsidR="00D73896" w:rsidRPr="00D73896" w:rsidTr="00D73896">
        <w:trPr>
          <w:trHeight w:val="225"/>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ind w:firstLineChars="100" w:firstLine="160"/>
              <w:rPr>
                <w:rFonts w:ascii="Arial" w:hAnsi="Arial" w:cs="Arial"/>
                <w:sz w:val="16"/>
                <w:szCs w:val="16"/>
              </w:rPr>
            </w:pPr>
            <w:r>
              <w:rPr>
                <w:rFonts w:ascii="Arial" w:hAnsi="Arial" w:cs="Arial"/>
                <w:sz w:val="16"/>
                <w:szCs w:val="16"/>
              </w:rPr>
              <w:t>By purchase—</w:t>
            </w:r>
            <w:r w:rsidRPr="00D73896">
              <w:rPr>
                <w:rFonts w:ascii="Arial" w:hAnsi="Arial" w:cs="Arial"/>
                <w:sz w:val="16"/>
                <w:szCs w:val="16"/>
              </w:rPr>
              <w:t>other</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1,730 </w:t>
            </w: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5,357 </w:t>
            </w: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7,087 </w:t>
            </w:r>
          </w:p>
        </w:tc>
      </w:tr>
      <w:tr w:rsidR="00D73896" w:rsidRPr="00D73896" w:rsidTr="00D73896">
        <w:trPr>
          <w:trHeight w:val="225"/>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ind w:firstLineChars="100" w:firstLine="160"/>
              <w:rPr>
                <w:rFonts w:ascii="Arial" w:hAnsi="Arial" w:cs="Arial"/>
                <w:b/>
                <w:bCs/>
                <w:sz w:val="16"/>
                <w:szCs w:val="16"/>
              </w:rPr>
            </w:pPr>
            <w:r w:rsidRPr="00D73896">
              <w:rPr>
                <w:rFonts w:ascii="Arial" w:hAnsi="Arial" w:cs="Arial"/>
                <w:b/>
                <w:bCs/>
                <w:sz w:val="16"/>
                <w:szCs w:val="16"/>
              </w:rPr>
              <w:t>Total additions</w:t>
            </w:r>
          </w:p>
        </w:tc>
        <w:tc>
          <w:tcPr>
            <w:tcW w:w="1389" w:type="dxa"/>
            <w:tcBorders>
              <w:top w:val="single" w:sz="4" w:space="0" w:color="auto"/>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1,730 </w:t>
            </w:r>
          </w:p>
        </w:tc>
        <w:tc>
          <w:tcPr>
            <w:tcW w:w="1304" w:type="dxa"/>
            <w:tcBorders>
              <w:top w:val="single" w:sz="4" w:space="0" w:color="auto"/>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5,357 </w:t>
            </w:r>
          </w:p>
        </w:tc>
        <w:tc>
          <w:tcPr>
            <w:tcW w:w="1134" w:type="dxa"/>
            <w:tcBorders>
              <w:top w:val="single" w:sz="4" w:space="0" w:color="auto"/>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7,087 </w:t>
            </w:r>
          </w:p>
        </w:tc>
      </w:tr>
      <w:tr w:rsidR="00D73896" w:rsidRPr="00D73896" w:rsidTr="00D73896">
        <w:trPr>
          <w:trHeight w:val="225"/>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ind w:firstLineChars="100" w:firstLine="160"/>
              <w:rPr>
                <w:rFonts w:ascii="Arial" w:hAnsi="Arial" w:cs="Arial"/>
                <w:b/>
                <w:bCs/>
                <w:sz w:val="16"/>
                <w:szCs w:val="16"/>
              </w:rPr>
            </w:pPr>
            <w:r w:rsidRPr="00D73896">
              <w:rPr>
                <w:rFonts w:ascii="Arial" w:hAnsi="Arial" w:cs="Arial"/>
                <w:b/>
                <w:bCs/>
                <w:sz w:val="16"/>
                <w:szCs w:val="16"/>
              </w:rPr>
              <w:t>Other movements</w:t>
            </w:r>
          </w:p>
        </w:tc>
        <w:tc>
          <w:tcPr>
            <w:tcW w:w="1389" w:type="dxa"/>
            <w:tcBorders>
              <w:top w:val="single" w:sz="4" w:space="0" w:color="auto"/>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w:t>
            </w:r>
          </w:p>
        </w:tc>
      </w:tr>
      <w:tr w:rsidR="00D73896" w:rsidRPr="00D73896" w:rsidTr="00D73896">
        <w:trPr>
          <w:trHeight w:val="225"/>
        </w:trPr>
        <w:tc>
          <w:tcPr>
            <w:tcW w:w="3912" w:type="dxa"/>
            <w:tcBorders>
              <w:top w:val="nil"/>
              <w:left w:val="nil"/>
              <w:right w:val="nil"/>
            </w:tcBorders>
            <w:shd w:val="clear" w:color="auto" w:fill="auto"/>
            <w:vAlign w:val="bottom"/>
            <w:hideMark/>
          </w:tcPr>
          <w:p w:rsidR="00D73896" w:rsidRPr="00D73896" w:rsidRDefault="00D73896" w:rsidP="00D73896">
            <w:pPr>
              <w:spacing w:after="0" w:line="240" w:lineRule="auto"/>
              <w:ind w:firstLineChars="100" w:firstLine="160"/>
              <w:rPr>
                <w:rFonts w:ascii="Arial" w:hAnsi="Arial" w:cs="Arial"/>
                <w:sz w:val="16"/>
                <w:szCs w:val="16"/>
              </w:rPr>
            </w:pPr>
            <w:r w:rsidRPr="00D73896">
              <w:rPr>
                <w:rFonts w:ascii="Arial" w:hAnsi="Arial" w:cs="Arial"/>
                <w:sz w:val="16"/>
                <w:szCs w:val="16"/>
              </w:rPr>
              <w:t>Depreciation/amortisation expense</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(4,056)</w:t>
            </w: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(985)</w:t>
            </w: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(5,041)</w:t>
            </w:r>
          </w:p>
        </w:tc>
      </w:tr>
      <w:tr w:rsidR="00D73896" w:rsidRPr="00D73896" w:rsidTr="00D73896">
        <w:trPr>
          <w:trHeight w:val="225"/>
        </w:trPr>
        <w:tc>
          <w:tcPr>
            <w:tcW w:w="3912" w:type="dxa"/>
            <w:tcBorders>
              <w:top w:val="nil"/>
              <w:left w:val="nil"/>
              <w:right w:val="nil"/>
            </w:tcBorders>
            <w:shd w:val="clear" w:color="auto" w:fill="auto"/>
            <w:vAlign w:val="bottom"/>
            <w:hideMark/>
          </w:tcPr>
          <w:p w:rsidR="00D73896" w:rsidRPr="00D73896" w:rsidRDefault="00D73896" w:rsidP="00D73896">
            <w:pPr>
              <w:spacing w:after="0" w:line="240" w:lineRule="auto"/>
              <w:ind w:firstLineChars="100" w:firstLine="160"/>
              <w:rPr>
                <w:rFonts w:ascii="Arial" w:hAnsi="Arial" w:cs="Arial"/>
                <w:b/>
                <w:bCs/>
                <w:sz w:val="16"/>
                <w:szCs w:val="16"/>
              </w:rPr>
            </w:pPr>
            <w:r w:rsidRPr="00D73896">
              <w:rPr>
                <w:rFonts w:ascii="Arial" w:hAnsi="Arial" w:cs="Arial"/>
                <w:b/>
                <w:bCs/>
                <w:sz w:val="16"/>
                <w:szCs w:val="16"/>
              </w:rPr>
              <w:t>Total other movements</w:t>
            </w:r>
          </w:p>
        </w:tc>
        <w:tc>
          <w:tcPr>
            <w:tcW w:w="1389"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(4,056)</w:t>
            </w:r>
          </w:p>
        </w:tc>
        <w:tc>
          <w:tcPr>
            <w:tcW w:w="1304"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(985)</w:t>
            </w:r>
          </w:p>
        </w:tc>
        <w:tc>
          <w:tcPr>
            <w:tcW w:w="1134"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(5,041)</w:t>
            </w:r>
          </w:p>
        </w:tc>
      </w:tr>
      <w:tr w:rsidR="00D73896" w:rsidRPr="00D73896" w:rsidTr="00D73896">
        <w:trPr>
          <w:trHeight w:val="225"/>
        </w:trPr>
        <w:tc>
          <w:tcPr>
            <w:tcW w:w="3912" w:type="dxa"/>
            <w:tcBorders>
              <w:left w:val="nil"/>
              <w:bottom w:val="nil"/>
              <w:right w:val="nil"/>
            </w:tcBorders>
            <w:shd w:val="clear" w:color="auto" w:fill="auto"/>
            <w:vAlign w:val="bottom"/>
            <w:hideMark/>
          </w:tcPr>
          <w:p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As at 30 June 2019</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p>
        </w:tc>
      </w:tr>
      <w:tr w:rsidR="00D73896" w:rsidRPr="00D73896" w:rsidTr="00D73896">
        <w:trPr>
          <w:trHeight w:val="225"/>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ind w:firstLineChars="100" w:firstLine="160"/>
              <w:rPr>
                <w:rFonts w:ascii="Arial" w:hAnsi="Arial" w:cs="Arial"/>
                <w:sz w:val="16"/>
                <w:szCs w:val="16"/>
              </w:rPr>
            </w:pPr>
            <w:r w:rsidRPr="00D73896">
              <w:rPr>
                <w:rFonts w:ascii="Arial" w:hAnsi="Arial" w:cs="Arial"/>
                <w:sz w:val="16"/>
                <w:szCs w:val="16"/>
              </w:rPr>
              <w:t>Gross book value</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37,330 </w:t>
            </w: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30,905 </w:t>
            </w: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68,235 </w:t>
            </w:r>
          </w:p>
        </w:tc>
      </w:tr>
      <w:tr w:rsidR="00D73896" w:rsidRPr="00D73896" w:rsidTr="00D73896">
        <w:trPr>
          <w:trHeight w:val="397"/>
        </w:trPr>
        <w:tc>
          <w:tcPr>
            <w:tcW w:w="3912" w:type="dxa"/>
            <w:tcBorders>
              <w:top w:val="nil"/>
              <w:left w:val="nil"/>
              <w:bottom w:val="nil"/>
              <w:right w:val="nil"/>
            </w:tcBorders>
            <w:shd w:val="clear" w:color="auto" w:fill="auto"/>
            <w:vAlign w:val="bottom"/>
            <w:hideMark/>
          </w:tcPr>
          <w:p w:rsidR="00D73896" w:rsidRPr="00D73896" w:rsidRDefault="00D73896" w:rsidP="00D73896">
            <w:pPr>
              <w:spacing w:after="0" w:line="240" w:lineRule="auto"/>
              <w:ind w:leftChars="80" w:left="333" w:hangingChars="108" w:hanging="173"/>
              <w:rPr>
                <w:rFonts w:ascii="Arial" w:hAnsi="Arial" w:cs="Arial"/>
                <w:sz w:val="16"/>
                <w:szCs w:val="16"/>
              </w:rPr>
            </w:pPr>
            <w:r w:rsidRPr="00D73896">
              <w:rPr>
                <w:rFonts w:ascii="Arial" w:hAnsi="Arial" w:cs="Arial"/>
                <w:sz w:val="16"/>
                <w:szCs w:val="16"/>
              </w:rPr>
              <w:t>Accumulated depreciation/ amortisation and impairment</w:t>
            </w:r>
          </w:p>
        </w:tc>
        <w:tc>
          <w:tcPr>
            <w:tcW w:w="1389"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(26,038)</w:t>
            </w:r>
          </w:p>
        </w:tc>
        <w:tc>
          <w:tcPr>
            <w:tcW w:w="130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(18,590)</w:t>
            </w:r>
          </w:p>
        </w:tc>
        <w:tc>
          <w:tcPr>
            <w:tcW w:w="1134" w:type="dxa"/>
            <w:tcBorders>
              <w:top w:val="nil"/>
              <w:left w:val="nil"/>
              <w:bottom w:val="nil"/>
              <w:right w:val="nil"/>
            </w:tcBorders>
            <w:shd w:val="clear" w:color="auto" w:fill="auto"/>
            <w:noWrap/>
            <w:vAlign w:val="center"/>
            <w:hideMark/>
          </w:tcPr>
          <w:p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(44,628)</w:t>
            </w:r>
          </w:p>
        </w:tc>
      </w:tr>
      <w:tr w:rsidR="00D73896" w:rsidRPr="00D73896" w:rsidTr="00D73896">
        <w:trPr>
          <w:trHeight w:val="225"/>
        </w:trPr>
        <w:tc>
          <w:tcPr>
            <w:tcW w:w="3912" w:type="dxa"/>
            <w:tcBorders>
              <w:top w:val="nil"/>
              <w:left w:val="nil"/>
              <w:bottom w:val="single" w:sz="4" w:space="0" w:color="auto"/>
              <w:right w:val="nil"/>
            </w:tcBorders>
            <w:shd w:val="clear" w:color="auto" w:fill="auto"/>
            <w:noWrap/>
            <w:vAlign w:val="bottom"/>
            <w:hideMark/>
          </w:tcPr>
          <w:p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Closing net book balance</w:t>
            </w:r>
          </w:p>
        </w:tc>
        <w:tc>
          <w:tcPr>
            <w:tcW w:w="1389" w:type="dxa"/>
            <w:tcBorders>
              <w:top w:val="single" w:sz="4" w:space="0" w:color="auto"/>
              <w:left w:val="nil"/>
              <w:bottom w:val="single" w:sz="4" w:space="0" w:color="auto"/>
              <w:right w:val="nil"/>
            </w:tcBorders>
            <w:shd w:val="clear" w:color="auto" w:fill="auto"/>
            <w:noWrap/>
            <w:vAlign w:val="bottom"/>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11,292 </w:t>
            </w:r>
          </w:p>
        </w:tc>
        <w:tc>
          <w:tcPr>
            <w:tcW w:w="1304" w:type="dxa"/>
            <w:tcBorders>
              <w:top w:val="single" w:sz="4" w:space="0" w:color="auto"/>
              <w:left w:val="nil"/>
              <w:bottom w:val="single" w:sz="4" w:space="0" w:color="auto"/>
              <w:right w:val="nil"/>
            </w:tcBorders>
            <w:shd w:val="clear" w:color="auto" w:fill="auto"/>
            <w:noWrap/>
            <w:vAlign w:val="bottom"/>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12,315 </w:t>
            </w:r>
          </w:p>
        </w:tc>
        <w:tc>
          <w:tcPr>
            <w:tcW w:w="1134" w:type="dxa"/>
            <w:tcBorders>
              <w:top w:val="single" w:sz="4" w:space="0" w:color="auto"/>
              <w:left w:val="nil"/>
              <w:bottom w:val="single" w:sz="4" w:space="0" w:color="auto"/>
              <w:right w:val="nil"/>
            </w:tcBorders>
            <w:shd w:val="clear" w:color="auto" w:fill="auto"/>
            <w:noWrap/>
            <w:vAlign w:val="bottom"/>
            <w:hideMark/>
          </w:tcPr>
          <w:p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23,607 </w:t>
            </w:r>
          </w:p>
        </w:tc>
      </w:tr>
    </w:tbl>
    <w:p w:rsidR="009A7821" w:rsidRDefault="00D73896" w:rsidP="00EB77C1">
      <w:pPr>
        <w:pStyle w:val="ChartandTableFootnote"/>
        <w:spacing w:after="600"/>
      </w:pPr>
      <w:r w:rsidRPr="00132F9E">
        <w:t>Prepared on Australian Accounting Standards basis.</w:t>
      </w:r>
    </w:p>
    <w:p w:rsidR="00D73896" w:rsidRDefault="00D73896" w:rsidP="00D73896">
      <w:pPr>
        <w:pStyle w:val="TableHeading"/>
      </w:pPr>
      <w:r w:rsidRPr="00D30CBA">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739" w:type="dxa"/>
        <w:tblInd w:w="93" w:type="dxa"/>
        <w:tblLook w:val="04A0" w:firstRow="1" w:lastRow="0" w:firstColumn="1" w:lastColumn="0" w:noHBand="0" w:noVBand="1"/>
      </w:tblPr>
      <w:tblGrid>
        <w:gridCol w:w="3288"/>
        <w:gridCol w:w="935"/>
        <w:gridCol w:w="879"/>
        <w:gridCol w:w="879"/>
        <w:gridCol w:w="879"/>
        <w:gridCol w:w="879"/>
      </w:tblGrid>
      <w:tr w:rsidR="00D73896" w:rsidRPr="00D73896" w:rsidTr="009A7821">
        <w:trPr>
          <w:trHeight w:val="794"/>
        </w:trPr>
        <w:tc>
          <w:tcPr>
            <w:tcW w:w="3288" w:type="dxa"/>
            <w:tcBorders>
              <w:top w:val="single" w:sz="4" w:space="0" w:color="auto"/>
              <w:left w:val="nil"/>
              <w:bottom w:val="nil"/>
              <w:right w:val="nil"/>
            </w:tcBorders>
            <w:shd w:val="clear" w:color="auto" w:fill="auto"/>
            <w:noWrap/>
            <w:vAlign w:val="center"/>
            <w:hideMark/>
          </w:tcPr>
          <w:p w:rsidR="00D73896" w:rsidRPr="00D73896" w:rsidRDefault="00D73896" w:rsidP="009A7821">
            <w:pPr>
              <w:spacing w:after="0" w:line="240" w:lineRule="auto"/>
              <w:rPr>
                <w:rFonts w:ascii="Arial" w:hAnsi="Arial" w:cs="Arial"/>
                <w:b/>
                <w:bCs/>
                <w:sz w:val="16"/>
                <w:szCs w:val="16"/>
              </w:rPr>
            </w:pPr>
            <w:r w:rsidRPr="00D73896">
              <w:rPr>
                <w:rFonts w:ascii="Arial" w:hAnsi="Arial" w:cs="Arial"/>
                <w:b/>
                <w:bCs/>
                <w:sz w:val="16"/>
                <w:szCs w:val="16"/>
              </w:rPr>
              <w:t> </w:t>
            </w:r>
          </w:p>
        </w:tc>
        <w:tc>
          <w:tcPr>
            <w:tcW w:w="935" w:type="dxa"/>
            <w:tcBorders>
              <w:top w:val="single" w:sz="4" w:space="0" w:color="auto"/>
              <w:left w:val="nil"/>
              <w:bottom w:val="single" w:sz="4" w:space="0" w:color="auto"/>
              <w:right w:val="nil"/>
            </w:tcBorders>
            <w:shd w:val="clear" w:color="auto" w:fill="auto"/>
            <w:vAlign w:val="center"/>
            <w:hideMark/>
          </w:tcPr>
          <w:p w:rsidR="00D73896" w:rsidRPr="0013171A" w:rsidRDefault="00D73896" w:rsidP="009A7821">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D73896" w:rsidRPr="0013171A" w:rsidRDefault="00D73896" w:rsidP="009A7821">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D73896" w:rsidRPr="0013171A" w:rsidRDefault="00D73896" w:rsidP="009A7821">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D73896" w:rsidRPr="0013171A" w:rsidRDefault="00D73896" w:rsidP="009A7821">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D73896" w:rsidRPr="0013171A" w:rsidRDefault="00D73896" w:rsidP="009A7821">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D73896" w:rsidRPr="00D73896" w:rsidTr="009A7821">
        <w:trPr>
          <w:trHeight w:val="225"/>
        </w:trPr>
        <w:tc>
          <w:tcPr>
            <w:tcW w:w="3288"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EXPENSES</w:t>
            </w:r>
          </w:p>
        </w:tc>
        <w:tc>
          <w:tcPr>
            <w:tcW w:w="935"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r>
      <w:tr w:rsidR="00D73896" w:rsidRPr="00D73896" w:rsidTr="009A7821">
        <w:trPr>
          <w:trHeight w:val="225"/>
        </w:trPr>
        <w:tc>
          <w:tcPr>
            <w:tcW w:w="3288"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ind w:firstLineChars="100" w:firstLine="160"/>
              <w:rPr>
                <w:rFonts w:ascii="Arial" w:hAnsi="Arial" w:cs="Arial"/>
                <w:color w:val="000000"/>
                <w:sz w:val="16"/>
                <w:szCs w:val="16"/>
              </w:rPr>
            </w:pPr>
            <w:r w:rsidRPr="00D73896">
              <w:rPr>
                <w:rFonts w:ascii="Arial" w:hAnsi="Arial" w:cs="Arial"/>
                <w:color w:val="000000"/>
                <w:sz w:val="16"/>
                <w:szCs w:val="16"/>
              </w:rPr>
              <w:t>Suppliers</w:t>
            </w:r>
          </w:p>
        </w:tc>
        <w:tc>
          <w:tcPr>
            <w:tcW w:w="935"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r>
      <w:tr w:rsidR="00D73896" w:rsidRPr="00D73896" w:rsidTr="009A7821">
        <w:trPr>
          <w:trHeight w:val="397"/>
        </w:trPr>
        <w:tc>
          <w:tcPr>
            <w:tcW w:w="3288" w:type="dxa"/>
            <w:tcBorders>
              <w:top w:val="nil"/>
              <w:left w:val="nil"/>
              <w:bottom w:val="nil"/>
              <w:right w:val="nil"/>
            </w:tcBorders>
            <w:shd w:val="clear" w:color="auto" w:fill="auto"/>
            <w:vAlign w:val="center"/>
            <w:hideMark/>
          </w:tcPr>
          <w:p w:rsidR="00D73896" w:rsidRPr="00D73896" w:rsidRDefault="00D73896" w:rsidP="009A7821">
            <w:pPr>
              <w:spacing w:after="0" w:line="240" w:lineRule="auto"/>
              <w:ind w:left="191" w:hanging="191"/>
              <w:rPr>
                <w:rFonts w:ascii="Arial" w:hAnsi="Arial" w:cs="Arial"/>
                <w:b/>
                <w:bCs/>
                <w:color w:val="000000"/>
                <w:sz w:val="16"/>
                <w:szCs w:val="16"/>
              </w:rPr>
            </w:pPr>
            <w:r w:rsidRPr="00D73896">
              <w:rPr>
                <w:rFonts w:ascii="Arial" w:hAnsi="Arial" w:cs="Arial"/>
                <w:b/>
                <w:bCs/>
                <w:color w:val="000000"/>
                <w:sz w:val="16"/>
                <w:szCs w:val="16"/>
              </w:rPr>
              <w:t>Total expenses administered on behalf of Government</w:t>
            </w:r>
          </w:p>
        </w:tc>
        <w:tc>
          <w:tcPr>
            <w:tcW w:w="935"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single" w:sz="4" w:space="0" w:color="auto"/>
              <w:left w:val="nil"/>
              <w:bottom w:val="single" w:sz="4" w:space="0" w:color="auto"/>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r>
      <w:tr w:rsidR="00D73896" w:rsidRPr="00D73896" w:rsidTr="009A7821">
        <w:trPr>
          <w:trHeight w:val="225"/>
        </w:trPr>
        <w:tc>
          <w:tcPr>
            <w:tcW w:w="3288"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LESS:</w:t>
            </w:r>
          </w:p>
        </w:tc>
        <w:tc>
          <w:tcPr>
            <w:tcW w:w="935"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r>
      <w:tr w:rsidR="00D73896" w:rsidRPr="00D73896" w:rsidTr="009A7821">
        <w:trPr>
          <w:trHeight w:val="225"/>
        </w:trPr>
        <w:tc>
          <w:tcPr>
            <w:tcW w:w="3288"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OWN-SOURCE INCOME</w:t>
            </w:r>
          </w:p>
        </w:tc>
        <w:tc>
          <w:tcPr>
            <w:tcW w:w="935"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r>
      <w:tr w:rsidR="00D73896" w:rsidRPr="00D73896" w:rsidTr="009A7821">
        <w:trPr>
          <w:trHeight w:val="225"/>
        </w:trPr>
        <w:tc>
          <w:tcPr>
            <w:tcW w:w="3288"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Own-source revenue</w:t>
            </w:r>
          </w:p>
        </w:tc>
        <w:tc>
          <w:tcPr>
            <w:tcW w:w="935"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r>
      <w:tr w:rsidR="00D73896" w:rsidRPr="00D73896" w:rsidTr="009A7821">
        <w:trPr>
          <w:trHeight w:val="225"/>
        </w:trPr>
        <w:tc>
          <w:tcPr>
            <w:tcW w:w="3288"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Non-taxation revenue</w:t>
            </w:r>
          </w:p>
        </w:tc>
        <w:tc>
          <w:tcPr>
            <w:tcW w:w="935"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p>
        </w:tc>
      </w:tr>
      <w:tr w:rsidR="00D73896" w:rsidRPr="00D73896" w:rsidTr="009A7821">
        <w:trPr>
          <w:trHeight w:val="225"/>
        </w:trPr>
        <w:tc>
          <w:tcPr>
            <w:tcW w:w="3288"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ind w:firstLineChars="100" w:firstLine="160"/>
              <w:rPr>
                <w:rFonts w:ascii="Arial" w:hAnsi="Arial" w:cs="Arial"/>
                <w:color w:val="000000"/>
                <w:sz w:val="16"/>
                <w:szCs w:val="16"/>
              </w:rPr>
            </w:pPr>
            <w:r w:rsidRPr="00D73896">
              <w:rPr>
                <w:rFonts w:ascii="Arial" w:hAnsi="Arial" w:cs="Arial"/>
                <w:color w:val="000000"/>
                <w:sz w:val="16"/>
                <w:szCs w:val="16"/>
              </w:rPr>
              <w:t>Other revenue</w:t>
            </w:r>
          </w:p>
        </w:tc>
        <w:tc>
          <w:tcPr>
            <w:tcW w:w="935"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r>
      <w:tr w:rsidR="00D73896" w:rsidRPr="00D73896" w:rsidTr="009A7821">
        <w:trPr>
          <w:trHeight w:val="227"/>
        </w:trPr>
        <w:tc>
          <w:tcPr>
            <w:tcW w:w="3288" w:type="dxa"/>
            <w:tcBorders>
              <w:top w:val="nil"/>
              <w:left w:val="nil"/>
              <w:bottom w:val="nil"/>
              <w:right w:val="nil"/>
            </w:tcBorders>
            <w:shd w:val="clear" w:color="auto" w:fill="auto"/>
            <w:noWrap/>
            <w:vAlign w:val="center"/>
            <w:hideMark/>
          </w:tcPr>
          <w:p w:rsidR="00D73896" w:rsidRPr="00D73896" w:rsidRDefault="00D73896" w:rsidP="009A7821">
            <w:pPr>
              <w:spacing w:after="0" w:line="240" w:lineRule="auto"/>
              <w:rPr>
                <w:rFonts w:ascii="Arial" w:hAnsi="Arial" w:cs="Arial"/>
                <w:b/>
                <w:bCs/>
                <w:i/>
                <w:iCs/>
                <w:color w:val="000000"/>
                <w:sz w:val="16"/>
                <w:szCs w:val="16"/>
              </w:rPr>
            </w:pPr>
            <w:r w:rsidRPr="00D73896">
              <w:rPr>
                <w:rFonts w:ascii="Arial" w:hAnsi="Arial" w:cs="Arial"/>
                <w:b/>
                <w:bCs/>
                <w:i/>
                <w:iCs/>
                <w:color w:val="000000"/>
                <w:sz w:val="16"/>
                <w:szCs w:val="16"/>
              </w:rPr>
              <w:t>Total non-taxation revenue</w:t>
            </w:r>
          </w:p>
        </w:tc>
        <w:tc>
          <w:tcPr>
            <w:tcW w:w="935"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c>
          <w:tcPr>
            <w:tcW w:w="879" w:type="dxa"/>
            <w:tcBorders>
              <w:top w:val="single" w:sz="4" w:space="0" w:color="auto"/>
              <w:left w:val="nil"/>
              <w:bottom w:val="single" w:sz="4" w:space="0" w:color="auto"/>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r>
      <w:tr w:rsidR="00D73896" w:rsidRPr="00D73896" w:rsidTr="009A7821">
        <w:trPr>
          <w:trHeight w:val="397"/>
        </w:trPr>
        <w:tc>
          <w:tcPr>
            <w:tcW w:w="3288" w:type="dxa"/>
            <w:tcBorders>
              <w:top w:val="nil"/>
              <w:left w:val="nil"/>
              <w:bottom w:val="nil"/>
              <w:right w:val="nil"/>
            </w:tcBorders>
            <w:shd w:val="clear" w:color="auto" w:fill="auto"/>
            <w:vAlign w:val="center"/>
            <w:hideMark/>
          </w:tcPr>
          <w:p w:rsidR="00D73896" w:rsidRPr="00D73896" w:rsidRDefault="00D73896" w:rsidP="009A7821">
            <w:pPr>
              <w:spacing w:after="0" w:line="240" w:lineRule="auto"/>
              <w:ind w:left="191" w:hanging="191"/>
              <w:rPr>
                <w:rFonts w:ascii="Arial" w:hAnsi="Arial" w:cs="Arial"/>
                <w:b/>
                <w:bCs/>
                <w:color w:val="000000"/>
                <w:sz w:val="16"/>
                <w:szCs w:val="16"/>
              </w:rPr>
            </w:pPr>
            <w:r w:rsidRPr="00D73896">
              <w:rPr>
                <w:rFonts w:ascii="Arial" w:hAnsi="Arial" w:cs="Arial"/>
                <w:b/>
                <w:bCs/>
                <w:color w:val="000000"/>
                <w:sz w:val="16"/>
                <w:szCs w:val="16"/>
              </w:rPr>
              <w:t>Total own-source revenue administered on behalf of Government</w:t>
            </w:r>
          </w:p>
        </w:tc>
        <w:tc>
          <w:tcPr>
            <w:tcW w:w="935" w:type="dxa"/>
            <w:tcBorders>
              <w:top w:val="nil"/>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r>
      <w:tr w:rsidR="00D73896" w:rsidRPr="00D73896" w:rsidTr="009A7821">
        <w:trPr>
          <w:trHeight w:val="397"/>
        </w:trPr>
        <w:tc>
          <w:tcPr>
            <w:tcW w:w="3288" w:type="dxa"/>
            <w:tcBorders>
              <w:top w:val="nil"/>
              <w:left w:val="nil"/>
              <w:bottom w:val="nil"/>
              <w:right w:val="nil"/>
            </w:tcBorders>
            <w:shd w:val="clear" w:color="auto" w:fill="auto"/>
            <w:vAlign w:val="center"/>
            <w:hideMark/>
          </w:tcPr>
          <w:p w:rsidR="00D73896" w:rsidRPr="00D73896" w:rsidRDefault="00D73896" w:rsidP="009A7821">
            <w:pPr>
              <w:spacing w:after="0" w:line="240" w:lineRule="auto"/>
              <w:ind w:left="191" w:hanging="191"/>
              <w:rPr>
                <w:rFonts w:ascii="Arial" w:hAnsi="Arial" w:cs="Arial"/>
                <w:b/>
                <w:bCs/>
                <w:color w:val="000000"/>
                <w:sz w:val="16"/>
                <w:szCs w:val="16"/>
              </w:rPr>
            </w:pPr>
            <w:r w:rsidRPr="00D73896">
              <w:rPr>
                <w:rFonts w:ascii="Arial" w:hAnsi="Arial" w:cs="Arial"/>
                <w:b/>
                <w:bCs/>
                <w:color w:val="000000"/>
                <w:sz w:val="16"/>
                <w:szCs w:val="16"/>
              </w:rPr>
              <w:t>Total own-sourced income administered on behalf of Government</w:t>
            </w:r>
          </w:p>
        </w:tc>
        <w:tc>
          <w:tcPr>
            <w:tcW w:w="935" w:type="dxa"/>
            <w:tcBorders>
              <w:top w:val="nil"/>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000000" w:fill="E6E6E6"/>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r>
      <w:tr w:rsidR="00D73896" w:rsidRPr="00D73896" w:rsidTr="009A7821">
        <w:trPr>
          <w:trHeight w:val="227"/>
        </w:trPr>
        <w:tc>
          <w:tcPr>
            <w:tcW w:w="3288" w:type="dxa"/>
            <w:tcBorders>
              <w:top w:val="nil"/>
              <w:left w:val="nil"/>
              <w:bottom w:val="single" w:sz="4" w:space="0" w:color="auto"/>
              <w:right w:val="nil"/>
            </w:tcBorders>
            <w:shd w:val="clear" w:color="auto" w:fill="auto"/>
            <w:vAlign w:val="bottom"/>
            <w:hideMark/>
          </w:tcPr>
          <w:p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Net (cost of)/contribution by services</w:t>
            </w:r>
          </w:p>
        </w:tc>
        <w:tc>
          <w:tcPr>
            <w:tcW w:w="935" w:type="dxa"/>
            <w:tcBorders>
              <w:top w:val="nil"/>
              <w:left w:val="nil"/>
              <w:bottom w:val="single" w:sz="4" w:space="0" w:color="auto"/>
              <w:right w:val="nil"/>
            </w:tcBorders>
            <w:shd w:val="clear" w:color="auto" w:fill="auto"/>
            <w:noWrap/>
            <w:vAlign w:val="bottom"/>
            <w:hideMark/>
          </w:tcPr>
          <w:p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c>
          <w:tcPr>
            <w:tcW w:w="879" w:type="dxa"/>
            <w:tcBorders>
              <w:top w:val="nil"/>
              <w:left w:val="nil"/>
              <w:bottom w:val="single" w:sz="4" w:space="0" w:color="auto"/>
              <w:right w:val="nil"/>
            </w:tcBorders>
            <w:shd w:val="clear" w:color="000000" w:fill="E6E6E6"/>
            <w:noWrap/>
            <w:vAlign w:val="bottom"/>
            <w:hideMark/>
          </w:tcPr>
          <w:p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c>
          <w:tcPr>
            <w:tcW w:w="879" w:type="dxa"/>
            <w:tcBorders>
              <w:top w:val="nil"/>
              <w:left w:val="nil"/>
              <w:bottom w:val="single" w:sz="4" w:space="0" w:color="auto"/>
              <w:right w:val="nil"/>
            </w:tcBorders>
            <w:shd w:val="clear" w:color="auto" w:fill="auto"/>
            <w:noWrap/>
            <w:vAlign w:val="bottom"/>
            <w:hideMark/>
          </w:tcPr>
          <w:p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c>
          <w:tcPr>
            <w:tcW w:w="879" w:type="dxa"/>
            <w:tcBorders>
              <w:top w:val="nil"/>
              <w:left w:val="nil"/>
              <w:bottom w:val="single" w:sz="4" w:space="0" w:color="auto"/>
              <w:right w:val="nil"/>
            </w:tcBorders>
            <w:shd w:val="clear" w:color="auto" w:fill="auto"/>
            <w:noWrap/>
            <w:vAlign w:val="bottom"/>
            <w:hideMark/>
          </w:tcPr>
          <w:p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c>
          <w:tcPr>
            <w:tcW w:w="879" w:type="dxa"/>
            <w:tcBorders>
              <w:top w:val="nil"/>
              <w:left w:val="nil"/>
              <w:bottom w:val="single" w:sz="4" w:space="0" w:color="auto"/>
              <w:right w:val="nil"/>
            </w:tcBorders>
            <w:shd w:val="clear" w:color="auto" w:fill="auto"/>
            <w:noWrap/>
            <w:vAlign w:val="bottom"/>
            <w:hideMark/>
          </w:tcPr>
          <w:p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r>
    </w:tbl>
    <w:p w:rsidR="00D73896" w:rsidRPr="009A7821" w:rsidRDefault="00D73896" w:rsidP="00D73896">
      <w:pPr>
        <w:pStyle w:val="ChartandTableFootnote"/>
        <w:rPr>
          <w:lang w:val="en-AU"/>
        </w:rPr>
      </w:pPr>
      <w:r w:rsidRPr="00E4582E">
        <w:t>Prepared on Australian Accounting Standards basis</w:t>
      </w:r>
      <w:r>
        <w:t>.</w:t>
      </w:r>
    </w:p>
    <w:p w:rsidR="00D73896" w:rsidRDefault="00D73896" w:rsidP="00D73896">
      <w:pPr>
        <w:pStyle w:val="TableHeading"/>
      </w:pPr>
      <w:r>
        <w:br w:type="page"/>
      </w:r>
      <w:r w:rsidRPr="00D30CBA">
        <w:lastRenderedPageBreak/>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9A7821" w:rsidRPr="009A7821" w:rsidTr="009A7821">
        <w:trPr>
          <w:trHeight w:val="794"/>
        </w:trPr>
        <w:tc>
          <w:tcPr>
            <w:tcW w:w="3146" w:type="dxa"/>
            <w:tcBorders>
              <w:top w:val="single" w:sz="4" w:space="0" w:color="auto"/>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sz w:val="16"/>
                <w:szCs w:val="16"/>
              </w:rPr>
            </w:pPr>
            <w:r w:rsidRPr="009A7821">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9A7821" w:rsidRPr="0013171A" w:rsidRDefault="009A7821" w:rsidP="009A7821">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 xml:space="preserve">ASSETS </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Trade and other receivables</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r>
      <w:tr w:rsidR="009A7821" w:rsidRPr="009A7821" w:rsidTr="009A7821">
        <w:trPr>
          <w:trHeight w:val="227"/>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c>
          <w:tcPr>
            <w:tcW w:w="907" w:type="dxa"/>
            <w:tcBorders>
              <w:top w:val="single" w:sz="4" w:space="0" w:color="000000"/>
              <w:left w:val="nil"/>
              <w:bottom w:val="single" w:sz="4" w:space="0" w:color="000000"/>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r>
      <w:tr w:rsidR="009A7821" w:rsidRPr="009A7821" w:rsidTr="009A7821">
        <w:trPr>
          <w:trHeight w:val="397"/>
        </w:trPr>
        <w:tc>
          <w:tcPr>
            <w:tcW w:w="3146" w:type="dxa"/>
            <w:tcBorders>
              <w:top w:val="nil"/>
              <w:left w:val="nil"/>
              <w:bottom w:val="nil"/>
              <w:right w:val="nil"/>
            </w:tcBorders>
            <w:shd w:val="clear" w:color="auto" w:fill="auto"/>
            <w:vAlign w:val="center"/>
            <w:hideMark/>
          </w:tcPr>
          <w:p w:rsidR="009A7821" w:rsidRPr="009A7821" w:rsidRDefault="009A7821" w:rsidP="009A7821">
            <w:pPr>
              <w:spacing w:after="0" w:line="240" w:lineRule="auto"/>
              <w:ind w:left="191" w:hanging="191"/>
              <w:rPr>
                <w:rFonts w:ascii="Arial" w:hAnsi="Arial" w:cs="Arial"/>
                <w:b/>
                <w:bCs/>
                <w:color w:val="000000"/>
                <w:sz w:val="16"/>
                <w:szCs w:val="16"/>
              </w:rPr>
            </w:pPr>
            <w:r w:rsidRPr="009A7821">
              <w:rPr>
                <w:rFonts w:ascii="Arial" w:hAnsi="Arial" w:cs="Arial"/>
                <w:b/>
                <w:bCs/>
                <w:color w:val="000000"/>
                <w:sz w:val="16"/>
                <w:szCs w:val="16"/>
              </w:rPr>
              <w:t>Total assets administered on behalf of Government</w:t>
            </w:r>
          </w:p>
        </w:tc>
        <w:tc>
          <w:tcPr>
            <w:tcW w:w="964" w:type="dxa"/>
            <w:tcBorders>
              <w:top w:val="nil"/>
              <w:left w:val="nil"/>
              <w:bottom w:val="single" w:sz="4" w:space="0" w:color="auto"/>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c>
          <w:tcPr>
            <w:tcW w:w="907" w:type="dxa"/>
            <w:tcBorders>
              <w:top w:val="nil"/>
              <w:left w:val="nil"/>
              <w:bottom w:val="single" w:sz="4" w:space="0" w:color="auto"/>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c>
          <w:tcPr>
            <w:tcW w:w="907" w:type="dxa"/>
            <w:tcBorders>
              <w:top w:val="nil"/>
              <w:left w:val="nil"/>
              <w:bottom w:val="single" w:sz="4" w:space="0" w:color="auto"/>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c>
          <w:tcPr>
            <w:tcW w:w="907" w:type="dxa"/>
            <w:tcBorders>
              <w:top w:val="nil"/>
              <w:left w:val="nil"/>
              <w:bottom w:val="single" w:sz="4" w:space="0" w:color="auto"/>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c>
          <w:tcPr>
            <w:tcW w:w="907" w:type="dxa"/>
            <w:tcBorders>
              <w:top w:val="nil"/>
              <w:left w:val="nil"/>
              <w:bottom w:val="single" w:sz="4" w:space="0" w:color="auto"/>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c>
          <w:tcPr>
            <w:tcW w:w="907" w:type="dxa"/>
            <w:tcBorders>
              <w:top w:val="single" w:sz="4" w:space="0" w:color="000000"/>
              <w:left w:val="nil"/>
              <w:bottom w:val="single" w:sz="4" w:space="0" w:color="000000"/>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Other provisions</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r>
      <w:tr w:rsidR="009A7821" w:rsidRPr="009A7821" w:rsidTr="009A7821">
        <w:trPr>
          <w:trHeight w:val="227"/>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c>
          <w:tcPr>
            <w:tcW w:w="907" w:type="dxa"/>
            <w:tcBorders>
              <w:top w:val="single" w:sz="4" w:space="0" w:color="000000"/>
              <w:left w:val="nil"/>
              <w:bottom w:val="single" w:sz="4" w:space="0" w:color="000000"/>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r>
      <w:tr w:rsidR="009A7821" w:rsidRPr="009A7821" w:rsidTr="009A7821">
        <w:trPr>
          <w:trHeight w:val="397"/>
        </w:trPr>
        <w:tc>
          <w:tcPr>
            <w:tcW w:w="3146" w:type="dxa"/>
            <w:tcBorders>
              <w:top w:val="nil"/>
              <w:left w:val="nil"/>
              <w:bottom w:val="nil"/>
              <w:right w:val="nil"/>
            </w:tcBorders>
            <w:shd w:val="clear" w:color="auto" w:fill="auto"/>
            <w:vAlign w:val="center"/>
            <w:hideMark/>
          </w:tcPr>
          <w:p w:rsidR="009A7821" w:rsidRPr="009A7821" w:rsidRDefault="009A7821" w:rsidP="009A7821">
            <w:pPr>
              <w:spacing w:after="0" w:line="240" w:lineRule="auto"/>
              <w:ind w:left="191" w:hanging="191"/>
              <w:rPr>
                <w:rFonts w:ascii="Arial" w:hAnsi="Arial" w:cs="Arial"/>
                <w:b/>
                <w:bCs/>
                <w:color w:val="000000"/>
                <w:sz w:val="16"/>
                <w:szCs w:val="16"/>
              </w:rPr>
            </w:pPr>
            <w:r w:rsidRPr="009A7821">
              <w:rPr>
                <w:rFonts w:ascii="Arial" w:hAnsi="Arial" w:cs="Arial"/>
                <w:b/>
                <w:bCs/>
                <w:color w:val="000000"/>
                <w:sz w:val="16"/>
                <w:szCs w:val="16"/>
              </w:rPr>
              <w:t>Total liabilities administered on behalf of Government</w:t>
            </w:r>
          </w:p>
        </w:tc>
        <w:tc>
          <w:tcPr>
            <w:tcW w:w="964" w:type="dxa"/>
            <w:tcBorders>
              <w:top w:val="nil"/>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c>
          <w:tcPr>
            <w:tcW w:w="907" w:type="dxa"/>
            <w:tcBorders>
              <w:top w:val="nil"/>
              <w:left w:val="nil"/>
              <w:bottom w:val="single" w:sz="4" w:space="0" w:color="000000"/>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c>
          <w:tcPr>
            <w:tcW w:w="907" w:type="dxa"/>
            <w:tcBorders>
              <w:top w:val="nil"/>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c>
          <w:tcPr>
            <w:tcW w:w="907" w:type="dxa"/>
            <w:tcBorders>
              <w:top w:val="nil"/>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c>
          <w:tcPr>
            <w:tcW w:w="907" w:type="dxa"/>
            <w:tcBorders>
              <w:top w:val="nil"/>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r>
      <w:tr w:rsidR="009A7821" w:rsidRPr="009A7821" w:rsidTr="009A7821">
        <w:trPr>
          <w:trHeight w:val="225"/>
        </w:trPr>
        <w:tc>
          <w:tcPr>
            <w:tcW w:w="3146" w:type="dxa"/>
            <w:tcBorders>
              <w:top w:val="nil"/>
              <w:left w:val="nil"/>
              <w:bottom w:val="single" w:sz="4" w:space="0" w:color="000000"/>
              <w:right w:val="nil"/>
            </w:tcBorders>
            <w:shd w:val="clear" w:color="auto" w:fill="auto"/>
            <w:noWrap/>
            <w:vAlign w:val="bottom"/>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Net assets/(liabilities)</w:t>
            </w:r>
          </w:p>
        </w:tc>
        <w:tc>
          <w:tcPr>
            <w:tcW w:w="964" w:type="dxa"/>
            <w:tcBorders>
              <w:top w:val="nil"/>
              <w:left w:val="nil"/>
              <w:bottom w:val="single" w:sz="4" w:space="0" w:color="000000"/>
              <w:right w:val="nil"/>
            </w:tcBorders>
            <w:shd w:val="clear" w:color="auto" w:fill="auto"/>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c>
          <w:tcPr>
            <w:tcW w:w="907" w:type="dxa"/>
            <w:tcBorders>
              <w:top w:val="single" w:sz="4" w:space="0" w:color="000000"/>
              <w:left w:val="nil"/>
              <w:bottom w:val="single" w:sz="4" w:space="0" w:color="auto"/>
              <w:right w:val="nil"/>
            </w:tcBorders>
            <w:shd w:val="clear" w:color="000000" w:fill="E6E6E6"/>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c>
          <w:tcPr>
            <w:tcW w:w="907" w:type="dxa"/>
            <w:tcBorders>
              <w:top w:val="nil"/>
              <w:left w:val="nil"/>
              <w:bottom w:val="single" w:sz="4" w:space="0" w:color="000000"/>
              <w:right w:val="nil"/>
            </w:tcBorders>
            <w:shd w:val="clear" w:color="auto" w:fill="auto"/>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c>
          <w:tcPr>
            <w:tcW w:w="907" w:type="dxa"/>
            <w:tcBorders>
              <w:top w:val="nil"/>
              <w:left w:val="nil"/>
              <w:bottom w:val="single" w:sz="4" w:space="0" w:color="000000"/>
              <w:right w:val="nil"/>
            </w:tcBorders>
            <w:shd w:val="clear" w:color="auto" w:fill="auto"/>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c>
          <w:tcPr>
            <w:tcW w:w="907" w:type="dxa"/>
            <w:tcBorders>
              <w:top w:val="nil"/>
              <w:left w:val="nil"/>
              <w:bottom w:val="single" w:sz="4" w:space="0" w:color="000000"/>
              <w:right w:val="nil"/>
            </w:tcBorders>
            <w:shd w:val="clear" w:color="auto" w:fill="auto"/>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r>
    </w:tbl>
    <w:p w:rsidR="00AA5639" w:rsidRDefault="009A7821" w:rsidP="00EB77C1">
      <w:pPr>
        <w:pStyle w:val="ChartandTableFootnote"/>
        <w:spacing w:after="600"/>
      </w:pPr>
      <w:r w:rsidRPr="00B7521F">
        <w:t>Prepared on Australian Accounting Standards basis.</w:t>
      </w:r>
    </w:p>
    <w:p w:rsidR="009A7821" w:rsidRDefault="009A7821" w:rsidP="009A7821">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9A7821" w:rsidRPr="009A7821" w:rsidTr="009A7821">
        <w:trPr>
          <w:trHeight w:val="794"/>
        </w:trPr>
        <w:tc>
          <w:tcPr>
            <w:tcW w:w="3146" w:type="dxa"/>
            <w:tcBorders>
              <w:top w:val="single" w:sz="4" w:space="0" w:color="auto"/>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sz w:val="16"/>
                <w:szCs w:val="16"/>
              </w:rPr>
            </w:pPr>
            <w:r w:rsidRPr="009A7821">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9A7821" w:rsidRPr="0013171A" w:rsidRDefault="009A7821" w:rsidP="009A7821">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OPERATING ACTIVITIES</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Cash received</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Other</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r>
      <w:tr w:rsidR="009A7821" w:rsidRPr="009A7821" w:rsidTr="009A7821">
        <w:trPr>
          <w:trHeight w:val="227"/>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cash received</w:t>
            </w:r>
          </w:p>
        </w:tc>
        <w:tc>
          <w:tcPr>
            <w:tcW w:w="964"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Cash used</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p>
        </w:tc>
      </w:tr>
      <w:tr w:rsidR="009A7821" w:rsidRPr="009A7821" w:rsidTr="009A7821">
        <w:trPr>
          <w:trHeight w:val="225"/>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Other</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r>
      <w:tr w:rsidR="009A7821" w:rsidRPr="009A7821" w:rsidTr="009A7821">
        <w:trPr>
          <w:trHeight w:val="227"/>
        </w:trPr>
        <w:tc>
          <w:tcPr>
            <w:tcW w:w="3146"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cash used</w:t>
            </w:r>
          </w:p>
        </w:tc>
        <w:tc>
          <w:tcPr>
            <w:tcW w:w="964"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r>
      <w:tr w:rsidR="009A7821" w:rsidRPr="009A7821" w:rsidTr="009A7821">
        <w:trPr>
          <w:trHeight w:val="397"/>
        </w:trPr>
        <w:tc>
          <w:tcPr>
            <w:tcW w:w="3146" w:type="dxa"/>
            <w:tcBorders>
              <w:top w:val="nil"/>
              <w:left w:val="nil"/>
              <w:bottom w:val="nil"/>
              <w:right w:val="nil"/>
            </w:tcBorders>
            <w:shd w:val="clear" w:color="auto" w:fill="auto"/>
            <w:vAlign w:val="center"/>
            <w:hideMark/>
          </w:tcPr>
          <w:p w:rsidR="009A7821" w:rsidRPr="009A7821" w:rsidRDefault="009A7821" w:rsidP="009A7821">
            <w:pPr>
              <w:spacing w:after="0" w:line="240" w:lineRule="auto"/>
              <w:ind w:left="191" w:hanging="191"/>
              <w:rPr>
                <w:rFonts w:ascii="Arial" w:hAnsi="Arial" w:cs="Arial"/>
                <w:b/>
                <w:bCs/>
                <w:color w:val="000000"/>
                <w:sz w:val="16"/>
                <w:szCs w:val="16"/>
              </w:rPr>
            </w:pPr>
            <w:r w:rsidRPr="009A7821">
              <w:rPr>
                <w:rFonts w:ascii="Arial" w:hAnsi="Arial" w:cs="Arial"/>
                <w:b/>
                <w:bCs/>
                <w:color w:val="000000"/>
                <w:sz w:val="16"/>
                <w:szCs w:val="16"/>
              </w:rPr>
              <w:t>Net cash from/(used by) operating activities</w:t>
            </w:r>
          </w:p>
        </w:tc>
        <w:tc>
          <w:tcPr>
            <w:tcW w:w="964" w:type="dxa"/>
            <w:tcBorders>
              <w:top w:val="nil"/>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r>
      <w:tr w:rsidR="009A7821" w:rsidRPr="009A7821" w:rsidTr="009A7821">
        <w:trPr>
          <w:trHeight w:val="227"/>
        </w:trPr>
        <w:tc>
          <w:tcPr>
            <w:tcW w:w="3146" w:type="dxa"/>
            <w:tcBorders>
              <w:top w:val="nil"/>
              <w:left w:val="nil"/>
              <w:bottom w:val="nil"/>
              <w:right w:val="nil"/>
            </w:tcBorders>
            <w:shd w:val="clear" w:color="auto" w:fill="auto"/>
            <w:vAlign w:val="center"/>
            <w:hideMark/>
          </w:tcPr>
          <w:p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Net increase/(decrease) in cash held</w:t>
            </w:r>
          </w:p>
        </w:tc>
        <w:tc>
          <w:tcPr>
            <w:tcW w:w="964" w:type="dxa"/>
            <w:tcBorders>
              <w:top w:val="nil"/>
              <w:left w:val="nil"/>
              <w:bottom w:val="single" w:sz="4" w:space="0" w:color="auto"/>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c>
          <w:tcPr>
            <w:tcW w:w="907" w:type="dxa"/>
            <w:tcBorders>
              <w:top w:val="nil"/>
              <w:left w:val="nil"/>
              <w:bottom w:val="single" w:sz="4" w:space="0" w:color="auto"/>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r>
      <w:tr w:rsidR="009A7821" w:rsidRPr="009A7821" w:rsidTr="009A7821">
        <w:trPr>
          <w:trHeight w:val="397"/>
        </w:trPr>
        <w:tc>
          <w:tcPr>
            <w:tcW w:w="3146" w:type="dxa"/>
            <w:tcBorders>
              <w:top w:val="nil"/>
              <w:left w:val="nil"/>
              <w:bottom w:val="nil"/>
              <w:right w:val="nil"/>
            </w:tcBorders>
            <w:shd w:val="clear" w:color="auto" w:fill="auto"/>
            <w:vAlign w:val="center"/>
            <w:hideMark/>
          </w:tcPr>
          <w:p w:rsidR="009A7821" w:rsidRPr="009A7821" w:rsidRDefault="009A7821" w:rsidP="009A7821">
            <w:pPr>
              <w:spacing w:after="0" w:line="240" w:lineRule="auto"/>
              <w:ind w:leftChars="80" w:left="333" w:hangingChars="108" w:hanging="173"/>
              <w:rPr>
                <w:rFonts w:ascii="Arial" w:hAnsi="Arial" w:cs="Arial"/>
                <w:color w:val="000000"/>
                <w:sz w:val="16"/>
                <w:szCs w:val="16"/>
              </w:rPr>
            </w:pPr>
            <w:r w:rsidRPr="009A7821">
              <w:rPr>
                <w:rFonts w:ascii="Arial" w:hAnsi="Arial" w:cs="Arial"/>
                <w:color w:val="000000"/>
                <w:sz w:val="16"/>
                <w:szCs w:val="16"/>
              </w:rPr>
              <w:t>Cash and cash equivalents at beginning of reporting period</w:t>
            </w:r>
          </w:p>
        </w:tc>
        <w:tc>
          <w:tcPr>
            <w:tcW w:w="964"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r>
      <w:tr w:rsidR="009A7821" w:rsidRPr="009A7821" w:rsidTr="009A7821">
        <w:trPr>
          <w:trHeight w:val="397"/>
        </w:trPr>
        <w:tc>
          <w:tcPr>
            <w:tcW w:w="3146" w:type="dxa"/>
            <w:tcBorders>
              <w:top w:val="nil"/>
              <w:left w:val="nil"/>
              <w:bottom w:val="single" w:sz="4" w:space="0" w:color="auto"/>
              <w:right w:val="nil"/>
            </w:tcBorders>
            <w:shd w:val="clear" w:color="auto" w:fill="auto"/>
            <w:vAlign w:val="bottom"/>
            <w:hideMark/>
          </w:tcPr>
          <w:p w:rsidR="009A7821" w:rsidRPr="009A7821" w:rsidRDefault="009A7821" w:rsidP="009A7821">
            <w:pPr>
              <w:spacing w:after="0" w:line="240" w:lineRule="auto"/>
              <w:ind w:left="191" w:hanging="191"/>
              <w:rPr>
                <w:rFonts w:ascii="Arial" w:hAnsi="Arial" w:cs="Arial"/>
                <w:b/>
                <w:bCs/>
                <w:color w:val="000000"/>
                <w:sz w:val="16"/>
                <w:szCs w:val="16"/>
              </w:rPr>
            </w:pPr>
            <w:r w:rsidRPr="009A7821">
              <w:rPr>
                <w:rFonts w:ascii="Arial" w:hAnsi="Arial" w:cs="Arial"/>
                <w:b/>
                <w:bCs/>
                <w:color w:val="000000"/>
                <w:sz w:val="16"/>
                <w:szCs w:val="16"/>
              </w:rPr>
              <w:t>Cash and cash equivalents at end of reporting period</w:t>
            </w:r>
          </w:p>
        </w:tc>
        <w:tc>
          <w:tcPr>
            <w:tcW w:w="964" w:type="dxa"/>
            <w:tcBorders>
              <w:top w:val="single" w:sz="4" w:space="0" w:color="000000"/>
              <w:left w:val="nil"/>
              <w:bottom w:val="single" w:sz="4" w:space="0" w:color="auto"/>
              <w:right w:val="nil"/>
            </w:tcBorders>
            <w:shd w:val="clear" w:color="auto" w:fill="auto"/>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000000" w:fill="E6E6E6"/>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r>
    </w:tbl>
    <w:p w:rsidR="009A7821" w:rsidRDefault="009A7821" w:rsidP="009A7821">
      <w:pPr>
        <w:pStyle w:val="ChartandTableFootnote"/>
      </w:pPr>
      <w:r>
        <w:t>Prepared on Australian Accounting Standards basis.</w:t>
      </w:r>
    </w:p>
    <w:p w:rsidR="009A7821" w:rsidRDefault="00AA5639" w:rsidP="009A7821">
      <w:pPr>
        <w:pStyle w:val="TableHeading"/>
      </w:pPr>
      <w:r>
        <w:br w:type="page"/>
      </w:r>
      <w:r w:rsidR="009A7821" w:rsidRPr="00D30CBA">
        <w:lastRenderedPageBreak/>
        <w:t>Table</w:t>
      </w:r>
      <w:r w:rsidR="009A7821">
        <w:t xml:space="preserve"> 3.10</w:t>
      </w:r>
      <w:r w:rsidR="009A7821" w:rsidRPr="00D30CBA">
        <w:t xml:space="preserve">: </w:t>
      </w:r>
      <w:r w:rsidR="009A7821">
        <w:t>Administered capital budget statement (for the period ended 30 June)</w:t>
      </w:r>
    </w:p>
    <w:p w:rsidR="009A7821" w:rsidRDefault="009A7821" w:rsidP="00E56F48">
      <w:r>
        <w:t>Comcare has no administered capital purchases. For this reason, Table 3.10 is not presented.</w:t>
      </w:r>
    </w:p>
    <w:p w:rsidR="009A7821" w:rsidRPr="00273D98" w:rsidRDefault="009A7821" w:rsidP="00AA5639">
      <w:pPr>
        <w:pStyle w:val="TableHeading"/>
        <w:spacing w:before="360" w:after="0"/>
        <w:rPr>
          <w:lang w:val="en-AU"/>
        </w:rPr>
      </w:pPr>
      <w:r>
        <w:t>Table 3.11: Statement of administered asset movements (Budget year 2018</w:t>
      </w:r>
      <w:r>
        <w:rPr>
          <w:lang w:val="en-AU"/>
        </w:rPr>
        <w:t>–</w:t>
      </w:r>
      <w:r>
        <w:t>19)</w:t>
      </w:r>
    </w:p>
    <w:p w:rsidR="009A7821" w:rsidRDefault="00E56F48" w:rsidP="00E56F48">
      <w:r>
        <w:t>Comcare has no administered non-financial assets. For this reason, Table 3.11 is not presented.</w:t>
      </w:r>
    </w:p>
    <w:p w:rsidR="00342243" w:rsidRDefault="00E56F48" w:rsidP="00EB77C1">
      <w:pPr>
        <w:pStyle w:val="Heading3"/>
        <w:spacing w:before="600"/>
      </w:pPr>
      <w:bookmarkStart w:id="360" w:name="_Toc511736985"/>
      <w:bookmarkStart w:id="361" w:name="_Toc511747247"/>
      <w:bookmarkStart w:id="362" w:name="_Toc511765650"/>
      <w:bookmarkStart w:id="363" w:name="_Toc511828706"/>
      <w:bookmarkStart w:id="364" w:name="_Toc511836845"/>
      <w:bookmarkStart w:id="365" w:name="_Toc511902551"/>
      <w:r>
        <w:t>3.3 Notes to the Financial Statements</w:t>
      </w:r>
      <w:bookmarkEnd w:id="360"/>
      <w:bookmarkEnd w:id="361"/>
      <w:bookmarkEnd w:id="362"/>
      <w:bookmarkEnd w:id="363"/>
      <w:bookmarkEnd w:id="364"/>
      <w:bookmarkEnd w:id="365"/>
    </w:p>
    <w:p w:rsidR="00E56F48" w:rsidRDefault="00E56F48" w:rsidP="00E56F48">
      <w:pPr>
        <w:pStyle w:val="Heading4"/>
        <w:rPr>
          <w:snapToGrid w:val="0"/>
          <w:lang w:eastAsia="en-US"/>
        </w:rPr>
      </w:pPr>
      <w:r>
        <w:rPr>
          <w:snapToGrid w:val="0"/>
          <w:lang w:eastAsia="en-US"/>
        </w:rPr>
        <w:t>Accounting policy</w:t>
      </w:r>
    </w:p>
    <w:p w:rsidR="00E56F48" w:rsidRPr="00E751A3" w:rsidRDefault="00E56F48" w:rsidP="00E56F48">
      <w:r>
        <w:t xml:space="preserve">The budgeted financial statements have been prepared in accordance with the </w:t>
      </w:r>
      <w:r w:rsidRPr="00E751A3">
        <w:t xml:space="preserve">requirements of the </w:t>
      </w:r>
      <w:r w:rsidRPr="00E751A3">
        <w:rPr>
          <w:i/>
        </w:rPr>
        <w:t>Public Governance, Performance and Accountability (Financial Reporting) Rule 2015</w:t>
      </w:r>
      <w:r w:rsidRPr="00E751A3">
        <w:t xml:space="preserve">, and the </w:t>
      </w:r>
      <w:r w:rsidRPr="00E751A3">
        <w:rPr>
          <w:i/>
        </w:rPr>
        <w:t>Commonwealth Entities Financial Statement Preparation Guide</w:t>
      </w:r>
      <w:r w:rsidRPr="00E751A3">
        <w:t>.</w:t>
      </w:r>
    </w:p>
    <w:p w:rsidR="00E56F48" w:rsidRDefault="00E56F48" w:rsidP="00E56F48">
      <w:pPr>
        <w:pStyle w:val="Heading4"/>
        <w:rPr>
          <w:snapToGrid w:val="0"/>
          <w:lang w:eastAsia="en-US"/>
        </w:rPr>
      </w:pPr>
      <w:r>
        <w:rPr>
          <w:snapToGrid w:val="0"/>
          <w:lang w:eastAsia="en-US"/>
        </w:rPr>
        <w:t>Entity items</w:t>
      </w:r>
    </w:p>
    <w:p w:rsidR="00E56F48" w:rsidRDefault="00E56F48" w:rsidP="00E56F48">
      <w:r>
        <w:t>Entity assets, liabilities, revenues and expenses are those items that are controlled by Comcare.</w:t>
      </w:r>
    </w:p>
    <w:p w:rsidR="00E56F48" w:rsidRDefault="00E56F48" w:rsidP="00E56F48">
      <w:r>
        <w:t xml:space="preserve">Administered assets, liabilities, revenues and expenses relate to the Seafarers Safety, Rehabilitation and Compensation Authority (Seafarers Authority) which collects levies under the </w:t>
      </w:r>
      <w:r>
        <w:rPr>
          <w:i/>
        </w:rPr>
        <w:t>Seafarers Rehabilitation and Compensation Levy Collection Act 1992</w:t>
      </w:r>
      <w:r>
        <w:t xml:space="preserve">. The Seafarers Authority is controlled by the Government and managed by Comcare. </w:t>
      </w:r>
    </w:p>
    <w:p w:rsidR="00E56F48" w:rsidRDefault="00E56F48" w:rsidP="00E56F48">
      <w:pPr>
        <w:pStyle w:val="Heading4"/>
        <w:rPr>
          <w:rFonts w:cs="Arial"/>
          <w:snapToGrid w:val="0"/>
          <w:lang w:eastAsia="en-US"/>
        </w:rPr>
      </w:pPr>
      <w:r>
        <w:rPr>
          <w:rFonts w:cs="Arial"/>
          <w:snapToGrid w:val="0"/>
          <w:lang w:eastAsia="en-US"/>
        </w:rPr>
        <w:t>Comprehensive Income Statement</w:t>
      </w:r>
    </w:p>
    <w:p w:rsidR="00E56F48" w:rsidRDefault="00E56F48" w:rsidP="00E56F48">
      <w:pPr>
        <w:pStyle w:val="Heading5"/>
        <w:rPr>
          <w:rFonts w:cs="Arial"/>
          <w:snapToGrid w:val="0"/>
          <w:lang w:eastAsia="en-US"/>
        </w:rPr>
      </w:pPr>
      <w:r>
        <w:rPr>
          <w:rFonts w:cs="Arial"/>
          <w:snapToGrid w:val="0"/>
          <w:lang w:eastAsia="en-US"/>
        </w:rPr>
        <w:t>Revenue from government</w:t>
      </w:r>
    </w:p>
    <w:p w:rsidR="00E56F48" w:rsidRDefault="00E56F48" w:rsidP="00E56F48">
      <w:r>
        <w:t>Comcare receives an annual appropriation</w:t>
      </w:r>
      <w:r w:rsidR="00FF68FF">
        <w:t xml:space="preserve"> for the management of asbestos-</w:t>
      </w:r>
      <w:r>
        <w:t>related claims, the administration</w:t>
      </w:r>
      <w:r w:rsidR="00B956BD">
        <w:t xml:space="preserve"> of the Parliamentary Injury Compensation Scheme, </w:t>
      </w:r>
      <w:r>
        <w:t>the Seacare Authority</w:t>
      </w:r>
      <w:r w:rsidR="00B956BD">
        <w:t>,</w:t>
      </w:r>
      <w:r>
        <w:t xml:space="preserve"> and some of Comcare’s regulatory activities.</w:t>
      </w:r>
    </w:p>
    <w:p w:rsidR="00E56F48" w:rsidRPr="00E56F48" w:rsidRDefault="00E56F48" w:rsidP="00E56F48">
      <w:pPr>
        <w:pStyle w:val="Heading5"/>
      </w:pPr>
      <w:r w:rsidRPr="00E56F48">
        <w:t>Own source revenue</w:t>
      </w:r>
    </w:p>
    <w:p w:rsidR="00E56F48" w:rsidRDefault="00E56F48" w:rsidP="00B956BD">
      <w:pPr>
        <w:spacing w:after="60"/>
      </w:pPr>
      <w:r>
        <w:t>Comcare receives the following own-source revenue:</w:t>
      </w:r>
    </w:p>
    <w:p w:rsidR="00E56F48" w:rsidRDefault="00E56F48" w:rsidP="00B956BD">
      <w:pPr>
        <w:pStyle w:val="Bullet"/>
        <w:spacing w:after="60"/>
        <w:ind w:left="284" w:hanging="284"/>
      </w:pPr>
      <w:r>
        <w:t>workers’ compensation premiums</w:t>
      </w:r>
    </w:p>
    <w:p w:rsidR="00E56F48" w:rsidRDefault="00E56F48" w:rsidP="00B956BD">
      <w:pPr>
        <w:pStyle w:val="Bullet"/>
        <w:spacing w:after="60"/>
        <w:ind w:left="284" w:hanging="284"/>
      </w:pPr>
      <w:r>
        <w:t>grants received from portfolio department</w:t>
      </w:r>
    </w:p>
    <w:p w:rsidR="00E56F48" w:rsidRDefault="00E56F48" w:rsidP="00B956BD">
      <w:pPr>
        <w:pStyle w:val="Bullet"/>
        <w:spacing w:after="60"/>
        <w:ind w:left="284" w:hanging="284"/>
      </w:pPr>
      <w:r>
        <w:t>other non-tax revenue</w:t>
      </w:r>
    </w:p>
    <w:p w:rsidR="00E56F48" w:rsidRDefault="00E56F48" w:rsidP="00B956BD">
      <w:pPr>
        <w:pStyle w:val="Bullet"/>
        <w:spacing w:after="60"/>
        <w:ind w:left="284" w:hanging="284"/>
      </w:pPr>
      <w:r>
        <w:t>licence fees</w:t>
      </w:r>
    </w:p>
    <w:p w:rsidR="00E56F48" w:rsidRDefault="00E56F48" w:rsidP="00B956BD">
      <w:pPr>
        <w:pStyle w:val="Bullet"/>
        <w:spacing w:after="60"/>
        <w:ind w:left="284" w:hanging="284"/>
      </w:pPr>
      <w:r>
        <w:t>regulatory contributions</w:t>
      </w:r>
    </w:p>
    <w:p w:rsidR="00E56F48" w:rsidRDefault="00E56F48" w:rsidP="00B956BD">
      <w:pPr>
        <w:pStyle w:val="Bullet"/>
        <w:spacing w:after="60"/>
        <w:ind w:left="284" w:hanging="284"/>
      </w:pPr>
      <w:r>
        <w:t>interest</w:t>
      </w:r>
      <w:r w:rsidR="009017A1">
        <w:rPr>
          <w:lang w:val="en-AU"/>
        </w:rPr>
        <w:t>, and</w:t>
      </w:r>
    </w:p>
    <w:p w:rsidR="00E56F48" w:rsidRPr="00E56F48" w:rsidRDefault="00E56F48" w:rsidP="00E56F48">
      <w:pPr>
        <w:pStyle w:val="Bullet"/>
      </w:pPr>
      <w:r>
        <w:t>sale of goods and rendering of services.</w:t>
      </w:r>
    </w:p>
    <w:p w:rsidR="00E56F48" w:rsidRDefault="00E56F48" w:rsidP="00E56F48">
      <w:pPr>
        <w:pStyle w:val="Heading5"/>
        <w:rPr>
          <w:rFonts w:cs="Arial"/>
          <w:snapToGrid w:val="0"/>
          <w:lang w:eastAsia="en-US"/>
        </w:rPr>
      </w:pPr>
      <w:r>
        <w:rPr>
          <w:rFonts w:cs="Arial"/>
          <w:snapToGrid w:val="0"/>
          <w:lang w:eastAsia="en-US"/>
        </w:rPr>
        <w:lastRenderedPageBreak/>
        <w:t>Workers’ compensation premiums</w:t>
      </w:r>
    </w:p>
    <w:p w:rsidR="00E56F48" w:rsidRDefault="00E56F48" w:rsidP="00E56F48">
      <w:r>
        <w:t>The premium scheme covers employees of Commonwealth Government agencies and the ACT Government covered by the SRC Act for injuries and illnesses sustained on or after 1 July 1989. Premiums are determined to fully fund the expected scheme liabilities as advised by independent actuaries</w:t>
      </w:r>
      <w:r>
        <w:rPr>
          <w:i/>
        </w:rPr>
        <w:t>.</w:t>
      </w:r>
    </w:p>
    <w:p w:rsidR="00E56F48" w:rsidRDefault="00E56F48" w:rsidP="00E56F48">
      <w:r>
        <w:t xml:space="preserve">Premiums do not cover liabilities for injuries or illness sustained prior to 1 July 1989. These liabilities are funded by Parliamentary appropriation and are referred to as </w:t>
      </w:r>
      <w:r>
        <w:br/>
        <w:t>‘pre-premium’ liabilities.</w:t>
      </w:r>
    </w:p>
    <w:p w:rsidR="00E56F48" w:rsidRDefault="00E56F48" w:rsidP="00E56F48">
      <w:pPr>
        <w:pStyle w:val="Heading5"/>
        <w:rPr>
          <w:rFonts w:cs="Arial"/>
          <w:snapToGrid w:val="0"/>
          <w:lang w:eastAsia="en-US"/>
        </w:rPr>
      </w:pPr>
      <w:r>
        <w:rPr>
          <w:rFonts w:cs="Arial"/>
          <w:snapToGrid w:val="0"/>
          <w:lang w:eastAsia="en-US"/>
        </w:rPr>
        <w:t>Grants received from portfolio department</w:t>
      </w:r>
    </w:p>
    <w:p w:rsidR="00E56F48" w:rsidRDefault="00E56F48" w:rsidP="00E56F48">
      <w:r>
        <w:t>Grants receive</w:t>
      </w:r>
      <w:r w:rsidR="00FF68FF">
        <w:t>d from the portfolio department</w:t>
      </w:r>
      <w:r>
        <w:t xml:space="preserve"> represent cash appropriation for the payment of pre-premium claims and administration costs, and asbestos claims costs.</w:t>
      </w:r>
    </w:p>
    <w:p w:rsidR="00E56F48" w:rsidRDefault="00E56F48" w:rsidP="00E56F48">
      <w:pPr>
        <w:pStyle w:val="Heading5"/>
        <w:rPr>
          <w:rFonts w:cs="Arial"/>
          <w:snapToGrid w:val="0"/>
          <w:lang w:eastAsia="en-US"/>
        </w:rPr>
      </w:pPr>
      <w:r>
        <w:rPr>
          <w:rFonts w:cs="Arial"/>
          <w:snapToGrid w:val="0"/>
          <w:lang w:eastAsia="en-US"/>
        </w:rPr>
        <w:t>Other non-tax revenue</w:t>
      </w:r>
    </w:p>
    <w:p w:rsidR="00E56F48" w:rsidRDefault="00E56F48" w:rsidP="00B956BD">
      <w:pPr>
        <w:spacing w:after="120"/>
      </w:pPr>
      <w:r>
        <w:t>‘Other non-tax revenue’ is a non-cash appropriation representing:</w:t>
      </w:r>
    </w:p>
    <w:p w:rsidR="00E56F48" w:rsidRDefault="00E56F48" w:rsidP="00B956BD">
      <w:pPr>
        <w:pStyle w:val="Bullet"/>
        <w:spacing w:after="120"/>
        <w:ind w:left="284" w:hanging="284"/>
      </w:pPr>
      <w:r>
        <w:t>the notional interest on retained premium funds held</w:t>
      </w:r>
      <w:r w:rsidR="00931196">
        <w:t xml:space="preserve"> with the Australian Government</w:t>
      </w:r>
      <w:r w:rsidR="00931196">
        <w:rPr>
          <w:lang w:val="en-AU"/>
        </w:rPr>
        <w:t>,</w:t>
      </w:r>
      <w:r>
        <w:t xml:space="preserve"> and</w:t>
      </w:r>
    </w:p>
    <w:p w:rsidR="00E56F48" w:rsidRPr="00E56F48" w:rsidRDefault="00E56F48" w:rsidP="00E56F48">
      <w:pPr>
        <w:pStyle w:val="Bullet"/>
        <w:ind w:left="284" w:hanging="284"/>
        <w:contextualSpacing/>
      </w:pPr>
      <w:r>
        <w:t>the movement in claims liabilities payable in future years based on independent actuarial assessment.</w:t>
      </w:r>
    </w:p>
    <w:p w:rsidR="00E56F48" w:rsidRDefault="00E56F48" w:rsidP="00E56F48">
      <w:pPr>
        <w:pStyle w:val="Heading5"/>
        <w:rPr>
          <w:rFonts w:cs="Arial"/>
          <w:snapToGrid w:val="0"/>
          <w:lang w:eastAsia="en-US"/>
        </w:rPr>
      </w:pPr>
      <w:r>
        <w:rPr>
          <w:rFonts w:cs="Arial"/>
          <w:snapToGrid w:val="0"/>
          <w:lang w:eastAsia="en-US"/>
        </w:rPr>
        <w:t>Administration expenses</w:t>
      </w:r>
    </w:p>
    <w:p w:rsidR="00E56F48" w:rsidRDefault="00E56F48" w:rsidP="00B956BD">
      <w:pPr>
        <w:spacing w:after="120"/>
      </w:pPr>
      <w:r>
        <w:t>Comcare administration expenses include:</w:t>
      </w:r>
    </w:p>
    <w:p w:rsidR="00E56F48" w:rsidRDefault="00E56F48" w:rsidP="00B956BD">
      <w:pPr>
        <w:pStyle w:val="Bullet"/>
        <w:spacing w:after="120"/>
        <w:ind w:left="284" w:hanging="284"/>
      </w:pPr>
      <w:r>
        <w:t>employee expense</w:t>
      </w:r>
      <w:r>
        <w:rPr>
          <w:lang w:val="en-AU"/>
        </w:rPr>
        <w:t>s—</w:t>
      </w:r>
      <w:r>
        <w:t>includes salaries, superannuation and the net in</w:t>
      </w:r>
      <w:r w:rsidR="00931196">
        <w:t>crease in employee entitlements</w:t>
      </w:r>
    </w:p>
    <w:p w:rsidR="00E56F48" w:rsidRDefault="00E56F48" w:rsidP="00B956BD">
      <w:pPr>
        <w:pStyle w:val="Bullet"/>
        <w:spacing w:after="120"/>
        <w:ind w:left="284" w:hanging="284"/>
      </w:pPr>
      <w:r>
        <w:t>suppliers—includes goods and s</w:t>
      </w:r>
      <w:r w:rsidR="00931196">
        <w:t>ervices procured from suppliers</w:t>
      </w:r>
      <w:r w:rsidR="009017A1">
        <w:rPr>
          <w:lang w:val="en-AU"/>
        </w:rPr>
        <w:t>, and</w:t>
      </w:r>
    </w:p>
    <w:p w:rsidR="00E56F48" w:rsidRDefault="00E56F48" w:rsidP="00E56F48">
      <w:pPr>
        <w:pStyle w:val="Bullet"/>
        <w:ind w:left="284" w:hanging="284"/>
        <w:contextualSpacing/>
      </w:pPr>
      <w:r>
        <w:t>depreciation and amortisation—property, plant and equipment and intangible assets are depreciated over their useful lives. Leasehold improvements are amortised over the lesser of the estimated useful life of the improvement or the unexpired period of the lease. In all cases, assets are depreciated using the straight line method.</w:t>
      </w:r>
    </w:p>
    <w:p w:rsidR="00E56F48" w:rsidRDefault="00E56F48" w:rsidP="00E56F48">
      <w:pPr>
        <w:pStyle w:val="Heading5"/>
        <w:rPr>
          <w:snapToGrid w:val="0"/>
          <w:lang w:eastAsia="en-US"/>
        </w:rPr>
      </w:pPr>
      <w:r>
        <w:rPr>
          <w:rFonts w:cs="Arial"/>
          <w:bCs w:val="0"/>
        </w:rPr>
        <w:t>Claims expenses</w:t>
      </w:r>
    </w:p>
    <w:p w:rsidR="00E56F48" w:rsidRDefault="00E56F48" w:rsidP="0079555A">
      <w:pPr>
        <w:spacing w:after="120"/>
      </w:pPr>
      <w:r>
        <w:t>Comcare recognises two types of claims expenses:</w:t>
      </w:r>
    </w:p>
    <w:p w:rsidR="00E56F48" w:rsidRPr="00E56F48" w:rsidRDefault="00E56F48" w:rsidP="0079555A">
      <w:pPr>
        <w:pStyle w:val="Bullet"/>
        <w:numPr>
          <w:ilvl w:val="0"/>
          <w:numId w:val="38"/>
        </w:numPr>
        <w:spacing w:after="120"/>
        <w:ind w:left="284" w:hanging="284"/>
      </w:pPr>
      <w:r w:rsidRPr="00E56F48">
        <w:t>Claims payments—includes workers’ compensation claims payments (premium and pre-premium) and common law settlements for asbestos-related compensation cases.</w:t>
      </w:r>
    </w:p>
    <w:p w:rsidR="00E56F48" w:rsidRPr="00E56F48" w:rsidRDefault="00E56F48" w:rsidP="00E01B4E">
      <w:pPr>
        <w:pStyle w:val="Bullet"/>
        <w:numPr>
          <w:ilvl w:val="0"/>
          <w:numId w:val="38"/>
        </w:numPr>
      </w:pPr>
      <w:r>
        <w:t>Movement in liabilities—net movements in outstanding workers’ compensation claims liabilities are recognised as expenses.</w:t>
      </w:r>
    </w:p>
    <w:p w:rsidR="00E56F48" w:rsidRDefault="00E56F48" w:rsidP="00E56F48">
      <w:pPr>
        <w:pStyle w:val="Heading4"/>
        <w:rPr>
          <w:rFonts w:cs="Arial"/>
          <w:snapToGrid w:val="0"/>
          <w:lang w:eastAsia="en-US"/>
        </w:rPr>
      </w:pPr>
      <w:r>
        <w:rPr>
          <w:rFonts w:cs="Arial"/>
          <w:snapToGrid w:val="0"/>
          <w:lang w:eastAsia="en-US"/>
        </w:rPr>
        <w:lastRenderedPageBreak/>
        <w:t>Departmental Balance Sheet</w:t>
      </w:r>
    </w:p>
    <w:p w:rsidR="00E56F48" w:rsidRDefault="00E56F48" w:rsidP="00E56F48">
      <w:pPr>
        <w:pStyle w:val="Heading5"/>
        <w:rPr>
          <w:rFonts w:cs="Arial"/>
          <w:snapToGrid w:val="0"/>
          <w:lang w:eastAsia="en-US"/>
        </w:rPr>
      </w:pPr>
      <w:r>
        <w:rPr>
          <w:rFonts w:cs="Arial"/>
          <w:snapToGrid w:val="0"/>
          <w:lang w:eastAsia="en-US"/>
        </w:rPr>
        <w:t>Cash and cash equivalents</w:t>
      </w:r>
    </w:p>
    <w:p w:rsidR="00E56F48" w:rsidRDefault="00E56F48" w:rsidP="00E56F48">
      <w:r>
        <w:t>Cash and cash equivalents include deposits at call and term deposits with a bank or financial institution.</w:t>
      </w:r>
    </w:p>
    <w:p w:rsidR="00E56F48" w:rsidRDefault="00E56F48" w:rsidP="00E56F48">
      <w:pPr>
        <w:pStyle w:val="Heading5"/>
        <w:rPr>
          <w:rFonts w:cs="Arial"/>
          <w:snapToGrid w:val="0"/>
          <w:lang w:eastAsia="en-US"/>
        </w:rPr>
      </w:pPr>
      <w:r>
        <w:rPr>
          <w:rFonts w:cs="Arial"/>
          <w:snapToGrid w:val="0"/>
          <w:lang w:eastAsia="en-US"/>
        </w:rPr>
        <w:t>Trade and other receivables</w:t>
      </w:r>
    </w:p>
    <w:p w:rsidR="00E56F48" w:rsidRDefault="00E56F48" w:rsidP="0079555A">
      <w:pPr>
        <w:spacing w:after="120"/>
      </w:pPr>
      <w:r>
        <w:t>Other receivables are the combined value of:</w:t>
      </w:r>
    </w:p>
    <w:p w:rsidR="00E56F48" w:rsidRDefault="00E56F48" w:rsidP="0079555A">
      <w:pPr>
        <w:pStyle w:val="Bullet"/>
        <w:spacing w:after="120"/>
        <w:ind w:left="284" w:hanging="284"/>
      </w:pPr>
      <w:r>
        <w:t>pre-premium and asbestos special appropriation receivable</w:t>
      </w:r>
      <w:r w:rsidR="009017A1">
        <w:rPr>
          <w:lang w:val="en-AU"/>
        </w:rPr>
        <w:t>, and</w:t>
      </w:r>
    </w:p>
    <w:p w:rsidR="00E56F48" w:rsidRDefault="00E56F48" w:rsidP="00E56F48">
      <w:pPr>
        <w:pStyle w:val="Bullet"/>
        <w:ind w:left="284" w:hanging="284"/>
        <w:contextualSpacing/>
      </w:pPr>
      <w:r>
        <w:t>premiums collected by Comcare prior to 1 July 2002 held by the Australian Government plus earned notional interest, in accordance with Section 90C of the SRC Act.</w:t>
      </w:r>
    </w:p>
    <w:p w:rsidR="00E56F48" w:rsidRDefault="00E56F48" w:rsidP="00E56F48">
      <w:pPr>
        <w:pStyle w:val="Heading5"/>
        <w:rPr>
          <w:rFonts w:cs="Arial"/>
          <w:snapToGrid w:val="0"/>
          <w:lang w:eastAsia="en-US"/>
        </w:rPr>
      </w:pPr>
      <w:r>
        <w:rPr>
          <w:rFonts w:cs="Arial"/>
          <w:snapToGrid w:val="0"/>
          <w:lang w:eastAsia="en-US"/>
        </w:rPr>
        <w:t>Employee provisions</w:t>
      </w:r>
    </w:p>
    <w:p w:rsidR="00E56F48" w:rsidRDefault="00E56F48" w:rsidP="00E56F48">
      <w:r>
        <w:t xml:space="preserve">The provision for employee entitlements encompasses unpaid annual and long service leave. No provision is made for sick leave. </w:t>
      </w:r>
    </w:p>
    <w:p w:rsidR="00AA5639" w:rsidRDefault="00AA5639" w:rsidP="00AA5639">
      <w:pPr>
        <w:pStyle w:val="Heading5"/>
        <w:rPr>
          <w:rFonts w:cs="Arial"/>
          <w:snapToGrid w:val="0"/>
          <w:lang w:eastAsia="en-US"/>
        </w:rPr>
      </w:pPr>
      <w:r>
        <w:rPr>
          <w:rFonts w:cs="Arial"/>
          <w:snapToGrid w:val="0"/>
          <w:lang w:eastAsia="en-US"/>
        </w:rPr>
        <w:t>Other provisions</w:t>
      </w:r>
    </w:p>
    <w:p w:rsidR="00AA5639" w:rsidRDefault="00AA5639" w:rsidP="0079555A">
      <w:pPr>
        <w:spacing w:after="120"/>
      </w:pPr>
      <w:r>
        <w:t>Provision is made for:</w:t>
      </w:r>
    </w:p>
    <w:p w:rsidR="00AA5639" w:rsidRDefault="00AA5639" w:rsidP="0079555A">
      <w:pPr>
        <w:pStyle w:val="Bullet"/>
        <w:spacing w:after="120"/>
        <w:ind w:left="284" w:hanging="284"/>
      </w:pPr>
      <w:r>
        <w:t>outstanding workers’ compensation claims liabilities</w:t>
      </w:r>
      <w:r w:rsidR="009017A1">
        <w:rPr>
          <w:lang w:val="en-AU"/>
        </w:rPr>
        <w:t>, and</w:t>
      </w:r>
    </w:p>
    <w:p w:rsidR="00AA5639" w:rsidRDefault="00AA5639" w:rsidP="00AA5639">
      <w:pPr>
        <w:pStyle w:val="Bullet"/>
        <w:ind w:left="284" w:hanging="284"/>
        <w:contextualSpacing/>
      </w:pPr>
      <w:r>
        <w:t>asbestos-related common law liabilities.</w:t>
      </w:r>
    </w:p>
    <w:p w:rsidR="00AA5639" w:rsidRDefault="00AA5639" w:rsidP="00AA5639">
      <w:r>
        <w:t xml:space="preserve">These estimates have been prepared by independent actuaries. They are based on analysis of the historical development of the relevant claims experience, with allowances for future claim escalation and administration expenses, and are discounted to a present value to allow for the time value of money. </w:t>
      </w:r>
    </w:p>
    <w:p w:rsidR="00E56F48" w:rsidRPr="00E56F48" w:rsidRDefault="00AA5639" w:rsidP="00AA5639">
      <w:r>
        <w:t>The estimates of outstanding liabilities have been based on independent actuarial valuations on the basis of the central estimate plus the risk margin that would achieve a 75 per cent probability of sufficiency.</w:t>
      </w:r>
    </w:p>
    <w:p w:rsidR="00E9293F" w:rsidRDefault="00E9293F" w:rsidP="003F3839"/>
    <w:p w:rsidR="00E9293F" w:rsidRDefault="00E9293F" w:rsidP="003F3839">
      <w:pPr>
        <w:sectPr w:rsidR="00E9293F" w:rsidSect="00ED7D37">
          <w:headerReference w:type="even" r:id="rId104"/>
          <w:headerReference w:type="first" r:id="rId105"/>
          <w:footnotePr>
            <w:numRestart w:val="eachPage"/>
          </w:footnotePr>
          <w:type w:val="oddPage"/>
          <w:pgSz w:w="11906" w:h="16838" w:code="9"/>
          <w:pgMar w:top="2466" w:right="2098" w:bottom="2127" w:left="2098" w:header="1899" w:footer="1899" w:gutter="0"/>
          <w:cols w:space="708"/>
          <w:titlePg/>
          <w:docGrid w:linePitch="360"/>
        </w:sectPr>
      </w:pPr>
    </w:p>
    <w:p w:rsidR="003F3839" w:rsidRPr="005A7C0B" w:rsidRDefault="003D6968" w:rsidP="00EB77C1">
      <w:pPr>
        <w:pStyle w:val="PartHeading"/>
        <w:spacing w:after="2160"/>
      </w:pPr>
      <w:r>
        <w:lastRenderedPageBreak/>
        <w:t>Fair Work Commission</w:t>
      </w:r>
    </w:p>
    <w:p w:rsidR="003F3839" w:rsidRDefault="003F3839" w:rsidP="003F3839">
      <w:pPr>
        <w:pStyle w:val="PartHeading-TOC"/>
      </w:pPr>
      <w:bookmarkStart w:id="366" w:name="_Toc511634919"/>
      <w:bookmarkStart w:id="367" w:name="_Toc511635314"/>
      <w:bookmarkStart w:id="368" w:name="_Toc511651063"/>
      <w:r>
        <w:t>Entity resources and planned performance</w:t>
      </w:r>
      <w:bookmarkEnd w:id="366"/>
      <w:bookmarkEnd w:id="367"/>
      <w:bookmarkEnd w:id="368"/>
    </w:p>
    <w:p w:rsidR="00392ACA" w:rsidRPr="00392ACA" w:rsidRDefault="00392ACA" w:rsidP="00392ACA">
      <w:pPr>
        <w:sectPr w:rsidR="00392ACA" w:rsidRPr="00392ACA" w:rsidSect="005A7C0B">
          <w:headerReference w:type="even" r:id="rId106"/>
          <w:headerReference w:type="default" r:id="rId107"/>
          <w:headerReference w:type="first" r:id="rId108"/>
          <w:footerReference w:type="first" r:id="rId109"/>
          <w:footnotePr>
            <w:numRestart w:val="eachPage"/>
          </w:footnotePr>
          <w:type w:val="oddPage"/>
          <w:pgSz w:w="11906" w:h="16838" w:code="9"/>
          <w:pgMar w:top="2466" w:right="2098" w:bottom="2466" w:left="2098" w:header="1899" w:footer="1899" w:gutter="0"/>
          <w:cols w:space="708"/>
          <w:vAlign w:val="center"/>
          <w:titlePg/>
          <w:docGrid w:linePitch="360"/>
        </w:sectPr>
      </w:pPr>
    </w:p>
    <w:p w:rsidR="003F3839" w:rsidRPr="002A32FD" w:rsidRDefault="003D6968" w:rsidP="003F3839">
      <w:pPr>
        <w:pStyle w:val="ContentsHeading"/>
      </w:pPr>
      <w:r>
        <w:lastRenderedPageBreak/>
        <w:t>Fair Work Commission</w:t>
      </w:r>
    </w:p>
    <w:p w:rsidR="0032312E" w:rsidRPr="008847A3" w:rsidRDefault="003F3839">
      <w:pPr>
        <w:pStyle w:val="TOC1"/>
        <w:rPr>
          <w:rFonts w:ascii="Calibri" w:hAnsi="Calibri"/>
          <w:b w:val="0"/>
          <w:caps w:val="0"/>
          <w:noProof/>
          <w:sz w:val="22"/>
          <w:szCs w:val="22"/>
        </w:rPr>
      </w:pPr>
      <w:r w:rsidRPr="00BF51E9">
        <w:fldChar w:fldCharType="begin"/>
      </w:r>
      <w:r w:rsidRPr="00BF51E9">
        <w:instrText xml:space="preserve"> TOC \h \z \t "Heading 2,1,Heading 3,2" </w:instrText>
      </w:r>
      <w:r w:rsidRPr="00BF51E9">
        <w:fldChar w:fldCharType="separate"/>
      </w:r>
      <w:hyperlink w:anchor="_Toc511747248" w:history="1">
        <w:r w:rsidR="0032312E" w:rsidRPr="009850EB">
          <w:rPr>
            <w:rStyle w:val="Hyperlink"/>
            <w:noProof/>
          </w:rPr>
          <w:t>Section 1: Entity overview and resources</w:t>
        </w:r>
        <w:r w:rsidR="0032312E">
          <w:rPr>
            <w:noProof/>
            <w:webHidden/>
          </w:rPr>
          <w:tab/>
        </w:r>
        <w:r w:rsidR="0032312E">
          <w:rPr>
            <w:noProof/>
            <w:webHidden/>
          </w:rPr>
          <w:fldChar w:fldCharType="begin"/>
        </w:r>
        <w:r w:rsidR="0032312E">
          <w:rPr>
            <w:noProof/>
            <w:webHidden/>
          </w:rPr>
          <w:instrText xml:space="preserve"> PAGEREF _Toc511747248 \h </w:instrText>
        </w:r>
        <w:r w:rsidR="0032312E">
          <w:rPr>
            <w:noProof/>
            <w:webHidden/>
          </w:rPr>
        </w:r>
        <w:r w:rsidR="0032312E">
          <w:rPr>
            <w:noProof/>
            <w:webHidden/>
          </w:rPr>
          <w:fldChar w:fldCharType="separate"/>
        </w:r>
        <w:r w:rsidR="007212DF">
          <w:rPr>
            <w:noProof/>
            <w:webHidden/>
          </w:rPr>
          <w:t>113</w:t>
        </w:r>
        <w:r w:rsidR="0032312E">
          <w:rPr>
            <w:noProof/>
            <w:webHidden/>
          </w:rPr>
          <w:fldChar w:fldCharType="end"/>
        </w:r>
      </w:hyperlink>
    </w:p>
    <w:p w:rsidR="0032312E" w:rsidRPr="008847A3" w:rsidRDefault="0032312E">
      <w:pPr>
        <w:pStyle w:val="TOC2"/>
        <w:tabs>
          <w:tab w:val="left" w:pos="800"/>
        </w:tabs>
        <w:rPr>
          <w:rFonts w:ascii="Calibri" w:hAnsi="Calibri"/>
          <w:noProof/>
          <w:sz w:val="22"/>
          <w:szCs w:val="22"/>
        </w:rPr>
      </w:pPr>
      <w:hyperlink w:anchor="_Toc511747249" w:history="1">
        <w:r w:rsidRPr="009850EB">
          <w:rPr>
            <w:rStyle w:val="Hyperlink"/>
            <w:noProof/>
          </w:rPr>
          <w:t>1.1</w:t>
        </w:r>
        <w:r w:rsidRPr="008847A3">
          <w:rPr>
            <w:rFonts w:ascii="Calibri" w:hAnsi="Calibri"/>
            <w:noProof/>
            <w:sz w:val="22"/>
            <w:szCs w:val="22"/>
          </w:rPr>
          <w:tab/>
        </w:r>
        <w:r w:rsidRPr="009850EB">
          <w:rPr>
            <w:rStyle w:val="Hyperlink"/>
            <w:noProof/>
          </w:rPr>
          <w:t>Strategic direction statement</w:t>
        </w:r>
        <w:r>
          <w:rPr>
            <w:noProof/>
            <w:webHidden/>
          </w:rPr>
          <w:tab/>
        </w:r>
        <w:r>
          <w:rPr>
            <w:noProof/>
            <w:webHidden/>
          </w:rPr>
          <w:fldChar w:fldCharType="begin"/>
        </w:r>
        <w:r>
          <w:rPr>
            <w:noProof/>
            <w:webHidden/>
          </w:rPr>
          <w:instrText xml:space="preserve"> PAGEREF _Toc511747249 \h </w:instrText>
        </w:r>
        <w:r>
          <w:rPr>
            <w:noProof/>
            <w:webHidden/>
          </w:rPr>
        </w:r>
        <w:r>
          <w:rPr>
            <w:noProof/>
            <w:webHidden/>
          </w:rPr>
          <w:fldChar w:fldCharType="separate"/>
        </w:r>
        <w:r w:rsidR="007212DF">
          <w:rPr>
            <w:noProof/>
            <w:webHidden/>
          </w:rPr>
          <w:t>113</w:t>
        </w:r>
        <w:r>
          <w:rPr>
            <w:noProof/>
            <w:webHidden/>
          </w:rPr>
          <w:fldChar w:fldCharType="end"/>
        </w:r>
      </w:hyperlink>
    </w:p>
    <w:p w:rsidR="0032312E" w:rsidRPr="008847A3" w:rsidRDefault="0032312E">
      <w:pPr>
        <w:pStyle w:val="TOC2"/>
        <w:tabs>
          <w:tab w:val="left" w:pos="800"/>
        </w:tabs>
        <w:rPr>
          <w:rFonts w:ascii="Calibri" w:hAnsi="Calibri"/>
          <w:noProof/>
          <w:sz w:val="22"/>
          <w:szCs w:val="22"/>
        </w:rPr>
      </w:pPr>
      <w:hyperlink w:anchor="_Toc511747250" w:history="1">
        <w:r w:rsidRPr="009850EB">
          <w:rPr>
            <w:rStyle w:val="Hyperlink"/>
            <w:noProof/>
          </w:rPr>
          <w:t>1.2</w:t>
        </w:r>
        <w:r w:rsidRPr="008847A3">
          <w:rPr>
            <w:rFonts w:ascii="Calibri" w:hAnsi="Calibri"/>
            <w:noProof/>
            <w:sz w:val="22"/>
            <w:szCs w:val="22"/>
          </w:rPr>
          <w:tab/>
        </w:r>
        <w:r w:rsidRPr="009850EB">
          <w:rPr>
            <w:rStyle w:val="Hyperlink"/>
            <w:noProof/>
          </w:rPr>
          <w:t>Entity resource statement</w:t>
        </w:r>
        <w:r>
          <w:rPr>
            <w:noProof/>
            <w:webHidden/>
          </w:rPr>
          <w:tab/>
        </w:r>
        <w:r>
          <w:rPr>
            <w:noProof/>
            <w:webHidden/>
          </w:rPr>
          <w:fldChar w:fldCharType="begin"/>
        </w:r>
        <w:r>
          <w:rPr>
            <w:noProof/>
            <w:webHidden/>
          </w:rPr>
          <w:instrText xml:space="preserve"> PAGEREF _Toc511747250 \h </w:instrText>
        </w:r>
        <w:r>
          <w:rPr>
            <w:noProof/>
            <w:webHidden/>
          </w:rPr>
        </w:r>
        <w:r>
          <w:rPr>
            <w:noProof/>
            <w:webHidden/>
          </w:rPr>
          <w:fldChar w:fldCharType="separate"/>
        </w:r>
        <w:r w:rsidR="007212DF">
          <w:rPr>
            <w:noProof/>
            <w:webHidden/>
          </w:rPr>
          <w:t>114</w:t>
        </w:r>
        <w:r>
          <w:rPr>
            <w:noProof/>
            <w:webHidden/>
          </w:rPr>
          <w:fldChar w:fldCharType="end"/>
        </w:r>
      </w:hyperlink>
    </w:p>
    <w:p w:rsidR="0032312E" w:rsidRPr="008847A3" w:rsidRDefault="0032312E">
      <w:pPr>
        <w:pStyle w:val="TOC2"/>
        <w:tabs>
          <w:tab w:val="left" w:pos="800"/>
        </w:tabs>
        <w:rPr>
          <w:rFonts w:ascii="Calibri" w:hAnsi="Calibri"/>
          <w:noProof/>
          <w:sz w:val="22"/>
          <w:szCs w:val="22"/>
        </w:rPr>
      </w:pPr>
      <w:hyperlink w:anchor="_Toc511747251" w:history="1">
        <w:r w:rsidRPr="009850EB">
          <w:rPr>
            <w:rStyle w:val="Hyperlink"/>
            <w:noProof/>
          </w:rPr>
          <w:t>1.3</w:t>
        </w:r>
        <w:r w:rsidRPr="008847A3">
          <w:rPr>
            <w:rFonts w:ascii="Calibri" w:hAnsi="Calibri"/>
            <w:noProof/>
            <w:sz w:val="22"/>
            <w:szCs w:val="22"/>
          </w:rPr>
          <w:tab/>
        </w:r>
        <w:r w:rsidRPr="009850EB">
          <w:rPr>
            <w:rStyle w:val="Hyperlink"/>
            <w:noProof/>
          </w:rPr>
          <w:t>Budget measures</w:t>
        </w:r>
        <w:r>
          <w:rPr>
            <w:noProof/>
            <w:webHidden/>
          </w:rPr>
          <w:tab/>
        </w:r>
        <w:r>
          <w:rPr>
            <w:noProof/>
            <w:webHidden/>
          </w:rPr>
          <w:fldChar w:fldCharType="begin"/>
        </w:r>
        <w:r>
          <w:rPr>
            <w:noProof/>
            <w:webHidden/>
          </w:rPr>
          <w:instrText xml:space="preserve"> PAGEREF _Toc511747251 \h </w:instrText>
        </w:r>
        <w:r>
          <w:rPr>
            <w:noProof/>
            <w:webHidden/>
          </w:rPr>
        </w:r>
        <w:r>
          <w:rPr>
            <w:noProof/>
            <w:webHidden/>
          </w:rPr>
          <w:fldChar w:fldCharType="separate"/>
        </w:r>
        <w:r w:rsidR="007212DF">
          <w:rPr>
            <w:noProof/>
            <w:webHidden/>
          </w:rPr>
          <w:t>115</w:t>
        </w:r>
        <w:r>
          <w:rPr>
            <w:noProof/>
            <w:webHidden/>
          </w:rPr>
          <w:fldChar w:fldCharType="end"/>
        </w:r>
      </w:hyperlink>
    </w:p>
    <w:p w:rsidR="0032312E" w:rsidRPr="008847A3" w:rsidRDefault="0032312E">
      <w:pPr>
        <w:pStyle w:val="TOC1"/>
        <w:rPr>
          <w:rFonts w:ascii="Calibri" w:hAnsi="Calibri"/>
          <w:b w:val="0"/>
          <w:caps w:val="0"/>
          <w:noProof/>
          <w:sz w:val="22"/>
          <w:szCs w:val="22"/>
        </w:rPr>
      </w:pPr>
      <w:hyperlink w:anchor="_Toc511747252" w:history="1">
        <w:r w:rsidRPr="009850EB">
          <w:rPr>
            <w:rStyle w:val="Hyperlink"/>
            <w:noProof/>
          </w:rPr>
          <w:t>Section 2: Outcomes and planned performance</w:t>
        </w:r>
        <w:r>
          <w:rPr>
            <w:noProof/>
            <w:webHidden/>
          </w:rPr>
          <w:tab/>
        </w:r>
        <w:r>
          <w:rPr>
            <w:noProof/>
            <w:webHidden/>
          </w:rPr>
          <w:fldChar w:fldCharType="begin"/>
        </w:r>
        <w:r>
          <w:rPr>
            <w:noProof/>
            <w:webHidden/>
          </w:rPr>
          <w:instrText xml:space="preserve"> PAGEREF _Toc511747252 \h </w:instrText>
        </w:r>
        <w:r>
          <w:rPr>
            <w:noProof/>
            <w:webHidden/>
          </w:rPr>
        </w:r>
        <w:r>
          <w:rPr>
            <w:noProof/>
            <w:webHidden/>
          </w:rPr>
          <w:fldChar w:fldCharType="separate"/>
        </w:r>
        <w:r w:rsidR="007212DF">
          <w:rPr>
            <w:noProof/>
            <w:webHidden/>
          </w:rPr>
          <w:t>116</w:t>
        </w:r>
        <w:r>
          <w:rPr>
            <w:noProof/>
            <w:webHidden/>
          </w:rPr>
          <w:fldChar w:fldCharType="end"/>
        </w:r>
      </w:hyperlink>
    </w:p>
    <w:p w:rsidR="0032312E" w:rsidRPr="008847A3" w:rsidRDefault="0032312E">
      <w:pPr>
        <w:pStyle w:val="TOC2"/>
        <w:tabs>
          <w:tab w:val="left" w:pos="800"/>
        </w:tabs>
        <w:rPr>
          <w:rFonts w:ascii="Calibri" w:hAnsi="Calibri"/>
          <w:noProof/>
          <w:sz w:val="22"/>
          <w:szCs w:val="22"/>
        </w:rPr>
      </w:pPr>
      <w:hyperlink w:anchor="_Toc511747253" w:history="1">
        <w:r w:rsidRPr="009850EB">
          <w:rPr>
            <w:rStyle w:val="Hyperlink"/>
            <w:noProof/>
          </w:rPr>
          <w:t xml:space="preserve">2.1 </w:t>
        </w:r>
        <w:r w:rsidRPr="008847A3">
          <w:rPr>
            <w:rFonts w:ascii="Calibri" w:hAnsi="Calibri"/>
            <w:noProof/>
            <w:sz w:val="22"/>
            <w:szCs w:val="22"/>
          </w:rPr>
          <w:tab/>
        </w:r>
        <w:r w:rsidRPr="009850EB">
          <w:rPr>
            <w:rStyle w:val="Hyperlink"/>
            <w:noProof/>
          </w:rPr>
          <w:t>Budgeted expenses and performance for Outcome 1</w:t>
        </w:r>
        <w:r>
          <w:rPr>
            <w:noProof/>
            <w:webHidden/>
          </w:rPr>
          <w:tab/>
        </w:r>
        <w:r>
          <w:rPr>
            <w:noProof/>
            <w:webHidden/>
          </w:rPr>
          <w:fldChar w:fldCharType="begin"/>
        </w:r>
        <w:r>
          <w:rPr>
            <w:noProof/>
            <w:webHidden/>
          </w:rPr>
          <w:instrText xml:space="preserve"> PAGEREF _Toc511747253 \h </w:instrText>
        </w:r>
        <w:r>
          <w:rPr>
            <w:noProof/>
            <w:webHidden/>
          </w:rPr>
        </w:r>
        <w:r>
          <w:rPr>
            <w:noProof/>
            <w:webHidden/>
          </w:rPr>
          <w:fldChar w:fldCharType="separate"/>
        </w:r>
        <w:r w:rsidR="007212DF">
          <w:rPr>
            <w:noProof/>
            <w:webHidden/>
          </w:rPr>
          <w:t>117</w:t>
        </w:r>
        <w:r>
          <w:rPr>
            <w:noProof/>
            <w:webHidden/>
          </w:rPr>
          <w:fldChar w:fldCharType="end"/>
        </w:r>
      </w:hyperlink>
    </w:p>
    <w:p w:rsidR="0032312E" w:rsidRPr="008847A3" w:rsidRDefault="0032312E">
      <w:pPr>
        <w:pStyle w:val="TOC1"/>
        <w:rPr>
          <w:rFonts w:ascii="Calibri" w:hAnsi="Calibri"/>
          <w:b w:val="0"/>
          <w:caps w:val="0"/>
          <w:noProof/>
          <w:sz w:val="22"/>
          <w:szCs w:val="22"/>
        </w:rPr>
      </w:pPr>
      <w:hyperlink w:anchor="_Toc511747254" w:history="1">
        <w:r w:rsidRPr="009850EB">
          <w:rPr>
            <w:rStyle w:val="Hyperlink"/>
            <w:noProof/>
          </w:rPr>
          <w:t>Section 3: Budgeted financial statements</w:t>
        </w:r>
        <w:r>
          <w:rPr>
            <w:noProof/>
            <w:webHidden/>
          </w:rPr>
          <w:tab/>
        </w:r>
        <w:r>
          <w:rPr>
            <w:noProof/>
            <w:webHidden/>
          </w:rPr>
          <w:fldChar w:fldCharType="begin"/>
        </w:r>
        <w:r>
          <w:rPr>
            <w:noProof/>
            <w:webHidden/>
          </w:rPr>
          <w:instrText xml:space="preserve"> PAGEREF _Toc511747254 \h </w:instrText>
        </w:r>
        <w:r>
          <w:rPr>
            <w:noProof/>
            <w:webHidden/>
          </w:rPr>
        </w:r>
        <w:r>
          <w:rPr>
            <w:noProof/>
            <w:webHidden/>
          </w:rPr>
          <w:fldChar w:fldCharType="separate"/>
        </w:r>
        <w:r w:rsidR="007212DF">
          <w:rPr>
            <w:noProof/>
            <w:webHidden/>
          </w:rPr>
          <w:t>120</w:t>
        </w:r>
        <w:r>
          <w:rPr>
            <w:noProof/>
            <w:webHidden/>
          </w:rPr>
          <w:fldChar w:fldCharType="end"/>
        </w:r>
      </w:hyperlink>
    </w:p>
    <w:p w:rsidR="0032312E" w:rsidRPr="008847A3" w:rsidRDefault="0032312E">
      <w:pPr>
        <w:pStyle w:val="TOC2"/>
        <w:tabs>
          <w:tab w:val="left" w:pos="800"/>
        </w:tabs>
        <w:rPr>
          <w:rFonts w:ascii="Calibri" w:hAnsi="Calibri"/>
          <w:noProof/>
          <w:sz w:val="22"/>
          <w:szCs w:val="22"/>
        </w:rPr>
      </w:pPr>
      <w:hyperlink w:anchor="_Toc511747255" w:history="1">
        <w:r w:rsidRPr="009850EB">
          <w:rPr>
            <w:rStyle w:val="Hyperlink"/>
            <w:noProof/>
          </w:rPr>
          <w:t>3.1</w:t>
        </w:r>
        <w:r w:rsidRPr="008847A3">
          <w:rPr>
            <w:rFonts w:ascii="Calibri" w:hAnsi="Calibri"/>
            <w:noProof/>
            <w:sz w:val="22"/>
            <w:szCs w:val="22"/>
          </w:rPr>
          <w:tab/>
        </w:r>
        <w:r w:rsidRPr="009850EB">
          <w:rPr>
            <w:rStyle w:val="Hyperlink"/>
            <w:noProof/>
          </w:rPr>
          <w:t>Budgeted financial statements</w:t>
        </w:r>
        <w:r>
          <w:rPr>
            <w:noProof/>
            <w:webHidden/>
          </w:rPr>
          <w:tab/>
        </w:r>
        <w:r>
          <w:rPr>
            <w:noProof/>
            <w:webHidden/>
          </w:rPr>
          <w:fldChar w:fldCharType="begin"/>
        </w:r>
        <w:r>
          <w:rPr>
            <w:noProof/>
            <w:webHidden/>
          </w:rPr>
          <w:instrText xml:space="preserve"> PAGEREF _Toc511747255 \h </w:instrText>
        </w:r>
        <w:r>
          <w:rPr>
            <w:noProof/>
            <w:webHidden/>
          </w:rPr>
        </w:r>
        <w:r>
          <w:rPr>
            <w:noProof/>
            <w:webHidden/>
          </w:rPr>
          <w:fldChar w:fldCharType="separate"/>
        </w:r>
        <w:r w:rsidR="007212DF">
          <w:rPr>
            <w:noProof/>
            <w:webHidden/>
          </w:rPr>
          <w:t>120</w:t>
        </w:r>
        <w:r>
          <w:rPr>
            <w:noProof/>
            <w:webHidden/>
          </w:rPr>
          <w:fldChar w:fldCharType="end"/>
        </w:r>
      </w:hyperlink>
    </w:p>
    <w:p w:rsidR="0032312E" w:rsidRPr="008847A3" w:rsidRDefault="0032312E">
      <w:pPr>
        <w:pStyle w:val="TOC2"/>
        <w:tabs>
          <w:tab w:val="left" w:pos="800"/>
        </w:tabs>
        <w:rPr>
          <w:rFonts w:ascii="Calibri" w:hAnsi="Calibri"/>
          <w:noProof/>
          <w:sz w:val="22"/>
          <w:szCs w:val="22"/>
        </w:rPr>
      </w:pPr>
      <w:hyperlink w:anchor="_Toc511747256" w:history="1">
        <w:r w:rsidRPr="009850EB">
          <w:rPr>
            <w:rStyle w:val="Hyperlink"/>
            <w:noProof/>
          </w:rPr>
          <w:t>3.2.</w:t>
        </w:r>
        <w:r w:rsidRPr="008847A3">
          <w:rPr>
            <w:rFonts w:ascii="Calibri" w:hAnsi="Calibri"/>
            <w:noProof/>
            <w:sz w:val="22"/>
            <w:szCs w:val="22"/>
          </w:rPr>
          <w:tab/>
        </w:r>
        <w:r w:rsidRPr="009850EB">
          <w:rPr>
            <w:rStyle w:val="Hyperlink"/>
            <w:noProof/>
          </w:rPr>
          <w:t>Budgeted financial statements tables</w:t>
        </w:r>
        <w:r>
          <w:rPr>
            <w:noProof/>
            <w:webHidden/>
          </w:rPr>
          <w:tab/>
        </w:r>
        <w:r>
          <w:rPr>
            <w:noProof/>
            <w:webHidden/>
          </w:rPr>
          <w:fldChar w:fldCharType="begin"/>
        </w:r>
        <w:r>
          <w:rPr>
            <w:noProof/>
            <w:webHidden/>
          </w:rPr>
          <w:instrText xml:space="preserve"> PAGEREF _Toc511747256 \h </w:instrText>
        </w:r>
        <w:r>
          <w:rPr>
            <w:noProof/>
            <w:webHidden/>
          </w:rPr>
        </w:r>
        <w:r>
          <w:rPr>
            <w:noProof/>
            <w:webHidden/>
          </w:rPr>
          <w:fldChar w:fldCharType="separate"/>
        </w:r>
        <w:r w:rsidR="007212DF">
          <w:rPr>
            <w:noProof/>
            <w:webHidden/>
          </w:rPr>
          <w:t>121</w:t>
        </w:r>
        <w:r>
          <w:rPr>
            <w:noProof/>
            <w:webHidden/>
          </w:rPr>
          <w:fldChar w:fldCharType="end"/>
        </w:r>
      </w:hyperlink>
    </w:p>
    <w:p w:rsidR="003F3839" w:rsidRPr="00BF51E9" w:rsidRDefault="003F3839" w:rsidP="003F3839">
      <w:pPr>
        <w:pStyle w:val="TOC1"/>
      </w:pPr>
      <w:r w:rsidRPr="00BF51E9">
        <w:fldChar w:fldCharType="end"/>
      </w:r>
    </w:p>
    <w:p w:rsidR="00392ACA" w:rsidRDefault="00392ACA" w:rsidP="003F3839">
      <w:pPr>
        <w:sectPr w:rsidR="00392ACA" w:rsidSect="0050346A">
          <w:headerReference w:type="even" r:id="rId110"/>
          <w:headerReference w:type="default" r:id="rId111"/>
          <w:headerReference w:type="first" r:id="rId112"/>
          <w:footerReference w:type="first" r:id="rId113"/>
          <w:footnotePr>
            <w:numRestart w:val="eachPage"/>
          </w:footnotePr>
          <w:type w:val="oddPage"/>
          <w:pgSz w:w="11906" w:h="16838" w:code="9"/>
          <w:pgMar w:top="2466" w:right="2098" w:bottom="2466" w:left="2098" w:header="1899" w:footer="1899" w:gutter="0"/>
          <w:cols w:space="708"/>
          <w:titlePg/>
          <w:docGrid w:linePitch="360"/>
        </w:sectPr>
      </w:pPr>
    </w:p>
    <w:p w:rsidR="00392ACA" w:rsidRDefault="00392ACA" w:rsidP="00392ACA">
      <w:pPr>
        <w:pStyle w:val="Heading1"/>
      </w:pPr>
      <w:bookmarkStart w:id="369" w:name="_Toc511635315"/>
      <w:bookmarkStart w:id="370" w:name="_Toc511651064"/>
      <w:r>
        <w:lastRenderedPageBreak/>
        <w:t>Fair Work Commission</w:t>
      </w:r>
      <w:bookmarkEnd w:id="369"/>
      <w:bookmarkEnd w:id="370"/>
    </w:p>
    <w:p w:rsidR="00392ACA" w:rsidRPr="002C4D41" w:rsidRDefault="00392ACA" w:rsidP="00392ACA">
      <w:pPr>
        <w:pStyle w:val="Heading2"/>
      </w:pPr>
      <w:bookmarkStart w:id="371" w:name="_Toc511656281"/>
      <w:bookmarkStart w:id="372" w:name="_Toc511722654"/>
      <w:bookmarkStart w:id="373" w:name="_Toc511736986"/>
      <w:bookmarkStart w:id="374" w:name="_Toc511747248"/>
      <w:bookmarkStart w:id="375" w:name="_Toc511765651"/>
      <w:bookmarkStart w:id="376" w:name="_Toc511828707"/>
      <w:bookmarkStart w:id="377" w:name="_Toc511836846"/>
      <w:bookmarkStart w:id="378" w:name="_Toc511902552"/>
      <w:r w:rsidRPr="002C4D41">
        <w:t>Section 1: Entity overview and resources</w:t>
      </w:r>
      <w:bookmarkEnd w:id="371"/>
      <w:bookmarkEnd w:id="372"/>
      <w:bookmarkEnd w:id="373"/>
      <w:bookmarkEnd w:id="374"/>
      <w:bookmarkEnd w:id="375"/>
      <w:bookmarkEnd w:id="376"/>
      <w:bookmarkEnd w:id="377"/>
      <w:bookmarkEnd w:id="378"/>
    </w:p>
    <w:p w:rsidR="00392ACA" w:rsidRDefault="00392ACA" w:rsidP="00392ACA">
      <w:pPr>
        <w:pStyle w:val="Heading3"/>
      </w:pPr>
      <w:bookmarkStart w:id="379" w:name="_Toc511656282"/>
      <w:bookmarkStart w:id="380" w:name="_Toc511722655"/>
      <w:bookmarkStart w:id="381" w:name="_Toc511736987"/>
      <w:bookmarkStart w:id="382" w:name="_Toc511747249"/>
      <w:bookmarkStart w:id="383" w:name="_Toc511765652"/>
      <w:bookmarkStart w:id="384" w:name="_Toc511828708"/>
      <w:bookmarkStart w:id="385" w:name="_Toc511836847"/>
      <w:bookmarkStart w:id="386" w:name="_Toc511902553"/>
      <w:r>
        <w:t>1.1</w:t>
      </w:r>
      <w:r>
        <w:tab/>
        <w:t>Strategic direction statement</w:t>
      </w:r>
      <w:bookmarkEnd w:id="379"/>
      <w:bookmarkEnd w:id="380"/>
      <w:bookmarkEnd w:id="381"/>
      <w:bookmarkEnd w:id="382"/>
      <w:bookmarkEnd w:id="383"/>
      <w:bookmarkEnd w:id="384"/>
      <w:bookmarkEnd w:id="385"/>
      <w:bookmarkEnd w:id="386"/>
    </w:p>
    <w:p w:rsidR="00665E43" w:rsidRDefault="00665E43" w:rsidP="00665E43">
      <w:r>
        <w:t xml:space="preserve">The Fair Work Commission was established by the </w:t>
      </w:r>
      <w:r>
        <w:rPr>
          <w:i/>
        </w:rPr>
        <w:t xml:space="preserve">Fair Work Act 2009 </w:t>
      </w:r>
      <w:r>
        <w:t xml:space="preserve">(FW Act). The Commission is the independent national workplace relations tribunal responsible for administering provisions of the FW Act. The Commission also has responsibilities in relation to the registration and coverage of unions and employer organisations under the </w:t>
      </w:r>
      <w:r>
        <w:rPr>
          <w:i/>
        </w:rPr>
        <w:t>Fair Work (Registered Organisations) Act 2009</w:t>
      </w:r>
      <w:r>
        <w:t xml:space="preserve">. </w:t>
      </w:r>
    </w:p>
    <w:p w:rsidR="00665E43" w:rsidRDefault="00665E43" w:rsidP="00665E43">
      <w:r>
        <w:t xml:space="preserve">The Fair Work Commission consists of a President, Vice Presidents, Deputy Presidents, Commissioners and Expert Panel Members. The Fair Work Commission also has a General Manager and administrative staff. </w:t>
      </w:r>
    </w:p>
    <w:p w:rsidR="00665E43" w:rsidRDefault="00665E43" w:rsidP="00665E43">
      <w:r>
        <w:t xml:space="preserve">The Fair Work Commission has the power to make and vary awards, make minimum wage orders, approve enterprise agreements, resolve workplace and other disputes, determine unfair dismissal claims, deal with applications for orders to stop or prevent workplace bullying and make orders in relation to matters such as good faith bargaining and industrial action.  </w:t>
      </w:r>
    </w:p>
    <w:p w:rsidR="00665E43" w:rsidRDefault="00665E43" w:rsidP="00665E43">
      <w:r>
        <w:t>The Commission is responsible for delivering a single planned outcome: ‘Simple, fair and flexible workplace relations for employees and employers through the exercise of powers to set and vary minimum wages and modern awards, facilitate collective bargaining, approve agreements and deal with disputes.’</w:t>
      </w:r>
    </w:p>
    <w:p w:rsidR="00665E43" w:rsidRDefault="00665E43" w:rsidP="000A237A">
      <w:pPr>
        <w:rPr>
          <w:rFonts w:cs="Arial"/>
          <w:color w:val="000000"/>
        </w:rPr>
      </w:pPr>
      <w:r>
        <w:rPr>
          <w:rFonts w:cs="Arial"/>
          <w:color w:val="000000"/>
        </w:rPr>
        <w:t>The Commission delivers a single program of dispute resolution, minimum wage setting, orders and approval of agreements.</w:t>
      </w:r>
    </w:p>
    <w:p w:rsidR="00665E43" w:rsidRDefault="00665E43" w:rsidP="00665E43">
      <w:pPr>
        <w:spacing w:after="80"/>
      </w:pPr>
      <w:r>
        <w:t>To achieve the program objectives, the major priorities in 2018–19 include:</w:t>
      </w:r>
    </w:p>
    <w:p w:rsidR="00665E43" w:rsidRDefault="00665E43" w:rsidP="00665E43">
      <w:pPr>
        <w:pStyle w:val="Bullet"/>
        <w:spacing w:after="60"/>
        <w:ind w:left="284" w:hanging="284"/>
      </w:pPr>
      <w:r>
        <w:t>ensuring that the community understands the role of the Commission and recognises it as an independent and expert workplace relations tribunal</w:t>
      </w:r>
    </w:p>
    <w:p w:rsidR="00665E43" w:rsidRDefault="00665E43" w:rsidP="00665E43">
      <w:pPr>
        <w:pStyle w:val="Bullet"/>
        <w:spacing w:after="60"/>
        <w:ind w:left="284" w:hanging="284"/>
      </w:pPr>
      <w:r>
        <w:t>ensuring that the Commission is accessible to all Australians, recognising the community’s diverse needs and expectations</w:t>
      </w:r>
    </w:p>
    <w:p w:rsidR="00665E43" w:rsidRDefault="00665E43" w:rsidP="00665E43">
      <w:pPr>
        <w:pStyle w:val="Bullet"/>
        <w:spacing w:after="60"/>
        <w:ind w:left="284" w:hanging="284"/>
      </w:pPr>
      <w:r>
        <w:t>ensuring that the Commission is efficient, accountable and transparent</w:t>
      </w:r>
      <w:r w:rsidR="000F7AB7">
        <w:rPr>
          <w:lang w:val="en-AU"/>
        </w:rPr>
        <w:t>, and</w:t>
      </w:r>
    </w:p>
    <w:p w:rsidR="00665E43" w:rsidRDefault="00665E43" w:rsidP="00665E43">
      <w:pPr>
        <w:pStyle w:val="Bullet"/>
        <w:ind w:left="284" w:hanging="284"/>
        <w:contextualSpacing/>
      </w:pPr>
      <w:r>
        <w:t>ensuring that the Commission is a highly skilled and agile organisation in which its people, processes, systems and technology are aligned to deliver high quality, efficient and effective services to the community.</w:t>
      </w:r>
    </w:p>
    <w:p w:rsidR="00665E43" w:rsidRDefault="00665E43" w:rsidP="00FF68FF">
      <w:r>
        <w:t xml:space="preserve">Further information about the activities of the Fair Work Commission can be found at the Commission’s website, </w:t>
      </w:r>
      <w:hyperlink r:id="rId114" w:history="1">
        <w:r>
          <w:rPr>
            <w:rStyle w:val="Hyperlink"/>
          </w:rPr>
          <w:t>www.fwc.gov.au</w:t>
        </w:r>
      </w:hyperlink>
      <w:r>
        <w:t>, and in the Commission’s Corporate Plan.</w:t>
      </w:r>
    </w:p>
    <w:p w:rsidR="00665E43" w:rsidRDefault="00392ACA" w:rsidP="00665E43">
      <w:pPr>
        <w:pStyle w:val="Heading3"/>
      </w:pPr>
      <w:r w:rsidRPr="0079797F">
        <w:br w:type="page"/>
      </w:r>
      <w:bookmarkStart w:id="387" w:name="_Toc511656283"/>
      <w:bookmarkStart w:id="388" w:name="_Toc511722656"/>
      <w:bookmarkStart w:id="389" w:name="_Toc511736988"/>
      <w:bookmarkStart w:id="390" w:name="_Toc511747250"/>
      <w:bookmarkStart w:id="391" w:name="_Toc511765653"/>
      <w:bookmarkStart w:id="392" w:name="_Toc511828709"/>
      <w:bookmarkStart w:id="393" w:name="_Toc511836848"/>
      <w:bookmarkStart w:id="394" w:name="_Toc511902554"/>
      <w:r w:rsidR="00665E43">
        <w:lastRenderedPageBreak/>
        <w:t>1.2</w:t>
      </w:r>
      <w:r w:rsidR="00665E43">
        <w:tab/>
        <w:t>Entity resource statement</w:t>
      </w:r>
      <w:bookmarkEnd w:id="387"/>
      <w:bookmarkEnd w:id="388"/>
      <w:bookmarkEnd w:id="389"/>
      <w:bookmarkEnd w:id="390"/>
      <w:bookmarkEnd w:id="391"/>
      <w:bookmarkEnd w:id="392"/>
      <w:bookmarkEnd w:id="393"/>
      <w:bookmarkEnd w:id="394"/>
    </w:p>
    <w:p w:rsidR="00665E43" w:rsidRDefault="00665E43" w:rsidP="00665E43">
      <w:r>
        <w:t>Table 1.1 shows the total funding from all sources available to the entity for its operations and to deliver programs and services on behalf of the Government.</w:t>
      </w:r>
    </w:p>
    <w:p w:rsidR="00665E43" w:rsidRDefault="00665E43" w:rsidP="00665E43">
      <w:r>
        <w:t>The table summarises how resources will be applied by outcome (government strategic policy objectives) and by administered (on behalf of the Government or the public) and departmental (for the entity’s operations) classification.</w:t>
      </w:r>
    </w:p>
    <w:p w:rsidR="00665E43" w:rsidRDefault="00665E43" w:rsidP="00665E43">
      <w:r>
        <w:t xml:space="preserve">For more detailed information on special accounts and special appropriations, please refer to </w:t>
      </w:r>
      <w:r>
        <w:rPr>
          <w:i/>
        </w:rPr>
        <w:t>Budget Paper No. 4—</w:t>
      </w:r>
      <w:r w:rsidRPr="00412C0B">
        <w:rPr>
          <w:i/>
        </w:rPr>
        <w:t>Agency Resourcing</w:t>
      </w:r>
      <w:r>
        <w:t>.</w:t>
      </w:r>
    </w:p>
    <w:p w:rsidR="00665E43" w:rsidRDefault="00665E43" w:rsidP="00665E43">
      <w:r>
        <w:t>Information in this table is presented on a resourcing (that is, appropriations/cash available) basis, whilst the ‘Budgeted expenses by Outcome’ tables in Section 2 and the financial statements in Section 3 are presented on an accrual basis.</w:t>
      </w:r>
    </w:p>
    <w:p w:rsidR="00665E43" w:rsidRPr="005731D3" w:rsidRDefault="00665E43" w:rsidP="00665E43">
      <w:pPr>
        <w:pStyle w:val="TableHeading"/>
      </w:pPr>
      <w:r w:rsidRPr="005731D3">
        <w:t xml:space="preserve">Table 1.1: </w:t>
      </w:r>
      <w:r>
        <w:rPr>
          <w:lang w:val="en-AU"/>
        </w:rPr>
        <w:t>Fair Work Commission</w:t>
      </w:r>
      <w:r w:rsidR="0010135F">
        <w:rPr>
          <w:lang w:val="en-AU"/>
        </w:rPr>
        <w:t xml:space="preserve"> </w:t>
      </w:r>
      <w:r>
        <w:t>resource statement</w:t>
      </w:r>
      <w:r>
        <w:rPr>
          <w:lang w:val="en-AU"/>
        </w:rPr>
        <w:t>—</w:t>
      </w:r>
      <w:r w:rsidRPr="005731D3">
        <w:t xml:space="preserve">Budget estimates for </w:t>
      </w:r>
      <w:r w:rsidRPr="003F3C77">
        <w:t>201</w:t>
      </w:r>
      <w:r>
        <w:t>8</w:t>
      </w:r>
      <w:r>
        <w:rPr>
          <w:lang w:val="en-AU"/>
        </w:rPr>
        <w:t>–</w:t>
      </w:r>
      <w:r w:rsidRPr="003F3C77">
        <w:t>1</w:t>
      </w:r>
      <w:r>
        <w:t>9</w:t>
      </w:r>
      <w:r>
        <w:rPr>
          <w:lang w:val="en-AU"/>
        </w:rPr>
        <w:t xml:space="preserve"> </w:t>
      </w:r>
      <w:r w:rsidRPr="005731D3">
        <w:t>as at Budget</w:t>
      </w:r>
      <w:r w:rsidR="00C5333D">
        <w:rPr>
          <w:lang w:val="en-AU"/>
        </w:rPr>
        <w:t>,</w:t>
      </w:r>
      <w:r w:rsidRPr="005731D3">
        <w:t xml:space="preserve"> May 201</w:t>
      </w:r>
      <w:r>
        <w:t>8</w:t>
      </w:r>
    </w:p>
    <w:tbl>
      <w:tblPr>
        <w:tblW w:w="7739" w:type="dxa"/>
        <w:tblInd w:w="93" w:type="dxa"/>
        <w:tblLook w:val="04A0" w:firstRow="1" w:lastRow="0" w:firstColumn="1" w:lastColumn="0" w:noHBand="0" w:noVBand="1"/>
      </w:tblPr>
      <w:tblGrid>
        <w:gridCol w:w="5357"/>
        <w:gridCol w:w="1191"/>
        <w:gridCol w:w="1191"/>
      </w:tblGrid>
      <w:tr w:rsidR="003A67F4" w:rsidRPr="003A67F4" w:rsidTr="00A23915">
        <w:trPr>
          <w:trHeight w:val="794"/>
        </w:trPr>
        <w:tc>
          <w:tcPr>
            <w:tcW w:w="5357" w:type="dxa"/>
            <w:tcBorders>
              <w:top w:val="single" w:sz="4" w:space="0" w:color="auto"/>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 </w:t>
            </w:r>
          </w:p>
        </w:tc>
        <w:tc>
          <w:tcPr>
            <w:tcW w:w="1191" w:type="dxa"/>
            <w:tcBorders>
              <w:top w:val="single" w:sz="4" w:space="0" w:color="auto"/>
              <w:left w:val="nil"/>
              <w:bottom w:val="single" w:sz="4" w:space="0" w:color="auto"/>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2017–18 Estimated actual </w:t>
            </w:r>
            <w:r w:rsidRPr="003A67F4">
              <w:rPr>
                <w:rFonts w:ascii="Arial" w:hAnsi="Arial" w:cs="Arial"/>
                <w:i/>
                <w:iCs/>
                <w:color w:val="000000"/>
                <w:sz w:val="16"/>
                <w:szCs w:val="16"/>
              </w:rPr>
              <w:br/>
              <w:t>$'000</w:t>
            </w:r>
          </w:p>
        </w:tc>
        <w:tc>
          <w:tcPr>
            <w:tcW w:w="1191" w:type="dxa"/>
            <w:tcBorders>
              <w:top w:val="single" w:sz="4" w:space="0" w:color="auto"/>
              <w:left w:val="nil"/>
              <w:bottom w:val="single" w:sz="4" w:space="0" w:color="auto"/>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2018–19 Estimate</w:t>
            </w:r>
            <w:r w:rsidRPr="003A67F4">
              <w:rPr>
                <w:rFonts w:ascii="Arial" w:hAnsi="Arial" w:cs="Arial"/>
                <w:color w:val="000000"/>
                <w:sz w:val="16"/>
                <w:szCs w:val="16"/>
              </w:rPr>
              <w:br/>
            </w:r>
            <w:r w:rsidRPr="003A67F4">
              <w:rPr>
                <w:rFonts w:ascii="Arial" w:hAnsi="Arial" w:cs="Arial"/>
                <w:color w:val="000000"/>
                <w:sz w:val="16"/>
                <w:szCs w:val="16"/>
              </w:rPr>
              <w:br/>
              <w:t>$'000</w:t>
            </w:r>
          </w:p>
        </w:tc>
      </w:tr>
      <w:tr w:rsidR="003A67F4" w:rsidRPr="003A67F4" w:rsidTr="00A23915">
        <w:trPr>
          <w:trHeight w:val="225"/>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Departmental</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w:t>
            </w:r>
          </w:p>
        </w:tc>
      </w:tr>
      <w:tr w:rsidR="003A67F4" w:rsidRPr="003A67F4" w:rsidTr="00A23915">
        <w:trPr>
          <w:trHeight w:val="225"/>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Annual appropriations—ordinary annual services (a)</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 xml:space="preserve">    Prior year appropriations available (b)</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31,028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29,265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 xml:space="preserve">    Departmental appropriation (c)</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74,133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74,047 </w:t>
            </w:r>
          </w:p>
        </w:tc>
      </w:tr>
      <w:tr w:rsidR="003A67F4" w:rsidRPr="003A67F4" w:rsidTr="00A23915">
        <w:trPr>
          <w:trHeight w:val="225"/>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 xml:space="preserve">    s74 Retained revenue receipts (d)</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2,150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2,000 </w:t>
            </w:r>
          </w:p>
        </w:tc>
      </w:tr>
      <w:tr w:rsidR="003A67F4" w:rsidRPr="003A67F4" w:rsidTr="00A23915">
        <w:trPr>
          <w:trHeight w:val="225"/>
        </w:trPr>
        <w:tc>
          <w:tcPr>
            <w:tcW w:w="5357" w:type="dxa"/>
            <w:tcBorders>
              <w:top w:val="nil"/>
              <w:left w:val="nil"/>
              <w:bottom w:val="nil"/>
              <w:right w:val="nil"/>
            </w:tcBorders>
            <w:shd w:val="clear" w:color="000000" w:fill="FFFFFF"/>
            <w:vAlign w:val="center"/>
            <w:hideMark/>
          </w:tcPr>
          <w:p w:rsidR="003A67F4" w:rsidRPr="003A67F4" w:rsidRDefault="003A67F4" w:rsidP="00672459">
            <w:pPr>
              <w:spacing w:after="0" w:line="240" w:lineRule="auto"/>
              <w:rPr>
                <w:rFonts w:ascii="Arial" w:hAnsi="Arial" w:cs="Arial"/>
                <w:color w:val="000000"/>
                <w:sz w:val="16"/>
                <w:szCs w:val="16"/>
              </w:rPr>
            </w:pPr>
            <w:r w:rsidRPr="003A67F4">
              <w:rPr>
                <w:rFonts w:ascii="Arial" w:hAnsi="Arial" w:cs="Arial"/>
                <w:color w:val="000000"/>
                <w:sz w:val="16"/>
                <w:szCs w:val="16"/>
              </w:rPr>
              <w:t xml:space="preserve">    Departmental </w:t>
            </w:r>
            <w:r w:rsidR="00672459">
              <w:rPr>
                <w:rFonts w:ascii="Arial" w:hAnsi="Arial" w:cs="Arial"/>
                <w:color w:val="000000"/>
                <w:sz w:val="16"/>
                <w:szCs w:val="16"/>
              </w:rPr>
              <w:t>Capital B</w:t>
            </w:r>
            <w:r w:rsidRPr="003A67F4">
              <w:rPr>
                <w:rFonts w:ascii="Arial" w:hAnsi="Arial" w:cs="Arial"/>
                <w:color w:val="000000"/>
                <w:sz w:val="16"/>
                <w:szCs w:val="16"/>
              </w:rPr>
              <w:t>udget (e)</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2,382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2,372 </w:t>
            </w:r>
          </w:p>
        </w:tc>
      </w:tr>
      <w:tr w:rsidR="003A67F4" w:rsidRPr="003A67F4" w:rsidTr="00A23915">
        <w:trPr>
          <w:trHeight w:val="225"/>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color w:val="000000"/>
                <w:sz w:val="16"/>
                <w:szCs w:val="16"/>
              </w:rPr>
            </w:pPr>
            <w:r w:rsidRPr="003A67F4">
              <w:rPr>
                <w:rFonts w:ascii="Arial" w:hAnsi="Arial" w:cs="Arial"/>
                <w:color w:val="000000"/>
                <w:sz w:val="16"/>
                <w:szCs w:val="16"/>
              </w:rPr>
              <w:t>Total departmental annual appropriations</w:t>
            </w:r>
          </w:p>
        </w:tc>
        <w:tc>
          <w:tcPr>
            <w:tcW w:w="1191" w:type="dxa"/>
            <w:tcBorders>
              <w:top w:val="single" w:sz="4" w:space="0" w:color="auto"/>
              <w:left w:val="nil"/>
              <w:bottom w:val="single" w:sz="4" w:space="0" w:color="auto"/>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109,693 </w:t>
            </w:r>
          </w:p>
        </w:tc>
        <w:tc>
          <w:tcPr>
            <w:tcW w:w="1191" w:type="dxa"/>
            <w:tcBorders>
              <w:top w:val="single" w:sz="4" w:space="0" w:color="auto"/>
              <w:left w:val="nil"/>
              <w:bottom w:val="single" w:sz="4" w:space="0" w:color="auto"/>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106,836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b/>
                <w:bCs/>
                <w:i/>
                <w:iCs/>
                <w:color w:val="000000"/>
                <w:sz w:val="16"/>
                <w:szCs w:val="16"/>
              </w:rPr>
            </w:pPr>
            <w:r w:rsidRPr="003A67F4">
              <w:rPr>
                <w:rFonts w:ascii="Arial" w:hAnsi="Arial" w:cs="Arial"/>
                <w:b/>
                <w:bCs/>
                <w:i/>
                <w:iCs/>
                <w:color w:val="000000"/>
                <w:sz w:val="16"/>
                <w:szCs w:val="16"/>
              </w:rPr>
              <w:t>Total departmental resourcing</w:t>
            </w:r>
          </w:p>
        </w:tc>
        <w:tc>
          <w:tcPr>
            <w:tcW w:w="1191" w:type="dxa"/>
            <w:tcBorders>
              <w:top w:val="nil"/>
              <w:left w:val="nil"/>
              <w:bottom w:val="single" w:sz="4" w:space="0" w:color="auto"/>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xml:space="preserve">109,693 </w:t>
            </w:r>
          </w:p>
        </w:tc>
        <w:tc>
          <w:tcPr>
            <w:tcW w:w="1191" w:type="dxa"/>
            <w:tcBorders>
              <w:top w:val="nil"/>
              <w:left w:val="nil"/>
              <w:bottom w:val="single" w:sz="4" w:space="0" w:color="auto"/>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xml:space="preserve">106,836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Administered</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Special appropriations</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Special appropriations limited by criteria/entitlement</w:t>
            </w:r>
          </w:p>
        </w:tc>
        <w:tc>
          <w:tcPr>
            <w:tcW w:w="1191"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i/>
                <w:iCs/>
                <w:color w:val="000000"/>
                <w:sz w:val="16"/>
                <w:szCs w:val="16"/>
              </w:rPr>
            </w:pPr>
            <w:r w:rsidRPr="003A67F4">
              <w:rPr>
                <w:rFonts w:ascii="Arial" w:hAnsi="Arial" w:cs="Arial"/>
                <w:i/>
                <w:iCs/>
                <w:color w:val="000000"/>
                <w:sz w:val="16"/>
                <w:szCs w:val="16"/>
              </w:rPr>
              <w:t>Public Governance, Performance and Accountability Act 2013—s77</w:t>
            </w:r>
          </w:p>
        </w:tc>
        <w:tc>
          <w:tcPr>
            <w:tcW w:w="1191" w:type="dxa"/>
            <w:tcBorders>
              <w:top w:val="nil"/>
              <w:left w:val="nil"/>
              <w:bottom w:val="single" w:sz="4" w:space="0" w:color="auto"/>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 xml:space="preserve">500 </w:t>
            </w:r>
          </w:p>
        </w:tc>
        <w:tc>
          <w:tcPr>
            <w:tcW w:w="1191" w:type="dxa"/>
            <w:tcBorders>
              <w:top w:val="nil"/>
              <w:left w:val="nil"/>
              <w:bottom w:val="single" w:sz="4" w:space="0" w:color="auto"/>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 xml:space="preserve">500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b/>
                <w:bCs/>
                <w:i/>
                <w:iCs/>
                <w:color w:val="000000"/>
                <w:sz w:val="16"/>
                <w:szCs w:val="16"/>
              </w:rPr>
            </w:pPr>
            <w:r w:rsidRPr="003A67F4">
              <w:rPr>
                <w:rFonts w:ascii="Arial" w:hAnsi="Arial" w:cs="Arial"/>
                <w:b/>
                <w:bCs/>
                <w:i/>
                <w:iCs/>
                <w:color w:val="000000"/>
                <w:sz w:val="16"/>
                <w:szCs w:val="16"/>
              </w:rPr>
              <w:t xml:space="preserve">Total administered special appropriations </w:t>
            </w:r>
          </w:p>
        </w:tc>
        <w:tc>
          <w:tcPr>
            <w:tcW w:w="1191" w:type="dxa"/>
            <w:tcBorders>
              <w:top w:val="nil"/>
              <w:left w:val="nil"/>
              <w:bottom w:val="single" w:sz="4" w:space="0" w:color="auto"/>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xml:space="preserve">500 </w:t>
            </w:r>
          </w:p>
        </w:tc>
        <w:tc>
          <w:tcPr>
            <w:tcW w:w="1191" w:type="dxa"/>
            <w:tcBorders>
              <w:top w:val="nil"/>
              <w:left w:val="nil"/>
              <w:bottom w:val="single" w:sz="4" w:space="0" w:color="auto"/>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xml:space="preserve">500 </w:t>
            </w:r>
          </w:p>
        </w:tc>
      </w:tr>
      <w:tr w:rsidR="003A67F4" w:rsidRPr="003A67F4" w:rsidTr="00A23915">
        <w:trPr>
          <w:trHeight w:val="210"/>
        </w:trPr>
        <w:tc>
          <w:tcPr>
            <w:tcW w:w="5357" w:type="dxa"/>
            <w:tcBorders>
              <w:top w:val="nil"/>
              <w:left w:val="nil"/>
              <w:bottom w:val="nil"/>
              <w:right w:val="nil"/>
            </w:tcBorders>
            <w:shd w:val="clear" w:color="000000" w:fill="FFFFFF"/>
            <w:vAlign w:val="center"/>
            <w:hideMark/>
          </w:tcPr>
          <w:p w:rsidR="003A67F4" w:rsidRPr="003A67F4" w:rsidRDefault="003A67F4" w:rsidP="00A23915">
            <w:pPr>
              <w:spacing w:after="0" w:line="240" w:lineRule="auto"/>
              <w:rPr>
                <w:rFonts w:ascii="Arial" w:hAnsi="Arial" w:cs="Arial"/>
                <w:b/>
                <w:bCs/>
                <w:color w:val="000000"/>
                <w:sz w:val="16"/>
                <w:szCs w:val="16"/>
              </w:rPr>
            </w:pPr>
            <w:r w:rsidRPr="003A67F4">
              <w:rPr>
                <w:rFonts w:ascii="Arial" w:hAnsi="Arial" w:cs="Arial"/>
                <w:b/>
                <w:bCs/>
                <w:color w:val="000000"/>
                <w:sz w:val="16"/>
                <w:szCs w:val="16"/>
              </w:rPr>
              <w:t>Total administered resourcing</w:t>
            </w:r>
          </w:p>
        </w:tc>
        <w:tc>
          <w:tcPr>
            <w:tcW w:w="1191" w:type="dxa"/>
            <w:tcBorders>
              <w:top w:val="nil"/>
              <w:left w:val="nil"/>
              <w:bottom w:val="single" w:sz="4" w:space="0" w:color="auto"/>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xml:space="preserve">500 </w:t>
            </w:r>
          </w:p>
        </w:tc>
        <w:tc>
          <w:tcPr>
            <w:tcW w:w="1191" w:type="dxa"/>
            <w:tcBorders>
              <w:top w:val="nil"/>
              <w:left w:val="nil"/>
              <w:bottom w:val="single" w:sz="4" w:space="0" w:color="auto"/>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xml:space="preserve">500 </w:t>
            </w:r>
          </w:p>
        </w:tc>
      </w:tr>
      <w:tr w:rsidR="003A67F4" w:rsidRPr="003A67F4" w:rsidTr="003A67F4">
        <w:trPr>
          <w:trHeight w:val="210"/>
        </w:trPr>
        <w:tc>
          <w:tcPr>
            <w:tcW w:w="5357" w:type="dxa"/>
            <w:tcBorders>
              <w:top w:val="nil"/>
              <w:left w:val="nil"/>
              <w:bottom w:val="single" w:sz="4" w:space="0" w:color="auto"/>
              <w:right w:val="nil"/>
            </w:tcBorders>
            <w:shd w:val="clear" w:color="000000" w:fill="FFFFFF"/>
            <w:vAlign w:val="bottom"/>
            <w:hideMark/>
          </w:tcPr>
          <w:p w:rsidR="003A67F4" w:rsidRPr="003A67F4" w:rsidRDefault="003A67F4" w:rsidP="003A67F4">
            <w:pPr>
              <w:spacing w:after="0" w:line="240" w:lineRule="auto"/>
              <w:rPr>
                <w:rFonts w:ascii="Arial" w:hAnsi="Arial" w:cs="Arial"/>
                <w:b/>
                <w:bCs/>
                <w:color w:val="000000"/>
                <w:sz w:val="16"/>
                <w:szCs w:val="16"/>
              </w:rPr>
            </w:pPr>
            <w:r w:rsidRPr="003A67F4">
              <w:rPr>
                <w:rFonts w:ascii="Arial" w:hAnsi="Arial" w:cs="Arial"/>
                <w:b/>
                <w:bCs/>
                <w:color w:val="000000"/>
                <w:sz w:val="16"/>
                <w:szCs w:val="16"/>
              </w:rPr>
              <w:t>Total resourcing for Fair Work Commission</w:t>
            </w:r>
          </w:p>
        </w:tc>
        <w:tc>
          <w:tcPr>
            <w:tcW w:w="1191" w:type="dxa"/>
            <w:tcBorders>
              <w:top w:val="nil"/>
              <w:left w:val="nil"/>
              <w:bottom w:val="single" w:sz="4" w:space="0" w:color="auto"/>
              <w:right w:val="nil"/>
            </w:tcBorders>
            <w:shd w:val="clear" w:color="000000" w:fill="FFFFFF"/>
            <w:vAlign w:val="bottom"/>
            <w:hideMark/>
          </w:tcPr>
          <w:p w:rsidR="003A67F4" w:rsidRPr="003A67F4" w:rsidRDefault="003A67F4" w:rsidP="003A67F4">
            <w:pPr>
              <w:spacing w:after="0" w:line="240" w:lineRule="auto"/>
              <w:jc w:val="right"/>
              <w:rPr>
                <w:rFonts w:ascii="Arial" w:hAnsi="Arial" w:cs="Arial"/>
                <w:b/>
                <w:bCs/>
                <w:i/>
                <w:iCs/>
                <w:color w:val="000000"/>
                <w:sz w:val="16"/>
                <w:szCs w:val="16"/>
              </w:rPr>
            </w:pPr>
            <w:r w:rsidRPr="003A67F4">
              <w:rPr>
                <w:rFonts w:ascii="Arial" w:hAnsi="Arial" w:cs="Arial"/>
                <w:b/>
                <w:bCs/>
                <w:i/>
                <w:iCs/>
                <w:color w:val="000000"/>
                <w:sz w:val="16"/>
                <w:szCs w:val="16"/>
              </w:rPr>
              <w:t xml:space="preserve">110,193 </w:t>
            </w:r>
          </w:p>
        </w:tc>
        <w:tc>
          <w:tcPr>
            <w:tcW w:w="1191" w:type="dxa"/>
            <w:tcBorders>
              <w:top w:val="nil"/>
              <w:left w:val="nil"/>
              <w:bottom w:val="single" w:sz="4" w:space="0" w:color="auto"/>
              <w:right w:val="nil"/>
            </w:tcBorders>
            <w:shd w:val="clear" w:color="000000" w:fill="E6E6E6"/>
            <w:vAlign w:val="bottom"/>
            <w:hideMark/>
          </w:tcPr>
          <w:p w:rsidR="003A67F4" w:rsidRPr="003A67F4" w:rsidRDefault="003A67F4" w:rsidP="003A67F4">
            <w:pPr>
              <w:spacing w:after="0" w:line="240" w:lineRule="auto"/>
              <w:jc w:val="right"/>
              <w:rPr>
                <w:rFonts w:ascii="Arial" w:hAnsi="Arial" w:cs="Arial"/>
                <w:b/>
                <w:bCs/>
                <w:color w:val="000000"/>
                <w:sz w:val="16"/>
                <w:szCs w:val="16"/>
              </w:rPr>
            </w:pPr>
            <w:r w:rsidRPr="003A67F4">
              <w:rPr>
                <w:rFonts w:ascii="Arial" w:hAnsi="Arial" w:cs="Arial"/>
                <w:b/>
                <w:bCs/>
                <w:color w:val="000000"/>
                <w:sz w:val="16"/>
                <w:szCs w:val="16"/>
              </w:rPr>
              <w:t xml:space="preserve">108,184 </w:t>
            </w:r>
          </w:p>
        </w:tc>
      </w:tr>
      <w:tr w:rsidR="003A67F4" w:rsidRPr="003A67F4" w:rsidTr="003A67F4">
        <w:trPr>
          <w:trHeight w:val="162"/>
        </w:trPr>
        <w:tc>
          <w:tcPr>
            <w:tcW w:w="5357" w:type="dxa"/>
            <w:tcBorders>
              <w:top w:val="nil"/>
              <w:left w:val="nil"/>
              <w:bottom w:val="nil"/>
              <w:right w:val="nil"/>
            </w:tcBorders>
            <w:shd w:val="clear" w:color="000000" w:fill="FFFFFF"/>
            <w:vAlign w:val="bottom"/>
            <w:hideMark/>
          </w:tcPr>
          <w:p w:rsidR="003A67F4" w:rsidRPr="003A67F4" w:rsidRDefault="003A67F4" w:rsidP="003A67F4">
            <w:pPr>
              <w:spacing w:after="0" w:line="240" w:lineRule="auto"/>
              <w:rPr>
                <w:rFonts w:ascii="Arial" w:hAnsi="Arial" w:cs="Arial"/>
                <w:color w:val="000000"/>
                <w:sz w:val="16"/>
                <w:szCs w:val="16"/>
              </w:rPr>
            </w:pPr>
            <w:r w:rsidRPr="003A67F4">
              <w:rPr>
                <w:rFonts w:ascii="Arial" w:hAnsi="Arial" w:cs="Arial"/>
                <w:color w:val="000000"/>
                <w:sz w:val="16"/>
                <w:szCs w:val="16"/>
              </w:rPr>
              <w:t> </w:t>
            </w:r>
          </w:p>
        </w:tc>
        <w:tc>
          <w:tcPr>
            <w:tcW w:w="1191" w:type="dxa"/>
            <w:tcBorders>
              <w:top w:val="nil"/>
              <w:left w:val="nil"/>
              <w:bottom w:val="nil"/>
              <w:right w:val="nil"/>
            </w:tcBorders>
            <w:shd w:val="clear" w:color="000000" w:fill="FFFFFF"/>
            <w:vAlign w:val="bottom"/>
            <w:hideMark/>
          </w:tcPr>
          <w:p w:rsidR="003A67F4" w:rsidRPr="003A67F4" w:rsidRDefault="003A67F4" w:rsidP="003A67F4">
            <w:pPr>
              <w:spacing w:after="0" w:line="240" w:lineRule="auto"/>
              <w:rPr>
                <w:rFonts w:ascii="Arial" w:hAnsi="Arial" w:cs="Arial"/>
                <w:i/>
                <w:iCs/>
                <w:color w:val="000000"/>
                <w:sz w:val="16"/>
                <w:szCs w:val="16"/>
              </w:rPr>
            </w:pPr>
            <w:r w:rsidRPr="003A67F4">
              <w:rPr>
                <w:rFonts w:ascii="Arial" w:hAnsi="Arial" w:cs="Arial"/>
                <w:i/>
                <w:iCs/>
                <w:color w:val="000000"/>
                <w:sz w:val="16"/>
                <w:szCs w:val="16"/>
              </w:rPr>
              <w:t> </w:t>
            </w:r>
          </w:p>
        </w:tc>
        <w:tc>
          <w:tcPr>
            <w:tcW w:w="1191" w:type="dxa"/>
            <w:tcBorders>
              <w:top w:val="nil"/>
              <w:left w:val="nil"/>
              <w:bottom w:val="nil"/>
              <w:right w:val="nil"/>
            </w:tcBorders>
            <w:shd w:val="clear" w:color="000000" w:fill="FFFFFF"/>
            <w:vAlign w:val="bottom"/>
            <w:hideMark/>
          </w:tcPr>
          <w:p w:rsidR="003A67F4" w:rsidRPr="003A67F4" w:rsidRDefault="003A67F4" w:rsidP="003A67F4">
            <w:pPr>
              <w:spacing w:after="0" w:line="240" w:lineRule="auto"/>
              <w:rPr>
                <w:rFonts w:ascii="Arial" w:hAnsi="Arial" w:cs="Arial"/>
                <w:color w:val="000000"/>
                <w:sz w:val="16"/>
                <w:szCs w:val="16"/>
              </w:rPr>
            </w:pPr>
            <w:r w:rsidRPr="003A67F4">
              <w:rPr>
                <w:rFonts w:ascii="Arial" w:hAnsi="Arial" w:cs="Arial"/>
                <w:color w:val="000000"/>
                <w:sz w:val="16"/>
                <w:szCs w:val="16"/>
              </w:rPr>
              <w:t> </w:t>
            </w:r>
          </w:p>
        </w:tc>
      </w:tr>
      <w:tr w:rsidR="003A67F4" w:rsidRPr="003A67F4" w:rsidTr="00A23915">
        <w:trPr>
          <w:trHeight w:val="225"/>
        </w:trPr>
        <w:tc>
          <w:tcPr>
            <w:tcW w:w="5357" w:type="dxa"/>
            <w:tcBorders>
              <w:top w:val="single" w:sz="4" w:space="0" w:color="auto"/>
              <w:left w:val="nil"/>
              <w:bottom w:val="nil"/>
              <w:right w:val="nil"/>
            </w:tcBorders>
            <w:shd w:val="clear" w:color="000000" w:fill="FFFFFF"/>
            <w:vAlign w:val="bottom"/>
            <w:hideMark/>
          </w:tcPr>
          <w:p w:rsidR="003A67F4" w:rsidRPr="003A67F4" w:rsidRDefault="003A67F4" w:rsidP="003A67F4">
            <w:pPr>
              <w:spacing w:after="0" w:line="240" w:lineRule="auto"/>
              <w:rPr>
                <w:rFonts w:ascii="Arial" w:hAnsi="Arial" w:cs="Arial"/>
                <w:color w:val="000000"/>
                <w:sz w:val="16"/>
                <w:szCs w:val="16"/>
              </w:rPr>
            </w:pPr>
            <w:r w:rsidRPr="003A67F4">
              <w:rPr>
                <w:rFonts w:ascii="Arial" w:hAnsi="Arial" w:cs="Arial"/>
                <w:color w:val="000000"/>
                <w:sz w:val="16"/>
                <w:szCs w:val="16"/>
              </w:rPr>
              <w:t> </w:t>
            </w:r>
          </w:p>
        </w:tc>
        <w:tc>
          <w:tcPr>
            <w:tcW w:w="1191" w:type="dxa"/>
            <w:tcBorders>
              <w:top w:val="single" w:sz="4" w:space="0" w:color="auto"/>
              <w:left w:val="nil"/>
              <w:bottom w:val="single" w:sz="4" w:space="0" w:color="auto"/>
              <w:right w:val="nil"/>
            </w:tcBorders>
            <w:shd w:val="clear" w:color="000000" w:fill="FFFFFF"/>
            <w:vAlign w:val="center"/>
            <w:hideMark/>
          </w:tcPr>
          <w:p w:rsidR="003A67F4" w:rsidRPr="003A67F4" w:rsidRDefault="003A67F4" w:rsidP="00A23915">
            <w:pPr>
              <w:spacing w:after="0" w:line="240" w:lineRule="auto"/>
              <w:jc w:val="right"/>
              <w:rPr>
                <w:rFonts w:ascii="Arial" w:hAnsi="Arial" w:cs="Arial"/>
                <w:i/>
                <w:iCs/>
                <w:color w:val="000000"/>
                <w:sz w:val="16"/>
                <w:szCs w:val="16"/>
              </w:rPr>
            </w:pPr>
            <w:r w:rsidRPr="003A67F4">
              <w:rPr>
                <w:rFonts w:ascii="Arial" w:hAnsi="Arial" w:cs="Arial"/>
                <w:i/>
                <w:iCs/>
                <w:color w:val="000000"/>
                <w:sz w:val="16"/>
                <w:szCs w:val="16"/>
              </w:rPr>
              <w:t>2017–18</w:t>
            </w:r>
          </w:p>
        </w:tc>
        <w:tc>
          <w:tcPr>
            <w:tcW w:w="1191" w:type="dxa"/>
            <w:tcBorders>
              <w:top w:val="single" w:sz="4" w:space="0" w:color="auto"/>
              <w:left w:val="nil"/>
              <w:bottom w:val="single" w:sz="4" w:space="0" w:color="auto"/>
              <w:right w:val="nil"/>
            </w:tcBorders>
            <w:shd w:val="clear" w:color="000000" w:fill="E6E6E6"/>
            <w:vAlign w:val="center"/>
            <w:hideMark/>
          </w:tcPr>
          <w:p w:rsidR="003A67F4" w:rsidRPr="003A67F4" w:rsidRDefault="003A67F4" w:rsidP="00A23915">
            <w:pPr>
              <w:spacing w:after="0" w:line="240" w:lineRule="auto"/>
              <w:jc w:val="right"/>
              <w:rPr>
                <w:rFonts w:ascii="Arial" w:hAnsi="Arial" w:cs="Arial"/>
                <w:color w:val="000000"/>
                <w:sz w:val="16"/>
                <w:szCs w:val="16"/>
              </w:rPr>
            </w:pPr>
            <w:r w:rsidRPr="003A67F4">
              <w:rPr>
                <w:rFonts w:ascii="Arial" w:hAnsi="Arial" w:cs="Arial"/>
                <w:color w:val="000000"/>
                <w:sz w:val="16"/>
                <w:szCs w:val="16"/>
              </w:rPr>
              <w:t>2018–19</w:t>
            </w:r>
          </w:p>
        </w:tc>
      </w:tr>
      <w:tr w:rsidR="003A67F4" w:rsidRPr="003A67F4" w:rsidTr="00A23915">
        <w:trPr>
          <w:trHeight w:val="210"/>
        </w:trPr>
        <w:tc>
          <w:tcPr>
            <w:tcW w:w="5357" w:type="dxa"/>
            <w:tcBorders>
              <w:top w:val="nil"/>
              <w:left w:val="nil"/>
              <w:bottom w:val="single" w:sz="4" w:space="0" w:color="auto"/>
              <w:right w:val="nil"/>
            </w:tcBorders>
            <w:shd w:val="clear" w:color="000000" w:fill="FFFFFF"/>
            <w:vAlign w:val="bottom"/>
            <w:hideMark/>
          </w:tcPr>
          <w:p w:rsidR="003A67F4" w:rsidRPr="003A67F4" w:rsidRDefault="003A67F4" w:rsidP="003A67F4">
            <w:pPr>
              <w:spacing w:after="0" w:line="240" w:lineRule="auto"/>
              <w:rPr>
                <w:rFonts w:ascii="Arial" w:hAnsi="Arial" w:cs="Arial"/>
                <w:b/>
                <w:bCs/>
                <w:color w:val="000000"/>
                <w:sz w:val="16"/>
                <w:szCs w:val="16"/>
              </w:rPr>
            </w:pPr>
            <w:r w:rsidRPr="003A67F4">
              <w:rPr>
                <w:rFonts w:ascii="Arial" w:hAnsi="Arial" w:cs="Arial"/>
                <w:b/>
                <w:bCs/>
                <w:color w:val="000000"/>
                <w:sz w:val="16"/>
                <w:szCs w:val="16"/>
              </w:rPr>
              <w:t>Average staffing level (number)</w:t>
            </w:r>
          </w:p>
        </w:tc>
        <w:tc>
          <w:tcPr>
            <w:tcW w:w="1191" w:type="dxa"/>
            <w:tcBorders>
              <w:top w:val="nil"/>
              <w:left w:val="nil"/>
              <w:bottom w:val="single" w:sz="4" w:space="0" w:color="auto"/>
              <w:right w:val="nil"/>
            </w:tcBorders>
            <w:shd w:val="clear" w:color="000000" w:fill="FFFFFF"/>
            <w:vAlign w:val="bottom"/>
            <w:hideMark/>
          </w:tcPr>
          <w:p w:rsidR="003A67F4" w:rsidRPr="003A67F4" w:rsidRDefault="003A67F4" w:rsidP="00A23915">
            <w:pPr>
              <w:spacing w:after="0" w:line="240" w:lineRule="auto"/>
              <w:jc w:val="right"/>
              <w:rPr>
                <w:rFonts w:ascii="Arial" w:hAnsi="Arial" w:cs="Arial"/>
                <w:i/>
                <w:iCs/>
                <w:sz w:val="16"/>
                <w:szCs w:val="16"/>
              </w:rPr>
            </w:pPr>
            <w:r w:rsidRPr="003A67F4">
              <w:rPr>
                <w:rFonts w:ascii="Arial" w:hAnsi="Arial" w:cs="Arial"/>
                <w:i/>
                <w:iCs/>
                <w:sz w:val="16"/>
                <w:szCs w:val="16"/>
              </w:rPr>
              <w:t xml:space="preserve">314 </w:t>
            </w:r>
          </w:p>
        </w:tc>
        <w:tc>
          <w:tcPr>
            <w:tcW w:w="1191" w:type="dxa"/>
            <w:tcBorders>
              <w:top w:val="nil"/>
              <w:left w:val="nil"/>
              <w:bottom w:val="single" w:sz="4" w:space="0" w:color="auto"/>
              <w:right w:val="nil"/>
            </w:tcBorders>
            <w:shd w:val="clear" w:color="000000" w:fill="E6E6E6"/>
            <w:vAlign w:val="bottom"/>
            <w:hideMark/>
          </w:tcPr>
          <w:p w:rsidR="003A67F4" w:rsidRPr="003A67F4" w:rsidRDefault="003A67F4" w:rsidP="00A23915">
            <w:pPr>
              <w:spacing w:after="0" w:line="240" w:lineRule="auto"/>
              <w:jc w:val="right"/>
              <w:rPr>
                <w:rFonts w:ascii="Arial" w:hAnsi="Arial" w:cs="Arial"/>
                <w:sz w:val="16"/>
                <w:szCs w:val="16"/>
              </w:rPr>
            </w:pPr>
            <w:r w:rsidRPr="003A67F4">
              <w:rPr>
                <w:rFonts w:ascii="Arial" w:hAnsi="Arial" w:cs="Arial"/>
                <w:sz w:val="16"/>
                <w:szCs w:val="16"/>
              </w:rPr>
              <w:t xml:space="preserve">314 </w:t>
            </w:r>
          </w:p>
        </w:tc>
      </w:tr>
    </w:tbl>
    <w:p w:rsidR="00665E43" w:rsidRDefault="00665E43" w:rsidP="00665E43">
      <w:pPr>
        <w:pStyle w:val="ChartandTableFootnote"/>
      </w:pPr>
      <w:r>
        <w:t>Prepared on a resourcing (</w:t>
      </w:r>
      <w:r>
        <w:rPr>
          <w:lang w:val="en-AU"/>
        </w:rPr>
        <w:t>that is,</w:t>
      </w:r>
      <w:r>
        <w:t xml:space="preserve"> appropriations available) basis.</w:t>
      </w:r>
    </w:p>
    <w:p w:rsidR="00665E43" w:rsidRPr="00831489" w:rsidRDefault="00665E43" w:rsidP="00665E43">
      <w:pPr>
        <w:pStyle w:val="ChartandTableFootnote"/>
        <w:rPr>
          <w:lang w:val="en-AU"/>
        </w:rPr>
      </w:pPr>
      <w:r w:rsidRPr="008D3E19">
        <w:rPr>
          <w:u w:val="single"/>
        </w:rPr>
        <w:t>Please note</w:t>
      </w:r>
      <w:r>
        <w:t>: All figures shown above are GST exclusive</w:t>
      </w:r>
      <w:r>
        <w:rPr>
          <w:lang w:val="en-AU"/>
        </w:rPr>
        <w:t>—</w:t>
      </w:r>
      <w:r>
        <w:t>these may not match figures in the cash flow statement.</w:t>
      </w:r>
    </w:p>
    <w:p w:rsidR="00665E43" w:rsidRPr="005250EE" w:rsidRDefault="00665E43" w:rsidP="00E01B4E">
      <w:pPr>
        <w:pStyle w:val="ChartandTableFootnoteAlpha"/>
        <w:numPr>
          <w:ilvl w:val="0"/>
          <w:numId w:val="39"/>
        </w:numPr>
      </w:pPr>
      <w:r>
        <w:t>Appropriation Bill (No.1) 2018–19</w:t>
      </w:r>
      <w:r w:rsidRPr="005250EE">
        <w:t>.</w:t>
      </w:r>
    </w:p>
    <w:p w:rsidR="00665E43" w:rsidRPr="00FD79EA" w:rsidRDefault="00665E43" w:rsidP="00665E43">
      <w:pPr>
        <w:pStyle w:val="ChartandTableFootnoteAlpha"/>
      </w:pPr>
      <w:r>
        <w:t xml:space="preserve">Estimated adjusted balance carried forward from previous year. </w:t>
      </w:r>
    </w:p>
    <w:p w:rsidR="00665E43" w:rsidRDefault="00672459" w:rsidP="00665E43">
      <w:pPr>
        <w:pStyle w:val="ChartandTableFootnoteAlpha"/>
      </w:pPr>
      <w:r>
        <w:t xml:space="preserve">Excludes </w:t>
      </w:r>
      <w:r>
        <w:rPr>
          <w:lang w:val="en-AU"/>
        </w:rPr>
        <w:t>Departmental</w:t>
      </w:r>
      <w:r w:rsidR="00665E43">
        <w:t xml:space="preserve"> </w:t>
      </w:r>
      <w:r>
        <w:rPr>
          <w:lang w:val="en-AU"/>
        </w:rPr>
        <w:t>Capital</w:t>
      </w:r>
      <w:r w:rsidR="00665E43">
        <w:t xml:space="preserve"> </w:t>
      </w:r>
      <w:r>
        <w:rPr>
          <w:lang w:val="en-AU"/>
        </w:rPr>
        <w:t>Budget</w:t>
      </w:r>
      <w:r w:rsidR="00665E43">
        <w:t xml:space="preserve"> (DCB).</w:t>
      </w:r>
    </w:p>
    <w:p w:rsidR="00665E43" w:rsidRPr="005250EE" w:rsidRDefault="00665E43" w:rsidP="00665E43">
      <w:pPr>
        <w:pStyle w:val="ChartandTableFootnoteAlpha"/>
      </w:pPr>
      <w:r w:rsidRPr="005250EE">
        <w:t xml:space="preserve">Estimated </w:t>
      </w:r>
      <w:r>
        <w:t>r</w:t>
      </w:r>
      <w:r w:rsidRPr="005250EE">
        <w:t xml:space="preserve">etained revenue receipts under section 74 of the </w:t>
      </w:r>
      <w:r>
        <w:t>PGPA Act</w:t>
      </w:r>
      <w:r w:rsidRPr="005250EE">
        <w:t>.</w:t>
      </w:r>
    </w:p>
    <w:p w:rsidR="00665E43" w:rsidRDefault="00672459" w:rsidP="00665E43">
      <w:pPr>
        <w:pStyle w:val="ChartandTableFootnoteAlpha"/>
      </w:pPr>
      <w:r>
        <w:rPr>
          <w:lang w:val="en-AU"/>
        </w:rPr>
        <w:t>DCBs</w:t>
      </w:r>
      <w:r w:rsidR="00665E43" w:rsidRPr="008D3E19">
        <w:t xml:space="preserve"> are not separately identified in Appropriation Bill (No.1) and form part of ordinary annual services items. Please refer to Table</w:t>
      </w:r>
      <w:r w:rsidR="00665E43">
        <w:t xml:space="preserve"> 3.</w:t>
      </w:r>
      <w:r w:rsidR="00665E43" w:rsidRPr="008D3E19">
        <w:t>5 for further details. For accounting purposes, this amount has been designated as a 'contribution by owner’.</w:t>
      </w:r>
    </w:p>
    <w:p w:rsidR="00665E43" w:rsidRPr="005A7C0B" w:rsidRDefault="00665E43" w:rsidP="00665E43">
      <w:pPr>
        <w:pStyle w:val="Heading3"/>
        <w:spacing w:before="0"/>
      </w:pPr>
      <w:r>
        <w:br w:type="page"/>
      </w:r>
      <w:bookmarkStart w:id="395" w:name="_Toc511656284"/>
      <w:bookmarkStart w:id="396" w:name="_Toc511722657"/>
      <w:bookmarkStart w:id="397" w:name="_Toc511736989"/>
      <w:bookmarkStart w:id="398" w:name="_Toc511747251"/>
      <w:bookmarkStart w:id="399" w:name="_Toc511765654"/>
      <w:bookmarkStart w:id="400" w:name="_Toc511828710"/>
      <w:bookmarkStart w:id="401" w:name="_Toc511836849"/>
      <w:bookmarkStart w:id="402" w:name="_Toc511902555"/>
      <w:r w:rsidRPr="005A7C0B">
        <w:lastRenderedPageBreak/>
        <w:t>1.3</w:t>
      </w:r>
      <w:r w:rsidRPr="005A7C0B">
        <w:tab/>
        <w:t>Budget measures</w:t>
      </w:r>
      <w:bookmarkEnd w:id="395"/>
      <w:bookmarkEnd w:id="396"/>
      <w:bookmarkEnd w:id="397"/>
      <w:bookmarkEnd w:id="398"/>
      <w:bookmarkEnd w:id="399"/>
      <w:bookmarkEnd w:id="400"/>
      <w:bookmarkEnd w:id="401"/>
      <w:bookmarkEnd w:id="402"/>
    </w:p>
    <w:p w:rsidR="00665E43" w:rsidRDefault="00665E43" w:rsidP="00665E43">
      <w:r w:rsidRPr="00DC32EC">
        <w:t xml:space="preserve">Budget measures </w:t>
      </w:r>
      <w:r>
        <w:t xml:space="preserve">in Part 1 </w:t>
      </w:r>
      <w:r w:rsidRPr="00DC32EC">
        <w:t>relating to</w:t>
      </w:r>
      <w:r>
        <w:t xml:space="preserve"> </w:t>
      </w:r>
      <w:r w:rsidR="004261DC">
        <w:t>the Fair Work Commission</w:t>
      </w:r>
      <w:r w:rsidRPr="00DC32EC">
        <w:t xml:space="preserve"> a</w:t>
      </w:r>
      <w:r>
        <w:t>re detailed in Budget Paper No. </w:t>
      </w:r>
      <w:r w:rsidRPr="00DC32EC">
        <w:t>2</w:t>
      </w:r>
      <w:r>
        <w:t xml:space="preserve"> and are summarised below.</w:t>
      </w:r>
    </w:p>
    <w:p w:rsidR="00665E43" w:rsidRPr="009A40DD" w:rsidRDefault="00665E43" w:rsidP="00665E43">
      <w:pPr>
        <w:pStyle w:val="TableHeading"/>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rsidR="00931196" w:rsidRPr="00240B29" w:rsidRDefault="004261DC" w:rsidP="00931196">
      <w:r>
        <w:t xml:space="preserve">The Fair Work Commission </w:t>
      </w:r>
      <w:r w:rsidR="00931196" w:rsidRPr="00240B29">
        <w:t>does not have any new measures since the 2018–19 MYEFO, or any other measures not previously reported in a portfolio statement. For this reason Table 1.2 is not presented.</w:t>
      </w:r>
    </w:p>
    <w:p w:rsidR="005813D2" w:rsidRPr="00810C6A" w:rsidRDefault="005813D2" w:rsidP="005813D2">
      <w:pPr>
        <w:pStyle w:val="Heading2"/>
      </w:pPr>
      <w:r>
        <w:br w:type="page"/>
      </w:r>
      <w:bookmarkStart w:id="403" w:name="_Toc511656285"/>
      <w:bookmarkStart w:id="404" w:name="_Toc511722658"/>
      <w:bookmarkStart w:id="405" w:name="_Toc511736990"/>
      <w:bookmarkStart w:id="406" w:name="_Toc511747252"/>
      <w:bookmarkStart w:id="407" w:name="_Toc511765655"/>
      <w:bookmarkStart w:id="408" w:name="_Toc511828711"/>
      <w:bookmarkStart w:id="409" w:name="_Toc511836850"/>
      <w:bookmarkStart w:id="410" w:name="_Toc511902556"/>
      <w:r w:rsidRPr="00810C6A">
        <w:lastRenderedPageBreak/>
        <w:t>Section 2: Outcomes and planned performance</w:t>
      </w:r>
      <w:bookmarkEnd w:id="403"/>
      <w:bookmarkEnd w:id="404"/>
      <w:bookmarkEnd w:id="405"/>
      <w:bookmarkEnd w:id="406"/>
      <w:bookmarkEnd w:id="407"/>
      <w:bookmarkEnd w:id="408"/>
      <w:bookmarkEnd w:id="409"/>
      <w:bookmarkEnd w:id="410"/>
    </w:p>
    <w:p w:rsidR="005813D2" w:rsidRPr="005E6F2B" w:rsidRDefault="005813D2" w:rsidP="005813D2">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5813D2" w:rsidRPr="005E6F2B" w:rsidRDefault="005813D2" w:rsidP="005813D2">
      <w:r w:rsidRPr="005E6F2B">
        <w:t xml:space="preserve">Each outcome is described below together with its related programs. The following provides detailed information on expenses for each outcome and program, further broken down by funding source. </w:t>
      </w:r>
    </w:p>
    <w:p w:rsidR="005813D2" w:rsidRPr="006906E4" w:rsidRDefault="005813D2" w:rsidP="005813D2">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5813D2" w:rsidRDefault="005813D2" w:rsidP="005813D2">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5813D2" w:rsidRDefault="005813D2" w:rsidP="005813D2">
      <w:pPr>
        <w:pBdr>
          <w:top w:val="single" w:sz="2" w:space="6" w:color="auto"/>
          <w:left w:val="single" w:sz="2" w:space="4" w:color="auto"/>
          <w:bottom w:val="single" w:sz="2" w:space="6" w:color="auto"/>
          <w:right w:val="single" w:sz="2" w:space="4" w:color="auto"/>
        </w:pBdr>
      </w:pPr>
      <w:r>
        <w:t xml:space="preserve">The most recent corporate plan for Fair Work Commission can be found at: </w:t>
      </w:r>
      <w:hyperlink r:id="rId115" w:history="1">
        <w:r>
          <w:rPr>
            <w:rStyle w:val="Hyperlink"/>
          </w:rPr>
          <w:t>https://www.fwc.gov.au/about-us/news-and-events/corporate-plan-2017-18-published</w:t>
        </w:r>
      </w:hyperlink>
      <w:r>
        <w:t xml:space="preserve"> </w:t>
      </w:r>
      <w:r>
        <w:tab/>
      </w:r>
    </w:p>
    <w:p w:rsidR="005813D2" w:rsidRDefault="005813D2" w:rsidP="005813D2">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16" w:history="1">
        <w:r w:rsidRPr="000E3958">
          <w:rPr>
            <w:rStyle w:val="Hyperlink"/>
          </w:rPr>
          <w:t>https://www.fwc.gov.au/annual-report-2016-17/3-performance/annual-performance-statement</w:t>
        </w:r>
      </w:hyperlink>
      <w:r>
        <w:t>.</w:t>
      </w:r>
    </w:p>
    <w:p w:rsidR="005813D2" w:rsidRPr="00F743D8" w:rsidRDefault="005813D2" w:rsidP="005813D2">
      <w:pPr>
        <w:pStyle w:val="Heading3"/>
      </w:pPr>
      <w:r>
        <w:rPr>
          <w:highlight w:val="yellow"/>
        </w:rPr>
        <w:br w:type="page"/>
      </w:r>
      <w:bookmarkStart w:id="411" w:name="_Toc511656286"/>
      <w:bookmarkStart w:id="412" w:name="_Toc511722659"/>
      <w:bookmarkStart w:id="413" w:name="_Toc511736991"/>
      <w:bookmarkStart w:id="414" w:name="_Toc511747253"/>
      <w:bookmarkStart w:id="415" w:name="_Toc511765656"/>
      <w:bookmarkStart w:id="416" w:name="_Toc511828712"/>
      <w:bookmarkStart w:id="417" w:name="_Toc511836851"/>
      <w:bookmarkStart w:id="418" w:name="_Toc511902557"/>
      <w:r>
        <w:lastRenderedPageBreak/>
        <w:t>2.1</w:t>
      </w:r>
      <w:r w:rsidRPr="00F743D8">
        <w:t xml:space="preserve"> </w:t>
      </w:r>
      <w:r w:rsidRPr="00F743D8">
        <w:tab/>
        <w:t xml:space="preserve">Budgeted expenses and performance for Outcome </w:t>
      </w:r>
      <w:bookmarkEnd w:id="411"/>
      <w:bookmarkEnd w:id="412"/>
      <w:bookmarkEnd w:id="413"/>
      <w:r>
        <w:t>1</w:t>
      </w:r>
      <w:bookmarkEnd w:id="414"/>
      <w:bookmarkEnd w:id="415"/>
      <w:bookmarkEnd w:id="416"/>
      <w:bookmarkEnd w:id="417"/>
      <w:bookmarkEnd w:id="418"/>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5813D2" w:rsidRPr="005E6F2B" w:rsidTr="005813D2">
        <w:tc>
          <w:tcPr>
            <w:tcW w:w="7713" w:type="dxa"/>
            <w:shd w:val="clear" w:color="auto" w:fill="E6E6E6"/>
          </w:tcPr>
          <w:p w:rsidR="005813D2" w:rsidRPr="005E6F2B" w:rsidRDefault="005813D2" w:rsidP="005813D2">
            <w:pPr>
              <w:pStyle w:val="TableColumnHeadingLeft"/>
            </w:pPr>
            <w:r w:rsidRPr="005E6F2B">
              <w:t xml:space="preserve">Outcome </w:t>
            </w:r>
            <w:r>
              <w:t>1: Simple, fair and flexible workplace relations for employees and employers through the exercise of powers to set and vary minimum wages and modern awards, facilitate collective bargaining, approve agreements and deal with disputes.</w:t>
            </w:r>
          </w:p>
        </w:tc>
      </w:tr>
    </w:tbl>
    <w:p w:rsidR="005813D2" w:rsidRPr="00446612" w:rsidRDefault="005813D2" w:rsidP="00FC6D39">
      <w:pPr>
        <w:pStyle w:val="Heading4"/>
        <w:spacing w:before="200"/>
      </w:pPr>
      <w:r>
        <w:t>Budgeted expenses for Outcome 1</w:t>
      </w:r>
    </w:p>
    <w:p w:rsidR="005813D2" w:rsidRDefault="005813D2" w:rsidP="00FC6D39">
      <w:pPr>
        <w:spacing w:after="200"/>
      </w:pPr>
      <w:r w:rsidRPr="00950281">
        <w:t>This table shows how much the entity intends to spend (on an accrual basis) on achieving the outcome, broken down by program, as well as by Administered an</w:t>
      </w:r>
      <w:r>
        <w:t>d Departmental funding sources.</w:t>
      </w:r>
    </w:p>
    <w:p w:rsidR="005813D2" w:rsidRPr="005813D2" w:rsidRDefault="005813D2" w:rsidP="005813D2">
      <w:pPr>
        <w:pStyle w:val="TableHeading"/>
        <w:rPr>
          <w:lang w:val="en-AU"/>
        </w:rPr>
      </w:pPr>
      <w:r>
        <w:t>Table 2.</w:t>
      </w:r>
      <w:r>
        <w:rPr>
          <w:lang w:val="en-AU"/>
        </w:rPr>
        <w:t>1</w:t>
      </w:r>
      <w:r>
        <w:t xml:space="preserve">.1: Budgeted expenses for Outcome </w:t>
      </w:r>
      <w:r>
        <w:rPr>
          <w:lang w:val="en-AU"/>
        </w:rPr>
        <w:t>1</w:t>
      </w:r>
    </w:p>
    <w:tbl>
      <w:tblPr>
        <w:tblW w:w="7739" w:type="dxa"/>
        <w:tblInd w:w="93" w:type="dxa"/>
        <w:tblLook w:val="04A0" w:firstRow="1" w:lastRow="0" w:firstColumn="1" w:lastColumn="0" w:noHBand="0" w:noVBand="1"/>
      </w:tblPr>
      <w:tblGrid>
        <w:gridCol w:w="3146"/>
        <w:gridCol w:w="964"/>
        <w:gridCol w:w="907"/>
        <w:gridCol w:w="907"/>
        <w:gridCol w:w="907"/>
        <w:gridCol w:w="908"/>
      </w:tblGrid>
      <w:tr w:rsidR="005813D2" w:rsidRPr="005813D2" w:rsidTr="00BD1E84">
        <w:trPr>
          <w:trHeight w:val="624"/>
        </w:trPr>
        <w:tc>
          <w:tcPr>
            <w:tcW w:w="7739" w:type="dxa"/>
            <w:gridSpan w:val="6"/>
            <w:tcBorders>
              <w:top w:val="single" w:sz="4" w:space="0" w:color="auto"/>
              <w:left w:val="nil"/>
              <w:bottom w:val="nil"/>
              <w:right w:val="nil"/>
            </w:tcBorders>
            <w:shd w:val="clear" w:color="auto" w:fill="auto"/>
            <w:vAlign w:val="center"/>
            <w:hideMark/>
          </w:tcPr>
          <w:p w:rsidR="005813D2" w:rsidRPr="005813D2" w:rsidRDefault="005813D2" w:rsidP="005813D2">
            <w:pPr>
              <w:spacing w:after="0" w:line="240" w:lineRule="auto"/>
              <w:rPr>
                <w:rFonts w:ascii="Arial" w:hAnsi="Arial" w:cs="Arial"/>
                <w:b/>
                <w:bCs/>
                <w:color w:val="000000"/>
                <w:sz w:val="16"/>
                <w:szCs w:val="16"/>
              </w:rPr>
            </w:pPr>
            <w:r w:rsidRPr="005813D2">
              <w:rPr>
                <w:rFonts w:ascii="Arial" w:hAnsi="Arial" w:cs="Arial"/>
                <w:b/>
                <w:bCs/>
                <w:color w:val="000000"/>
                <w:sz w:val="16"/>
                <w:szCs w:val="16"/>
              </w:rPr>
              <w:t xml:space="preserve">Outcome 1: </w:t>
            </w:r>
            <w:r w:rsidRPr="005813D2">
              <w:rPr>
                <w:rFonts w:ascii="Arial" w:hAnsi="Arial" w:cs="Arial"/>
                <w:b/>
                <w:bCs/>
                <w:sz w:val="16"/>
                <w:szCs w:val="16"/>
              </w:rPr>
              <w:t>Simple, fair and flexible workplace relations for employees and employers through the exercise of powers to set and vary minimum wages and modern awards, facilitate collective bargaining, approve agreements and deal with di</w:t>
            </w:r>
            <w:r>
              <w:rPr>
                <w:rFonts w:ascii="Arial" w:hAnsi="Arial" w:cs="Arial"/>
                <w:b/>
                <w:bCs/>
                <w:sz w:val="16"/>
                <w:szCs w:val="16"/>
              </w:rPr>
              <w:t>s</w:t>
            </w:r>
            <w:r w:rsidRPr="005813D2">
              <w:rPr>
                <w:rFonts w:ascii="Arial" w:hAnsi="Arial" w:cs="Arial"/>
                <w:b/>
                <w:bCs/>
                <w:sz w:val="16"/>
                <w:szCs w:val="16"/>
              </w:rPr>
              <w:t>putes</w:t>
            </w:r>
            <w:r>
              <w:rPr>
                <w:rFonts w:ascii="Arial" w:hAnsi="Arial" w:cs="Arial"/>
                <w:b/>
                <w:bCs/>
                <w:sz w:val="16"/>
                <w:szCs w:val="16"/>
              </w:rPr>
              <w:t>.</w:t>
            </w:r>
          </w:p>
        </w:tc>
      </w:tr>
      <w:tr w:rsidR="005813D2" w:rsidRPr="005813D2" w:rsidTr="00BD1E84">
        <w:trPr>
          <w:trHeight w:val="794"/>
        </w:trPr>
        <w:tc>
          <w:tcPr>
            <w:tcW w:w="3146" w:type="dxa"/>
            <w:tcBorders>
              <w:top w:val="single" w:sz="4" w:space="0" w:color="auto"/>
              <w:left w:val="nil"/>
              <w:bottom w:val="single" w:sz="4" w:space="0" w:color="auto"/>
              <w:right w:val="nil"/>
            </w:tcBorders>
            <w:shd w:val="clear" w:color="auto" w:fill="auto"/>
            <w:vAlign w:val="center"/>
            <w:hideMark/>
          </w:tcPr>
          <w:p w:rsidR="005813D2" w:rsidRPr="005813D2" w:rsidRDefault="005813D2" w:rsidP="005813D2">
            <w:pPr>
              <w:spacing w:after="0" w:line="240" w:lineRule="auto"/>
              <w:rPr>
                <w:rFonts w:ascii="Arial" w:hAnsi="Arial" w:cs="Arial"/>
                <w:b/>
                <w:bCs/>
                <w:color w:val="000000"/>
                <w:sz w:val="16"/>
                <w:szCs w:val="16"/>
              </w:rPr>
            </w:pPr>
            <w:r w:rsidRPr="005813D2">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2017–18 Estimated actual</w:t>
            </w:r>
            <w:r w:rsidRPr="005813D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2018–19</w:t>
            </w:r>
            <w:r w:rsidRPr="005813D2">
              <w:rPr>
                <w:rFonts w:ascii="Arial" w:hAnsi="Arial" w:cs="Arial"/>
                <w:sz w:val="16"/>
                <w:szCs w:val="16"/>
              </w:rPr>
              <w:br/>
              <w:t>Budget</w:t>
            </w:r>
            <w:r w:rsidRPr="005813D2">
              <w:rPr>
                <w:rFonts w:ascii="Arial" w:hAnsi="Arial" w:cs="Arial"/>
                <w:sz w:val="16"/>
                <w:szCs w:val="16"/>
              </w:rPr>
              <w:br/>
            </w:r>
            <w:r w:rsidRPr="005813D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2019–20 Forward estimate</w:t>
            </w:r>
            <w:r w:rsidRPr="005813D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2020–21 Forward estimate</w:t>
            </w:r>
            <w:r w:rsidRPr="005813D2">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2021–22</w:t>
            </w:r>
            <w:r w:rsidRPr="005813D2">
              <w:rPr>
                <w:rFonts w:ascii="Arial" w:hAnsi="Arial" w:cs="Arial"/>
                <w:sz w:val="16"/>
                <w:szCs w:val="16"/>
              </w:rPr>
              <w:br/>
              <w:t>Forward estimate</w:t>
            </w:r>
            <w:r w:rsidRPr="005813D2">
              <w:rPr>
                <w:rFonts w:ascii="Arial" w:hAnsi="Arial" w:cs="Arial"/>
                <w:sz w:val="16"/>
                <w:szCs w:val="16"/>
              </w:rPr>
              <w:br/>
              <w:t>$'000</w:t>
            </w:r>
          </w:p>
        </w:tc>
      </w:tr>
      <w:tr w:rsidR="005813D2" w:rsidRPr="005813D2" w:rsidTr="009017A1">
        <w:trPr>
          <w:trHeight w:val="283"/>
        </w:trPr>
        <w:tc>
          <w:tcPr>
            <w:tcW w:w="7739" w:type="dxa"/>
            <w:gridSpan w:val="6"/>
            <w:tcBorders>
              <w:top w:val="single" w:sz="4" w:space="0" w:color="auto"/>
              <w:left w:val="nil"/>
              <w:bottom w:val="nil"/>
              <w:right w:val="nil"/>
            </w:tcBorders>
            <w:shd w:val="clear" w:color="000000" w:fill="E6E6E6"/>
            <w:vAlign w:val="center"/>
            <w:hideMark/>
          </w:tcPr>
          <w:p w:rsidR="005813D2" w:rsidRPr="005813D2" w:rsidRDefault="005813D2" w:rsidP="005813D2">
            <w:pPr>
              <w:spacing w:after="0" w:line="240" w:lineRule="auto"/>
              <w:rPr>
                <w:rFonts w:ascii="Arial" w:hAnsi="Arial" w:cs="Arial"/>
                <w:b/>
                <w:bCs/>
                <w:sz w:val="16"/>
                <w:szCs w:val="16"/>
              </w:rPr>
            </w:pPr>
            <w:r w:rsidRPr="005813D2">
              <w:rPr>
                <w:rFonts w:ascii="Arial" w:hAnsi="Arial" w:cs="Arial"/>
                <w:b/>
                <w:bCs/>
                <w:sz w:val="16"/>
                <w:szCs w:val="16"/>
              </w:rPr>
              <w:t>Program 1.1: Dispute resolution, minimum wage setting, orders and approvals of agreements</w:t>
            </w:r>
          </w:p>
        </w:tc>
      </w:tr>
      <w:tr w:rsidR="005813D2" w:rsidRPr="005813D2" w:rsidTr="00BD1E84">
        <w:trPr>
          <w:trHeight w:val="225"/>
        </w:trPr>
        <w:tc>
          <w:tcPr>
            <w:tcW w:w="3146" w:type="dxa"/>
            <w:tcBorders>
              <w:top w:val="single" w:sz="4" w:space="0" w:color="000000"/>
              <w:left w:val="nil"/>
              <w:bottom w:val="nil"/>
              <w:right w:val="nil"/>
            </w:tcBorders>
            <w:shd w:val="clear" w:color="auto" w:fill="auto"/>
            <w:noWrap/>
            <w:vAlign w:val="center"/>
            <w:hideMark/>
          </w:tcPr>
          <w:p w:rsidR="005813D2" w:rsidRPr="005813D2" w:rsidRDefault="005813D2" w:rsidP="005813D2">
            <w:pPr>
              <w:spacing w:after="0" w:line="240" w:lineRule="auto"/>
              <w:rPr>
                <w:rFonts w:ascii="Arial" w:hAnsi="Arial" w:cs="Arial"/>
                <w:sz w:val="16"/>
                <w:szCs w:val="16"/>
              </w:rPr>
            </w:pPr>
            <w:r w:rsidRPr="005813D2">
              <w:rPr>
                <w:rFonts w:ascii="Arial" w:hAnsi="Arial" w:cs="Arial"/>
                <w:sz w:val="16"/>
                <w:szCs w:val="16"/>
              </w:rPr>
              <w:t>Administered expenses</w:t>
            </w:r>
          </w:p>
        </w:tc>
        <w:tc>
          <w:tcPr>
            <w:tcW w:w="964" w:type="dxa"/>
            <w:tcBorders>
              <w:top w:val="single" w:sz="4" w:space="0" w:color="000000"/>
              <w:left w:val="nil"/>
              <w:bottom w:val="nil"/>
              <w:right w:val="nil"/>
            </w:tcBorders>
            <w:shd w:val="clear" w:color="auto" w:fill="auto"/>
            <w:noWrap/>
            <w:vAlign w:val="center"/>
            <w:hideMark/>
          </w:tcPr>
          <w:p w:rsidR="005813D2" w:rsidRPr="005813D2" w:rsidRDefault="005813D2"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w:t>
            </w:r>
          </w:p>
        </w:tc>
        <w:tc>
          <w:tcPr>
            <w:tcW w:w="907" w:type="dxa"/>
            <w:tcBorders>
              <w:top w:val="single" w:sz="4" w:space="0" w:color="000000"/>
              <w:left w:val="nil"/>
              <w:bottom w:val="nil"/>
              <w:right w:val="nil"/>
            </w:tcBorders>
            <w:shd w:val="clear" w:color="000000" w:fill="E6E6E6"/>
            <w:noWrap/>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single" w:sz="4" w:space="0" w:color="000000"/>
              <w:left w:val="nil"/>
              <w:bottom w:val="nil"/>
              <w:right w:val="nil"/>
            </w:tcBorders>
            <w:shd w:val="clear" w:color="auto" w:fill="auto"/>
            <w:noWrap/>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single" w:sz="4" w:space="0" w:color="000000"/>
              <w:left w:val="nil"/>
              <w:bottom w:val="nil"/>
              <w:right w:val="nil"/>
            </w:tcBorders>
            <w:shd w:val="clear" w:color="auto" w:fill="auto"/>
            <w:noWrap/>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8" w:type="dxa"/>
            <w:tcBorders>
              <w:top w:val="single" w:sz="4" w:space="0" w:color="000000"/>
              <w:left w:val="nil"/>
              <w:bottom w:val="nil"/>
              <w:right w:val="nil"/>
            </w:tcBorders>
            <w:shd w:val="clear" w:color="auto" w:fill="auto"/>
            <w:noWrap/>
            <w:vAlign w:val="center"/>
            <w:hideMark/>
          </w:tcPr>
          <w:p w:rsidR="005813D2" w:rsidRPr="005813D2" w:rsidRDefault="005813D2" w:rsidP="00BD1E84">
            <w:pPr>
              <w:spacing w:after="0" w:line="240" w:lineRule="auto"/>
              <w:jc w:val="right"/>
              <w:rPr>
                <w:rFonts w:ascii="Arial" w:hAnsi="Arial" w:cs="Arial"/>
                <w:sz w:val="16"/>
                <w:szCs w:val="16"/>
              </w:rPr>
            </w:pPr>
            <w:r w:rsidRPr="005813D2">
              <w:rPr>
                <w:rFonts w:ascii="Arial" w:hAnsi="Arial" w:cs="Arial"/>
                <w:sz w:val="16"/>
                <w:szCs w:val="16"/>
              </w:rPr>
              <w:t> </w:t>
            </w:r>
          </w:p>
        </w:tc>
      </w:tr>
      <w:tr w:rsidR="005813D2" w:rsidRPr="005813D2" w:rsidTr="00FC6D39">
        <w:trPr>
          <w:trHeight w:val="225"/>
        </w:trPr>
        <w:tc>
          <w:tcPr>
            <w:tcW w:w="3146" w:type="dxa"/>
            <w:tcBorders>
              <w:top w:val="nil"/>
              <w:left w:val="nil"/>
              <w:bottom w:val="nil"/>
              <w:right w:val="nil"/>
            </w:tcBorders>
            <w:shd w:val="clear" w:color="auto" w:fill="auto"/>
            <w:noWrap/>
            <w:vAlign w:val="center"/>
            <w:hideMark/>
          </w:tcPr>
          <w:p w:rsidR="005813D2" w:rsidRPr="005813D2" w:rsidRDefault="00FC6D39" w:rsidP="005813D2">
            <w:pPr>
              <w:spacing w:after="0" w:line="240" w:lineRule="auto"/>
              <w:ind w:firstLineChars="100" w:firstLine="160"/>
              <w:rPr>
                <w:rFonts w:ascii="Arial" w:hAnsi="Arial" w:cs="Arial"/>
                <w:sz w:val="16"/>
                <w:szCs w:val="16"/>
              </w:rPr>
            </w:pPr>
            <w:r>
              <w:rPr>
                <w:rFonts w:ascii="Arial" w:hAnsi="Arial" w:cs="Arial"/>
                <w:sz w:val="16"/>
                <w:szCs w:val="16"/>
              </w:rPr>
              <w:t>Special appropriations</w:t>
            </w:r>
          </w:p>
        </w:tc>
        <w:tc>
          <w:tcPr>
            <w:tcW w:w="964" w:type="dxa"/>
            <w:tcBorders>
              <w:top w:val="nil"/>
              <w:left w:val="nil"/>
              <w:bottom w:val="nil"/>
              <w:right w:val="nil"/>
            </w:tcBorders>
            <w:shd w:val="clear" w:color="auto" w:fill="auto"/>
            <w:noWrap/>
            <w:vAlign w:val="center"/>
          </w:tcPr>
          <w:p w:rsidR="005813D2" w:rsidRPr="005813D2" w:rsidRDefault="005813D2" w:rsidP="00BD1E8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tcPr>
          <w:p w:rsidR="005813D2" w:rsidRPr="005813D2" w:rsidRDefault="005813D2"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tcPr>
          <w:p w:rsidR="005813D2" w:rsidRPr="005813D2" w:rsidRDefault="005813D2"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tcPr>
          <w:p w:rsidR="005813D2" w:rsidRPr="005813D2" w:rsidRDefault="005813D2" w:rsidP="00BD1E84">
            <w:pPr>
              <w:spacing w:after="0" w:line="240" w:lineRule="auto"/>
              <w:jc w:val="right"/>
              <w:rPr>
                <w:rFonts w:ascii="Arial" w:hAnsi="Arial" w:cs="Arial"/>
                <w:sz w:val="16"/>
                <w:szCs w:val="16"/>
              </w:rPr>
            </w:pPr>
          </w:p>
        </w:tc>
        <w:tc>
          <w:tcPr>
            <w:tcW w:w="908" w:type="dxa"/>
            <w:tcBorders>
              <w:top w:val="nil"/>
              <w:left w:val="nil"/>
              <w:bottom w:val="nil"/>
              <w:right w:val="nil"/>
            </w:tcBorders>
            <w:shd w:val="clear" w:color="auto" w:fill="auto"/>
            <w:noWrap/>
            <w:vAlign w:val="center"/>
          </w:tcPr>
          <w:p w:rsidR="005813D2" w:rsidRPr="005813D2" w:rsidRDefault="005813D2" w:rsidP="00BD1E84">
            <w:pPr>
              <w:spacing w:after="0" w:line="240" w:lineRule="auto"/>
              <w:jc w:val="right"/>
              <w:rPr>
                <w:rFonts w:ascii="Arial" w:hAnsi="Arial" w:cs="Arial"/>
                <w:sz w:val="16"/>
                <w:szCs w:val="16"/>
              </w:rPr>
            </w:pPr>
          </w:p>
        </w:tc>
      </w:tr>
      <w:tr w:rsidR="00FC6D39" w:rsidRPr="005813D2" w:rsidTr="00FC6D39">
        <w:trPr>
          <w:trHeight w:val="397"/>
        </w:trPr>
        <w:tc>
          <w:tcPr>
            <w:tcW w:w="3146" w:type="dxa"/>
            <w:tcBorders>
              <w:top w:val="nil"/>
              <w:left w:val="nil"/>
              <w:bottom w:val="nil"/>
              <w:right w:val="nil"/>
            </w:tcBorders>
            <w:shd w:val="clear" w:color="auto" w:fill="auto"/>
            <w:noWrap/>
            <w:vAlign w:val="center"/>
          </w:tcPr>
          <w:p w:rsidR="00FC6D39" w:rsidRPr="00FC6D39" w:rsidRDefault="00FC6D39" w:rsidP="00FC6D39">
            <w:pPr>
              <w:spacing w:after="0" w:line="240" w:lineRule="auto"/>
              <w:ind w:leftChars="160" w:left="474" w:hangingChars="96" w:hanging="154"/>
              <w:rPr>
                <w:rFonts w:ascii="Arial" w:hAnsi="Arial" w:cs="Arial"/>
                <w:i/>
                <w:iCs/>
                <w:color w:val="000000"/>
                <w:sz w:val="16"/>
                <w:szCs w:val="16"/>
              </w:rPr>
            </w:pPr>
            <w:r>
              <w:rPr>
                <w:rFonts w:ascii="Arial" w:hAnsi="Arial" w:cs="Arial"/>
                <w:i/>
                <w:iCs/>
                <w:color w:val="000000"/>
                <w:sz w:val="16"/>
                <w:szCs w:val="16"/>
              </w:rPr>
              <w:t>Public Governance, Performance and Accountability Act 2013—s77</w:t>
            </w:r>
          </w:p>
        </w:tc>
        <w:tc>
          <w:tcPr>
            <w:tcW w:w="964" w:type="dxa"/>
            <w:tcBorders>
              <w:top w:val="nil"/>
              <w:left w:val="nil"/>
              <w:bottom w:val="nil"/>
              <w:right w:val="nil"/>
            </w:tcBorders>
            <w:shd w:val="clear" w:color="auto" w:fill="auto"/>
            <w:noWrap/>
            <w:vAlign w:val="center"/>
          </w:tcPr>
          <w:p w:rsidR="00FC6D39" w:rsidRPr="005813D2" w:rsidRDefault="00FC6D39" w:rsidP="00FC6D39">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c>
          <w:tcPr>
            <w:tcW w:w="907" w:type="dxa"/>
            <w:tcBorders>
              <w:top w:val="nil"/>
              <w:left w:val="nil"/>
              <w:bottom w:val="nil"/>
              <w:right w:val="nil"/>
            </w:tcBorders>
            <w:shd w:val="clear" w:color="000000" w:fill="E6E6E6"/>
            <w:noWrap/>
            <w:vAlign w:val="center"/>
          </w:tcPr>
          <w:p w:rsidR="00FC6D39" w:rsidRPr="005813D2" w:rsidRDefault="00FC6D39" w:rsidP="00FC6D39">
            <w:pPr>
              <w:spacing w:after="0" w:line="240" w:lineRule="auto"/>
              <w:jc w:val="right"/>
              <w:rPr>
                <w:rFonts w:ascii="Arial" w:hAnsi="Arial" w:cs="Arial"/>
                <w:sz w:val="16"/>
                <w:szCs w:val="16"/>
              </w:rPr>
            </w:pPr>
            <w:r w:rsidRPr="005813D2">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tcPr>
          <w:p w:rsidR="00FC6D39" w:rsidRPr="005813D2" w:rsidRDefault="00FC6D39" w:rsidP="00FC6D39">
            <w:pPr>
              <w:spacing w:after="0" w:line="240" w:lineRule="auto"/>
              <w:jc w:val="right"/>
              <w:rPr>
                <w:rFonts w:ascii="Arial" w:hAnsi="Arial" w:cs="Arial"/>
                <w:sz w:val="16"/>
                <w:szCs w:val="16"/>
              </w:rPr>
            </w:pPr>
            <w:r w:rsidRPr="005813D2">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tcPr>
          <w:p w:rsidR="00FC6D39" w:rsidRPr="005813D2" w:rsidRDefault="00FC6D39" w:rsidP="00FC6D39">
            <w:pPr>
              <w:spacing w:after="0" w:line="240" w:lineRule="auto"/>
              <w:jc w:val="right"/>
              <w:rPr>
                <w:rFonts w:ascii="Arial" w:hAnsi="Arial" w:cs="Arial"/>
                <w:sz w:val="16"/>
                <w:szCs w:val="16"/>
              </w:rPr>
            </w:pPr>
            <w:r w:rsidRPr="005813D2">
              <w:rPr>
                <w:rFonts w:ascii="Arial" w:hAnsi="Arial" w:cs="Arial"/>
                <w:sz w:val="16"/>
                <w:szCs w:val="16"/>
              </w:rPr>
              <w:t xml:space="preserve">500 </w:t>
            </w:r>
          </w:p>
        </w:tc>
        <w:tc>
          <w:tcPr>
            <w:tcW w:w="908" w:type="dxa"/>
            <w:tcBorders>
              <w:top w:val="nil"/>
              <w:left w:val="nil"/>
              <w:bottom w:val="nil"/>
              <w:right w:val="nil"/>
            </w:tcBorders>
            <w:shd w:val="clear" w:color="auto" w:fill="auto"/>
            <w:noWrap/>
            <w:vAlign w:val="center"/>
          </w:tcPr>
          <w:p w:rsidR="00FC6D39" w:rsidRPr="005813D2" w:rsidRDefault="00FC6D39" w:rsidP="00FC6D39">
            <w:pPr>
              <w:spacing w:after="0" w:line="240" w:lineRule="auto"/>
              <w:jc w:val="right"/>
              <w:rPr>
                <w:rFonts w:ascii="Arial" w:hAnsi="Arial" w:cs="Arial"/>
                <w:sz w:val="16"/>
                <w:szCs w:val="16"/>
              </w:rPr>
            </w:pPr>
            <w:r w:rsidRPr="005813D2">
              <w:rPr>
                <w:rFonts w:ascii="Arial" w:hAnsi="Arial" w:cs="Arial"/>
                <w:sz w:val="16"/>
                <w:szCs w:val="16"/>
              </w:rPr>
              <w:t xml:space="preserve">500 </w:t>
            </w:r>
          </w:p>
        </w:tc>
      </w:tr>
      <w:tr w:rsidR="00FC6D39" w:rsidRPr="00BD1E84" w:rsidTr="00BD1E84">
        <w:trPr>
          <w:trHeight w:val="225"/>
        </w:trPr>
        <w:tc>
          <w:tcPr>
            <w:tcW w:w="3146" w:type="dxa"/>
            <w:tcBorders>
              <w:top w:val="nil"/>
              <w:left w:val="nil"/>
              <w:bottom w:val="nil"/>
              <w:right w:val="nil"/>
            </w:tcBorders>
            <w:shd w:val="clear" w:color="auto" w:fill="auto"/>
            <w:vAlign w:val="center"/>
            <w:hideMark/>
          </w:tcPr>
          <w:p w:rsidR="00FC6D39" w:rsidRPr="00BD1E84" w:rsidRDefault="00FC6D39" w:rsidP="005813D2">
            <w:pPr>
              <w:spacing w:after="0" w:line="240" w:lineRule="auto"/>
              <w:jc w:val="right"/>
              <w:rPr>
                <w:rFonts w:ascii="Arial" w:hAnsi="Arial" w:cs="Arial"/>
                <w:b/>
                <w:bCs/>
                <w:sz w:val="16"/>
                <w:szCs w:val="16"/>
              </w:rPr>
            </w:pPr>
            <w:r w:rsidRPr="00BD1E84">
              <w:rPr>
                <w:rFonts w:ascii="Arial" w:hAnsi="Arial" w:cs="Arial"/>
                <w:b/>
                <w:bCs/>
                <w:sz w:val="16"/>
                <w:szCs w:val="16"/>
              </w:rPr>
              <w:t>Administered total</w:t>
            </w:r>
          </w:p>
        </w:tc>
        <w:tc>
          <w:tcPr>
            <w:tcW w:w="964" w:type="dxa"/>
            <w:tcBorders>
              <w:top w:val="single" w:sz="4" w:space="0" w:color="000000"/>
              <w:left w:val="nil"/>
              <w:bottom w:val="single" w:sz="4" w:space="0" w:color="000000"/>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c>
          <w:tcPr>
            <w:tcW w:w="907" w:type="dxa"/>
            <w:tcBorders>
              <w:top w:val="single" w:sz="4" w:space="0" w:color="000000"/>
              <w:left w:val="nil"/>
              <w:bottom w:val="single" w:sz="4" w:space="0" w:color="000000"/>
              <w:right w:val="nil"/>
            </w:tcBorders>
            <w:shd w:val="clear" w:color="000000" w:fill="E6E6E6"/>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c>
          <w:tcPr>
            <w:tcW w:w="907" w:type="dxa"/>
            <w:tcBorders>
              <w:top w:val="single" w:sz="4" w:space="0" w:color="000000"/>
              <w:left w:val="nil"/>
              <w:bottom w:val="single" w:sz="4" w:space="0" w:color="000000"/>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c>
          <w:tcPr>
            <w:tcW w:w="907" w:type="dxa"/>
            <w:tcBorders>
              <w:top w:val="single" w:sz="4" w:space="0" w:color="000000"/>
              <w:left w:val="nil"/>
              <w:bottom w:val="single" w:sz="4" w:space="0" w:color="000000"/>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c>
          <w:tcPr>
            <w:tcW w:w="908" w:type="dxa"/>
            <w:tcBorders>
              <w:top w:val="single" w:sz="4" w:space="0" w:color="000000"/>
              <w:left w:val="nil"/>
              <w:bottom w:val="single" w:sz="4" w:space="0" w:color="000000"/>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r>
      <w:tr w:rsidR="00FC6D39" w:rsidRPr="005813D2" w:rsidTr="00BD1E84">
        <w:trPr>
          <w:trHeight w:val="225"/>
        </w:trPr>
        <w:tc>
          <w:tcPr>
            <w:tcW w:w="3146"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r w:rsidRPr="005813D2">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r>
      <w:tr w:rsidR="00FC6D39" w:rsidRPr="005813D2" w:rsidTr="00BD1E84">
        <w:trPr>
          <w:trHeight w:val="225"/>
        </w:trPr>
        <w:tc>
          <w:tcPr>
            <w:tcW w:w="3146"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ind w:firstLineChars="100" w:firstLine="160"/>
              <w:rPr>
                <w:rFonts w:ascii="Arial" w:hAnsi="Arial" w:cs="Arial"/>
                <w:sz w:val="16"/>
                <w:szCs w:val="16"/>
              </w:rPr>
            </w:pPr>
            <w:r w:rsidRPr="005813D2">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74,133 </w:t>
            </w: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74,047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75,759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77,058 </w:t>
            </w: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77,664 </w:t>
            </w:r>
          </w:p>
        </w:tc>
      </w:tr>
      <w:tr w:rsidR="00FC6D39" w:rsidRPr="005813D2" w:rsidTr="00BD1E84">
        <w:trPr>
          <w:trHeight w:val="225"/>
        </w:trPr>
        <w:tc>
          <w:tcPr>
            <w:tcW w:w="3146" w:type="dxa"/>
            <w:tcBorders>
              <w:top w:val="nil"/>
              <w:left w:val="nil"/>
              <w:bottom w:val="nil"/>
              <w:right w:val="nil"/>
            </w:tcBorders>
            <w:shd w:val="clear" w:color="auto" w:fill="auto"/>
            <w:vAlign w:val="center"/>
            <w:hideMark/>
          </w:tcPr>
          <w:p w:rsidR="00FC6D39" w:rsidRPr="005813D2" w:rsidRDefault="00FC6D39" w:rsidP="005813D2">
            <w:pPr>
              <w:spacing w:after="0" w:line="240" w:lineRule="auto"/>
              <w:ind w:firstLineChars="100" w:firstLine="160"/>
              <w:rPr>
                <w:rFonts w:ascii="Arial" w:hAnsi="Arial" w:cs="Arial"/>
                <w:sz w:val="16"/>
                <w:szCs w:val="16"/>
              </w:rPr>
            </w:pPr>
            <w:r>
              <w:rPr>
                <w:rFonts w:ascii="Arial" w:hAnsi="Arial" w:cs="Arial"/>
                <w:sz w:val="16"/>
                <w:szCs w:val="16"/>
              </w:rPr>
              <w:t>s74 retained revenue receipts (a</w:t>
            </w:r>
            <w:r w:rsidRPr="005813D2">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2,150 </w:t>
            </w: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2,000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2,000 </w:t>
            </w: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2,000 </w:t>
            </w:r>
          </w:p>
        </w:tc>
      </w:tr>
      <w:tr w:rsidR="00FC6D39" w:rsidRPr="005813D2" w:rsidTr="00BD1E84">
        <w:trPr>
          <w:trHeight w:val="397"/>
        </w:trPr>
        <w:tc>
          <w:tcPr>
            <w:tcW w:w="3146" w:type="dxa"/>
            <w:tcBorders>
              <w:top w:val="nil"/>
              <w:left w:val="nil"/>
              <w:bottom w:val="nil"/>
              <w:right w:val="nil"/>
            </w:tcBorders>
            <w:shd w:val="clear" w:color="auto" w:fill="auto"/>
            <w:vAlign w:val="center"/>
            <w:hideMark/>
          </w:tcPr>
          <w:p w:rsidR="00FC6D39" w:rsidRPr="005813D2" w:rsidRDefault="00FC6D39" w:rsidP="00BD1E84">
            <w:pPr>
              <w:spacing w:after="0" w:line="240" w:lineRule="auto"/>
              <w:ind w:leftChars="80" w:left="333" w:hangingChars="108" w:hanging="173"/>
              <w:rPr>
                <w:rFonts w:ascii="Arial" w:hAnsi="Arial" w:cs="Arial"/>
                <w:sz w:val="16"/>
                <w:szCs w:val="16"/>
              </w:rPr>
            </w:pPr>
            <w:r w:rsidRPr="005813D2">
              <w:rPr>
                <w:rFonts w:ascii="Arial" w:hAnsi="Arial" w:cs="Arial"/>
                <w:sz w:val="16"/>
                <w:szCs w:val="16"/>
              </w:rPr>
              <w:t>Expenses not requiring app</w:t>
            </w:r>
            <w:r>
              <w:rPr>
                <w:rFonts w:ascii="Arial" w:hAnsi="Arial" w:cs="Arial"/>
                <w:sz w:val="16"/>
                <w:szCs w:val="16"/>
              </w:rPr>
              <w:t>ropriation in the Budget year (b</w:t>
            </w:r>
            <w:r w:rsidRPr="005813D2">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5,832 </w:t>
            </w: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6,277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6,127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6,098 </w:t>
            </w: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6,130 </w:t>
            </w:r>
          </w:p>
        </w:tc>
      </w:tr>
      <w:tr w:rsidR="00FC6D39" w:rsidRPr="00BD1E84" w:rsidTr="00BD1E84">
        <w:trPr>
          <w:trHeight w:val="225"/>
        </w:trPr>
        <w:tc>
          <w:tcPr>
            <w:tcW w:w="3146" w:type="dxa"/>
            <w:tcBorders>
              <w:top w:val="nil"/>
              <w:left w:val="nil"/>
              <w:bottom w:val="nil"/>
              <w:right w:val="nil"/>
            </w:tcBorders>
            <w:shd w:val="clear" w:color="auto" w:fill="auto"/>
            <w:vAlign w:val="center"/>
            <w:hideMark/>
          </w:tcPr>
          <w:p w:rsidR="00FC6D39" w:rsidRPr="00BD1E84" w:rsidRDefault="00FC6D39" w:rsidP="005813D2">
            <w:pPr>
              <w:spacing w:after="0" w:line="240" w:lineRule="auto"/>
              <w:jc w:val="right"/>
              <w:rPr>
                <w:rFonts w:ascii="Arial" w:hAnsi="Arial" w:cs="Arial"/>
                <w:b/>
                <w:bCs/>
                <w:sz w:val="16"/>
                <w:szCs w:val="16"/>
              </w:rPr>
            </w:pPr>
            <w:r w:rsidRPr="00BD1E84">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82,115 </w:t>
            </w:r>
          </w:p>
        </w:tc>
        <w:tc>
          <w:tcPr>
            <w:tcW w:w="907" w:type="dxa"/>
            <w:tcBorders>
              <w:top w:val="single" w:sz="4" w:space="0" w:color="000000"/>
              <w:left w:val="nil"/>
              <w:bottom w:val="single" w:sz="4" w:space="0" w:color="000000"/>
              <w:right w:val="nil"/>
            </w:tcBorders>
            <w:shd w:val="clear" w:color="000000" w:fill="E6E6E6"/>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82,324 </w:t>
            </w:r>
          </w:p>
        </w:tc>
        <w:tc>
          <w:tcPr>
            <w:tcW w:w="907" w:type="dxa"/>
            <w:tcBorders>
              <w:top w:val="single" w:sz="4" w:space="0" w:color="000000"/>
              <w:left w:val="nil"/>
              <w:bottom w:val="single" w:sz="4" w:space="0" w:color="000000"/>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83,886 </w:t>
            </w:r>
          </w:p>
        </w:tc>
        <w:tc>
          <w:tcPr>
            <w:tcW w:w="907" w:type="dxa"/>
            <w:tcBorders>
              <w:top w:val="single" w:sz="4" w:space="0" w:color="000000"/>
              <w:left w:val="nil"/>
              <w:bottom w:val="single" w:sz="4" w:space="0" w:color="000000"/>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85,156 </w:t>
            </w:r>
          </w:p>
        </w:tc>
        <w:tc>
          <w:tcPr>
            <w:tcW w:w="908" w:type="dxa"/>
            <w:tcBorders>
              <w:top w:val="single" w:sz="4" w:space="0" w:color="000000"/>
              <w:left w:val="nil"/>
              <w:bottom w:val="single" w:sz="4" w:space="0" w:color="000000"/>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85,794 </w:t>
            </w:r>
          </w:p>
        </w:tc>
      </w:tr>
      <w:tr w:rsidR="00FC6D39" w:rsidRPr="005813D2" w:rsidTr="00BD1E84">
        <w:trPr>
          <w:trHeight w:val="225"/>
        </w:trPr>
        <w:tc>
          <w:tcPr>
            <w:tcW w:w="3146" w:type="dxa"/>
            <w:tcBorders>
              <w:top w:val="nil"/>
              <w:left w:val="nil"/>
              <w:bottom w:val="single" w:sz="4" w:space="0" w:color="000000"/>
              <w:right w:val="nil"/>
            </w:tcBorders>
            <w:shd w:val="clear" w:color="auto" w:fill="auto"/>
            <w:vAlign w:val="center"/>
            <w:hideMark/>
          </w:tcPr>
          <w:p w:rsidR="00FC6D39" w:rsidRPr="005813D2" w:rsidRDefault="00FC6D39" w:rsidP="00BD1E84">
            <w:pPr>
              <w:spacing w:after="0" w:line="240" w:lineRule="auto"/>
              <w:rPr>
                <w:rFonts w:ascii="Arial" w:hAnsi="Arial" w:cs="Arial"/>
                <w:b/>
                <w:bCs/>
                <w:sz w:val="16"/>
                <w:szCs w:val="16"/>
              </w:rPr>
            </w:pPr>
            <w:r w:rsidRPr="005813D2">
              <w:rPr>
                <w:rFonts w:ascii="Arial" w:hAnsi="Arial" w:cs="Arial"/>
                <w:b/>
                <w:bCs/>
                <w:sz w:val="16"/>
                <w:szCs w:val="16"/>
              </w:rPr>
              <w:t xml:space="preserve">Total expenses for </w:t>
            </w:r>
            <w:r>
              <w:rPr>
                <w:rFonts w:ascii="Arial" w:hAnsi="Arial" w:cs="Arial"/>
                <w:b/>
                <w:bCs/>
                <w:sz w:val="16"/>
                <w:szCs w:val="16"/>
              </w:rPr>
              <w:t>P</w:t>
            </w:r>
            <w:r w:rsidRPr="005813D2">
              <w:rPr>
                <w:rFonts w:ascii="Arial" w:hAnsi="Arial" w:cs="Arial"/>
                <w:b/>
                <w:bCs/>
                <w:sz w:val="16"/>
                <w:szCs w:val="16"/>
              </w:rPr>
              <w:t>rogram 1.1</w:t>
            </w:r>
          </w:p>
        </w:tc>
        <w:tc>
          <w:tcPr>
            <w:tcW w:w="964" w:type="dxa"/>
            <w:tcBorders>
              <w:top w:val="nil"/>
              <w:left w:val="nil"/>
              <w:bottom w:val="single" w:sz="4" w:space="0" w:color="000000"/>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b/>
                <w:bCs/>
                <w:color w:val="000000"/>
                <w:sz w:val="16"/>
                <w:szCs w:val="16"/>
              </w:rPr>
            </w:pPr>
            <w:r w:rsidRPr="005813D2">
              <w:rPr>
                <w:rFonts w:ascii="Arial" w:hAnsi="Arial" w:cs="Arial"/>
                <w:b/>
                <w:bCs/>
                <w:color w:val="000000"/>
                <w:sz w:val="16"/>
                <w:szCs w:val="16"/>
              </w:rPr>
              <w:t xml:space="preserve">82,615 </w:t>
            </w:r>
          </w:p>
        </w:tc>
        <w:tc>
          <w:tcPr>
            <w:tcW w:w="907" w:type="dxa"/>
            <w:tcBorders>
              <w:top w:val="nil"/>
              <w:left w:val="nil"/>
              <w:bottom w:val="single" w:sz="4" w:space="0" w:color="000000"/>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b/>
                <w:bCs/>
                <w:color w:val="000000"/>
                <w:sz w:val="16"/>
                <w:szCs w:val="16"/>
              </w:rPr>
            </w:pPr>
            <w:r w:rsidRPr="005813D2">
              <w:rPr>
                <w:rFonts w:ascii="Arial" w:hAnsi="Arial" w:cs="Arial"/>
                <w:b/>
                <w:bCs/>
                <w:color w:val="000000"/>
                <w:sz w:val="16"/>
                <w:szCs w:val="16"/>
              </w:rPr>
              <w:t xml:space="preserve">82,824 </w:t>
            </w:r>
          </w:p>
        </w:tc>
        <w:tc>
          <w:tcPr>
            <w:tcW w:w="907" w:type="dxa"/>
            <w:tcBorders>
              <w:top w:val="nil"/>
              <w:left w:val="nil"/>
              <w:bottom w:val="single" w:sz="4" w:space="0" w:color="000000"/>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84,386 </w:t>
            </w:r>
          </w:p>
        </w:tc>
        <w:tc>
          <w:tcPr>
            <w:tcW w:w="907" w:type="dxa"/>
            <w:tcBorders>
              <w:top w:val="nil"/>
              <w:left w:val="nil"/>
              <w:bottom w:val="single" w:sz="4" w:space="0" w:color="000000"/>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85,656 </w:t>
            </w:r>
          </w:p>
        </w:tc>
        <w:tc>
          <w:tcPr>
            <w:tcW w:w="908" w:type="dxa"/>
            <w:tcBorders>
              <w:top w:val="nil"/>
              <w:left w:val="nil"/>
              <w:bottom w:val="single" w:sz="4" w:space="0" w:color="000000"/>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86,294 </w:t>
            </w:r>
          </w:p>
        </w:tc>
      </w:tr>
      <w:tr w:rsidR="00FC6D39" w:rsidRPr="005813D2" w:rsidTr="009017A1">
        <w:trPr>
          <w:trHeight w:val="283"/>
        </w:trPr>
        <w:tc>
          <w:tcPr>
            <w:tcW w:w="7739" w:type="dxa"/>
            <w:gridSpan w:val="6"/>
            <w:tcBorders>
              <w:top w:val="single" w:sz="4" w:space="0" w:color="auto"/>
              <w:left w:val="nil"/>
              <w:bottom w:val="single" w:sz="4" w:space="0" w:color="auto"/>
              <w:right w:val="nil"/>
            </w:tcBorders>
            <w:shd w:val="clear" w:color="000000" w:fill="E6E6E6"/>
            <w:vAlign w:val="center"/>
            <w:hideMark/>
          </w:tcPr>
          <w:p w:rsidR="00FC6D39" w:rsidRPr="005813D2" w:rsidRDefault="00FC6D39" w:rsidP="005813D2">
            <w:pPr>
              <w:spacing w:after="0" w:line="240" w:lineRule="auto"/>
              <w:rPr>
                <w:rFonts w:ascii="Arial" w:hAnsi="Arial" w:cs="Arial"/>
                <w:b/>
                <w:bCs/>
                <w:sz w:val="16"/>
                <w:szCs w:val="16"/>
              </w:rPr>
            </w:pPr>
            <w:r w:rsidRPr="005813D2">
              <w:rPr>
                <w:rFonts w:ascii="Arial" w:hAnsi="Arial" w:cs="Arial"/>
                <w:b/>
                <w:bCs/>
                <w:sz w:val="16"/>
                <w:szCs w:val="16"/>
              </w:rPr>
              <w:t>Outcome 1 Totals by appropriation type</w:t>
            </w:r>
          </w:p>
        </w:tc>
      </w:tr>
      <w:tr w:rsidR="00FC6D39" w:rsidRPr="005813D2" w:rsidTr="00BD1E84">
        <w:trPr>
          <w:trHeight w:val="225"/>
        </w:trPr>
        <w:tc>
          <w:tcPr>
            <w:tcW w:w="3146"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r w:rsidRPr="005813D2">
              <w:rPr>
                <w:rFonts w:ascii="Arial" w:hAnsi="Arial" w:cs="Arial"/>
                <w:sz w:val="16"/>
                <w:szCs w:val="16"/>
              </w:rPr>
              <w:t>Administered expenses</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r>
      <w:tr w:rsidR="00FC6D39" w:rsidRPr="005813D2" w:rsidTr="00BD1E84">
        <w:trPr>
          <w:trHeight w:val="227"/>
        </w:trPr>
        <w:tc>
          <w:tcPr>
            <w:tcW w:w="3146" w:type="dxa"/>
            <w:tcBorders>
              <w:top w:val="nil"/>
              <w:left w:val="nil"/>
              <w:right w:val="nil"/>
            </w:tcBorders>
            <w:shd w:val="clear" w:color="auto" w:fill="auto"/>
            <w:noWrap/>
            <w:vAlign w:val="center"/>
            <w:hideMark/>
          </w:tcPr>
          <w:p w:rsidR="00FC6D39" w:rsidRPr="005813D2" w:rsidRDefault="00FC6D39" w:rsidP="005813D2">
            <w:pPr>
              <w:spacing w:after="0" w:line="240" w:lineRule="auto"/>
              <w:ind w:firstLineChars="100" w:firstLine="160"/>
              <w:rPr>
                <w:rFonts w:ascii="Arial" w:hAnsi="Arial" w:cs="Arial"/>
                <w:sz w:val="16"/>
                <w:szCs w:val="16"/>
              </w:rPr>
            </w:pPr>
            <w:r>
              <w:rPr>
                <w:rFonts w:ascii="Arial" w:hAnsi="Arial" w:cs="Arial"/>
                <w:sz w:val="16"/>
                <w:szCs w:val="16"/>
              </w:rPr>
              <w:t>Special appropriations</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500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500 </w:t>
            </w:r>
          </w:p>
        </w:tc>
      </w:tr>
      <w:tr w:rsidR="00FC6D39" w:rsidRPr="00BD1E84" w:rsidTr="00BD1E84">
        <w:trPr>
          <w:trHeight w:val="225"/>
        </w:trPr>
        <w:tc>
          <w:tcPr>
            <w:tcW w:w="3146" w:type="dxa"/>
            <w:tcBorders>
              <w:top w:val="nil"/>
              <w:left w:val="nil"/>
              <w:right w:val="nil"/>
            </w:tcBorders>
            <w:shd w:val="clear" w:color="auto" w:fill="auto"/>
            <w:vAlign w:val="center"/>
            <w:hideMark/>
          </w:tcPr>
          <w:p w:rsidR="00FC6D39" w:rsidRPr="00BD1E84" w:rsidRDefault="00FC6D39" w:rsidP="005813D2">
            <w:pPr>
              <w:spacing w:after="0" w:line="240" w:lineRule="auto"/>
              <w:jc w:val="right"/>
              <w:rPr>
                <w:rFonts w:ascii="Arial" w:hAnsi="Arial" w:cs="Arial"/>
                <w:b/>
                <w:bCs/>
                <w:sz w:val="16"/>
                <w:szCs w:val="16"/>
              </w:rPr>
            </w:pPr>
            <w:r w:rsidRPr="00BD1E84">
              <w:rPr>
                <w:rFonts w:ascii="Arial" w:hAnsi="Arial" w:cs="Arial"/>
                <w:b/>
                <w:bCs/>
                <w:sz w:val="16"/>
                <w:szCs w:val="16"/>
              </w:rPr>
              <w:t>Administered total</w:t>
            </w:r>
          </w:p>
        </w:tc>
        <w:tc>
          <w:tcPr>
            <w:tcW w:w="964" w:type="dxa"/>
            <w:tcBorders>
              <w:top w:val="single" w:sz="4" w:space="0" w:color="auto"/>
              <w:left w:val="nil"/>
              <w:bottom w:val="single" w:sz="4" w:space="0" w:color="auto"/>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c>
          <w:tcPr>
            <w:tcW w:w="907" w:type="dxa"/>
            <w:tcBorders>
              <w:top w:val="single" w:sz="4" w:space="0" w:color="auto"/>
              <w:left w:val="nil"/>
              <w:bottom w:val="single" w:sz="4" w:space="0" w:color="auto"/>
              <w:right w:val="nil"/>
            </w:tcBorders>
            <w:shd w:val="clear" w:color="000000" w:fill="E6E6E6"/>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500 </w:t>
            </w:r>
          </w:p>
        </w:tc>
        <w:tc>
          <w:tcPr>
            <w:tcW w:w="907" w:type="dxa"/>
            <w:tcBorders>
              <w:top w:val="single" w:sz="4" w:space="0" w:color="auto"/>
              <w:left w:val="nil"/>
              <w:bottom w:val="single" w:sz="4" w:space="0" w:color="auto"/>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c>
          <w:tcPr>
            <w:tcW w:w="907" w:type="dxa"/>
            <w:tcBorders>
              <w:top w:val="single" w:sz="4" w:space="0" w:color="auto"/>
              <w:left w:val="nil"/>
              <w:bottom w:val="single" w:sz="4" w:space="0" w:color="auto"/>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c>
          <w:tcPr>
            <w:tcW w:w="908" w:type="dxa"/>
            <w:tcBorders>
              <w:top w:val="single" w:sz="4" w:space="0" w:color="auto"/>
              <w:left w:val="nil"/>
              <w:bottom w:val="single" w:sz="4" w:space="0" w:color="auto"/>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500 </w:t>
            </w:r>
          </w:p>
        </w:tc>
      </w:tr>
      <w:tr w:rsidR="00FC6D39" w:rsidRPr="005813D2" w:rsidTr="00BD1E84">
        <w:trPr>
          <w:trHeight w:val="225"/>
        </w:trPr>
        <w:tc>
          <w:tcPr>
            <w:tcW w:w="3146" w:type="dxa"/>
            <w:tcBorders>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r w:rsidRPr="005813D2">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p>
        </w:tc>
      </w:tr>
      <w:tr w:rsidR="00FC6D39" w:rsidRPr="005813D2" w:rsidTr="00BD1E84">
        <w:trPr>
          <w:trHeight w:val="225"/>
        </w:trPr>
        <w:tc>
          <w:tcPr>
            <w:tcW w:w="3146"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ind w:firstLineChars="100" w:firstLine="160"/>
              <w:rPr>
                <w:rFonts w:ascii="Arial" w:hAnsi="Arial" w:cs="Arial"/>
                <w:sz w:val="16"/>
                <w:szCs w:val="16"/>
              </w:rPr>
            </w:pPr>
            <w:r w:rsidRPr="005813D2">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74,133 </w:t>
            </w: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74,047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75,759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77,058 </w:t>
            </w: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77,664 </w:t>
            </w:r>
          </w:p>
        </w:tc>
      </w:tr>
      <w:tr w:rsidR="00FC6D39" w:rsidRPr="005813D2" w:rsidTr="00BD1E84">
        <w:trPr>
          <w:trHeight w:val="225"/>
        </w:trPr>
        <w:tc>
          <w:tcPr>
            <w:tcW w:w="3146" w:type="dxa"/>
            <w:tcBorders>
              <w:top w:val="nil"/>
              <w:left w:val="nil"/>
              <w:bottom w:val="nil"/>
              <w:right w:val="nil"/>
            </w:tcBorders>
            <w:shd w:val="clear" w:color="auto" w:fill="auto"/>
            <w:vAlign w:val="center"/>
            <w:hideMark/>
          </w:tcPr>
          <w:p w:rsidR="00FC6D39" w:rsidRPr="005813D2" w:rsidRDefault="00FC6D39" w:rsidP="005813D2">
            <w:pPr>
              <w:spacing w:after="0" w:line="240" w:lineRule="auto"/>
              <w:ind w:firstLineChars="100" w:firstLine="160"/>
              <w:rPr>
                <w:rFonts w:ascii="Arial" w:hAnsi="Arial" w:cs="Arial"/>
                <w:sz w:val="16"/>
                <w:szCs w:val="16"/>
              </w:rPr>
            </w:pPr>
            <w:r>
              <w:rPr>
                <w:rFonts w:ascii="Arial" w:hAnsi="Arial" w:cs="Arial"/>
                <w:sz w:val="16"/>
                <w:szCs w:val="16"/>
              </w:rPr>
              <w:t>s74 retained revenue receipts (a</w:t>
            </w:r>
            <w:r w:rsidRPr="005813D2">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2,150 </w:t>
            </w: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2,000 </w:t>
            </w:r>
          </w:p>
        </w:tc>
      </w:tr>
      <w:tr w:rsidR="00FC6D39" w:rsidRPr="005813D2" w:rsidTr="00BD1E84">
        <w:trPr>
          <w:trHeight w:val="397"/>
        </w:trPr>
        <w:tc>
          <w:tcPr>
            <w:tcW w:w="3146" w:type="dxa"/>
            <w:tcBorders>
              <w:top w:val="nil"/>
              <w:left w:val="nil"/>
              <w:bottom w:val="nil"/>
              <w:right w:val="nil"/>
            </w:tcBorders>
            <w:shd w:val="clear" w:color="auto" w:fill="auto"/>
            <w:vAlign w:val="center"/>
            <w:hideMark/>
          </w:tcPr>
          <w:p w:rsidR="00FC6D39" w:rsidRPr="005813D2" w:rsidRDefault="00FC6D39" w:rsidP="00BD1E84">
            <w:pPr>
              <w:spacing w:after="0" w:line="240" w:lineRule="auto"/>
              <w:ind w:leftChars="80" w:left="333" w:hangingChars="108" w:hanging="173"/>
              <w:rPr>
                <w:rFonts w:ascii="Arial" w:hAnsi="Arial" w:cs="Arial"/>
                <w:sz w:val="16"/>
                <w:szCs w:val="16"/>
              </w:rPr>
            </w:pPr>
            <w:r w:rsidRPr="005813D2">
              <w:rPr>
                <w:rFonts w:ascii="Arial" w:hAnsi="Arial" w:cs="Arial"/>
                <w:sz w:val="16"/>
                <w:szCs w:val="16"/>
              </w:rPr>
              <w:t>Expenses not requiring app</w:t>
            </w:r>
            <w:r>
              <w:rPr>
                <w:rFonts w:ascii="Arial" w:hAnsi="Arial" w:cs="Arial"/>
                <w:sz w:val="16"/>
                <w:szCs w:val="16"/>
              </w:rPr>
              <w:t>ropriation in the Budget year (a</w:t>
            </w:r>
            <w:r w:rsidRPr="005813D2">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5,832 </w:t>
            </w:r>
          </w:p>
        </w:tc>
        <w:tc>
          <w:tcPr>
            <w:tcW w:w="907" w:type="dxa"/>
            <w:tcBorders>
              <w:top w:val="nil"/>
              <w:left w:val="nil"/>
              <w:bottom w:val="nil"/>
              <w:right w:val="nil"/>
            </w:tcBorders>
            <w:shd w:val="clear" w:color="000000" w:fill="E6E6E6"/>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6,277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6,127 </w:t>
            </w:r>
          </w:p>
        </w:tc>
        <w:tc>
          <w:tcPr>
            <w:tcW w:w="907"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6,098 </w:t>
            </w:r>
          </w:p>
        </w:tc>
        <w:tc>
          <w:tcPr>
            <w:tcW w:w="908" w:type="dxa"/>
            <w:tcBorders>
              <w:top w:val="nil"/>
              <w:left w:val="nil"/>
              <w:bottom w:val="nil"/>
              <w:right w:val="nil"/>
            </w:tcBorders>
            <w:shd w:val="clear" w:color="auto" w:fill="auto"/>
            <w:noWrap/>
            <w:vAlign w:val="center"/>
            <w:hideMark/>
          </w:tcPr>
          <w:p w:rsidR="00FC6D39" w:rsidRPr="005813D2" w:rsidRDefault="00FC6D39" w:rsidP="00BD1E84">
            <w:pPr>
              <w:spacing w:after="0" w:line="240" w:lineRule="auto"/>
              <w:jc w:val="right"/>
              <w:rPr>
                <w:rFonts w:ascii="Arial" w:hAnsi="Arial" w:cs="Arial"/>
                <w:sz w:val="16"/>
                <w:szCs w:val="16"/>
              </w:rPr>
            </w:pPr>
            <w:r w:rsidRPr="005813D2">
              <w:rPr>
                <w:rFonts w:ascii="Arial" w:hAnsi="Arial" w:cs="Arial"/>
                <w:sz w:val="16"/>
                <w:szCs w:val="16"/>
              </w:rPr>
              <w:t xml:space="preserve">6,130 </w:t>
            </w:r>
          </w:p>
        </w:tc>
      </w:tr>
      <w:tr w:rsidR="00FC6D39" w:rsidRPr="00BD1E84" w:rsidTr="00BD1E84">
        <w:trPr>
          <w:trHeight w:val="225"/>
        </w:trPr>
        <w:tc>
          <w:tcPr>
            <w:tcW w:w="3146" w:type="dxa"/>
            <w:tcBorders>
              <w:top w:val="nil"/>
              <w:left w:val="nil"/>
              <w:bottom w:val="nil"/>
              <w:right w:val="nil"/>
            </w:tcBorders>
            <w:shd w:val="clear" w:color="auto" w:fill="auto"/>
            <w:vAlign w:val="center"/>
            <w:hideMark/>
          </w:tcPr>
          <w:p w:rsidR="00FC6D39" w:rsidRPr="00BD1E84" w:rsidRDefault="00FC6D39" w:rsidP="005813D2">
            <w:pPr>
              <w:spacing w:after="0" w:line="240" w:lineRule="auto"/>
              <w:jc w:val="right"/>
              <w:rPr>
                <w:rFonts w:ascii="Arial" w:hAnsi="Arial" w:cs="Arial"/>
                <w:b/>
                <w:bCs/>
                <w:sz w:val="16"/>
                <w:szCs w:val="16"/>
              </w:rPr>
            </w:pPr>
            <w:r w:rsidRPr="00BD1E84">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82,115 </w:t>
            </w:r>
          </w:p>
        </w:tc>
        <w:tc>
          <w:tcPr>
            <w:tcW w:w="907" w:type="dxa"/>
            <w:tcBorders>
              <w:top w:val="single" w:sz="4" w:space="0" w:color="auto"/>
              <w:left w:val="nil"/>
              <w:bottom w:val="single" w:sz="4" w:space="0" w:color="auto"/>
              <w:right w:val="nil"/>
            </w:tcBorders>
            <w:shd w:val="clear" w:color="000000" w:fill="E6E6E6"/>
            <w:noWrap/>
            <w:vAlign w:val="center"/>
            <w:hideMark/>
          </w:tcPr>
          <w:p w:rsidR="00FC6D39" w:rsidRPr="00BD1E84" w:rsidRDefault="00FC6D39" w:rsidP="00BD1E84">
            <w:pPr>
              <w:spacing w:after="0" w:line="240" w:lineRule="auto"/>
              <w:jc w:val="right"/>
              <w:rPr>
                <w:rFonts w:ascii="Arial" w:hAnsi="Arial" w:cs="Arial"/>
                <w:sz w:val="16"/>
                <w:szCs w:val="16"/>
              </w:rPr>
            </w:pPr>
            <w:r w:rsidRPr="00BD1E84">
              <w:rPr>
                <w:rFonts w:ascii="Arial" w:hAnsi="Arial" w:cs="Arial"/>
                <w:sz w:val="16"/>
                <w:szCs w:val="16"/>
              </w:rPr>
              <w:t xml:space="preserve">82,324 </w:t>
            </w:r>
          </w:p>
        </w:tc>
        <w:tc>
          <w:tcPr>
            <w:tcW w:w="907" w:type="dxa"/>
            <w:tcBorders>
              <w:top w:val="single" w:sz="4" w:space="0" w:color="auto"/>
              <w:left w:val="nil"/>
              <w:bottom w:val="single" w:sz="4" w:space="0" w:color="auto"/>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83,886 </w:t>
            </w:r>
          </w:p>
        </w:tc>
        <w:tc>
          <w:tcPr>
            <w:tcW w:w="907" w:type="dxa"/>
            <w:tcBorders>
              <w:top w:val="single" w:sz="4" w:space="0" w:color="auto"/>
              <w:left w:val="nil"/>
              <w:bottom w:val="single" w:sz="4" w:space="0" w:color="auto"/>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85,156 </w:t>
            </w:r>
          </w:p>
        </w:tc>
        <w:tc>
          <w:tcPr>
            <w:tcW w:w="908" w:type="dxa"/>
            <w:tcBorders>
              <w:top w:val="single" w:sz="4" w:space="0" w:color="auto"/>
              <w:left w:val="nil"/>
              <w:bottom w:val="single" w:sz="4" w:space="0" w:color="auto"/>
              <w:right w:val="nil"/>
            </w:tcBorders>
            <w:shd w:val="clear" w:color="auto" w:fill="auto"/>
            <w:noWrap/>
            <w:vAlign w:val="center"/>
            <w:hideMark/>
          </w:tcPr>
          <w:p w:rsidR="00FC6D39" w:rsidRPr="00BD1E84" w:rsidRDefault="00FC6D39" w:rsidP="00BD1E84">
            <w:pPr>
              <w:spacing w:after="0" w:line="240" w:lineRule="auto"/>
              <w:jc w:val="right"/>
              <w:rPr>
                <w:rFonts w:ascii="Arial" w:hAnsi="Arial" w:cs="Arial"/>
                <w:color w:val="000000"/>
                <w:sz w:val="16"/>
                <w:szCs w:val="16"/>
              </w:rPr>
            </w:pPr>
            <w:r w:rsidRPr="00BD1E84">
              <w:rPr>
                <w:rFonts w:ascii="Arial" w:hAnsi="Arial" w:cs="Arial"/>
                <w:color w:val="000000"/>
                <w:sz w:val="16"/>
                <w:szCs w:val="16"/>
              </w:rPr>
              <w:t xml:space="preserve">85,794 </w:t>
            </w:r>
          </w:p>
        </w:tc>
      </w:tr>
      <w:tr w:rsidR="00FC6D39" w:rsidRPr="005813D2" w:rsidTr="00BD1E84">
        <w:trPr>
          <w:trHeight w:val="225"/>
        </w:trPr>
        <w:tc>
          <w:tcPr>
            <w:tcW w:w="3146" w:type="dxa"/>
            <w:tcBorders>
              <w:top w:val="nil"/>
              <w:left w:val="nil"/>
              <w:bottom w:val="single" w:sz="4" w:space="0" w:color="auto"/>
              <w:right w:val="nil"/>
            </w:tcBorders>
            <w:shd w:val="clear" w:color="auto" w:fill="auto"/>
            <w:noWrap/>
            <w:vAlign w:val="bottom"/>
            <w:hideMark/>
          </w:tcPr>
          <w:p w:rsidR="00FC6D39" w:rsidRPr="005813D2" w:rsidRDefault="00FC6D39" w:rsidP="00BD1E84">
            <w:pPr>
              <w:spacing w:after="0" w:line="240" w:lineRule="auto"/>
              <w:rPr>
                <w:rFonts w:ascii="Arial" w:hAnsi="Arial" w:cs="Arial"/>
                <w:b/>
                <w:bCs/>
                <w:color w:val="000000"/>
                <w:sz w:val="16"/>
                <w:szCs w:val="16"/>
              </w:rPr>
            </w:pPr>
            <w:r w:rsidRPr="005813D2">
              <w:rPr>
                <w:rFonts w:ascii="Arial" w:hAnsi="Arial" w:cs="Arial"/>
                <w:b/>
                <w:bCs/>
                <w:color w:val="000000"/>
                <w:sz w:val="16"/>
                <w:szCs w:val="16"/>
              </w:rPr>
              <w:t>Total expenses for Outcome 1</w:t>
            </w:r>
          </w:p>
        </w:tc>
        <w:tc>
          <w:tcPr>
            <w:tcW w:w="964" w:type="dxa"/>
            <w:tcBorders>
              <w:top w:val="nil"/>
              <w:left w:val="nil"/>
              <w:bottom w:val="single" w:sz="4" w:space="0" w:color="auto"/>
              <w:right w:val="nil"/>
            </w:tcBorders>
            <w:shd w:val="clear" w:color="auto" w:fill="auto"/>
            <w:noWrap/>
            <w:vAlign w:val="bottom"/>
            <w:hideMark/>
          </w:tcPr>
          <w:p w:rsidR="00FC6D39" w:rsidRPr="005813D2" w:rsidRDefault="00FC6D39" w:rsidP="00BD1E84">
            <w:pPr>
              <w:spacing w:after="0" w:line="240" w:lineRule="auto"/>
              <w:jc w:val="right"/>
              <w:rPr>
                <w:rFonts w:ascii="Arial" w:hAnsi="Arial" w:cs="Arial"/>
                <w:b/>
                <w:bCs/>
                <w:color w:val="000000"/>
                <w:sz w:val="16"/>
                <w:szCs w:val="16"/>
              </w:rPr>
            </w:pPr>
            <w:r w:rsidRPr="005813D2">
              <w:rPr>
                <w:rFonts w:ascii="Arial" w:hAnsi="Arial" w:cs="Arial"/>
                <w:b/>
                <w:bCs/>
                <w:color w:val="000000"/>
                <w:sz w:val="16"/>
                <w:szCs w:val="16"/>
              </w:rPr>
              <w:t xml:space="preserve">82,615 </w:t>
            </w:r>
          </w:p>
        </w:tc>
        <w:tc>
          <w:tcPr>
            <w:tcW w:w="907" w:type="dxa"/>
            <w:tcBorders>
              <w:top w:val="nil"/>
              <w:left w:val="nil"/>
              <w:bottom w:val="single" w:sz="4" w:space="0" w:color="auto"/>
              <w:right w:val="nil"/>
            </w:tcBorders>
            <w:shd w:val="clear" w:color="000000" w:fill="E6E6E6"/>
            <w:noWrap/>
            <w:vAlign w:val="bottom"/>
            <w:hideMark/>
          </w:tcPr>
          <w:p w:rsidR="00FC6D39" w:rsidRPr="005813D2" w:rsidRDefault="00FC6D39" w:rsidP="00BD1E84">
            <w:pPr>
              <w:spacing w:after="0" w:line="240" w:lineRule="auto"/>
              <w:jc w:val="right"/>
              <w:rPr>
                <w:rFonts w:ascii="Arial" w:hAnsi="Arial" w:cs="Arial"/>
                <w:b/>
                <w:bCs/>
                <w:color w:val="000000"/>
                <w:sz w:val="16"/>
                <w:szCs w:val="16"/>
              </w:rPr>
            </w:pPr>
            <w:r w:rsidRPr="005813D2">
              <w:rPr>
                <w:rFonts w:ascii="Arial" w:hAnsi="Arial" w:cs="Arial"/>
                <w:b/>
                <w:bCs/>
                <w:color w:val="000000"/>
                <w:sz w:val="16"/>
                <w:szCs w:val="16"/>
              </w:rPr>
              <w:t xml:space="preserve">82,824 </w:t>
            </w:r>
          </w:p>
        </w:tc>
        <w:tc>
          <w:tcPr>
            <w:tcW w:w="907" w:type="dxa"/>
            <w:tcBorders>
              <w:top w:val="nil"/>
              <w:left w:val="nil"/>
              <w:bottom w:val="single" w:sz="4" w:space="0" w:color="auto"/>
              <w:right w:val="nil"/>
            </w:tcBorders>
            <w:shd w:val="clear" w:color="auto" w:fill="auto"/>
            <w:noWrap/>
            <w:vAlign w:val="bottom"/>
            <w:hideMark/>
          </w:tcPr>
          <w:p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84,386 </w:t>
            </w:r>
          </w:p>
        </w:tc>
        <w:tc>
          <w:tcPr>
            <w:tcW w:w="907" w:type="dxa"/>
            <w:tcBorders>
              <w:top w:val="nil"/>
              <w:left w:val="nil"/>
              <w:bottom w:val="single" w:sz="4" w:space="0" w:color="auto"/>
              <w:right w:val="nil"/>
            </w:tcBorders>
            <w:shd w:val="clear" w:color="auto" w:fill="auto"/>
            <w:noWrap/>
            <w:vAlign w:val="bottom"/>
            <w:hideMark/>
          </w:tcPr>
          <w:p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85,656 </w:t>
            </w:r>
          </w:p>
        </w:tc>
        <w:tc>
          <w:tcPr>
            <w:tcW w:w="908" w:type="dxa"/>
            <w:tcBorders>
              <w:top w:val="nil"/>
              <w:left w:val="nil"/>
              <w:bottom w:val="single" w:sz="4" w:space="0" w:color="auto"/>
              <w:right w:val="nil"/>
            </w:tcBorders>
            <w:shd w:val="clear" w:color="auto" w:fill="auto"/>
            <w:noWrap/>
            <w:vAlign w:val="bottom"/>
            <w:hideMark/>
          </w:tcPr>
          <w:p w:rsidR="00FC6D39" w:rsidRPr="005813D2" w:rsidRDefault="00FC6D39" w:rsidP="00BD1E84">
            <w:pPr>
              <w:spacing w:after="0" w:line="240" w:lineRule="auto"/>
              <w:jc w:val="right"/>
              <w:rPr>
                <w:rFonts w:ascii="Arial" w:hAnsi="Arial" w:cs="Arial"/>
                <w:b/>
                <w:bCs/>
                <w:sz w:val="16"/>
                <w:szCs w:val="16"/>
              </w:rPr>
            </w:pPr>
            <w:r w:rsidRPr="005813D2">
              <w:rPr>
                <w:rFonts w:ascii="Arial" w:hAnsi="Arial" w:cs="Arial"/>
                <w:b/>
                <w:bCs/>
                <w:sz w:val="16"/>
                <w:szCs w:val="16"/>
              </w:rPr>
              <w:t xml:space="preserve">86,294 </w:t>
            </w:r>
          </w:p>
        </w:tc>
      </w:tr>
      <w:tr w:rsidR="00FC6D39" w:rsidRPr="005813D2" w:rsidTr="00BD1E84">
        <w:trPr>
          <w:trHeight w:val="225"/>
        </w:trPr>
        <w:tc>
          <w:tcPr>
            <w:tcW w:w="3146"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b/>
                <w:bCs/>
                <w:color w:val="000000"/>
                <w:sz w:val="16"/>
                <w:szCs w:val="16"/>
              </w:rPr>
            </w:pPr>
          </w:p>
        </w:tc>
        <w:tc>
          <w:tcPr>
            <w:tcW w:w="964"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b/>
                <w:bCs/>
                <w:sz w:val="16"/>
                <w:szCs w:val="16"/>
              </w:rPr>
            </w:pPr>
          </w:p>
        </w:tc>
        <w:tc>
          <w:tcPr>
            <w:tcW w:w="908"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b/>
                <w:bCs/>
                <w:sz w:val="16"/>
                <w:szCs w:val="16"/>
              </w:rPr>
            </w:pPr>
          </w:p>
        </w:tc>
      </w:tr>
      <w:tr w:rsidR="00FC6D39" w:rsidRPr="005813D2" w:rsidTr="00BD1E84">
        <w:trPr>
          <w:trHeight w:val="225"/>
        </w:trPr>
        <w:tc>
          <w:tcPr>
            <w:tcW w:w="3146" w:type="dxa"/>
            <w:tcBorders>
              <w:top w:val="single" w:sz="4" w:space="0" w:color="000000"/>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color w:val="000000"/>
                <w:sz w:val="16"/>
                <w:szCs w:val="16"/>
              </w:rPr>
            </w:pPr>
            <w:r w:rsidRPr="005813D2">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rsidR="00FC6D39" w:rsidRPr="005813D2" w:rsidRDefault="00FC6D39" w:rsidP="005813D2">
            <w:pPr>
              <w:spacing w:after="0" w:line="240" w:lineRule="auto"/>
              <w:jc w:val="right"/>
              <w:rPr>
                <w:rFonts w:ascii="Arial" w:hAnsi="Arial" w:cs="Arial"/>
                <w:sz w:val="16"/>
                <w:szCs w:val="16"/>
              </w:rPr>
            </w:pPr>
            <w:r w:rsidRPr="005813D2">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rsidR="00FC6D39" w:rsidRPr="005813D2" w:rsidRDefault="00FC6D39" w:rsidP="005813D2">
            <w:pPr>
              <w:spacing w:after="0" w:line="240" w:lineRule="auto"/>
              <w:jc w:val="right"/>
              <w:rPr>
                <w:rFonts w:ascii="Arial" w:hAnsi="Arial" w:cs="Arial"/>
                <w:sz w:val="16"/>
                <w:szCs w:val="16"/>
              </w:rPr>
            </w:pPr>
            <w:r w:rsidRPr="005813D2">
              <w:rPr>
                <w:rFonts w:ascii="Arial" w:hAnsi="Arial" w:cs="Arial"/>
                <w:sz w:val="16"/>
                <w:szCs w:val="16"/>
              </w:rPr>
              <w:t>2018–19</w:t>
            </w:r>
          </w:p>
        </w:tc>
        <w:tc>
          <w:tcPr>
            <w:tcW w:w="907"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p>
        </w:tc>
      </w:tr>
      <w:tr w:rsidR="00FC6D39" w:rsidRPr="005813D2" w:rsidTr="00BD1E84">
        <w:trPr>
          <w:trHeight w:val="225"/>
        </w:trPr>
        <w:tc>
          <w:tcPr>
            <w:tcW w:w="3146" w:type="dxa"/>
            <w:tcBorders>
              <w:top w:val="nil"/>
              <w:left w:val="nil"/>
              <w:bottom w:val="single" w:sz="4" w:space="0" w:color="000000"/>
              <w:right w:val="nil"/>
            </w:tcBorders>
            <w:shd w:val="clear" w:color="auto" w:fill="auto"/>
            <w:noWrap/>
            <w:vAlign w:val="bottom"/>
            <w:hideMark/>
          </w:tcPr>
          <w:p w:rsidR="00FC6D39" w:rsidRPr="005813D2" w:rsidRDefault="00FC6D39" w:rsidP="00BD1E84">
            <w:pPr>
              <w:spacing w:after="0" w:line="240" w:lineRule="auto"/>
              <w:rPr>
                <w:rFonts w:ascii="Arial" w:hAnsi="Arial" w:cs="Arial"/>
                <w:b/>
                <w:bCs/>
                <w:color w:val="000000"/>
                <w:sz w:val="16"/>
                <w:szCs w:val="16"/>
              </w:rPr>
            </w:pPr>
            <w:r w:rsidRPr="005813D2">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314 </w:t>
            </w:r>
          </w:p>
        </w:tc>
        <w:tc>
          <w:tcPr>
            <w:tcW w:w="907" w:type="dxa"/>
            <w:tcBorders>
              <w:top w:val="nil"/>
              <w:left w:val="nil"/>
              <w:bottom w:val="single" w:sz="4" w:space="0" w:color="auto"/>
              <w:right w:val="nil"/>
            </w:tcBorders>
            <w:shd w:val="clear" w:color="000000" w:fill="E6E6E6"/>
            <w:noWrap/>
            <w:vAlign w:val="bottom"/>
            <w:hideMark/>
          </w:tcPr>
          <w:p w:rsidR="00FC6D39" w:rsidRPr="005813D2" w:rsidRDefault="00FC6D39" w:rsidP="00BD1E84">
            <w:pPr>
              <w:spacing w:after="0" w:line="240" w:lineRule="auto"/>
              <w:jc w:val="right"/>
              <w:rPr>
                <w:rFonts w:ascii="Arial" w:hAnsi="Arial" w:cs="Arial"/>
                <w:color w:val="000000"/>
                <w:sz w:val="16"/>
                <w:szCs w:val="16"/>
              </w:rPr>
            </w:pPr>
            <w:r w:rsidRPr="005813D2">
              <w:rPr>
                <w:rFonts w:ascii="Arial" w:hAnsi="Arial" w:cs="Arial"/>
                <w:color w:val="000000"/>
                <w:sz w:val="16"/>
                <w:szCs w:val="16"/>
              </w:rPr>
              <w:t xml:space="preserve">314 </w:t>
            </w:r>
          </w:p>
        </w:tc>
        <w:tc>
          <w:tcPr>
            <w:tcW w:w="907"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rsidR="00FC6D39" w:rsidRPr="005813D2" w:rsidRDefault="00FC6D39" w:rsidP="005813D2">
            <w:pPr>
              <w:spacing w:after="0" w:line="240" w:lineRule="auto"/>
              <w:rPr>
                <w:rFonts w:ascii="Arial" w:hAnsi="Arial" w:cs="Arial"/>
                <w:sz w:val="16"/>
                <w:szCs w:val="16"/>
              </w:rPr>
            </w:pPr>
          </w:p>
        </w:tc>
      </w:tr>
    </w:tbl>
    <w:p w:rsidR="00BD1E84" w:rsidRPr="00950281" w:rsidRDefault="00BD1E84" w:rsidP="00FC6D39">
      <w:pPr>
        <w:pStyle w:val="ChartandTableFootnoteAlpha"/>
        <w:numPr>
          <w:ilvl w:val="0"/>
          <w:numId w:val="63"/>
        </w:numPr>
      </w:pPr>
      <w:r w:rsidRPr="00950281">
        <w:t>E</w:t>
      </w:r>
      <w:r>
        <w:t>stimated e</w:t>
      </w:r>
      <w:r w:rsidRPr="00950281">
        <w:t xml:space="preserve">xpenses </w:t>
      </w:r>
      <w:r>
        <w:t>incurred in relation to receipts retained under section 74 of the PGPA Act</w:t>
      </w:r>
      <w:r w:rsidRPr="006922DC">
        <w:t>.</w:t>
      </w:r>
    </w:p>
    <w:p w:rsidR="00BD1E84" w:rsidRPr="00950281" w:rsidRDefault="00BD1E84" w:rsidP="00BD1E84">
      <w:pPr>
        <w:pStyle w:val="ChartandTableFootnoteAlpha"/>
      </w:pPr>
      <w:r w:rsidRPr="00950281">
        <w:t>Expenses not requiring appropriation in the Budget year are made up of depreciation expenses, amortisation expenses, make good expenses,</w:t>
      </w:r>
      <w:r>
        <w:t xml:space="preserve"> and audit fees.</w:t>
      </w:r>
    </w:p>
    <w:p w:rsidR="005813D2" w:rsidRPr="00BD1E84" w:rsidRDefault="00BD1E84" w:rsidP="00BD1E84">
      <w:pPr>
        <w:pStyle w:val="ChartandTableFootnote"/>
        <w:rPr>
          <w:lang w:val="en-AU"/>
        </w:rPr>
      </w:pPr>
      <w:r w:rsidRPr="00446612">
        <w:t>Note: Departmental appropriation splits and totals are indicative estimates and may change in the course of the budget year as government priorities change.</w:t>
      </w:r>
    </w:p>
    <w:p w:rsidR="002C3D9C" w:rsidRPr="002C3D9C" w:rsidRDefault="005813D2" w:rsidP="002C3D9C">
      <w:pPr>
        <w:pStyle w:val="TableHeading"/>
        <w:rPr>
          <w:lang w:val="en-AU"/>
        </w:rPr>
      </w:pPr>
      <w:r>
        <w:br w:type="page"/>
      </w:r>
      <w:r w:rsidR="002C3D9C" w:rsidRPr="00F71634">
        <w:lastRenderedPageBreak/>
        <w:t>Table 2.</w:t>
      </w:r>
      <w:r w:rsidR="002C3D9C">
        <w:rPr>
          <w:lang w:val="en-AU"/>
        </w:rPr>
        <w:t>1.2</w:t>
      </w:r>
      <w:r w:rsidR="002C3D9C" w:rsidRPr="00F71634">
        <w:t>: Pe</w:t>
      </w:r>
      <w:r w:rsidR="002C3D9C">
        <w:t xml:space="preserve">rformance criteria for Outcome </w:t>
      </w:r>
      <w:r w:rsidR="002C3D9C">
        <w:rPr>
          <w:lang w:val="en-AU"/>
        </w:rPr>
        <w:t>1</w:t>
      </w:r>
    </w:p>
    <w:p w:rsidR="002C3D9C" w:rsidRPr="00B166C6" w:rsidRDefault="002C3D9C" w:rsidP="002C3D9C">
      <w:r>
        <w:t>Table 2.1</w:t>
      </w:r>
      <w:r w:rsidRPr="00B166C6">
        <w:t>.</w:t>
      </w:r>
      <w:r>
        <w:t>2</w:t>
      </w:r>
      <w:r w:rsidRPr="00B166C6">
        <w:t xml:space="preserve"> below details the performance criteria for each program associated with Outcome </w:t>
      </w:r>
      <w:r>
        <w:t>1</w:t>
      </w:r>
      <w:r w:rsidRPr="00B166C6">
        <w:t>. It also summarises how each program is delivered and where 2018</w:t>
      </w:r>
      <w:r>
        <w:t>–</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042"/>
        <w:gridCol w:w="2565"/>
      </w:tblGrid>
      <w:tr w:rsidR="002C3D9C" w:rsidRPr="00F71634" w:rsidTr="002C3D9C">
        <w:trPr>
          <w:tblHeader/>
        </w:trPr>
        <w:tc>
          <w:tcPr>
            <w:tcW w:w="7741" w:type="dxa"/>
            <w:gridSpan w:val="3"/>
            <w:shd w:val="clear" w:color="auto" w:fill="F2F2F2"/>
          </w:tcPr>
          <w:p w:rsidR="002C3D9C" w:rsidRPr="006906E4" w:rsidRDefault="002C3D9C" w:rsidP="002C3D9C">
            <w:pPr>
              <w:pStyle w:val="TableColumnHeadingLeft"/>
            </w:pPr>
            <w:r>
              <w:t>Outcome 1—Simple, fair and flexible workplace relations for employees and employers through the exercise of powers to set and vary minimum wages and modern awards, facilitate collective bargaining, approve agreements and deal with disputes.</w:t>
            </w:r>
          </w:p>
        </w:tc>
      </w:tr>
      <w:tr w:rsidR="002C3D9C" w:rsidRPr="00F71634" w:rsidTr="002C3D9C">
        <w:trPr>
          <w:tblHeader/>
        </w:trPr>
        <w:tc>
          <w:tcPr>
            <w:tcW w:w="7741" w:type="dxa"/>
            <w:gridSpan w:val="3"/>
            <w:shd w:val="clear" w:color="auto" w:fill="F2F2F2"/>
          </w:tcPr>
          <w:p w:rsidR="002C3D9C" w:rsidRPr="002C3D9C" w:rsidRDefault="002C3D9C" w:rsidP="002C3D9C">
            <w:pPr>
              <w:pStyle w:val="TableTextLeft"/>
              <w:rPr>
                <w:b/>
              </w:rPr>
            </w:pPr>
            <w:r w:rsidRPr="002C3D9C">
              <w:rPr>
                <w:b/>
              </w:rPr>
              <w:t>Program 1.1—Dispute resolution, minimum wage setting, orders and approval of agreements</w:t>
            </w:r>
          </w:p>
          <w:p w:rsidR="002C3D9C" w:rsidRPr="006906E4" w:rsidRDefault="002C3D9C" w:rsidP="002C3D9C">
            <w:pPr>
              <w:pStyle w:val="TableTextLeft"/>
            </w:pPr>
            <w:r w:rsidRPr="002C3D9C">
              <w:t xml:space="preserve">The Fair Work Commission exercises powers under the </w:t>
            </w:r>
            <w:r w:rsidRPr="002C3D9C">
              <w:rPr>
                <w:i/>
              </w:rPr>
              <w:t>Fair Work Act 2009</w:t>
            </w:r>
            <w:r w:rsidRPr="002C3D9C">
              <w:t xml:space="preserve"> in accordance with the objects of the Act and in a manner that is fair and just, is quick, informal and avoids unnecessary technicalities.</w:t>
            </w:r>
          </w:p>
        </w:tc>
      </w:tr>
      <w:tr w:rsidR="002C3D9C" w:rsidRPr="00F71634" w:rsidTr="002C3D9C">
        <w:tc>
          <w:tcPr>
            <w:tcW w:w="1134" w:type="dxa"/>
          </w:tcPr>
          <w:p w:rsidR="002C3D9C" w:rsidRPr="006906E4" w:rsidRDefault="002C3D9C" w:rsidP="0027427B">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607" w:type="dxa"/>
            <w:gridSpan w:val="2"/>
          </w:tcPr>
          <w:p w:rsidR="002C3D9C" w:rsidRDefault="002C3D9C" w:rsidP="002C3D9C">
            <w:pPr>
              <w:pStyle w:val="NormalWeb"/>
              <w:spacing w:before="0" w:beforeAutospacing="0" w:after="0" w:afterAutospacing="0"/>
              <w:rPr>
                <w:rFonts w:ascii="Arial" w:hAnsi="Arial" w:cs="Arial"/>
                <w:sz w:val="16"/>
                <w:szCs w:val="16"/>
              </w:rPr>
            </w:pPr>
            <w:r w:rsidRPr="002C3D9C">
              <w:rPr>
                <w:rStyle w:val="TableTextLeftChar"/>
              </w:rPr>
              <w:t xml:space="preserve">The Fair Work Commission is Australia's national workplace relations tribunal. It is an independent body responsible for exercising functions prescribed by the </w:t>
            </w:r>
            <w:r w:rsidRPr="002C3D9C">
              <w:rPr>
                <w:rStyle w:val="TableTextLeftChar"/>
                <w:i/>
              </w:rPr>
              <w:t>Fair Work Act 2009</w:t>
            </w:r>
            <w:r w:rsidRPr="002C3D9C">
              <w:rPr>
                <w:rStyle w:val="TableTextLeftChar"/>
              </w:rPr>
              <w:t xml:space="preserve"> and the </w:t>
            </w:r>
            <w:r w:rsidRPr="002C3D9C">
              <w:rPr>
                <w:rStyle w:val="TableTextLeftChar"/>
                <w:i/>
              </w:rPr>
              <w:t>Fair Work (Registered Organisations) Act 2009</w:t>
            </w:r>
            <w:r w:rsidRPr="002C3D9C">
              <w:rPr>
                <w:rStyle w:val="TableTextLeftChar"/>
              </w:rPr>
              <w:t>, including</w:t>
            </w:r>
            <w:r>
              <w:rPr>
                <w:rFonts w:ascii="Arial" w:hAnsi="Arial" w:cs="Arial"/>
                <w:sz w:val="16"/>
                <w:szCs w:val="16"/>
              </w:rPr>
              <w:t>:</w:t>
            </w:r>
          </w:p>
          <w:p w:rsidR="002C3D9C" w:rsidRPr="002C3D9C" w:rsidRDefault="002C3D9C" w:rsidP="002C3D9C">
            <w:pPr>
              <w:pStyle w:val="TableTextBullet"/>
            </w:pPr>
            <w:r w:rsidRPr="002C3D9C">
              <w:t>providing a safety net of minimum conditions, including minimum wages, in awards</w:t>
            </w:r>
          </w:p>
          <w:p w:rsidR="002C3D9C" w:rsidRPr="002C3D9C" w:rsidRDefault="002C3D9C" w:rsidP="002C3D9C">
            <w:pPr>
              <w:pStyle w:val="TableTextBullet"/>
            </w:pPr>
            <w:r w:rsidRPr="002C3D9C">
              <w:t xml:space="preserve">facilitating good faith bargaining and the making of enterprise agreements </w:t>
            </w:r>
          </w:p>
          <w:p w:rsidR="002C3D9C" w:rsidRPr="002C3D9C" w:rsidRDefault="002C3D9C" w:rsidP="002C3D9C">
            <w:pPr>
              <w:pStyle w:val="TableTextBullet"/>
            </w:pPr>
            <w:r w:rsidRPr="002C3D9C">
              <w:t>granting remedies for unfair dismissal</w:t>
            </w:r>
          </w:p>
          <w:p w:rsidR="002C3D9C" w:rsidRPr="002C3D9C" w:rsidRDefault="002C3D9C" w:rsidP="002C3D9C">
            <w:pPr>
              <w:pStyle w:val="TableTextBullet"/>
            </w:pPr>
            <w:r w:rsidRPr="002C3D9C">
              <w:t xml:space="preserve">regulating the taking of industrial action </w:t>
            </w:r>
          </w:p>
          <w:p w:rsidR="002C3D9C" w:rsidRPr="002C3D9C" w:rsidRDefault="002C3D9C" w:rsidP="002C3D9C">
            <w:pPr>
              <w:pStyle w:val="TableTextBullet"/>
            </w:pPr>
            <w:r w:rsidRPr="002C3D9C">
              <w:t>resolving a range of collective and individual workplace disputes through conciliation, mediation and, in some cases, arbitration</w:t>
            </w:r>
            <w:r>
              <w:t>, and</w:t>
            </w:r>
          </w:p>
          <w:p w:rsidR="002C3D9C" w:rsidRPr="006906E4" w:rsidRDefault="002C3D9C" w:rsidP="002C3D9C">
            <w:pPr>
              <w:pStyle w:val="TableTextBullet"/>
              <w:rPr>
                <w:rFonts w:cs="Arial"/>
                <w:i/>
                <w:color w:val="FF0000"/>
              </w:rPr>
            </w:pPr>
            <w:r>
              <w:t>functions in connection with workplace determinations, equal remuneration, transfer of business, general workplace protections, right of entry permits and stand downs.</w:t>
            </w:r>
          </w:p>
        </w:tc>
      </w:tr>
      <w:tr w:rsidR="002C3D9C" w:rsidRPr="00F71634" w:rsidTr="002C3D9C">
        <w:tc>
          <w:tcPr>
            <w:tcW w:w="1134" w:type="dxa"/>
            <w:tcBorders>
              <w:bottom w:val="double" w:sz="4" w:space="0" w:color="auto"/>
            </w:tcBorders>
          </w:tcPr>
          <w:p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607" w:type="dxa"/>
            <w:gridSpan w:val="2"/>
            <w:tcBorders>
              <w:bottom w:val="double" w:sz="4" w:space="0" w:color="auto"/>
            </w:tcBorders>
          </w:tcPr>
          <w:p w:rsidR="002C3D9C" w:rsidRDefault="002C3D9C" w:rsidP="002C3D9C">
            <w:pPr>
              <w:tabs>
                <w:tab w:val="left" w:pos="709"/>
              </w:tabs>
              <w:spacing w:before="60" w:after="60" w:line="240" w:lineRule="auto"/>
              <w:rPr>
                <w:rFonts w:ascii="Arial" w:hAnsi="Arial" w:cs="Arial"/>
                <w:sz w:val="16"/>
                <w:szCs w:val="16"/>
              </w:rPr>
            </w:pPr>
            <w:r>
              <w:rPr>
                <w:rFonts w:ascii="Arial" w:hAnsi="Arial" w:cs="Arial"/>
                <w:sz w:val="16"/>
                <w:szCs w:val="16"/>
              </w:rPr>
              <w:t>The deliverables for the Fair Work Commission are highlighted in the Fair Work Commission Corporate Plan, including:</w:t>
            </w:r>
          </w:p>
          <w:p w:rsidR="002C3D9C" w:rsidRDefault="002C3D9C" w:rsidP="00E01B4E">
            <w:pPr>
              <w:pStyle w:val="TableTextBullet"/>
              <w:numPr>
                <w:ilvl w:val="0"/>
                <w:numId w:val="17"/>
              </w:numPr>
              <w:rPr>
                <w:sz w:val="16"/>
                <w:szCs w:val="16"/>
              </w:rPr>
            </w:pPr>
            <w:r>
              <w:rPr>
                <w:sz w:val="16"/>
                <w:szCs w:val="16"/>
              </w:rPr>
              <w:t>promoting cooperative and</w:t>
            </w:r>
            <w:r w:rsidR="002D1634">
              <w:rPr>
                <w:sz w:val="16"/>
                <w:szCs w:val="16"/>
              </w:rPr>
              <w:t xml:space="preserve"> productive workplace relations</w:t>
            </w:r>
            <w:r>
              <w:rPr>
                <w:sz w:val="16"/>
                <w:szCs w:val="16"/>
              </w:rPr>
              <w:t xml:space="preserve"> </w:t>
            </w:r>
          </w:p>
          <w:p w:rsidR="002C3D9C" w:rsidRDefault="002C3D9C" w:rsidP="00E01B4E">
            <w:pPr>
              <w:pStyle w:val="TableTextBullet"/>
              <w:numPr>
                <w:ilvl w:val="0"/>
                <w:numId w:val="17"/>
              </w:numPr>
              <w:rPr>
                <w:sz w:val="16"/>
                <w:szCs w:val="16"/>
              </w:rPr>
            </w:pPr>
            <w:r>
              <w:rPr>
                <w:sz w:val="16"/>
                <w:szCs w:val="16"/>
              </w:rPr>
              <w:t xml:space="preserve">resolving unfair dismissal claims </w:t>
            </w:r>
          </w:p>
          <w:p w:rsidR="002C3D9C" w:rsidRDefault="002C3D9C" w:rsidP="00E01B4E">
            <w:pPr>
              <w:pStyle w:val="TableTextBullet"/>
              <w:numPr>
                <w:ilvl w:val="0"/>
                <w:numId w:val="17"/>
              </w:numPr>
              <w:rPr>
                <w:sz w:val="16"/>
                <w:szCs w:val="16"/>
              </w:rPr>
            </w:pPr>
            <w:r>
              <w:rPr>
                <w:sz w:val="16"/>
                <w:szCs w:val="16"/>
              </w:rPr>
              <w:t xml:space="preserve">dealing with </w:t>
            </w:r>
            <w:r w:rsidR="002D1634">
              <w:rPr>
                <w:sz w:val="16"/>
                <w:szCs w:val="16"/>
              </w:rPr>
              <w:t>workplace bullying applications</w:t>
            </w:r>
            <w:r>
              <w:rPr>
                <w:sz w:val="16"/>
                <w:szCs w:val="16"/>
              </w:rPr>
              <w:t xml:space="preserve"> </w:t>
            </w:r>
          </w:p>
          <w:p w:rsidR="002C3D9C" w:rsidRDefault="002C3D9C" w:rsidP="00E01B4E">
            <w:pPr>
              <w:pStyle w:val="TableTextBullet"/>
              <w:numPr>
                <w:ilvl w:val="0"/>
                <w:numId w:val="17"/>
              </w:numPr>
              <w:rPr>
                <w:sz w:val="16"/>
                <w:szCs w:val="16"/>
              </w:rPr>
            </w:pPr>
            <w:r>
              <w:rPr>
                <w:sz w:val="16"/>
                <w:szCs w:val="16"/>
              </w:rPr>
              <w:t xml:space="preserve">dealing </w:t>
            </w:r>
            <w:r w:rsidR="002D1634">
              <w:rPr>
                <w:sz w:val="16"/>
                <w:szCs w:val="16"/>
              </w:rPr>
              <w:t>with general protections claims</w:t>
            </w:r>
            <w:r>
              <w:rPr>
                <w:sz w:val="16"/>
                <w:szCs w:val="16"/>
              </w:rPr>
              <w:t xml:space="preserve"> </w:t>
            </w:r>
          </w:p>
          <w:p w:rsidR="002C3D9C" w:rsidRDefault="002C3D9C" w:rsidP="00E01B4E">
            <w:pPr>
              <w:pStyle w:val="TableTextBullet"/>
              <w:numPr>
                <w:ilvl w:val="0"/>
                <w:numId w:val="17"/>
              </w:numPr>
              <w:rPr>
                <w:sz w:val="16"/>
                <w:szCs w:val="16"/>
              </w:rPr>
            </w:pPr>
            <w:r>
              <w:rPr>
                <w:sz w:val="16"/>
                <w:szCs w:val="16"/>
              </w:rPr>
              <w:t>se</w:t>
            </w:r>
            <w:r w:rsidR="002D1634">
              <w:rPr>
                <w:sz w:val="16"/>
                <w:szCs w:val="16"/>
              </w:rPr>
              <w:t>tting the national minimum wage</w:t>
            </w:r>
            <w:r>
              <w:rPr>
                <w:sz w:val="16"/>
                <w:szCs w:val="16"/>
              </w:rPr>
              <w:t xml:space="preserve"> </w:t>
            </w:r>
          </w:p>
          <w:p w:rsidR="002C3D9C" w:rsidRDefault="002C3D9C" w:rsidP="00E01B4E">
            <w:pPr>
              <w:pStyle w:val="TableTextBullet"/>
              <w:numPr>
                <w:ilvl w:val="0"/>
                <w:numId w:val="17"/>
              </w:numPr>
              <w:rPr>
                <w:sz w:val="16"/>
                <w:szCs w:val="16"/>
              </w:rPr>
            </w:pPr>
            <w:r>
              <w:rPr>
                <w:sz w:val="16"/>
                <w:szCs w:val="16"/>
              </w:rPr>
              <w:t xml:space="preserve">creating, reviewing and varying modern awards </w:t>
            </w:r>
          </w:p>
          <w:p w:rsidR="002C3D9C" w:rsidRDefault="002D1634" w:rsidP="00E01B4E">
            <w:pPr>
              <w:pStyle w:val="TableTextBullet"/>
              <w:numPr>
                <w:ilvl w:val="0"/>
                <w:numId w:val="17"/>
              </w:numPr>
              <w:rPr>
                <w:sz w:val="16"/>
                <w:szCs w:val="16"/>
              </w:rPr>
            </w:pPr>
            <w:r>
              <w:rPr>
                <w:sz w:val="16"/>
                <w:szCs w:val="16"/>
              </w:rPr>
              <w:t>approving enterprise agreements</w:t>
            </w:r>
            <w:r w:rsidR="002C3D9C">
              <w:rPr>
                <w:sz w:val="16"/>
                <w:szCs w:val="16"/>
              </w:rPr>
              <w:t xml:space="preserve"> </w:t>
            </w:r>
          </w:p>
          <w:p w:rsidR="002C3D9C" w:rsidRDefault="002C3D9C" w:rsidP="00E01B4E">
            <w:pPr>
              <w:pStyle w:val="TableTextBullet"/>
              <w:numPr>
                <w:ilvl w:val="0"/>
                <w:numId w:val="17"/>
              </w:numPr>
              <w:rPr>
                <w:sz w:val="16"/>
                <w:szCs w:val="16"/>
              </w:rPr>
            </w:pPr>
            <w:r>
              <w:rPr>
                <w:sz w:val="16"/>
                <w:szCs w:val="16"/>
              </w:rPr>
              <w:t>assisting the bargaining pr</w:t>
            </w:r>
            <w:r w:rsidR="002D1634">
              <w:rPr>
                <w:sz w:val="16"/>
                <w:szCs w:val="16"/>
              </w:rPr>
              <w:t>ocess for enterprise agreements</w:t>
            </w:r>
            <w:r>
              <w:rPr>
                <w:sz w:val="16"/>
                <w:szCs w:val="16"/>
              </w:rPr>
              <w:t xml:space="preserve"> </w:t>
            </w:r>
          </w:p>
          <w:p w:rsidR="002C3D9C" w:rsidRDefault="002D1634" w:rsidP="00E01B4E">
            <w:pPr>
              <w:pStyle w:val="TableTextBullet"/>
              <w:numPr>
                <w:ilvl w:val="0"/>
                <w:numId w:val="17"/>
              </w:numPr>
              <w:rPr>
                <w:sz w:val="16"/>
                <w:szCs w:val="16"/>
              </w:rPr>
            </w:pPr>
            <w:r>
              <w:rPr>
                <w:sz w:val="16"/>
                <w:szCs w:val="16"/>
              </w:rPr>
              <w:t>dispute resolution</w:t>
            </w:r>
          </w:p>
          <w:p w:rsidR="002C3D9C" w:rsidRDefault="002C3D9C" w:rsidP="00E01B4E">
            <w:pPr>
              <w:pStyle w:val="TableTextBullet"/>
              <w:numPr>
                <w:ilvl w:val="0"/>
                <w:numId w:val="17"/>
              </w:numPr>
              <w:rPr>
                <w:rFonts w:cs="Arial"/>
                <w:i/>
                <w:color w:val="FF0000"/>
                <w:sz w:val="16"/>
                <w:szCs w:val="16"/>
              </w:rPr>
            </w:pPr>
            <w:r>
              <w:rPr>
                <w:sz w:val="16"/>
                <w:szCs w:val="16"/>
              </w:rPr>
              <w:t xml:space="preserve">determining applications for right of entry permits, and </w:t>
            </w:r>
          </w:p>
          <w:p w:rsidR="002C3D9C" w:rsidRPr="006906E4" w:rsidRDefault="002C3D9C" w:rsidP="002C3D9C">
            <w:pPr>
              <w:pStyle w:val="TableTextBullet"/>
              <w:rPr>
                <w:rFonts w:cs="Arial"/>
                <w:i/>
                <w:color w:val="FF0000"/>
              </w:rPr>
            </w:pPr>
            <w:r>
              <w:t>registration and eligibility rule coverage of federally registered organisations of employers and employees.</w:t>
            </w:r>
          </w:p>
        </w:tc>
      </w:tr>
      <w:tr w:rsidR="002C3D9C" w:rsidRPr="00F71634" w:rsidTr="002C3D9C">
        <w:tc>
          <w:tcPr>
            <w:tcW w:w="7741" w:type="dxa"/>
            <w:gridSpan w:val="3"/>
            <w:tcBorders>
              <w:top w:val="double" w:sz="4" w:space="0" w:color="auto"/>
              <w:bottom w:val="double" w:sz="4" w:space="0" w:color="auto"/>
            </w:tcBorders>
          </w:tcPr>
          <w:p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2C3D9C" w:rsidRPr="00F71634" w:rsidTr="002C3D9C">
        <w:tc>
          <w:tcPr>
            <w:tcW w:w="1134" w:type="dxa"/>
            <w:tcBorders>
              <w:top w:val="double" w:sz="4" w:space="0" w:color="auto"/>
              <w:bottom w:val="single" w:sz="4" w:space="0" w:color="auto"/>
              <w:right w:val="single" w:sz="4" w:space="0" w:color="auto"/>
            </w:tcBorders>
          </w:tcPr>
          <w:p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4042" w:type="dxa"/>
            <w:tcBorders>
              <w:top w:val="double" w:sz="4" w:space="0" w:color="auto"/>
              <w:left w:val="single" w:sz="4" w:space="0" w:color="auto"/>
              <w:bottom w:val="single" w:sz="4" w:space="0" w:color="auto"/>
              <w:right w:val="single" w:sz="4" w:space="0" w:color="auto"/>
            </w:tcBorders>
          </w:tcPr>
          <w:p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rsidR="002C3D9C" w:rsidRPr="006906E4" w:rsidRDefault="002C3D9C" w:rsidP="002C3D9C">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2C3D9C" w:rsidRPr="00F71634" w:rsidTr="002C3D9C">
        <w:trPr>
          <w:trHeight w:val="60"/>
        </w:trPr>
        <w:tc>
          <w:tcPr>
            <w:tcW w:w="1134" w:type="dxa"/>
            <w:tcBorders>
              <w:top w:val="single" w:sz="4" w:space="0" w:color="auto"/>
              <w:bottom w:val="nil"/>
              <w:right w:val="single" w:sz="4" w:space="0" w:color="auto"/>
            </w:tcBorders>
          </w:tcPr>
          <w:p w:rsidR="002C3D9C" w:rsidRPr="006906E4" w:rsidRDefault="002C3D9C" w:rsidP="002C3D9C">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4042" w:type="dxa"/>
            <w:tcBorders>
              <w:top w:val="single" w:sz="4" w:space="0" w:color="auto"/>
              <w:left w:val="single" w:sz="4" w:space="0" w:color="auto"/>
              <w:bottom w:val="dotted" w:sz="4" w:space="0" w:color="auto"/>
              <w:right w:val="single" w:sz="4" w:space="0" w:color="auto"/>
            </w:tcBorders>
          </w:tcPr>
          <w:p w:rsidR="002C3D9C" w:rsidRDefault="002C3D9C" w:rsidP="002C3D9C">
            <w:pPr>
              <w:pStyle w:val="TableTextLeft"/>
              <w:rPr>
                <w:i/>
                <w:color w:val="FF0000"/>
              </w:rPr>
            </w:pPr>
            <w:r>
              <w:t>Improve or maintain the time elapsed from lodging applications to finalising conciliations in unfair dismissal applications</w:t>
            </w:r>
          </w:p>
        </w:tc>
        <w:tc>
          <w:tcPr>
            <w:tcW w:w="2565" w:type="dxa"/>
            <w:tcBorders>
              <w:top w:val="single" w:sz="4" w:space="0" w:color="auto"/>
              <w:left w:val="single" w:sz="4" w:space="0" w:color="auto"/>
              <w:bottom w:val="dotted" w:sz="4" w:space="0" w:color="auto"/>
            </w:tcBorders>
          </w:tcPr>
          <w:p w:rsidR="002C3D9C" w:rsidRPr="002C3D9C" w:rsidRDefault="002C3D9C" w:rsidP="002C3D9C">
            <w:pPr>
              <w:pStyle w:val="TableTextLeft"/>
            </w:pPr>
            <w:r>
              <w:t>34 days</w:t>
            </w:r>
            <w:r>
              <w:br/>
            </w:r>
            <w:r>
              <w:rPr>
                <w:b/>
              </w:rPr>
              <w:t>Assessment</w:t>
            </w:r>
            <w:r>
              <w:t>: On track</w:t>
            </w:r>
          </w:p>
        </w:tc>
      </w:tr>
      <w:tr w:rsidR="002C3D9C" w:rsidRPr="00F71634" w:rsidTr="002C3D9C">
        <w:trPr>
          <w:trHeight w:val="612"/>
        </w:trPr>
        <w:tc>
          <w:tcPr>
            <w:tcW w:w="1134" w:type="dxa"/>
            <w:tcBorders>
              <w:top w:val="nil"/>
              <w:bottom w:val="dotted" w:sz="4" w:space="0" w:color="auto"/>
              <w:right w:val="single" w:sz="4" w:space="0" w:color="auto"/>
            </w:tcBorders>
          </w:tcPr>
          <w:p w:rsidR="002C3D9C" w:rsidRDefault="002C3D9C" w:rsidP="002C3D9C">
            <w:pPr>
              <w:tabs>
                <w:tab w:val="left" w:pos="709"/>
              </w:tabs>
              <w:spacing w:before="60" w:after="60" w:line="240" w:lineRule="auto"/>
              <w:rPr>
                <w:rFonts w:ascii="Arial" w:hAnsi="Arial" w:cs="Arial"/>
                <w:sz w:val="16"/>
                <w:szCs w:val="16"/>
              </w:rPr>
            </w:pPr>
          </w:p>
        </w:tc>
        <w:tc>
          <w:tcPr>
            <w:tcW w:w="4042" w:type="dxa"/>
            <w:tcBorders>
              <w:top w:val="dotted" w:sz="4" w:space="0" w:color="auto"/>
              <w:left w:val="single" w:sz="4" w:space="0" w:color="auto"/>
              <w:bottom w:val="dotted" w:sz="4" w:space="0" w:color="auto"/>
              <w:right w:val="single" w:sz="4" w:space="0" w:color="auto"/>
            </w:tcBorders>
          </w:tcPr>
          <w:p w:rsidR="002C3D9C" w:rsidRDefault="002C3D9C" w:rsidP="002C3D9C">
            <w:pPr>
              <w:pStyle w:val="TableTextLeft"/>
              <w:rPr>
                <w:i/>
                <w:color w:val="FF0000"/>
              </w:rPr>
            </w:pPr>
            <w:r>
              <w:t>Annual wage review to be completed to enable an operative date of 1 July</w:t>
            </w:r>
          </w:p>
        </w:tc>
        <w:tc>
          <w:tcPr>
            <w:tcW w:w="2565" w:type="dxa"/>
            <w:tcBorders>
              <w:top w:val="dotted" w:sz="4" w:space="0" w:color="auto"/>
              <w:left w:val="single" w:sz="4" w:space="0" w:color="auto"/>
              <w:bottom w:val="dotted" w:sz="4" w:space="0" w:color="auto"/>
            </w:tcBorders>
          </w:tcPr>
          <w:p w:rsidR="002C3D9C" w:rsidRDefault="008D03AA" w:rsidP="002C3D9C">
            <w:pPr>
              <w:pStyle w:val="TableTextLeft"/>
              <w:rPr>
                <w:i/>
                <w:color w:val="FF0000"/>
              </w:rPr>
            </w:pPr>
            <w:r>
              <w:t>By June 30</w:t>
            </w:r>
            <w:r w:rsidR="002C3D9C">
              <w:br/>
            </w:r>
            <w:r w:rsidR="002C3D9C">
              <w:rPr>
                <w:b/>
              </w:rPr>
              <w:t>Assessment</w:t>
            </w:r>
            <w:r w:rsidR="002C3D9C">
              <w:t>: On track</w:t>
            </w:r>
          </w:p>
        </w:tc>
      </w:tr>
      <w:tr w:rsidR="002C3D9C" w:rsidRPr="00F71634" w:rsidTr="002C3D9C">
        <w:tc>
          <w:tcPr>
            <w:tcW w:w="1134" w:type="dxa"/>
            <w:tcBorders>
              <w:top w:val="dotted" w:sz="4" w:space="0" w:color="auto"/>
              <w:bottom w:val="single" w:sz="4" w:space="0" w:color="auto"/>
              <w:right w:val="single" w:sz="4" w:space="0" w:color="auto"/>
            </w:tcBorders>
          </w:tcPr>
          <w:p w:rsidR="002C3D9C" w:rsidRDefault="002C3D9C" w:rsidP="002C3D9C">
            <w:pPr>
              <w:tabs>
                <w:tab w:val="left" w:pos="709"/>
              </w:tabs>
              <w:spacing w:before="60" w:after="60" w:line="240" w:lineRule="auto"/>
              <w:rPr>
                <w:rFonts w:ascii="Arial" w:hAnsi="Arial" w:cs="Arial"/>
                <w:sz w:val="16"/>
                <w:szCs w:val="16"/>
              </w:rPr>
            </w:pPr>
          </w:p>
        </w:tc>
        <w:tc>
          <w:tcPr>
            <w:tcW w:w="4042" w:type="dxa"/>
            <w:tcBorders>
              <w:top w:val="dotted" w:sz="4" w:space="0" w:color="auto"/>
              <w:left w:val="single" w:sz="4" w:space="0" w:color="auto"/>
              <w:bottom w:val="single" w:sz="4" w:space="0" w:color="auto"/>
              <w:right w:val="single" w:sz="4" w:space="0" w:color="auto"/>
            </w:tcBorders>
          </w:tcPr>
          <w:p w:rsidR="002C3D9C" w:rsidRDefault="002C3D9C" w:rsidP="002C3D9C">
            <w:pPr>
              <w:pStyle w:val="TableTextLeft"/>
              <w:rPr>
                <w:i/>
                <w:color w:val="FF0000"/>
              </w:rPr>
            </w:pPr>
            <w:r>
              <w:t>Improve or maintain the agreement approval time</w:t>
            </w:r>
          </w:p>
        </w:tc>
        <w:tc>
          <w:tcPr>
            <w:tcW w:w="2565" w:type="dxa"/>
            <w:tcBorders>
              <w:top w:val="dotted" w:sz="4" w:space="0" w:color="auto"/>
              <w:left w:val="single" w:sz="4" w:space="0" w:color="auto"/>
              <w:bottom w:val="single" w:sz="4" w:space="0" w:color="auto"/>
            </w:tcBorders>
          </w:tcPr>
          <w:p w:rsidR="002C3D9C" w:rsidRDefault="002C3D9C" w:rsidP="002C3D9C">
            <w:pPr>
              <w:pStyle w:val="TableTextLeft"/>
            </w:pPr>
            <w:r>
              <w:t>32 days</w:t>
            </w:r>
            <w:r>
              <w:br/>
            </w:r>
            <w:r>
              <w:rPr>
                <w:b/>
              </w:rPr>
              <w:t>Assessment</w:t>
            </w:r>
            <w:r>
              <w:t>: Not on track (a)</w:t>
            </w:r>
          </w:p>
        </w:tc>
      </w:tr>
      <w:tr w:rsidR="002C3D9C" w:rsidRPr="00F71634" w:rsidTr="002C3D9C">
        <w:tc>
          <w:tcPr>
            <w:tcW w:w="1134" w:type="dxa"/>
            <w:tcBorders>
              <w:top w:val="single" w:sz="4" w:space="0" w:color="auto"/>
              <w:bottom w:val="nil"/>
              <w:right w:val="single" w:sz="4" w:space="0" w:color="auto"/>
            </w:tcBorders>
          </w:tcPr>
          <w:p w:rsidR="002C3D9C" w:rsidRPr="006906E4" w:rsidRDefault="002C3D9C" w:rsidP="002C3D9C">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4042" w:type="dxa"/>
            <w:tcBorders>
              <w:top w:val="single" w:sz="4" w:space="0" w:color="auto"/>
              <w:left w:val="single" w:sz="4" w:space="0" w:color="auto"/>
              <w:bottom w:val="dotted" w:sz="4" w:space="0" w:color="auto"/>
              <w:right w:val="single" w:sz="4" w:space="0" w:color="auto"/>
            </w:tcBorders>
          </w:tcPr>
          <w:p w:rsidR="002C3D9C" w:rsidRDefault="002C3D9C" w:rsidP="002C3D9C">
            <w:pPr>
              <w:pStyle w:val="TableTextLeft"/>
            </w:pPr>
            <w:r>
              <w:t>Improve or maintain the time elapsed from lodging applications to finalising conciliations in unfair dismissal applications</w:t>
            </w:r>
          </w:p>
        </w:tc>
        <w:tc>
          <w:tcPr>
            <w:tcW w:w="2565" w:type="dxa"/>
            <w:tcBorders>
              <w:top w:val="single" w:sz="4" w:space="0" w:color="auto"/>
              <w:left w:val="single" w:sz="4" w:space="0" w:color="auto"/>
              <w:bottom w:val="dotted" w:sz="4" w:space="0" w:color="auto"/>
            </w:tcBorders>
          </w:tcPr>
          <w:p w:rsidR="002C3D9C" w:rsidRDefault="002C3D9C" w:rsidP="002C3D9C">
            <w:pPr>
              <w:pStyle w:val="TableTextLeft"/>
            </w:pPr>
            <w:r>
              <w:t>34 days</w:t>
            </w:r>
          </w:p>
        </w:tc>
      </w:tr>
      <w:tr w:rsidR="002C3D9C" w:rsidRPr="00F71634" w:rsidTr="002C3D9C">
        <w:tc>
          <w:tcPr>
            <w:tcW w:w="1134" w:type="dxa"/>
            <w:tcBorders>
              <w:top w:val="nil"/>
              <w:bottom w:val="nil"/>
              <w:right w:val="single" w:sz="4" w:space="0" w:color="auto"/>
            </w:tcBorders>
          </w:tcPr>
          <w:p w:rsidR="002C3D9C" w:rsidRDefault="002C3D9C" w:rsidP="002C3D9C">
            <w:pPr>
              <w:tabs>
                <w:tab w:val="left" w:pos="709"/>
              </w:tabs>
              <w:spacing w:before="60" w:after="60" w:line="240" w:lineRule="auto"/>
              <w:rPr>
                <w:rFonts w:ascii="Arial" w:hAnsi="Arial" w:cs="Arial"/>
                <w:sz w:val="16"/>
                <w:szCs w:val="16"/>
              </w:rPr>
            </w:pPr>
          </w:p>
        </w:tc>
        <w:tc>
          <w:tcPr>
            <w:tcW w:w="4042" w:type="dxa"/>
            <w:tcBorders>
              <w:top w:val="dotted" w:sz="4" w:space="0" w:color="auto"/>
              <w:left w:val="single" w:sz="4" w:space="0" w:color="auto"/>
              <w:bottom w:val="dotted" w:sz="4" w:space="0" w:color="auto"/>
              <w:right w:val="single" w:sz="4" w:space="0" w:color="auto"/>
            </w:tcBorders>
          </w:tcPr>
          <w:p w:rsidR="002C3D9C" w:rsidRDefault="002C3D9C" w:rsidP="002C3D9C">
            <w:pPr>
              <w:pStyle w:val="TableTextLeft"/>
            </w:pPr>
            <w:r>
              <w:t>Annual wage review to be completed to enable an operative date of 1 July</w:t>
            </w:r>
          </w:p>
        </w:tc>
        <w:tc>
          <w:tcPr>
            <w:tcW w:w="2565" w:type="dxa"/>
            <w:tcBorders>
              <w:top w:val="dotted" w:sz="4" w:space="0" w:color="auto"/>
              <w:left w:val="single" w:sz="4" w:space="0" w:color="auto"/>
              <w:bottom w:val="dotted" w:sz="4" w:space="0" w:color="auto"/>
            </w:tcBorders>
          </w:tcPr>
          <w:p w:rsidR="002C3D9C" w:rsidRDefault="002C3D9C" w:rsidP="002C3D9C">
            <w:pPr>
              <w:pStyle w:val="TableTextLeft"/>
            </w:pPr>
            <w:r>
              <w:t>By June 30</w:t>
            </w:r>
          </w:p>
        </w:tc>
      </w:tr>
      <w:tr w:rsidR="002C3D9C" w:rsidRPr="00F71634" w:rsidTr="002C3D9C">
        <w:tc>
          <w:tcPr>
            <w:tcW w:w="1134" w:type="dxa"/>
            <w:tcBorders>
              <w:top w:val="nil"/>
              <w:bottom w:val="single" w:sz="4" w:space="0" w:color="auto"/>
              <w:right w:val="single" w:sz="4" w:space="0" w:color="auto"/>
            </w:tcBorders>
          </w:tcPr>
          <w:p w:rsidR="002C3D9C" w:rsidRDefault="002C3D9C" w:rsidP="002C3D9C">
            <w:pPr>
              <w:tabs>
                <w:tab w:val="left" w:pos="709"/>
              </w:tabs>
              <w:spacing w:before="60" w:after="60" w:line="240" w:lineRule="auto"/>
              <w:rPr>
                <w:rFonts w:ascii="Arial" w:hAnsi="Arial" w:cs="Arial"/>
                <w:sz w:val="16"/>
                <w:szCs w:val="16"/>
              </w:rPr>
            </w:pPr>
          </w:p>
        </w:tc>
        <w:tc>
          <w:tcPr>
            <w:tcW w:w="4042" w:type="dxa"/>
            <w:tcBorders>
              <w:top w:val="dotted" w:sz="4" w:space="0" w:color="auto"/>
              <w:left w:val="single" w:sz="4" w:space="0" w:color="auto"/>
              <w:bottom w:val="single" w:sz="4" w:space="0" w:color="auto"/>
              <w:right w:val="single" w:sz="4" w:space="0" w:color="auto"/>
            </w:tcBorders>
          </w:tcPr>
          <w:p w:rsidR="002C3D9C" w:rsidRDefault="002C3D9C" w:rsidP="002C3D9C">
            <w:pPr>
              <w:pStyle w:val="TableTextLeft"/>
            </w:pPr>
            <w:r>
              <w:t>Improve or maintain the agreement approval time (b)</w:t>
            </w:r>
          </w:p>
        </w:tc>
        <w:tc>
          <w:tcPr>
            <w:tcW w:w="2565" w:type="dxa"/>
            <w:tcBorders>
              <w:top w:val="dotted" w:sz="4" w:space="0" w:color="auto"/>
              <w:left w:val="single" w:sz="4" w:space="0" w:color="auto"/>
              <w:bottom w:val="single" w:sz="4" w:space="0" w:color="auto"/>
            </w:tcBorders>
          </w:tcPr>
          <w:p w:rsidR="002C3D9C" w:rsidRDefault="002C3D9C" w:rsidP="002C3D9C">
            <w:pPr>
              <w:pStyle w:val="TableTextLeft"/>
            </w:pPr>
            <w:r>
              <w:t>32 days</w:t>
            </w:r>
          </w:p>
        </w:tc>
      </w:tr>
      <w:tr w:rsidR="002C3D9C" w:rsidRPr="00F71634" w:rsidTr="002C3D9C">
        <w:tc>
          <w:tcPr>
            <w:tcW w:w="1134" w:type="dxa"/>
            <w:tcBorders>
              <w:top w:val="single" w:sz="4" w:space="0" w:color="auto"/>
              <w:right w:val="single" w:sz="4" w:space="0" w:color="auto"/>
            </w:tcBorders>
          </w:tcPr>
          <w:p w:rsidR="002C3D9C" w:rsidRPr="006906E4" w:rsidRDefault="002C3D9C" w:rsidP="002C3D9C">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4042" w:type="dxa"/>
            <w:tcBorders>
              <w:top w:val="single" w:sz="4" w:space="0" w:color="auto"/>
              <w:left w:val="single" w:sz="4" w:space="0" w:color="auto"/>
              <w:right w:val="single" w:sz="4" w:space="0" w:color="auto"/>
            </w:tcBorders>
          </w:tcPr>
          <w:p w:rsidR="002C3D9C" w:rsidRDefault="002C3D9C" w:rsidP="002C3D9C">
            <w:pPr>
              <w:pStyle w:val="TableTextLeft"/>
            </w:pPr>
            <w:r>
              <w:t>As per 2018–19</w:t>
            </w:r>
          </w:p>
        </w:tc>
        <w:tc>
          <w:tcPr>
            <w:tcW w:w="2565" w:type="dxa"/>
            <w:tcBorders>
              <w:top w:val="single" w:sz="4" w:space="0" w:color="auto"/>
              <w:left w:val="single" w:sz="4" w:space="0" w:color="auto"/>
            </w:tcBorders>
          </w:tcPr>
          <w:p w:rsidR="002C3D9C" w:rsidRDefault="002C3D9C" w:rsidP="002C3D9C">
            <w:pPr>
              <w:pStyle w:val="TableTextLeft"/>
            </w:pPr>
            <w:r>
              <w:t>As per 2018–19</w:t>
            </w:r>
          </w:p>
        </w:tc>
      </w:tr>
      <w:tr w:rsidR="002C3D9C" w:rsidRPr="00F71634" w:rsidTr="002C3D9C">
        <w:tc>
          <w:tcPr>
            <w:tcW w:w="7741" w:type="dxa"/>
            <w:gridSpan w:val="3"/>
          </w:tcPr>
          <w:p w:rsidR="002C3D9C" w:rsidRPr="002C3D9C" w:rsidRDefault="002C3D9C" w:rsidP="002C3D9C">
            <w:pPr>
              <w:pStyle w:val="TableTextLeft"/>
              <w:rPr>
                <w:rStyle w:val="BodyTextChar"/>
                <w:rFonts w:ascii="Arial" w:hAnsi="Arial"/>
                <w:b/>
                <w:sz w:val="17"/>
                <w:szCs w:val="20"/>
                <w:lang w:eastAsia="en-AU"/>
              </w:rPr>
            </w:pPr>
            <w:r w:rsidRPr="002C3D9C">
              <w:rPr>
                <w:rStyle w:val="BodyTextChar"/>
                <w:rFonts w:ascii="Arial" w:hAnsi="Arial"/>
                <w:b/>
                <w:sz w:val="17"/>
                <w:szCs w:val="20"/>
                <w:lang w:eastAsia="en-AU"/>
              </w:rPr>
              <w:t>Material changes to Program 1.1 resulting from the following measures:</w:t>
            </w:r>
          </w:p>
          <w:p w:rsidR="002C3D9C" w:rsidRPr="002C3D9C" w:rsidRDefault="002C3D9C" w:rsidP="002C3D9C">
            <w:pPr>
              <w:pStyle w:val="TableTextLeft"/>
              <w:rPr>
                <w:rFonts w:eastAsia="Cambria"/>
                <w:lang w:eastAsia="en-US"/>
              </w:rPr>
            </w:pPr>
            <w:r w:rsidRPr="002C3D9C">
              <w:rPr>
                <w:rStyle w:val="BodyTextChar"/>
                <w:rFonts w:ascii="Arial" w:hAnsi="Arial"/>
                <w:sz w:val="17"/>
                <w:szCs w:val="20"/>
                <w:lang w:eastAsia="en-AU"/>
              </w:rPr>
              <w:t>Nil</w:t>
            </w:r>
          </w:p>
        </w:tc>
      </w:tr>
    </w:tbl>
    <w:p w:rsidR="002C3D9C" w:rsidRDefault="002C3D9C" w:rsidP="00E01B4E">
      <w:pPr>
        <w:pStyle w:val="ChartandTableFootnoteAlpha"/>
        <w:numPr>
          <w:ilvl w:val="0"/>
          <w:numId w:val="41"/>
        </w:numPr>
      </w:pPr>
      <w:r>
        <w:t xml:space="preserve">Primarily due to a significant increase in applications where undertakings are required for approval of the agreement. </w:t>
      </w:r>
    </w:p>
    <w:p w:rsidR="002C3D9C" w:rsidRDefault="002C3D9C" w:rsidP="002C3D9C">
      <w:pPr>
        <w:pStyle w:val="ChartandTableFootnoteAlpha"/>
      </w:pPr>
      <w:r>
        <w:t>For agreements approved without undertakings.</w:t>
      </w:r>
    </w:p>
    <w:p w:rsidR="009E6D06" w:rsidRPr="00AD42E2" w:rsidRDefault="009E6D06" w:rsidP="009E6D06">
      <w:pPr>
        <w:pStyle w:val="Heading2"/>
      </w:pPr>
      <w:r>
        <w:br w:type="page"/>
      </w:r>
      <w:bookmarkStart w:id="419" w:name="_Toc511656287"/>
      <w:bookmarkStart w:id="420" w:name="_Toc511722660"/>
      <w:bookmarkStart w:id="421" w:name="_Toc511736992"/>
      <w:bookmarkStart w:id="422" w:name="_Toc511747254"/>
      <w:bookmarkStart w:id="423" w:name="_Toc511765657"/>
      <w:bookmarkStart w:id="424" w:name="_Toc511828713"/>
      <w:bookmarkStart w:id="425" w:name="_Toc511836852"/>
      <w:bookmarkStart w:id="426" w:name="_Toc511902558"/>
      <w:r w:rsidRPr="00AD42E2">
        <w:lastRenderedPageBreak/>
        <w:t>Section 3: Budgeted financial statements</w:t>
      </w:r>
      <w:bookmarkEnd w:id="419"/>
      <w:bookmarkEnd w:id="420"/>
      <w:bookmarkEnd w:id="421"/>
      <w:bookmarkEnd w:id="422"/>
      <w:bookmarkEnd w:id="423"/>
      <w:bookmarkEnd w:id="424"/>
      <w:bookmarkEnd w:id="425"/>
      <w:bookmarkEnd w:id="426"/>
    </w:p>
    <w:p w:rsidR="009E6D06" w:rsidRDefault="009E6D06" w:rsidP="009E6D06">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rsidR="009E6D06" w:rsidRDefault="009E6D06" w:rsidP="009E6D06">
      <w:pPr>
        <w:pStyle w:val="Heading3"/>
      </w:pPr>
      <w:bookmarkStart w:id="427" w:name="_Toc511656288"/>
      <w:bookmarkStart w:id="428" w:name="_Toc511722661"/>
      <w:bookmarkStart w:id="429" w:name="_Toc511736993"/>
      <w:bookmarkStart w:id="430" w:name="_Toc511747255"/>
      <w:bookmarkStart w:id="431" w:name="_Toc511765658"/>
      <w:bookmarkStart w:id="432" w:name="_Toc511828714"/>
      <w:bookmarkStart w:id="433" w:name="_Toc511836853"/>
      <w:bookmarkStart w:id="434" w:name="_Toc511902559"/>
      <w:r>
        <w:t>3.1</w:t>
      </w:r>
      <w:r>
        <w:tab/>
        <w:t>Budgeted financial statements</w:t>
      </w:r>
      <w:bookmarkEnd w:id="427"/>
      <w:bookmarkEnd w:id="428"/>
      <w:bookmarkEnd w:id="429"/>
      <w:bookmarkEnd w:id="430"/>
      <w:bookmarkEnd w:id="431"/>
      <w:bookmarkEnd w:id="432"/>
      <w:bookmarkEnd w:id="433"/>
      <w:bookmarkEnd w:id="434"/>
    </w:p>
    <w:p w:rsidR="009E6D06" w:rsidRDefault="009E6D06" w:rsidP="009E6D06">
      <w:pPr>
        <w:pStyle w:val="Heading4"/>
      </w:pPr>
      <w:r>
        <w:t>3.1.1</w:t>
      </w:r>
      <w:r>
        <w:tab/>
        <w:t>Differences between entity resourcing and financial statements</w:t>
      </w:r>
    </w:p>
    <w:p w:rsidR="009E6D06" w:rsidRDefault="009E6D06" w:rsidP="009E6D06">
      <w:r>
        <w:t>There are no material differences between the entity resourcing and financial statements.</w:t>
      </w:r>
    </w:p>
    <w:p w:rsidR="009E6D06" w:rsidRDefault="009E6D06" w:rsidP="009E6D06">
      <w:pPr>
        <w:pStyle w:val="Heading4"/>
      </w:pPr>
      <w:r>
        <w:t>3.1.2</w:t>
      </w:r>
      <w:r>
        <w:tab/>
        <w:t>Explanatory notes and analysis of budgeted financial statements</w:t>
      </w:r>
    </w:p>
    <w:p w:rsidR="009E6D06" w:rsidRDefault="009E6D06" w:rsidP="009E6D06">
      <w:r>
        <w:t>The Fair Work Commission is budgeting for an operating loss equal to the unappropriated depreciation and amortisation expense of $6.2 million for the 2018–19 financial year.</w:t>
      </w:r>
    </w:p>
    <w:p w:rsidR="009E6D06" w:rsidRDefault="009E6D06" w:rsidP="009E6D06">
      <w:r>
        <w:t>Total revenues are estimated to be $76.1 million and total expenses $82.3 million in 2018–19.</w:t>
      </w:r>
    </w:p>
    <w:p w:rsidR="009E6D06" w:rsidRDefault="009E6D06" w:rsidP="009E6D06">
      <w:r>
        <w:t>Total assets at the end of the 2018–19 year are estimated to be $59.6 million. The majority of the assets represent receivables (appropriation receivables).</w:t>
      </w:r>
    </w:p>
    <w:p w:rsidR="009E6D06" w:rsidRPr="00EB77C1" w:rsidRDefault="009E6D06" w:rsidP="009E6D06">
      <w:r>
        <w:t>Total liabilities for 2018–19 are estimated at $19.1 million. The largest liability item is accrued employee entitlements.</w:t>
      </w:r>
    </w:p>
    <w:p w:rsidR="009E6D06" w:rsidRDefault="009E6D06" w:rsidP="009E6D06">
      <w:pPr>
        <w:pStyle w:val="Heading3"/>
      </w:pPr>
      <w:r>
        <w:br w:type="page"/>
      </w:r>
      <w:bookmarkStart w:id="435" w:name="_Toc511656289"/>
      <w:bookmarkStart w:id="436" w:name="_Toc511722662"/>
      <w:bookmarkStart w:id="437" w:name="_Toc511736994"/>
      <w:bookmarkStart w:id="438" w:name="_Toc511747256"/>
      <w:bookmarkStart w:id="439" w:name="_Toc511765659"/>
      <w:bookmarkStart w:id="440" w:name="_Toc511828715"/>
      <w:bookmarkStart w:id="441" w:name="_Toc511836854"/>
      <w:bookmarkStart w:id="442" w:name="_Toc511902560"/>
      <w:r>
        <w:lastRenderedPageBreak/>
        <w:t>3.2.</w:t>
      </w:r>
      <w:r>
        <w:tab/>
        <w:t>Budgeted financial statements tables</w:t>
      </w:r>
      <w:bookmarkEnd w:id="435"/>
      <w:bookmarkEnd w:id="436"/>
      <w:bookmarkEnd w:id="437"/>
      <w:bookmarkEnd w:id="438"/>
      <w:bookmarkEnd w:id="439"/>
      <w:bookmarkEnd w:id="440"/>
      <w:bookmarkEnd w:id="441"/>
      <w:bookmarkEnd w:id="442"/>
    </w:p>
    <w:p w:rsidR="00162359" w:rsidRDefault="00162359" w:rsidP="00162359">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39" w:type="dxa"/>
        <w:tblInd w:w="93" w:type="dxa"/>
        <w:tblLook w:val="04A0" w:firstRow="1" w:lastRow="0" w:firstColumn="1" w:lastColumn="0" w:noHBand="0" w:noVBand="1"/>
      </w:tblPr>
      <w:tblGrid>
        <w:gridCol w:w="3160"/>
        <w:gridCol w:w="128"/>
        <w:gridCol w:w="800"/>
        <w:gridCol w:w="135"/>
        <w:gridCol w:w="766"/>
        <w:gridCol w:w="45"/>
        <w:gridCol w:w="68"/>
        <w:gridCol w:w="788"/>
        <w:gridCol w:w="45"/>
        <w:gridCol w:w="46"/>
        <w:gridCol w:w="810"/>
        <w:gridCol w:w="45"/>
        <w:gridCol w:w="24"/>
        <w:gridCol w:w="832"/>
        <w:gridCol w:w="47"/>
      </w:tblGrid>
      <w:tr w:rsidR="00162359" w:rsidRPr="00162359" w:rsidTr="00E56D63">
        <w:trPr>
          <w:trHeight w:val="794"/>
        </w:trPr>
        <w:tc>
          <w:tcPr>
            <w:tcW w:w="3288" w:type="dxa"/>
            <w:gridSpan w:val="2"/>
            <w:tcBorders>
              <w:top w:val="single" w:sz="4" w:space="0" w:color="auto"/>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 </w:t>
            </w:r>
          </w:p>
        </w:tc>
        <w:tc>
          <w:tcPr>
            <w:tcW w:w="935" w:type="dxa"/>
            <w:gridSpan w:val="2"/>
            <w:tcBorders>
              <w:top w:val="single" w:sz="4" w:space="0" w:color="auto"/>
              <w:left w:val="nil"/>
              <w:bottom w:val="single" w:sz="4" w:space="0" w:color="auto"/>
              <w:right w:val="nil"/>
            </w:tcBorders>
            <w:shd w:val="clear" w:color="auto" w:fill="auto"/>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2017–18 Estimated actual</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000000" w:fill="E6E6E6"/>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2018–19</w:t>
            </w:r>
            <w:r w:rsidRPr="00162359">
              <w:rPr>
                <w:rFonts w:ascii="Arial" w:hAnsi="Arial" w:cs="Arial"/>
                <w:sz w:val="16"/>
                <w:szCs w:val="16"/>
              </w:rPr>
              <w:br/>
              <w:t>Budget</w:t>
            </w:r>
            <w:r w:rsidRPr="00162359">
              <w:rPr>
                <w:rFonts w:ascii="Arial" w:hAnsi="Arial" w:cs="Arial"/>
                <w:sz w:val="16"/>
                <w:szCs w:val="16"/>
              </w:rPr>
              <w:br/>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auto" w:fill="auto"/>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2019–20 Forward estimate</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auto" w:fill="auto"/>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2020–21 Forward estimate</w:t>
            </w:r>
            <w:r w:rsidRPr="0016235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2021–22</w:t>
            </w:r>
            <w:r w:rsidRPr="00162359">
              <w:rPr>
                <w:rFonts w:ascii="Arial" w:hAnsi="Arial" w:cs="Arial"/>
                <w:sz w:val="16"/>
                <w:szCs w:val="16"/>
              </w:rPr>
              <w:br/>
              <w:t>Forward estimate</w:t>
            </w:r>
            <w:r w:rsidRPr="00162359">
              <w:rPr>
                <w:rFonts w:ascii="Arial" w:hAnsi="Arial" w:cs="Arial"/>
                <w:sz w:val="16"/>
                <w:szCs w:val="16"/>
              </w:rPr>
              <w:br/>
              <w:t>$'000</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EXPENSES</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Employee benefits</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47,033 </w:t>
            </w: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48,032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48,894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49,983 </w:t>
            </w: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50,108 </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Suppliers</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29,305 </w:t>
            </w: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28,070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28,920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29,130 </w:t>
            </w: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29,611 </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Depreciation and amortisation (a)</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5,777 </w:t>
            </w: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6,222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6,072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6,043 </w:t>
            </w: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6,075 </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expenses</w:t>
            </w:r>
          </w:p>
        </w:tc>
        <w:tc>
          <w:tcPr>
            <w:tcW w:w="935" w:type="dxa"/>
            <w:gridSpan w:val="2"/>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82,115 </w:t>
            </w:r>
          </w:p>
        </w:tc>
        <w:tc>
          <w:tcPr>
            <w:tcW w:w="879" w:type="dxa"/>
            <w:gridSpan w:val="3"/>
            <w:tcBorders>
              <w:top w:val="single" w:sz="4" w:space="0" w:color="auto"/>
              <w:left w:val="nil"/>
              <w:bottom w:val="single" w:sz="4" w:space="0" w:color="auto"/>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82,324 </w:t>
            </w:r>
          </w:p>
        </w:tc>
        <w:tc>
          <w:tcPr>
            <w:tcW w:w="879" w:type="dxa"/>
            <w:gridSpan w:val="3"/>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83,886 </w:t>
            </w:r>
          </w:p>
        </w:tc>
        <w:tc>
          <w:tcPr>
            <w:tcW w:w="879" w:type="dxa"/>
            <w:gridSpan w:val="3"/>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85,156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85,794 </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 xml:space="preserve">LESS: </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OWN-SOURCE INCOME</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Own-source revenue</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Rental income</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1,950 </w:t>
            </w: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1,800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1,800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1,800 </w:t>
            </w: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1,800 </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Other</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255 </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own-source revenue</w:t>
            </w:r>
          </w:p>
        </w:tc>
        <w:tc>
          <w:tcPr>
            <w:tcW w:w="935" w:type="dxa"/>
            <w:gridSpan w:val="2"/>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2,205 </w:t>
            </w:r>
          </w:p>
        </w:tc>
        <w:tc>
          <w:tcPr>
            <w:tcW w:w="879" w:type="dxa"/>
            <w:gridSpan w:val="3"/>
            <w:tcBorders>
              <w:top w:val="single" w:sz="4" w:space="0" w:color="auto"/>
              <w:left w:val="nil"/>
              <w:bottom w:val="single" w:sz="4" w:space="0" w:color="auto"/>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3"/>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3"/>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Gains</w:t>
            </w:r>
          </w:p>
        </w:tc>
        <w:tc>
          <w:tcPr>
            <w:tcW w:w="935" w:type="dxa"/>
            <w:gridSpan w:val="2"/>
            <w:tcBorders>
              <w:top w:val="nil"/>
              <w:left w:val="nil"/>
              <w:bottom w:val="nil"/>
              <w:right w:val="nil"/>
            </w:tcBorders>
            <w:shd w:val="clear" w:color="auto" w:fill="auto"/>
            <w:noWrap/>
            <w:vAlign w:val="center"/>
          </w:tcPr>
          <w:p w:rsidR="00162359" w:rsidRPr="00371A93"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tcPr>
          <w:p w:rsidR="00162359" w:rsidRPr="00371A93" w:rsidRDefault="00162359" w:rsidP="00162359">
            <w:pPr>
              <w:spacing w:after="0" w:line="240" w:lineRule="auto"/>
              <w:jc w:val="right"/>
              <w:rPr>
                <w:rFonts w:ascii="Arial" w:hAnsi="Arial" w:cs="Arial"/>
                <w:bCs/>
                <w:sz w:val="16"/>
                <w:szCs w:val="16"/>
              </w:rPr>
            </w:pPr>
          </w:p>
        </w:tc>
        <w:tc>
          <w:tcPr>
            <w:tcW w:w="879" w:type="dxa"/>
            <w:gridSpan w:val="3"/>
            <w:tcBorders>
              <w:top w:val="nil"/>
              <w:left w:val="nil"/>
              <w:bottom w:val="nil"/>
              <w:right w:val="nil"/>
            </w:tcBorders>
            <w:shd w:val="clear" w:color="auto" w:fill="auto"/>
            <w:noWrap/>
            <w:vAlign w:val="center"/>
          </w:tcPr>
          <w:p w:rsidR="00162359" w:rsidRPr="00371A93" w:rsidRDefault="00162359" w:rsidP="00162359">
            <w:pPr>
              <w:spacing w:after="0" w:line="240" w:lineRule="auto"/>
              <w:jc w:val="right"/>
              <w:rPr>
                <w:rFonts w:ascii="Arial" w:hAnsi="Arial" w:cs="Arial"/>
                <w:bCs/>
                <w:sz w:val="16"/>
                <w:szCs w:val="16"/>
              </w:rPr>
            </w:pPr>
          </w:p>
        </w:tc>
        <w:tc>
          <w:tcPr>
            <w:tcW w:w="879" w:type="dxa"/>
            <w:gridSpan w:val="3"/>
            <w:tcBorders>
              <w:top w:val="nil"/>
              <w:left w:val="nil"/>
              <w:bottom w:val="nil"/>
              <w:right w:val="nil"/>
            </w:tcBorders>
            <w:shd w:val="clear" w:color="auto" w:fill="auto"/>
            <w:noWrap/>
            <w:vAlign w:val="center"/>
          </w:tcPr>
          <w:p w:rsidR="00162359" w:rsidRPr="00371A93" w:rsidRDefault="00162359" w:rsidP="00162359">
            <w:pPr>
              <w:spacing w:after="0" w:line="240" w:lineRule="auto"/>
              <w:jc w:val="right"/>
              <w:rPr>
                <w:rFonts w:ascii="Arial" w:hAnsi="Arial" w:cs="Arial"/>
                <w:bCs/>
                <w:sz w:val="16"/>
                <w:szCs w:val="16"/>
              </w:rPr>
            </w:pPr>
          </w:p>
        </w:tc>
        <w:tc>
          <w:tcPr>
            <w:tcW w:w="879" w:type="dxa"/>
            <w:gridSpan w:val="2"/>
            <w:tcBorders>
              <w:top w:val="nil"/>
              <w:left w:val="nil"/>
              <w:bottom w:val="nil"/>
              <w:right w:val="nil"/>
            </w:tcBorders>
            <w:shd w:val="clear" w:color="auto" w:fill="auto"/>
            <w:noWrap/>
            <w:vAlign w:val="center"/>
          </w:tcPr>
          <w:p w:rsidR="00162359" w:rsidRPr="00371A93" w:rsidRDefault="00162359" w:rsidP="00162359">
            <w:pPr>
              <w:spacing w:after="0" w:line="240" w:lineRule="auto"/>
              <w:jc w:val="right"/>
              <w:rPr>
                <w:rFonts w:ascii="Arial" w:hAnsi="Arial" w:cs="Arial"/>
                <w:bCs/>
                <w:sz w:val="16"/>
                <w:szCs w:val="16"/>
              </w:rPr>
            </w:pPr>
          </w:p>
        </w:tc>
      </w:tr>
      <w:tr w:rsidR="00371A93"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371A93" w:rsidRPr="00162359" w:rsidRDefault="00371A93" w:rsidP="00371A93">
            <w:pPr>
              <w:spacing w:after="0" w:line="240" w:lineRule="auto"/>
              <w:ind w:firstLineChars="100" w:firstLine="160"/>
              <w:rPr>
                <w:rFonts w:ascii="Arial" w:hAnsi="Arial" w:cs="Arial"/>
                <w:sz w:val="16"/>
                <w:szCs w:val="16"/>
              </w:rPr>
            </w:pPr>
            <w:r w:rsidRPr="00162359">
              <w:rPr>
                <w:rFonts w:ascii="Arial" w:hAnsi="Arial" w:cs="Arial"/>
                <w:sz w:val="16"/>
                <w:szCs w:val="16"/>
              </w:rPr>
              <w:t>Other</w:t>
            </w:r>
          </w:p>
        </w:tc>
        <w:tc>
          <w:tcPr>
            <w:tcW w:w="935" w:type="dxa"/>
            <w:gridSpan w:val="2"/>
            <w:tcBorders>
              <w:top w:val="nil"/>
              <w:left w:val="nil"/>
              <w:bottom w:val="nil"/>
              <w:right w:val="nil"/>
            </w:tcBorders>
            <w:shd w:val="clear" w:color="auto" w:fill="auto"/>
            <w:noWrap/>
            <w:vAlign w:val="center"/>
            <w:hideMark/>
          </w:tcPr>
          <w:p w:rsidR="00371A93" w:rsidRPr="00371A93" w:rsidRDefault="00371A93" w:rsidP="00371A93">
            <w:pPr>
              <w:spacing w:after="0" w:line="240" w:lineRule="auto"/>
              <w:jc w:val="right"/>
              <w:rPr>
                <w:rFonts w:ascii="Arial" w:hAnsi="Arial" w:cs="Arial"/>
                <w:sz w:val="16"/>
                <w:szCs w:val="16"/>
              </w:rPr>
            </w:pPr>
            <w:r w:rsidRPr="00371A93">
              <w:rPr>
                <w:rFonts w:ascii="Arial" w:hAnsi="Arial" w:cs="Arial"/>
                <w:sz w:val="16"/>
                <w:szCs w:val="16"/>
              </w:rPr>
              <w:t>-</w:t>
            </w:r>
          </w:p>
        </w:tc>
        <w:tc>
          <w:tcPr>
            <w:tcW w:w="879" w:type="dxa"/>
            <w:gridSpan w:val="3"/>
            <w:tcBorders>
              <w:top w:val="nil"/>
              <w:left w:val="nil"/>
              <w:bottom w:val="nil"/>
              <w:right w:val="nil"/>
            </w:tcBorders>
            <w:shd w:val="clear" w:color="000000" w:fill="E6E6E6"/>
            <w:noWrap/>
            <w:vAlign w:val="center"/>
            <w:hideMark/>
          </w:tcPr>
          <w:p w:rsidR="00371A93" w:rsidRPr="00371A93" w:rsidRDefault="00371A93" w:rsidP="00371A93">
            <w:pPr>
              <w:spacing w:after="0" w:line="240" w:lineRule="auto"/>
              <w:jc w:val="right"/>
              <w:rPr>
                <w:rFonts w:ascii="Arial" w:hAnsi="Arial" w:cs="Arial"/>
                <w:bCs/>
                <w:sz w:val="16"/>
                <w:szCs w:val="16"/>
              </w:rPr>
            </w:pPr>
            <w:r w:rsidRPr="00371A93">
              <w:rPr>
                <w:rFonts w:ascii="Arial" w:hAnsi="Arial" w:cs="Arial"/>
                <w:bCs/>
                <w:sz w:val="16"/>
                <w:szCs w:val="16"/>
              </w:rPr>
              <w:t>-</w:t>
            </w:r>
          </w:p>
        </w:tc>
        <w:tc>
          <w:tcPr>
            <w:tcW w:w="879" w:type="dxa"/>
            <w:gridSpan w:val="3"/>
            <w:tcBorders>
              <w:top w:val="nil"/>
              <w:left w:val="nil"/>
              <w:bottom w:val="nil"/>
              <w:right w:val="nil"/>
            </w:tcBorders>
            <w:shd w:val="clear" w:color="auto" w:fill="auto"/>
            <w:noWrap/>
            <w:vAlign w:val="center"/>
            <w:hideMark/>
          </w:tcPr>
          <w:p w:rsidR="00371A93" w:rsidRPr="00371A93" w:rsidRDefault="00371A93" w:rsidP="00371A93">
            <w:pPr>
              <w:spacing w:after="0" w:line="240" w:lineRule="auto"/>
              <w:jc w:val="right"/>
              <w:rPr>
                <w:rFonts w:ascii="Arial" w:hAnsi="Arial" w:cs="Arial"/>
                <w:bCs/>
                <w:sz w:val="16"/>
                <w:szCs w:val="16"/>
              </w:rPr>
            </w:pPr>
            <w:r w:rsidRPr="00371A93">
              <w:rPr>
                <w:rFonts w:ascii="Arial" w:hAnsi="Arial" w:cs="Arial"/>
                <w:bCs/>
                <w:sz w:val="16"/>
                <w:szCs w:val="16"/>
              </w:rPr>
              <w:t>-</w:t>
            </w:r>
          </w:p>
        </w:tc>
        <w:tc>
          <w:tcPr>
            <w:tcW w:w="879" w:type="dxa"/>
            <w:gridSpan w:val="3"/>
            <w:tcBorders>
              <w:top w:val="nil"/>
              <w:left w:val="nil"/>
              <w:bottom w:val="nil"/>
              <w:right w:val="nil"/>
            </w:tcBorders>
            <w:shd w:val="clear" w:color="auto" w:fill="auto"/>
            <w:noWrap/>
            <w:vAlign w:val="center"/>
            <w:hideMark/>
          </w:tcPr>
          <w:p w:rsidR="00371A93" w:rsidRPr="00371A93" w:rsidRDefault="00371A93" w:rsidP="00371A93">
            <w:pPr>
              <w:spacing w:after="0" w:line="240" w:lineRule="auto"/>
              <w:jc w:val="right"/>
              <w:rPr>
                <w:rFonts w:ascii="Arial" w:hAnsi="Arial" w:cs="Arial"/>
                <w:bCs/>
                <w:sz w:val="16"/>
                <w:szCs w:val="16"/>
              </w:rPr>
            </w:pPr>
            <w:r w:rsidRPr="00371A93">
              <w:rPr>
                <w:rFonts w:ascii="Arial" w:hAnsi="Arial" w:cs="Arial"/>
                <w:bCs/>
                <w:sz w:val="16"/>
                <w:szCs w:val="16"/>
              </w:rPr>
              <w:t>-</w:t>
            </w:r>
          </w:p>
        </w:tc>
        <w:tc>
          <w:tcPr>
            <w:tcW w:w="879" w:type="dxa"/>
            <w:gridSpan w:val="2"/>
            <w:tcBorders>
              <w:top w:val="nil"/>
              <w:left w:val="nil"/>
              <w:bottom w:val="nil"/>
              <w:right w:val="nil"/>
            </w:tcBorders>
            <w:shd w:val="clear" w:color="auto" w:fill="auto"/>
            <w:noWrap/>
            <w:vAlign w:val="center"/>
            <w:hideMark/>
          </w:tcPr>
          <w:p w:rsidR="00371A93" w:rsidRPr="00371A93" w:rsidRDefault="00371A93" w:rsidP="00371A93">
            <w:pPr>
              <w:spacing w:after="0" w:line="240" w:lineRule="auto"/>
              <w:jc w:val="right"/>
              <w:rPr>
                <w:rFonts w:ascii="Arial" w:hAnsi="Arial" w:cs="Arial"/>
                <w:bCs/>
                <w:sz w:val="16"/>
                <w:szCs w:val="16"/>
              </w:rPr>
            </w:pPr>
            <w:r w:rsidRPr="00371A93">
              <w:rPr>
                <w:rFonts w:ascii="Arial" w:hAnsi="Arial" w:cs="Arial"/>
                <w:bCs/>
                <w:sz w:val="16"/>
                <w:szCs w:val="16"/>
              </w:rPr>
              <w:t>-</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gains</w:t>
            </w:r>
          </w:p>
        </w:tc>
        <w:tc>
          <w:tcPr>
            <w:tcW w:w="935" w:type="dxa"/>
            <w:gridSpan w:val="2"/>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single" w:sz="4" w:space="0" w:color="auto"/>
              <w:left w:val="nil"/>
              <w:bottom w:val="single" w:sz="4" w:space="0" w:color="auto"/>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own-source income</w:t>
            </w:r>
          </w:p>
        </w:tc>
        <w:tc>
          <w:tcPr>
            <w:tcW w:w="935" w:type="dxa"/>
            <w:gridSpan w:val="2"/>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2,205 </w:t>
            </w:r>
          </w:p>
        </w:tc>
        <w:tc>
          <w:tcPr>
            <w:tcW w:w="879" w:type="dxa"/>
            <w:gridSpan w:val="3"/>
            <w:tcBorders>
              <w:top w:val="nil"/>
              <w:left w:val="nil"/>
              <w:bottom w:val="single" w:sz="4" w:space="0" w:color="auto"/>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3"/>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3"/>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c>
          <w:tcPr>
            <w:tcW w:w="879" w:type="dxa"/>
            <w:gridSpan w:val="2"/>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2,055 </w:t>
            </w:r>
          </w:p>
        </w:tc>
      </w:tr>
      <w:tr w:rsidR="00162359" w:rsidRPr="00162359" w:rsidTr="00E56D63">
        <w:trPr>
          <w:trHeight w:val="227"/>
        </w:trPr>
        <w:tc>
          <w:tcPr>
            <w:tcW w:w="3288" w:type="dxa"/>
            <w:gridSpan w:val="2"/>
            <w:tcBorders>
              <w:top w:val="nil"/>
              <w:left w:val="nil"/>
              <w:bottom w:val="nil"/>
              <w:right w:val="nil"/>
            </w:tcBorders>
            <w:shd w:val="clear" w:color="auto" w:fill="auto"/>
            <w:vAlign w:val="center"/>
            <w:hideMark/>
          </w:tcPr>
          <w:p w:rsidR="00162359" w:rsidRPr="00162359" w:rsidRDefault="00162359" w:rsidP="00162359">
            <w:pPr>
              <w:spacing w:after="0" w:line="240" w:lineRule="auto"/>
              <w:rPr>
                <w:rFonts w:ascii="Arial" w:hAnsi="Arial" w:cs="Arial"/>
                <w:b/>
                <w:bCs/>
                <w:color w:val="000000"/>
                <w:sz w:val="16"/>
                <w:szCs w:val="16"/>
              </w:rPr>
            </w:pPr>
            <w:r w:rsidRPr="00162359">
              <w:rPr>
                <w:rFonts w:ascii="Arial" w:hAnsi="Arial" w:cs="Arial"/>
                <w:b/>
                <w:bCs/>
                <w:color w:val="000000"/>
                <w:sz w:val="16"/>
                <w:szCs w:val="16"/>
              </w:rPr>
              <w:t>Net (cost of)/contribution by services</w:t>
            </w:r>
          </w:p>
        </w:tc>
        <w:tc>
          <w:tcPr>
            <w:tcW w:w="935" w:type="dxa"/>
            <w:gridSpan w:val="2"/>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(79,910)</w:t>
            </w:r>
          </w:p>
        </w:tc>
        <w:tc>
          <w:tcPr>
            <w:tcW w:w="879" w:type="dxa"/>
            <w:gridSpan w:val="3"/>
            <w:tcBorders>
              <w:top w:val="nil"/>
              <w:left w:val="nil"/>
              <w:bottom w:val="single" w:sz="4" w:space="0" w:color="auto"/>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(80,269)</w:t>
            </w:r>
          </w:p>
        </w:tc>
        <w:tc>
          <w:tcPr>
            <w:tcW w:w="879" w:type="dxa"/>
            <w:gridSpan w:val="3"/>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(81,831)</w:t>
            </w:r>
          </w:p>
        </w:tc>
        <w:tc>
          <w:tcPr>
            <w:tcW w:w="879" w:type="dxa"/>
            <w:gridSpan w:val="3"/>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(83,101)</w:t>
            </w:r>
          </w:p>
        </w:tc>
        <w:tc>
          <w:tcPr>
            <w:tcW w:w="879" w:type="dxa"/>
            <w:gridSpan w:val="2"/>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(83,739)</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ind w:firstLineChars="100" w:firstLine="160"/>
              <w:rPr>
                <w:rFonts w:ascii="Arial" w:hAnsi="Arial" w:cs="Arial"/>
                <w:sz w:val="16"/>
                <w:szCs w:val="16"/>
              </w:rPr>
            </w:pPr>
            <w:r w:rsidRPr="00162359">
              <w:rPr>
                <w:rFonts w:ascii="Arial" w:hAnsi="Arial" w:cs="Arial"/>
                <w:sz w:val="16"/>
                <w:szCs w:val="16"/>
              </w:rPr>
              <w:t>Revenue from Government</w:t>
            </w:r>
          </w:p>
        </w:tc>
        <w:tc>
          <w:tcPr>
            <w:tcW w:w="935" w:type="dxa"/>
            <w:gridSpan w:val="2"/>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74,133 </w:t>
            </w:r>
          </w:p>
        </w:tc>
        <w:tc>
          <w:tcPr>
            <w:tcW w:w="879" w:type="dxa"/>
            <w:gridSpan w:val="3"/>
            <w:tcBorders>
              <w:top w:val="nil"/>
              <w:left w:val="nil"/>
              <w:bottom w:val="single" w:sz="4" w:space="0" w:color="auto"/>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74,047 </w:t>
            </w:r>
          </w:p>
        </w:tc>
        <w:tc>
          <w:tcPr>
            <w:tcW w:w="879" w:type="dxa"/>
            <w:gridSpan w:val="3"/>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75,759 </w:t>
            </w:r>
          </w:p>
        </w:tc>
        <w:tc>
          <w:tcPr>
            <w:tcW w:w="879" w:type="dxa"/>
            <w:gridSpan w:val="3"/>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77,058 </w:t>
            </w:r>
          </w:p>
        </w:tc>
        <w:tc>
          <w:tcPr>
            <w:tcW w:w="879" w:type="dxa"/>
            <w:gridSpan w:val="2"/>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r w:rsidRPr="00162359">
              <w:rPr>
                <w:rFonts w:ascii="Arial" w:hAnsi="Arial" w:cs="Arial"/>
                <w:sz w:val="16"/>
                <w:szCs w:val="16"/>
              </w:rPr>
              <w:t xml:space="preserve">77,664 </w:t>
            </w:r>
          </w:p>
        </w:tc>
      </w:tr>
      <w:tr w:rsidR="00162359" w:rsidRPr="00162359" w:rsidTr="00E56D63">
        <w:trPr>
          <w:trHeight w:val="397"/>
        </w:trPr>
        <w:tc>
          <w:tcPr>
            <w:tcW w:w="3288" w:type="dxa"/>
            <w:gridSpan w:val="2"/>
            <w:tcBorders>
              <w:top w:val="nil"/>
              <w:left w:val="nil"/>
              <w:bottom w:val="nil"/>
              <w:right w:val="nil"/>
            </w:tcBorders>
            <w:shd w:val="clear" w:color="auto" w:fill="auto"/>
            <w:vAlign w:val="center"/>
            <w:hideMark/>
          </w:tcPr>
          <w:p w:rsidR="00162359" w:rsidRPr="00162359" w:rsidRDefault="00162359" w:rsidP="00F326FA">
            <w:pPr>
              <w:spacing w:after="0" w:line="240" w:lineRule="auto"/>
              <w:ind w:left="191" w:hanging="191"/>
              <w:rPr>
                <w:rFonts w:ascii="Arial" w:hAnsi="Arial" w:cs="Arial"/>
                <w:b/>
                <w:bCs/>
                <w:sz w:val="16"/>
                <w:szCs w:val="16"/>
              </w:rPr>
            </w:pPr>
            <w:r w:rsidRPr="00162359">
              <w:rPr>
                <w:rFonts w:ascii="Arial" w:hAnsi="Arial" w:cs="Arial"/>
                <w:b/>
                <w:bCs/>
                <w:sz w:val="16"/>
                <w:szCs w:val="16"/>
              </w:rPr>
              <w:t>Surplus/(deficit) attributable to the Australian Government</w:t>
            </w:r>
          </w:p>
        </w:tc>
        <w:tc>
          <w:tcPr>
            <w:tcW w:w="935" w:type="dxa"/>
            <w:gridSpan w:val="2"/>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(5,777)</w:t>
            </w:r>
          </w:p>
        </w:tc>
        <w:tc>
          <w:tcPr>
            <w:tcW w:w="879" w:type="dxa"/>
            <w:gridSpan w:val="3"/>
            <w:tcBorders>
              <w:top w:val="nil"/>
              <w:left w:val="nil"/>
              <w:bottom w:val="single" w:sz="4" w:space="0" w:color="auto"/>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(6,222)</w:t>
            </w:r>
          </w:p>
        </w:tc>
        <w:tc>
          <w:tcPr>
            <w:tcW w:w="879" w:type="dxa"/>
            <w:gridSpan w:val="3"/>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(6,072)</w:t>
            </w:r>
          </w:p>
        </w:tc>
        <w:tc>
          <w:tcPr>
            <w:tcW w:w="879" w:type="dxa"/>
            <w:gridSpan w:val="3"/>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(6,043)</w:t>
            </w:r>
          </w:p>
        </w:tc>
        <w:tc>
          <w:tcPr>
            <w:tcW w:w="879" w:type="dxa"/>
            <w:gridSpan w:val="2"/>
            <w:tcBorders>
              <w:top w:val="nil"/>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(6,075)</w:t>
            </w: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OTHER COMPREHENSIVE INCOME</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sz w:val="16"/>
                <w:szCs w:val="16"/>
              </w:rPr>
            </w:pPr>
          </w:p>
        </w:tc>
      </w:tr>
      <w:tr w:rsidR="00162359" w:rsidRPr="00162359" w:rsidTr="00E56D63">
        <w:trPr>
          <w:trHeight w:val="225"/>
        </w:trPr>
        <w:tc>
          <w:tcPr>
            <w:tcW w:w="3288"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 xml:space="preserve">Total other comprehensive income </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 xml:space="preserve">- </w:t>
            </w:r>
          </w:p>
        </w:tc>
      </w:tr>
      <w:tr w:rsidR="00162359" w:rsidRPr="00162359" w:rsidTr="00E56D63">
        <w:trPr>
          <w:trHeight w:val="225"/>
        </w:trPr>
        <w:tc>
          <w:tcPr>
            <w:tcW w:w="3288" w:type="dxa"/>
            <w:gridSpan w:val="2"/>
            <w:tcBorders>
              <w:top w:val="nil"/>
              <w:left w:val="nil"/>
              <w:right w:val="nil"/>
            </w:tcBorders>
            <w:shd w:val="clear" w:color="auto" w:fill="auto"/>
            <w:noWrap/>
            <w:vAlign w:val="center"/>
            <w:hideMark/>
          </w:tcPr>
          <w:p w:rsidR="00162359" w:rsidRPr="00162359" w:rsidRDefault="00162359" w:rsidP="00162359">
            <w:pPr>
              <w:spacing w:after="0" w:line="240" w:lineRule="auto"/>
              <w:rPr>
                <w:rFonts w:ascii="Arial" w:hAnsi="Arial" w:cs="Arial"/>
                <w:b/>
                <w:bCs/>
                <w:sz w:val="16"/>
                <w:szCs w:val="16"/>
              </w:rPr>
            </w:pPr>
            <w:r w:rsidRPr="00162359">
              <w:rPr>
                <w:rFonts w:ascii="Arial" w:hAnsi="Arial" w:cs="Arial"/>
                <w:b/>
                <w:bCs/>
                <w:sz w:val="16"/>
                <w:szCs w:val="16"/>
              </w:rPr>
              <w:t>Total comprehensive income/(loss)</w:t>
            </w:r>
          </w:p>
        </w:tc>
        <w:tc>
          <w:tcPr>
            <w:tcW w:w="935" w:type="dxa"/>
            <w:gridSpan w:val="2"/>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(5,777)</w:t>
            </w:r>
          </w:p>
        </w:tc>
        <w:tc>
          <w:tcPr>
            <w:tcW w:w="879" w:type="dxa"/>
            <w:gridSpan w:val="3"/>
            <w:tcBorders>
              <w:top w:val="single" w:sz="4" w:space="0" w:color="auto"/>
              <w:left w:val="nil"/>
              <w:bottom w:val="single" w:sz="4" w:space="0" w:color="auto"/>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(6,222)</w:t>
            </w:r>
          </w:p>
        </w:tc>
        <w:tc>
          <w:tcPr>
            <w:tcW w:w="879" w:type="dxa"/>
            <w:gridSpan w:val="3"/>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(6,072)</w:t>
            </w:r>
          </w:p>
        </w:tc>
        <w:tc>
          <w:tcPr>
            <w:tcW w:w="879" w:type="dxa"/>
            <w:gridSpan w:val="3"/>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(6,043)</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(6,075)</w:t>
            </w:r>
          </w:p>
        </w:tc>
      </w:tr>
      <w:tr w:rsidR="00162359" w:rsidRPr="00162359" w:rsidTr="00E56D63">
        <w:trPr>
          <w:trHeight w:val="567"/>
        </w:trPr>
        <w:tc>
          <w:tcPr>
            <w:tcW w:w="3288" w:type="dxa"/>
            <w:gridSpan w:val="2"/>
            <w:tcBorders>
              <w:top w:val="nil"/>
              <w:left w:val="nil"/>
              <w:bottom w:val="single" w:sz="4" w:space="0" w:color="auto"/>
              <w:right w:val="nil"/>
            </w:tcBorders>
            <w:shd w:val="clear" w:color="auto" w:fill="auto"/>
            <w:vAlign w:val="center"/>
            <w:hideMark/>
          </w:tcPr>
          <w:p w:rsidR="00162359" w:rsidRPr="00162359" w:rsidRDefault="00162359" w:rsidP="00F326FA">
            <w:pPr>
              <w:spacing w:after="0" w:line="240" w:lineRule="auto"/>
              <w:ind w:left="191" w:hanging="191"/>
              <w:rPr>
                <w:rFonts w:ascii="Arial" w:hAnsi="Arial" w:cs="Arial"/>
                <w:b/>
                <w:bCs/>
                <w:sz w:val="16"/>
                <w:szCs w:val="16"/>
              </w:rPr>
            </w:pPr>
            <w:r w:rsidRPr="00162359">
              <w:rPr>
                <w:rFonts w:ascii="Arial" w:hAnsi="Arial" w:cs="Arial"/>
                <w:b/>
                <w:bCs/>
                <w:sz w:val="16"/>
                <w:szCs w:val="16"/>
              </w:rPr>
              <w:t>Total comprehensive income/(loss) attributable to the Australian Government</w:t>
            </w:r>
          </w:p>
        </w:tc>
        <w:tc>
          <w:tcPr>
            <w:tcW w:w="935" w:type="dxa"/>
            <w:gridSpan w:val="2"/>
            <w:tcBorders>
              <w:top w:val="nil"/>
              <w:left w:val="nil"/>
              <w:bottom w:val="single" w:sz="4" w:space="0" w:color="auto"/>
              <w:right w:val="nil"/>
            </w:tcBorders>
            <w:shd w:val="clear" w:color="auto" w:fill="auto"/>
            <w:noWrap/>
            <w:vAlign w:val="bottom"/>
            <w:hideMark/>
          </w:tcPr>
          <w:p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(5,777)</w:t>
            </w:r>
          </w:p>
        </w:tc>
        <w:tc>
          <w:tcPr>
            <w:tcW w:w="879" w:type="dxa"/>
            <w:gridSpan w:val="3"/>
            <w:tcBorders>
              <w:top w:val="nil"/>
              <w:left w:val="nil"/>
              <w:bottom w:val="single" w:sz="4" w:space="0" w:color="auto"/>
              <w:right w:val="nil"/>
            </w:tcBorders>
            <w:shd w:val="clear" w:color="000000" w:fill="E6E6E6"/>
            <w:noWrap/>
            <w:vAlign w:val="bottom"/>
            <w:hideMark/>
          </w:tcPr>
          <w:p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(6,222)</w:t>
            </w:r>
          </w:p>
        </w:tc>
        <w:tc>
          <w:tcPr>
            <w:tcW w:w="879" w:type="dxa"/>
            <w:gridSpan w:val="3"/>
            <w:tcBorders>
              <w:top w:val="nil"/>
              <w:left w:val="nil"/>
              <w:bottom w:val="single" w:sz="4" w:space="0" w:color="auto"/>
              <w:right w:val="nil"/>
            </w:tcBorders>
            <w:shd w:val="clear" w:color="auto" w:fill="auto"/>
            <w:noWrap/>
            <w:vAlign w:val="bottom"/>
            <w:hideMark/>
          </w:tcPr>
          <w:p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(6,072)</w:t>
            </w:r>
          </w:p>
        </w:tc>
        <w:tc>
          <w:tcPr>
            <w:tcW w:w="879" w:type="dxa"/>
            <w:gridSpan w:val="3"/>
            <w:tcBorders>
              <w:top w:val="nil"/>
              <w:left w:val="nil"/>
              <w:bottom w:val="single" w:sz="4" w:space="0" w:color="auto"/>
              <w:right w:val="nil"/>
            </w:tcBorders>
            <w:shd w:val="clear" w:color="auto" w:fill="auto"/>
            <w:noWrap/>
            <w:vAlign w:val="bottom"/>
            <w:hideMark/>
          </w:tcPr>
          <w:p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(6,043)</w:t>
            </w:r>
          </w:p>
        </w:tc>
        <w:tc>
          <w:tcPr>
            <w:tcW w:w="879" w:type="dxa"/>
            <w:gridSpan w:val="2"/>
            <w:tcBorders>
              <w:top w:val="nil"/>
              <w:left w:val="nil"/>
              <w:bottom w:val="single" w:sz="4" w:space="0" w:color="auto"/>
              <w:right w:val="nil"/>
            </w:tcBorders>
            <w:shd w:val="clear" w:color="auto" w:fill="auto"/>
            <w:noWrap/>
            <w:vAlign w:val="bottom"/>
            <w:hideMark/>
          </w:tcPr>
          <w:p w:rsidR="00162359" w:rsidRPr="00162359" w:rsidRDefault="00162359" w:rsidP="00E56D63">
            <w:pPr>
              <w:spacing w:after="0" w:line="240" w:lineRule="auto"/>
              <w:jc w:val="right"/>
              <w:rPr>
                <w:rFonts w:ascii="Arial" w:hAnsi="Arial" w:cs="Arial"/>
                <w:b/>
                <w:bCs/>
                <w:sz w:val="16"/>
                <w:szCs w:val="16"/>
              </w:rPr>
            </w:pPr>
            <w:r w:rsidRPr="00162359">
              <w:rPr>
                <w:rFonts w:ascii="Arial" w:hAnsi="Arial" w:cs="Arial"/>
                <w:b/>
                <w:bCs/>
                <w:sz w:val="16"/>
                <w:szCs w:val="16"/>
              </w:rPr>
              <w:t>(6,075)</w:t>
            </w:r>
          </w:p>
        </w:tc>
      </w:tr>
      <w:tr w:rsidR="00E56D63" w:rsidRPr="00875CE3" w:rsidTr="00E56D63">
        <w:trPr>
          <w:gridAfter w:val="1"/>
          <w:wAfter w:w="47" w:type="dxa"/>
          <w:trHeight w:val="225"/>
        </w:trPr>
        <w:tc>
          <w:tcPr>
            <w:tcW w:w="3160" w:type="dxa"/>
            <w:tcBorders>
              <w:top w:val="nil"/>
              <w:left w:val="nil"/>
              <w:bottom w:val="nil"/>
              <w:right w:val="nil"/>
            </w:tcBorders>
            <w:shd w:val="clear" w:color="auto" w:fill="auto"/>
            <w:vAlign w:val="bottom"/>
            <w:hideMark/>
          </w:tcPr>
          <w:p w:rsidR="00E56D63" w:rsidRPr="00875CE3" w:rsidRDefault="00E56D63" w:rsidP="00E56D63">
            <w:pPr>
              <w:spacing w:after="0" w:line="240" w:lineRule="auto"/>
              <w:rPr>
                <w:rFonts w:ascii="Arial" w:hAnsi="Arial" w:cs="Arial"/>
                <w:sz w:val="16"/>
                <w:szCs w:val="16"/>
              </w:rPr>
            </w:pPr>
          </w:p>
        </w:tc>
        <w:tc>
          <w:tcPr>
            <w:tcW w:w="928" w:type="dxa"/>
            <w:gridSpan w:val="2"/>
            <w:tcBorders>
              <w:top w:val="nil"/>
              <w:left w:val="nil"/>
              <w:bottom w:val="nil"/>
              <w:right w:val="nil"/>
            </w:tcBorders>
            <w:shd w:val="clear" w:color="auto" w:fill="auto"/>
            <w:noWrap/>
            <w:vAlign w:val="bottom"/>
            <w:hideMark/>
          </w:tcPr>
          <w:p w:rsidR="00E56D63" w:rsidRPr="00875CE3" w:rsidRDefault="00E56D63" w:rsidP="00E56D63">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bottom"/>
            <w:hideMark/>
          </w:tcPr>
          <w:p w:rsidR="00E56D63" w:rsidRPr="00875CE3" w:rsidRDefault="00E56D63" w:rsidP="00E56D63">
            <w:pPr>
              <w:spacing w:after="0" w:line="240" w:lineRule="auto"/>
              <w:jc w:val="right"/>
              <w:rPr>
                <w:rFonts w:ascii="Arial" w:hAnsi="Arial" w:cs="Arial"/>
                <w:b/>
                <w:bCs/>
                <w:sz w:val="16"/>
                <w:szCs w:val="16"/>
              </w:rPr>
            </w:pPr>
          </w:p>
        </w:tc>
        <w:tc>
          <w:tcPr>
            <w:tcW w:w="901" w:type="dxa"/>
            <w:gridSpan w:val="3"/>
            <w:tcBorders>
              <w:top w:val="nil"/>
              <w:left w:val="nil"/>
              <w:bottom w:val="nil"/>
              <w:right w:val="nil"/>
            </w:tcBorders>
            <w:shd w:val="clear" w:color="auto" w:fill="auto"/>
            <w:noWrap/>
            <w:vAlign w:val="bottom"/>
            <w:hideMark/>
          </w:tcPr>
          <w:p w:rsidR="00E56D63" w:rsidRPr="00875CE3" w:rsidRDefault="00E56D63" w:rsidP="00E56D63">
            <w:pPr>
              <w:spacing w:after="0" w:line="240" w:lineRule="auto"/>
              <w:jc w:val="right"/>
              <w:rPr>
                <w:rFonts w:ascii="Arial" w:hAnsi="Arial" w:cs="Arial"/>
                <w:sz w:val="16"/>
                <w:szCs w:val="16"/>
              </w:rPr>
            </w:pPr>
          </w:p>
        </w:tc>
        <w:tc>
          <w:tcPr>
            <w:tcW w:w="901" w:type="dxa"/>
            <w:gridSpan w:val="3"/>
            <w:tcBorders>
              <w:top w:val="nil"/>
              <w:left w:val="nil"/>
              <w:bottom w:val="nil"/>
              <w:right w:val="nil"/>
            </w:tcBorders>
            <w:shd w:val="clear" w:color="auto" w:fill="auto"/>
            <w:noWrap/>
            <w:vAlign w:val="bottom"/>
            <w:hideMark/>
          </w:tcPr>
          <w:p w:rsidR="00E56D63" w:rsidRPr="00875CE3" w:rsidRDefault="00E56D63" w:rsidP="00E56D63">
            <w:pPr>
              <w:spacing w:after="0" w:line="240" w:lineRule="auto"/>
              <w:jc w:val="right"/>
              <w:rPr>
                <w:rFonts w:ascii="Arial" w:hAnsi="Arial" w:cs="Arial"/>
                <w:sz w:val="16"/>
                <w:szCs w:val="16"/>
              </w:rPr>
            </w:pPr>
          </w:p>
        </w:tc>
        <w:tc>
          <w:tcPr>
            <w:tcW w:w="901" w:type="dxa"/>
            <w:gridSpan w:val="3"/>
            <w:tcBorders>
              <w:top w:val="nil"/>
              <w:left w:val="nil"/>
              <w:bottom w:val="nil"/>
              <w:right w:val="nil"/>
            </w:tcBorders>
            <w:shd w:val="clear" w:color="auto" w:fill="auto"/>
            <w:noWrap/>
            <w:vAlign w:val="bottom"/>
            <w:hideMark/>
          </w:tcPr>
          <w:p w:rsidR="00E56D63" w:rsidRPr="00875CE3" w:rsidRDefault="00E56D63" w:rsidP="00E56D63">
            <w:pPr>
              <w:spacing w:after="0" w:line="240" w:lineRule="auto"/>
              <w:jc w:val="right"/>
              <w:rPr>
                <w:rFonts w:ascii="Arial" w:hAnsi="Arial" w:cs="Arial"/>
                <w:sz w:val="16"/>
                <w:szCs w:val="16"/>
              </w:rPr>
            </w:pPr>
          </w:p>
        </w:tc>
      </w:tr>
      <w:tr w:rsidR="00E56D63" w:rsidRPr="00875CE3" w:rsidTr="00EB04DE">
        <w:trPr>
          <w:trHeight w:val="225"/>
        </w:trPr>
        <w:tc>
          <w:tcPr>
            <w:tcW w:w="5034" w:type="dxa"/>
            <w:gridSpan w:val="6"/>
            <w:tcBorders>
              <w:top w:val="nil"/>
              <w:left w:val="nil"/>
              <w:bottom w:val="single" w:sz="4" w:space="0" w:color="auto"/>
              <w:right w:val="nil"/>
            </w:tcBorders>
            <w:shd w:val="clear" w:color="auto" w:fill="auto"/>
            <w:noWrap/>
            <w:vAlign w:val="center"/>
            <w:hideMark/>
          </w:tcPr>
          <w:p w:rsidR="00E56D63" w:rsidRPr="00875CE3" w:rsidRDefault="00E56D63" w:rsidP="00E56D63">
            <w:pPr>
              <w:spacing w:after="0" w:line="240" w:lineRule="auto"/>
              <w:rPr>
                <w:rFonts w:ascii="Arial" w:hAnsi="Arial" w:cs="Arial"/>
                <w:b/>
                <w:bCs/>
                <w:color w:val="000000"/>
                <w:sz w:val="16"/>
                <w:szCs w:val="16"/>
              </w:rPr>
            </w:pPr>
            <w:r w:rsidRPr="00875CE3">
              <w:rPr>
                <w:rFonts w:ascii="Arial" w:hAnsi="Arial" w:cs="Arial"/>
                <w:b/>
                <w:bCs/>
                <w:color w:val="000000"/>
                <w:sz w:val="16"/>
                <w:szCs w:val="16"/>
              </w:rPr>
              <w:t>Note: Impact of net cash appropriation arrangements</w:t>
            </w:r>
          </w:p>
        </w:tc>
        <w:tc>
          <w:tcPr>
            <w:tcW w:w="901" w:type="dxa"/>
            <w:gridSpan w:val="3"/>
            <w:tcBorders>
              <w:top w:val="nil"/>
              <w:left w:val="nil"/>
              <w:bottom w:val="single" w:sz="4" w:space="0" w:color="auto"/>
              <w:right w:val="nil"/>
            </w:tcBorders>
            <w:shd w:val="clear" w:color="auto" w:fill="auto"/>
            <w:noWrap/>
            <w:vAlign w:val="bottom"/>
            <w:hideMark/>
          </w:tcPr>
          <w:p w:rsidR="00E56D63" w:rsidRPr="00875CE3" w:rsidRDefault="00E56D63" w:rsidP="00E56D63">
            <w:pPr>
              <w:spacing w:after="0" w:line="240" w:lineRule="auto"/>
              <w:jc w:val="right"/>
              <w:rPr>
                <w:rFonts w:ascii="Arial" w:hAnsi="Arial" w:cs="Arial"/>
                <w:sz w:val="16"/>
                <w:szCs w:val="16"/>
              </w:rPr>
            </w:pPr>
            <w:r w:rsidRPr="00875CE3">
              <w:rPr>
                <w:rFonts w:ascii="Arial" w:hAnsi="Arial" w:cs="Arial"/>
                <w:sz w:val="16"/>
                <w:szCs w:val="16"/>
              </w:rPr>
              <w:t> </w:t>
            </w:r>
          </w:p>
        </w:tc>
        <w:tc>
          <w:tcPr>
            <w:tcW w:w="901" w:type="dxa"/>
            <w:gridSpan w:val="3"/>
            <w:tcBorders>
              <w:top w:val="nil"/>
              <w:left w:val="nil"/>
              <w:bottom w:val="single" w:sz="4" w:space="0" w:color="auto"/>
              <w:right w:val="nil"/>
            </w:tcBorders>
            <w:shd w:val="clear" w:color="auto" w:fill="auto"/>
            <w:noWrap/>
            <w:vAlign w:val="bottom"/>
            <w:hideMark/>
          </w:tcPr>
          <w:p w:rsidR="00E56D63" w:rsidRPr="00875CE3" w:rsidRDefault="00E56D63" w:rsidP="00E56D63">
            <w:pPr>
              <w:spacing w:after="0" w:line="240" w:lineRule="auto"/>
              <w:jc w:val="right"/>
              <w:rPr>
                <w:rFonts w:ascii="Arial" w:hAnsi="Arial" w:cs="Arial"/>
                <w:sz w:val="16"/>
                <w:szCs w:val="16"/>
              </w:rPr>
            </w:pPr>
            <w:r w:rsidRPr="00875CE3">
              <w:rPr>
                <w:rFonts w:ascii="Arial" w:hAnsi="Arial" w:cs="Arial"/>
                <w:sz w:val="16"/>
                <w:szCs w:val="16"/>
              </w:rPr>
              <w:t> </w:t>
            </w:r>
          </w:p>
        </w:tc>
        <w:tc>
          <w:tcPr>
            <w:tcW w:w="903" w:type="dxa"/>
            <w:gridSpan w:val="3"/>
            <w:tcBorders>
              <w:top w:val="nil"/>
              <w:left w:val="nil"/>
              <w:bottom w:val="single" w:sz="4" w:space="0" w:color="auto"/>
              <w:right w:val="nil"/>
            </w:tcBorders>
            <w:shd w:val="clear" w:color="auto" w:fill="auto"/>
            <w:noWrap/>
            <w:vAlign w:val="bottom"/>
            <w:hideMark/>
          </w:tcPr>
          <w:p w:rsidR="00E56D63" w:rsidRPr="00875CE3" w:rsidRDefault="00E56D63" w:rsidP="00E56D63">
            <w:pPr>
              <w:spacing w:after="0" w:line="240" w:lineRule="auto"/>
              <w:jc w:val="right"/>
              <w:rPr>
                <w:rFonts w:ascii="Arial" w:hAnsi="Arial" w:cs="Arial"/>
                <w:sz w:val="16"/>
                <w:szCs w:val="16"/>
              </w:rPr>
            </w:pPr>
            <w:r w:rsidRPr="00875CE3">
              <w:rPr>
                <w:rFonts w:ascii="Arial" w:hAnsi="Arial" w:cs="Arial"/>
                <w:sz w:val="16"/>
                <w:szCs w:val="16"/>
              </w:rPr>
              <w:t> </w:t>
            </w:r>
          </w:p>
        </w:tc>
      </w:tr>
      <w:tr w:rsidR="00EB04DE" w:rsidRPr="00162359" w:rsidTr="00EB04DE">
        <w:trPr>
          <w:trHeight w:val="454"/>
        </w:trPr>
        <w:tc>
          <w:tcPr>
            <w:tcW w:w="3288" w:type="dxa"/>
            <w:gridSpan w:val="2"/>
            <w:tcBorders>
              <w:top w:val="single" w:sz="4" w:space="0" w:color="auto"/>
              <w:left w:val="nil"/>
              <w:bottom w:val="nil"/>
              <w:right w:val="nil"/>
            </w:tcBorders>
            <w:shd w:val="clear" w:color="auto" w:fill="auto"/>
            <w:noWrap/>
            <w:vAlign w:val="center"/>
            <w:hideMark/>
          </w:tcPr>
          <w:p w:rsidR="00EB04DE" w:rsidRPr="00162359" w:rsidRDefault="00EB04DE" w:rsidP="00EB04DE">
            <w:pPr>
              <w:spacing w:after="0" w:line="240" w:lineRule="auto"/>
              <w:rPr>
                <w:rFonts w:ascii="Arial" w:hAnsi="Arial" w:cs="Arial"/>
                <w:b/>
                <w:bCs/>
                <w:sz w:val="16"/>
                <w:szCs w:val="16"/>
              </w:rPr>
            </w:pPr>
            <w:r w:rsidRPr="00162359">
              <w:rPr>
                <w:rFonts w:ascii="Arial" w:hAnsi="Arial" w:cs="Arial"/>
                <w:b/>
                <w:bCs/>
                <w:sz w:val="16"/>
                <w:szCs w:val="16"/>
              </w:rPr>
              <w:t> </w:t>
            </w:r>
          </w:p>
        </w:tc>
        <w:tc>
          <w:tcPr>
            <w:tcW w:w="935" w:type="dxa"/>
            <w:gridSpan w:val="2"/>
            <w:tcBorders>
              <w:top w:val="single" w:sz="4" w:space="0" w:color="auto"/>
              <w:left w:val="nil"/>
              <w:bottom w:val="single" w:sz="4" w:space="0" w:color="auto"/>
              <w:right w:val="nil"/>
            </w:tcBorders>
            <w:shd w:val="clear" w:color="auto" w:fill="auto"/>
            <w:vAlign w:val="center"/>
            <w:hideMark/>
          </w:tcPr>
          <w:p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2017–18</w:t>
            </w:r>
            <w:r w:rsidRPr="00162359">
              <w:rPr>
                <w:rFonts w:ascii="Arial" w:hAnsi="Arial" w:cs="Arial"/>
                <w:sz w:val="16"/>
                <w:szCs w:val="16"/>
              </w:rPr>
              <w:t>l</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000000" w:fill="E6E6E6"/>
            <w:vAlign w:val="center"/>
            <w:hideMark/>
          </w:tcPr>
          <w:p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2018–19</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auto" w:fill="auto"/>
            <w:vAlign w:val="center"/>
            <w:hideMark/>
          </w:tcPr>
          <w:p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2019–20</w:t>
            </w:r>
            <w:r w:rsidRPr="00162359">
              <w:rPr>
                <w:rFonts w:ascii="Arial" w:hAnsi="Arial" w:cs="Arial"/>
                <w:sz w:val="16"/>
                <w:szCs w:val="16"/>
              </w:rPr>
              <w:br/>
              <w:t>$'000</w:t>
            </w:r>
          </w:p>
        </w:tc>
        <w:tc>
          <w:tcPr>
            <w:tcW w:w="879" w:type="dxa"/>
            <w:gridSpan w:val="3"/>
            <w:tcBorders>
              <w:top w:val="single" w:sz="4" w:space="0" w:color="auto"/>
              <w:left w:val="nil"/>
              <w:bottom w:val="single" w:sz="4" w:space="0" w:color="auto"/>
              <w:right w:val="nil"/>
            </w:tcBorders>
            <w:shd w:val="clear" w:color="auto" w:fill="auto"/>
            <w:vAlign w:val="center"/>
            <w:hideMark/>
          </w:tcPr>
          <w:p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2020–21</w:t>
            </w:r>
            <w:r w:rsidRPr="00162359">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EB04DE" w:rsidRPr="00162359" w:rsidRDefault="00EB04DE" w:rsidP="00EB04DE">
            <w:pPr>
              <w:spacing w:after="0" w:line="240" w:lineRule="auto"/>
              <w:jc w:val="right"/>
              <w:rPr>
                <w:rFonts w:ascii="Arial" w:hAnsi="Arial" w:cs="Arial"/>
                <w:sz w:val="16"/>
                <w:szCs w:val="16"/>
              </w:rPr>
            </w:pPr>
            <w:r>
              <w:rPr>
                <w:rFonts w:ascii="Arial" w:hAnsi="Arial" w:cs="Arial"/>
                <w:sz w:val="16"/>
                <w:szCs w:val="16"/>
              </w:rPr>
              <w:t>2021–22</w:t>
            </w:r>
            <w:r w:rsidRPr="00162359">
              <w:rPr>
                <w:rFonts w:ascii="Arial" w:hAnsi="Arial" w:cs="Arial"/>
                <w:sz w:val="16"/>
                <w:szCs w:val="16"/>
              </w:rPr>
              <w:br/>
              <w:t>$'000</w:t>
            </w:r>
          </w:p>
        </w:tc>
      </w:tr>
      <w:tr w:rsidR="00162359" w:rsidRPr="00162359" w:rsidTr="00E56D63">
        <w:trPr>
          <w:trHeight w:val="737"/>
        </w:trPr>
        <w:tc>
          <w:tcPr>
            <w:tcW w:w="3288" w:type="dxa"/>
            <w:gridSpan w:val="2"/>
            <w:tcBorders>
              <w:left w:val="nil"/>
              <w:bottom w:val="nil"/>
              <w:right w:val="nil"/>
            </w:tcBorders>
            <w:shd w:val="clear" w:color="auto" w:fill="auto"/>
            <w:vAlign w:val="center"/>
            <w:hideMark/>
          </w:tcPr>
          <w:p w:rsidR="00162359" w:rsidRPr="00162359" w:rsidRDefault="00162359" w:rsidP="00F326FA">
            <w:pPr>
              <w:spacing w:after="0" w:line="240" w:lineRule="auto"/>
              <w:ind w:left="191" w:hanging="191"/>
              <w:rPr>
                <w:rFonts w:ascii="Arial" w:hAnsi="Arial" w:cs="Arial"/>
                <w:b/>
                <w:bCs/>
                <w:color w:val="000000"/>
                <w:sz w:val="16"/>
                <w:szCs w:val="16"/>
              </w:rPr>
            </w:pPr>
            <w:r w:rsidRPr="00162359">
              <w:rPr>
                <w:rFonts w:ascii="Arial" w:hAnsi="Arial" w:cs="Arial"/>
                <w:b/>
                <w:bCs/>
                <w:color w:val="000000"/>
                <w:sz w:val="16"/>
                <w:szCs w:val="16"/>
              </w:rPr>
              <w:t>Total comprehensive income/(loss) excluding depreciation/amortisation</w:t>
            </w:r>
            <w:r w:rsidR="00F326FA">
              <w:rPr>
                <w:rFonts w:ascii="Arial" w:hAnsi="Arial" w:cs="Arial"/>
                <w:b/>
                <w:bCs/>
                <w:color w:val="000000"/>
                <w:sz w:val="16"/>
                <w:szCs w:val="16"/>
              </w:rPr>
              <w:t xml:space="preserve"> expenses previously funded</w:t>
            </w:r>
            <w:r w:rsidR="00371A93">
              <w:rPr>
                <w:rFonts w:ascii="Arial" w:hAnsi="Arial" w:cs="Arial"/>
                <w:b/>
                <w:bCs/>
                <w:color w:val="000000"/>
                <w:sz w:val="16"/>
                <w:szCs w:val="16"/>
              </w:rPr>
              <w:t xml:space="preserve"> </w:t>
            </w:r>
            <w:r w:rsidRPr="00162359">
              <w:rPr>
                <w:rFonts w:ascii="Arial" w:hAnsi="Arial" w:cs="Arial"/>
                <w:b/>
                <w:bCs/>
                <w:color w:val="000000"/>
                <w:sz w:val="16"/>
                <w:szCs w:val="16"/>
              </w:rPr>
              <w:t>through revenue appropriations</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b/>
                <w:bCs/>
                <w:color w:val="000000"/>
                <w:sz w:val="16"/>
                <w:szCs w:val="16"/>
              </w:rPr>
            </w:pPr>
            <w:r w:rsidRPr="00162359">
              <w:rPr>
                <w:rFonts w:ascii="Arial" w:hAnsi="Arial" w:cs="Arial"/>
                <w:b/>
                <w:bCs/>
                <w:color w:val="000000"/>
                <w:sz w:val="16"/>
                <w:szCs w:val="16"/>
              </w:rPr>
              <w:t xml:space="preserve">- </w:t>
            </w:r>
          </w:p>
        </w:tc>
      </w:tr>
      <w:tr w:rsidR="00162359" w:rsidRPr="00162359" w:rsidTr="00E56D63">
        <w:trPr>
          <w:trHeight w:val="567"/>
        </w:trPr>
        <w:tc>
          <w:tcPr>
            <w:tcW w:w="3288" w:type="dxa"/>
            <w:gridSpan w:val="2"/>
            <w:tcBorders>
              <w:top w:val="nil"/>
              <w:left w:val="nil"/>
              <w:bottom w:val="nil"/>
              <w:right w:val="nil"/>
            </w:tcBorders>
            <w:shd w:val="clear" w:color="auto" w:fill="auto"/>
            <w:vAlign w:val="center"/>
            <w:hideMark/>
          </w:tcPr>
          <w:p w:rsidR="00162359" w:rsidRPr="00162359" w:rsidRDefault="00162359" w:rsidP="00F326FA">
            <w:pPr>
              <w:spacing w:after="0" w:line="240" w:lineRule="auto"/>
              <w:ind w:leftChars="80" w:left="333" w:hangingChars="108" w:hanging="173"/>
              <w:rPr>
                <w:rFonts w:ascii="Arial" w:hAnsi="Arial" w:cs="Arial"/>
                <w:color w:val="000000"/>
                <w:sz w:val="16"/>
                <w:szCs w:val="16"/>
              </w:rPr>
            </w:pPr>
            <w:r w:rsidRPr="00162359">
              <w:rPr>
                <w:rFonts w:ascii="Arial" w:hAnsi="Arial" w:cs="Arial"/>
                <w:color w:val="000000"/>
                <w:sz w:val="16"/>
                <w:szCs w:val="16"/>
              </w:rPr>
              <w:t>less depreciation/amortisation expenses previously funded through revenue appropriations (a)</w:t>
            </w:r>
          </w:p>
        </w:tc>
        <w:tc>
          <w:tcPr>
            <w:tcW w:w="935"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5,777 </w:t>
            </w:r>
          </w:p>
        </w:tc>
        <w:tc>
          <w:tcPr>
            <w:tcW w:w="879" w:type="dxa"/>
            <w:gridSpan w:val="3"/>
            <w:tcBorders>
              <w:top w:val="nil"/>
              <w:left w:val="nil"/>
              <w:bottom w:val="nil"/>
              <w:right w:val="nil"/>
            </w:tcBorders>
            <w:shd w:val="clear" w:color="000000" w:fill="E6E6E6"/>
            <w:noWrap/>
            <w:vAlign w:val="center"/>
            <w:hideMark/>
          </w:tcPr>
          <w:p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6,222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6,072 </w:t>
            </w:r>
          </w:p>
        </w:tc>
        <w:tc>
          <w:tcPr>
            <w:tcW w:w="879" w:type="dxa"/>
            <w:gridSpan w:val="3"/>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6,043 </w:t>
            </w:r>
          </w:p>
        </w:tc>
        <w:tc>
          <w:tcPr>
            <w:tcW w:w="879" w:type="dxa"/>
            <w:gridSpan w:val="2"/>
            <w:tcBorders>
              <w:top w:val="nil"/>
              <w:left w:val="nil"/>
              <w:bottom w:val="nil"/>
              <w:right w:val="nil"/>
            </w:tcBorders>
            <w:shd w:val="clear" w:color="auto" w:fill="auto"/>
            <w:noWrap/>
            <w:vAlign w:val="center"/>
            <w:hideMark/>
          </w:tcPr>
          <w:p w:rsidR="00162359" w:rsidRPr="00162359" w:rsidRDefault="00162359" w:rsidP="00162359">
            <w:pPr>
              <w:spacing w:after="0" w:line="240" w:lineRule="auto"/>
              <w:jc w:val="right"/>
              <w:rPr>
                <w:rFonts w:ascii="Arial" w:hAnsi="Arial" w:cs="Arial"/>
                <w:color w:val="000000"/>
                <w:sz w:val="16"/>
                <w:szCs w:val="16"/>
              </w:rPr>
            </w:pPr>
            <w:r w:rsidRPr="00162359">
              <w:rPr>
                <w:rFonts w:ascii="Arial" w:hAnsi="Arial" w:cs="Arial"/>
                <w:color w:val="000000"/>
                <w:sz w:val="16"/>
                <w:szCs w:val="16"/>
              </w:rPr>
              <w:t xml:space="preserve">6,075 </w:t>
            </w:r>
          </w:p>
        </w:tc>
      </w:tr>
      <w:tr w:rsidR="00162359" w:rsidRPr="00162359" w:rsidTr="00E56D63">
        <w:trPr>
          <w:trHeight w:val="567"/>
        </w:trPr>
        <w:tc>
          <w:tcPr>
            <w:tcW w:w="3288" w:type="dxa"/>
            <w:gridSpan w:val="2"/>
            <w:tcBorders>
              <w:top w:val="nil"/>
              <w:left w:val="nil"/>
              <w:bottom w:val="single" w:sz="4" w:space="0" w:color="auto"/>
              <w:right w:val="nil"/>
            </w:tcBorders>
            <w:shd w:val="clear" w:color="auto" w:fill="auto"/>
            <w:vAlign w:val="bottom"/>
            <w:hideMark/>
          </w:tcPr>
          <w:p w:rsidR="00162359" w:rsidRPr="00162359" w:rsidRDefault="00162359" w:rsidP="00F326FA">
            <w:pPr>
              <w:spacing w:after="0" w:line="240" w:lineRule="auto"/>
              <w:ind w:left="191" w:hanging="191"/>
              <w:rPr>
                <w:rFonts w:ascii="Arial" w:hAnsi="Arial" w:cs="Arial"/>
                <w:b/>
                <w:bCs/>
                <w:color w:val="000000"/>
                <w:sz w:val="16"/>
                <w:szCs w:val="16"/>
              </w:rPr>
            </w:pPr>
            <w:r w:rsidRPr="00162359">
              <w:rPr>
                <w:rFonts w:ascii="Arial" w:hAnsi="Arial" w:cs="Arial"/>
                <w:b/>
                <w:bCs/>
                <w:color w:val="000000"/>
                <w:sz w:val="16"/>
                <w:szCs w:val="16"/>
              </w:rPr>
              <w:t>Total comprehensive income/(loss)—as per the statement of comprehensive income</w:t>
            </w:r>
          </w:p>
        </w:tc>
        <w:tc>
          <w:tcPr>
            <w:tcW w:w="935" w:type="dxa"/>
            <w:gridSpan w:val="2"/>
            <w:tcBorders>
              <w:top w:val="single" w:sz="4" w:space="0" w:color="auto"/>
              <w:left w:val="nil"/>
              <w:bottom w:val="single" w:sz="4" w:space="0" w:color="auto"/>
              <w:right w:val="nil"/>
            </w:tcBorders>
            <w:shd w:val="clear" w:color="auto" w:fill="auto"/>
            <w:vAlign w:val="bottom"/>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(5,777)</w:t>
            </w:r>
          </w:p>
        </w:tc>
        <w:tc>
          <w:tcPr>
            <w:tcW w:w="879" w:type="dxa"/>
            <w:gridSpan w:val="3"/>
            <w:tcBorders>
              <w:top w:val="single" w:sz="4" w:space="0" w:color="auto"/>
              <w:left w:val="nil"/>
              <w:bottom w:val="single" w:sz="4" w:space="0" w:color="auto"/>
              <w:right w:val="nil"/>
            </w:tcBorders>
            <w:shd w:val="clear" w:color="000000" w:fill="E6E6E6"/>
            <w:vAlign w:val="bottom"/>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(6,222)</w:t>
            </w:r>
          </w:p>
        </w:tc>
        <w:tc>
          <w:tcPr>
            <w:tcW w:w="879" w:type="dxa"/>
            <w:gridSpan w:val="3"/>
            <w:tcBorders>
              <w:top w:val="single" w:sz="4" w:space="0" w:color="auto"/>
              <w:left w:val="nil"/>
              <w:bottom w:val="single" w:sz="4" w:space="0" w:color="auto"/>
              <w:right w:val="nil"/>
            </w:tcBorders>
            <w:shd w:val="clear" w:color="auto" w:fill="auto"/>
            <w:vAlign w:val="bottom"/>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(6,072)</w:t>
            </w:r>
          </w:p>
        </w:tc>
        <w:tc>
          <w:tcPr>
            <w:tcW w:w="879" w:type="dxa"/>
            <w:gridSpan w:val="3"/>
            <w:tcBorders>
              <w:top w:val="single" w:sz="4" w:space="0" w:color="auto"/>
              <w:left w:val="nil"/>
              <w:bottom w:val="single" w:sz="4" w:space="0" w:color="auto"/>
              <w:right w:val="nil"/>
            </w:tcBorders>
            <w:shd w:val="clear" w:color="auto" w:fill="auto"/>
            <w:vAlign w:val="bottom"/>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(6,043)</w:t>
            </w:r>
          </w:p>
        </w:tc>
        <w:tc>
          <w:tcPr>
            <w:tcW w:w="879" w:type="dxa"/>
            <w:gridSpan w:val="2"/>
            <w:tcBorders>
              <w:top w:val="single" w:sz="4" w:space="0" w:color="auto"/>
              <w:left w:val="nil"/>
              <w:bottom w:val="single" w:sz="4" w:space="0" w:color="auto"/>
              <w:right w:val="nil"/>
            </w:tcBorders>
            <w:shd w:val="clear" w:color="auto" w:fill="auto"/>
            <w:vAlign w:val="bottom"/>
            <w:hideMark/>
          </w:tcPr>
          <w:p w:rsidR="00162359" w:rsidRPr="00162359" w:rsidRDefault="00162359" w:rsidP="00162359">
            <w:pPr>
              <w:spacing w:after="0" w:line="240" w:lineRule="auto"/>
              <w:jc w:val="right"/>
              <w:rPr>
                <w:rFonts w:ascii="Arial" w:hAnsi="Arial" w:cs="Arial"/>
                <w:b/>
                <w:bCs/>
                <w:sz w:val="16"/>
                <w:szCs w:val="16"/>
              </w:rPr>
            </w:pPr>
            <w:r w:rsidRPr="00162359">
              <w:rPr>
                <w:rFonts w:ascii="Arial" w:hAnsi="Arial" w:cs="Arial"/>
                <w:b/>
                <w:bCs/>
                <w:sz w:val="16"/>
                <w:szCs w:val="16"/>
              </w:rPr>
              <w:t>(6,075)</w:t>
            </w:r>
          </w:p>
        </w:tc>
      </w:tr>
    </w:tbl>
    <w:p w:rsidR="00162359" w:rsidRPr="00162359" w:rsidRDefault="00162359" w:rsidP="00E01B4E">
      <w:pPr>
        <w:pStyle w:val="ChartandTableFootnoteAlpha"/>
        <w:numPr>
          <w:ilvl w:val="0"/>
          <w:numId w:val="42"/>
        </w:numPr>
        <w:rPr>
          <w:rFonts w:cs="Arial"/>
        </w:rPr>
      </w:pPr>
      <w:r w:rsidRPr="00162359">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162359" w:rsidRPr="009D54F3" w:rsidRDefault="00162359" w:rsidP="00162359">
      <w:pPr>
        <w:pStyle w:val="ChartandTableFootnote"/>
      </w:pPr>
      <w:r w:rsidRPr="009D54F3">
        <w:t>Prepared on Australian Accounting Standards basis.</w:t>
      </w:r>
    </w:p>
    <w:p w:rsidR="00162359" w:rsidRDefault="00162359" w:rsidP="00162359">
      <w:pPr>
        <w:pStyle w:val="TableHeadingcontinued"/>
      </w:pPr>
      <w:r>
        <w:br w:type="page"/>
      </w:r>
      <w:r w:rsidRPr="00E4582E">
        <w:lastRenderedPageBreak/>
        <w:t>Table</w:t>
      </w:r>
      <w:r>
        <w:t xml:space="preserve"> 3.</w:t>
      </w:r>
      <w:r w:rsidRPr="00E4582E">
        <w:t>2: Budg</w:t>
      </w:r>
      <w:r>
        <w:t xml:space="preserve">eted departmental balance sheet </w:t>
      </w:r>
      <w:r w:rsidRPr="00E4582E">
        <w:t>(as at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F326FA" w:rsidRPr="00F326FA" w:rsidTr="00F326FA">
        <w:trPr>
          <w:trHeight w:val="794"/>
        </w:trPr>
        <w:tc>
          <w:tcPr>
            <w:tcW w:w="3146" w:type="dxa"/>
            <w:tcBorders>
              <w:top w:val="single" w:sz="4" w:space="0" w:color="auto"/>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sz w:val="16"/>
                <w:szCs w:val="16"/>
              </w:rPr>
            </w:pPr>
            <w:r w:rsidRPr="00F326FA">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2017–18 Estimated actual</w:t>
            </w:r>
            <w:r w:rsidRPr="00F326F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2018–19</w:t>
            </w:r>
            <w:r w:rsidRPr="00F326FA">
              <w:rPr>
                <w:rFonts w:ascii="Arial" w:hAnsi="Arial" w:cs="Arial"/>
                <w:sz w:val="16"/>
                <w:szCs w:val="16"/>
              </w:rPr>
              <w:br/>
              <w:t>Budget</w:t>
            </w:r>
            <w:r w:rsidRPr="00F326FA">
              <w:rPr>
                <w:rFonts w:ascii="Arial" w:hAnsi="Arial" w:cs="Arial"/>
                <w:sz w:val="16"/>
                <w:szCs w:val="16"/>
              </w:rPr>
              <w:br/>
            </w:r>
            <w:r w:rsidRPr="00F326F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2019–20 Forward estimate</w:t>
            </w:r>
            <w:r w:rsidRPr="00F326F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2020–21 Forward estimate</w:t>
            </w:r>
            <w:r w:rsidRPr="00F326F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F326FA" w:rsidRPr="00F326FA" w:rsidRDefault="00F326FA" w:rsidP="00F326FA">
            <w:pPr>
              <w:spacing w:after="0" w:line="240" w:lineRule="auto"/>
              <w:jc w:val="right"/>
              <w:rPr>
                <w:rFonts w:ascii="Arial" w:hAnsi="Arial" w:cs="Arial"/>
                <w:sz w:val="16"/>
                <w:szCs w:val="16"/>
              </w:rPr>
            </w:pPr>
            <w:r w:rsidRPr="00F326FA">
              <w:rPr>
                <w:rFonts w:ascii="Arial" w:hAnsi="Arial" w:cs="Arial"/>
                <w:sz w:val="16"/>
                <w:szCs w:val="16"/>
              </w:rPr>
              <w:t>2021–22</w:t>
            </w:r>
            <w:r w:rsidRPr="00F326FA">
              <w:rPr>
                <w:rFonts w:ascii="Arial" w:hAnsi="Arial" w:cs="Arial"/>
                <w:sz w:val="16"/>
                <w:szCs w:val="16"/>
              </w:rPr>
              <w:br/>
              <w:t>Forward estimate</w:t>
            </w:r>
            <w:r w:rsidRPr="00F326FA">
              <w:rPr>
                <w:rFonts w:ascii="Arial" w:hAnsi="Arial" w:cs="Arial"/>
                <w:sz w:val="16"/>
                <w:szCs w:val="16"/>
              </w:rPr>
              <w:br/>
              <w:t>$'000</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 xml:space="preserve">Cash </w:t>
            </w:r>
            <w:r w:rsidRPr="00F326FA">
              <w:rPr>
                <w:rFonts w:ascii="Arial" w:hAnsi="Arial" w:cs="Arial"/>
                <w:sz w:val="16"/>
                <w:szCs w:val="16"/>
              </w:rPr>
              <w:t>and cash equivalents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sz w:val="16"/>
                <w:szCs w:val="16"/>
              </w:rPr>
            </w:pPr>
            <w:r w:rsidRPr="00F326FA">
              <w:rPr>
                <w:rFonts w:ascii="Arial" w:hAnsi="Arial" w:cs="Arial"/>
                <w:sz w:val="16"/>
                <w:szCs w:val="16"/>
              </w:rPr>
              <w:t>Trade and other receivables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30,061</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30,098</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30,129</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30,160</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30,160</w:t>
            </w:r>
          </w:p>
        </w:tc>
      </w:tr>
      <w:tr w:rsidR="00F326FA" w:rsidRPr="00F326FA" w:rsidTr="00F326FA">
        <w:trPr>
          <w:trHeight w:val="227"/>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30,062 </w:t>
            </w:r>
          </w:p>
        </w:tc>
        <w:tc>
          <w:tcPr>
            <w:tcW w:w="907" w:type="dxa"/>
            <w:tcBorders>
              <w:top w:val="single" w:sz="4" w:space="0" w:color="000000"/>
              <w:left w:val="nil"/>
              <w:bottom w:val="single" w:sz="4" w:space="0" w:color="000000"/>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30,099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30,130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30,161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30,161 </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Land and buildings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21,776</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17,833</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14,536</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11,226</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8,063</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Property, plant and equipment</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3,954</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3,420</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2,995</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3,094</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2,914</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Intangibles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3,041</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3,668</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3,695</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3,260</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2,943</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4,612</w:t>
            </w:r>
          </w:p>
        </w:tc>
      </w:tr>
      <w:tr w:rsidR="00F326FA" w:rsidRPr="00F326FA" w:rsidTr="00F326FA">
        <w:trPr>
          <w:trHeight w:val="227"/>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33,383 </w:t>
            </w:r>
          </w:p>
        </w:tc>
        <w:tc>
          <w:tcPr>
            <w:tcW w:w="907" w:type="dxa"/>
            <w:tcBorders>
              <w:top w:val="single" w:sz="4" w:space="0" w:color="000000"/>
              <w:left w:val="nil"/>
              <w:bottom w:val="single" w:sz="4" w:space="0" w:color="000000"/>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29,533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25,838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22,192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18,532 </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Total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63,445 </w:t>
            </w:r>
          </w:p>
        </w:tc>
        <w:tc>
          <w:tcPr>
            <w:tcW w:w="907" w:type="dxa"/>
            <w:tcBorders>
              <w:top w:val="single" w:sz="4" w:space="0" w:color="000000"/>
              <w:left w:val="nil"/>
              <w:bottom w:val="single" w:sz="4" w:space="0" w:color="000000"/>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59,632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55,968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52,353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48,693 </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4,017</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1,908</w:t>
            </w:r>
          </w:p>
        </w:tc>
      </w:tr>
      <w:tr w:rsidR="00F326FA" w:rsidRPr="00F326FA" w:rsidTr="00F326FA">
        <w:trPr>
          <w:trHeight w:val="227"/>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c>
          <w:tcPr>
            <w:tcW w:w="907" w:type="dxa"/>
            <w:tcBorders>
              <w:top w:val="single" w:sz="4" w:space="0" w:color="000000"/>
              <w:left w:val="nil"/>
              <w:bottom w:val="single" w:sz="4" w:space="0" w:color="000000"/>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5,925 </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Employee provisions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13,063</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13,100</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13,131</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13,162</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13,162</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Other provisions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89</w:t>
            </w:r>
          </w:p>
        </w:tc>
      </w:tr>
      <w:tr w:rsidR="00F326FA" w:rsidRPr="00F326FA" w:rsidTr="00F326FA">
        <w:trPr>
          <w:trHeight w:val="227"/>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13,152 </w:t>
            </w:r>
          </w:p>
        </w:tc>
        <w:tc>
          <w:tcPr>
            <w:tcW w:w="907" w:type="dxa"/>
            <w:tcBorders>
              <w:top w:val="single" w:sz="4" w:space="0" w:color="000000"/>
              <w:left w:val="nil"/>
              <w:bottom w:val="single" w:sz="4" w:space="0" w:color="000000"/>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13,189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13,220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13,251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13,251 </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Total liabilities</w:t>
            </w:r>
          </w:p>
        </w:tc>
        <w:tc>
          <w:tcPr>
            <w:tcW w:w="964" w:type="dxa"/>
            <w:tcBorders>
              <w:top w:val="single" w:sz="4" w:space="0" w:color="auto"/>
              <w:left w:val="nil"/>
              <w:bottom w:val="single" w:sz="4" w:space="0" w:color="auto"/>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19,077 </w:t>
            </w:r>
          </w:p>
        </w:tc>
        <w:tc>
          <w:tcPr>
            <w:tcW w:w="907" w:type="dxa"/>
            <w:tcBorders>
              <w:top w:val="single" w:sz="4" w:space="0" w:color="auto"/>
              <w:left w:val="nil"/>
              <w:bottom w:val="single" w:sz="4" w:space="0" w:color="auto"/>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19,114 </w:t>
            </w:r>
          </w:p>
        </w:tc>
        <w:tc>
          <w:tcPr>
            <w:tcW w:w="907" w:type="dxa"/>
            <w:tcBorders>
              <w:top w:val="single" w:sz="4" w:space="0" w:color="auto"/>
              <w:left w:val="nil"/>
              <w:bottom w:val="single" w:sz="4" w:space="0" w:color="auto"/>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19,145 </w:t>
            </w:r>
          </w:p>
        </w:tc>
        <w:tc>
          <w:tcPr>
            <w:tcW w:w="907" w:type="dxa"/>
            <w:tcBorders>
              <w:top w:val="single" w:sz="4" w:space="0" w:color="auto"/>
              <w:left w:val="nil"/>
              <w:bottom w:val="single" w:sz="4" w:space="0" w:color="auto"/>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19,176 </w:t>
            </w:r>
          </w:p>
        </w:tc>
        <w:tc>
          <w:tcPr>
            <w:tcW w:w="907" w:type="dxa"/>
            <w:tcBorders>
              <w:top w:val="single" w:sz="4" w:space="0" w:color="auto"/>
              <w:left w:val="nil"/>
              <w:bottom w:val="single" w:sz="4" w:space="0" w:color="auto"/>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19,176 </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sz w:val="16"/>
                <w:szCs w:val="16"/>
              </w:rPr>
            </w:pPr>
            <w:r w:rsidRPr="00F326FA">
              <w:rPr>
                <w:rFonts w:ascii="Arial" w:hAnsi="Arial" w:cs="Arial"/>
                <w:b/>
                <w:bCs/>
                <w:sz w:val="16"/>
                <w:szCs w:val="16"/>
              </w:rPr>
              <w:t>Net assets</w:t>
            </w:r>
          </w:p>
        </w:tc>
        <w:tc>
          <w:tcPr>
            <w:tcW w:w="964" w:type="dxa"/>
            <w:tcBorders>
              <w:top w:val="nil"/>
              <w:left w:val="nil"/>
              <w:bottom w:val="single" w:sz="4" w:space="0" w:color="auto"/>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44,368 </w:t>
            </w:r>
          </w:p>
        </w:tc>
        <w:tc>
          <w:tcPr>
            <w:tcW w:w="907" w:type="dxa"/>
            <w:tcBorders>
              <w:top w:val="nil"/>
              <w:left w:val="nil"/>
              <w:bottom w:val="single" w:sz="4" w:space="0" w:color="auto"/>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40,518 </w:t>
            </w:r>
          </w:p>
        </w:tc>
        <w:tc>
          <w:tcPr>
            <w:tcW w:w="907" w:type="dxa"/>
            <w:tcBorders>
              <w:top w:val="nil"/>
              <w:left w:val="nil"/>
              <w:bottom w:val="single" w:sz="4" w:space="0" w:color="auto"/>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36,823 </w:t>
            </w:r>
          </w:p>
        </w:tc>
        <w:tc>
          <w:tcPr>
            <w:tcW w:w="907" w:type="dxa"/>
            <w:tcBorders>
              <w:top w:val="nil"/>
              <w:left w:val="nil"/>
              <w:bottom w:val="single" w:sz="4" w:space="0" w:color="auto"/>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33,177 </w:t>
            </w:r>
          </w:p>
        </w:tc>
        <w:tc>
          <w:tcPr>
            <w:tcW w:w="907" w:type="dxa"/>
            <w:tcBorders>
              <w:top w:val="nil"/>
              <w:left w:val="nil"/>
              <w:bottom w:val="single" w:sz="4" w:space="0" w:color="auto"/>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29,517 </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EQUITY*</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Parent entity interest</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Contributed equity</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45,920 </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48,292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50,669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53,066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55,481 </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Reserves</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 xml:space="preserve">12,410 </w:t>
            </w:r>
          </w:p>
        </w:tc>
      </w:tr>
      <w:tr w:rsidR="00F326FA" w:rsidRPr="00F326FA" w:rsidTr="00F326FA">
        <w:trPr>
          <w:trHeight w:val="227"/>
        </w:trPr>
        <w:tc>
          <w:tcPr>
            <w:tcW w:w="3146" w:type="dxa"/>
            <w:tcBorders>
              <w:top w:val="nil"/>
              <w:left w:val="nil"/>
              <w:bottom w:val="nil"/>
              <w:right w:val="nil"/>
            </w:tcBorders>
            <w:shd w:val="clear" w:color="auto" w:fill="auto"/>
            <w:vAlign w:val="center"/>
            <w:hideMark/>
          </w:tcPr>
          <w:p w:rsidR="00F326FA" w:rsidRPr="00F326FA" w:rsidRDefault="00F326FA" w:rsidP="00F326FA">
            <w:pPr>
              <w:spacing w:after="0" w:line="240" w:lineRule="auto"/>
              <w:ind w:firstLineChars="100" w:firstLine="160"/>
              <w:rPr>
                <w:rFonts w:ascii="Arial" w:hAnsi="Arial" w:cs="Arial"/>
                <w:color w:val="000000"/>
                <w:sz w:val="16"/>
                <w:szCs w:val="16"/>
              </w:rPr>
            </w:pPr>
            <w:r w:rsidRPr="00F326FA">
              <w:rPr>
                <w:rFonts w:ascii="Arial" w:hAnsi="Arial" w:cs="Arial"/>
                <w:color w:val="000000"/>
                <w:sz w:val="16"/>
                <w:szCs w:val="16"/>
              </w:rPr>
              <w:t>Retained surplus (accumulated deficit)</w:t>
            </w:r>
          </w:p>
        </w:tc>
        <w:tc>
          <w:tcPr>
            <w:tcW w:w="964"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(13,962)</w:t>
            </w:r>
          </w:p>
        </w:tc>
        <w:tc>
          <w:tcPr>
            <w:tcW w:w="907" w:type="dxa"/>
            <w:tcBorders>
              <w:top w:val="nil"/>
              <w:left w:val="nil"/>
              <w:bottom w:val="nil"/>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(20,184)</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(26,256)</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(32,299)</w:t>
            </w:r>
          </w:p>
        </w:tc>
        <w:tc>
          <w:tcPr>
            <w:tcW w:w="907"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color w:val="000000"/>
                <w:sz w:val="16"/>
                <w:szCs w:val="16"/>
              </w:rPr>
            </w:pPr>
            <w:r w:rsidRPr="00F326FA">
              <w:rPr>
                <w:rFonts w:ascii="Arial" w:hAnsi="Arial" w:cs="Arial"/>
                <w:color w:val="000000"/>
                <w:sz w:val="16"/>
                <w:szCs w:val="16"/>
              </w:rPr>
              <w:t>(38,374)</w:t>
            </w:r>
          </w:p>
        </w:tc>
      </w:tr>
      <w:tr w:rsidR="00F326FA" w:rsidRPr="00F326FA" w:rsidTr="00F326FA">
        <w:trPr>
          <w:trHeight w:val="225"/>
        </w:trPr>
        <w:tc>
          <w:tcPr>
            <w:tcW w:w="3146" w:type="dxa"/>
            <w:tcBorders>
              <w:top w:val="nil"/>
              <w:left w:val="nil"/>
              <w:bottom w:val="nil"/>
              <w:right w:val="nil"/>
            </w:tcBorders>
            <w:shd w:val="clear" w:color="auto" w:fill="auto"/>
            <w:noWrap/>
            <w:vAlign w:val="center"/>
            <w:hideMark/>
          </w:tcPr>
          <w:p w:rsidR="00F326FA" w:rsidRPr="00F326FA" w:rsidRDefault="00F326FA" w:rsidP="00F326FA">
            <w:pPr>
              <w:spacing w:after="0" w:line="240" w:lineRule="auto"/>
              <w:rPr>
                <w:rFonts w:ascii="Arial" w:hAnsi="Arial" w:cs="Arial"/>
                <w:b/>
                <w:bCs/>
                <w:i/>
                <w:iCs/>
                <w:color w:val="000000"/>
                <w:sz w:val="16"/>
                <w:szCs w:val="16"/>
              </w:rPr>
            </w:pPr>
            <w:r w:rsidRPr="00F326FA">
              <w:rPr>
                <w:rFonts w:ascii="Arial" w:hAnsi="Arial" w:cs="Arial"/>
                <w:b/>
                <w:bCs/>
                <w:i/>
                <w:iCs/>
                <w:color w:val="000000"/>
                <w:sz w:val="16"/>
                <w:szCs w:val="16"/>
              </w:rPr>
              <w:t>Total parent entity interest</w:t>
            </w:r>
          </w:p>
        </w:tc>
        <w:tc>
          <w:tcPr>
            <w:tcW w:w="964"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44,368 </w:t>
            </w:r>
          </w:p>
        </w:tc>
        <w:tc>
          <w:tcPr>
            <w:tcW w:w="907" w:type="dxa"/>
            <w:tcBorders>
              <w:top w:val="single" w:sz="4" w:space="0" w:color="000000"/>
              <w:left w:val="nil"/>
              <w:bottom w:val="single" w:sz="4" w:space="0" w:color="000000"/>
              <w:right w:val="nil"/>
            </w:tcBorders>
            <w:shd w:val="clear" w:color="000000" w:fill="E6E6E6"/>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40,518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36,823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33,177 </w:t>
            </w:r>
          </w:p>
        </w:tc>
        <w:tc>
          <w:tcPr>
            <w:tcW w:w="907" w:type="dxa"/>
            <w:tcBorders>
              <w:top w:val="single" w:sz="4" w:space="0" w:color="000000"/>
              <w:left w:val="nil"/>
              <w:bottom w:val="single" w:sz="4" w:space="0" w:color="000000"/>
              <w:right w:val="nil"/>
            </w:tcBorders>
            <w:shd w:val="clear" w:color="auto" w:fill="auto"/>
            <w:noWrap/>
            <w:vAlign w:val="center"/>
            <w:hideMark/>
          </w:tcPr>
          <w:p w:rsidR="00F326FA" w:rsidRPr="00F326FA" w:rsidRDefault="00F326FA" w:rsidP="00F326FA">
            <w:pPr>
              <w:spacing w:after="0" w:line="240" w:lineRule="auto"/>
              <w:jc w:val="right"/>
              <w:rPr>
                <w:rFonts w:ascii="Arial" w:hAnsi="Arial" w:cs="Arial"/>
                <w:b/>
                <w:bCs/>
                <w:i/>
                <w:iCs/>
                <w:color w:val="000000"/>
                <w:sz w:val="16"/>
                <w:szCs w:val="16"/>
              </w:rPr>
            </w:pPr>
            <w:r w:rsidRPr="00F326FA">
              <w:rPr>
                <w:rFonts w:ascii="Arial" w:hAnsi="Arial" w:cs="Arial"/>
                <w:b/>
                <w:bCs/>
                <w:i/>
                <w:iCs/>
                <w:color w:val="000000"/>
                <w:sz w:val="16"/>
                <w:szCs w:val="16"/>
              </w:rPr>
              <w:t xml:space="preserve">29,517 </w:t>
            </w:r>
          </w:p>
        </w:tc>
      </w:tr>
      <w:tr w:rsidR="00F326FA" w:rsidRPr="00F326FA" w:rsidTr="00F326FA">
        <w:trPr>
          <w:trHeight w:val="225"/>
        </w:trPr>
        <w:tc>
          <w:tcPr>
            <w:tcW w:w="3146" w:type="dxa"/>
            <w:tcBorders>
              <w:top w:val="nil"/>
              <w:left w:val="nil"/>
              <w:bottom w:val="single" w:sz="4" w:space="0" w:color="000000"/>
              <w:right w:val="nil"/>
            </w:tcBorders>
            <w:shd w:val="clear" w:color="auto" w:fill="auto"/>
            <w:noWrap/>
            <w:vAlign w:val="bottom"/>
            <w:hideMark/>
          </w:tcPr>
          <w:p w:rsidR="00F326FA" w:rsidRPr="00F326FA" w:rsidRDefault="00F326FA" w:rsidP="00F326FA">
            <w:pPr>
              <w:spacing w:after="0" w:line="240" w:lineRule="auto"/>
              <w:rPr>
                <w:rFonts w:ascii="Arial" w:hAnsi="Arial" w:cs="Arial"/>
                <w:b/>
                <w:bCs/>
                <w:color w:val="000000"/>
                <w:sz w:val="16"/>
                <w:szCs w:val="16"/>
              </w:rPr>
            </w:pPr>
            <w:r w:rsidRPr="00F326FA">
              <w:rPr>
                <w:rFonts w:ascii="Arial" w:hAnsi="Arial" w:cs="Arial"/>
                <w:b/>
                <w:bCs/>
                <w:color w:val="000000"/>
                <w:sz w:val="16"/>
                <w:szCs w:val="16"/>
              </w:rPr>
              <w:t>Total equity</w:t>
            </w:r>
          </w:p>
        </w:tc>
        <w:tc>
          <w:tcPr>
            <w:tcW w:w="964" w:type="dxa"/>
            <w:tcBorders>
              <w:top w:val="nil"/>
              <w:left w:val="nil"/>
              <w:bottom w:val="single" w:sz="4" w:space="0" w:color="000000"/>
              <w:right w:val="nil"/>
            </w:tcBorders>
            <w:shd w:val="clear" w:color="auto" w:fill="auto"/>
            <w:noWrap/>
            <w:vAlign w:val="bottom"/>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44,368 </w:t>
            </w:r>
          </w:p>
        </w:tc>
        <w:tc>
          <w:tcPr>
            <w:tcW w:w="907" w:type="dxa"/>
            <w:tcBorders>
              <w:top w:val="nil"/>
              <w:left w:val="nil"/>
              <w:bottom w:val="single" w:sz="4" w:space="0" w:color="000000"/>
              <w:right w:val="nil"/>
            </w:tcBorders>
            <w:shd w:val="clear" w:color="000000" w:fill="E6E6E6"/>
            <w:noWrap/>
            <w:vAlign w:val="bottom"/>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40,518 </w:t>
            </w:r>
          </w:p>
        </w:tc>
        <w:tc>
          <w:tcPr>
            <w:tcW w:w="907" w:type="dxa"/>
            <w:tcBorders>
              <w:top w:val="nil"/>
              <w:left w:val="nil"/>
              <w:bottom w:val="single" w:sz="4" w:space="0" w:color="000000"/>
              <w:right w:val="nil"/>
            </w:tcBorders>
            <w:shd w:val="clear" w:color="auto" w:fill="auto"/>
            <w:noWrap/>
            <w:vAlign w:val="bottom"/>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36,823 </w:t>
            </w:r>
          </w:p>
        </w:tc>
        <w:tc>
          <w:tcPr>
            <w:tcW w:w="907" w:type="dxa"/>
            <w:tcBorders>
              <w:top w:val="nil"/>
              <w:left w:val="nil"/>
              <w:bottom w:val="single" w:sz="4" w:space="0" w:color="000000"/>
              <w:right w:val="nil"/>
            </w:tcBorders>
            <w:shd w:val="clear" w:color="auto" w:fill="auto"/>
            <w:noWrap/>
            <w:vAlign w:val="bottom"/>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33,177 </w:t>
            </w:r>
          </w:p>
        </w:tc>
        <w:tc>
          <w:tcPr>
            <w:tcW w:w="907" w:type="dxa"/>
            <w:tcBorders>
              <w:top w:val="nil"/>
              <w:left w:val="nil"/>
              <w:bottom w:val="single" w:sz="4" w:space="0" w:color="000000"/>
              <w:right w:val="nil"/>
            </w:tcBorders>
            <w:shd w:val="clear" w:color="auto" w:fill="auto"/>
            <w:noWrap/>
            <w:vAlign w:val="bottom"/>
            <w:hideMark/>
          </w:tcPr>
          <w:p w:rsidR="00F326FA" w:rsidRPr="00F326FA" w:rsidRDefault="00F326FA" w:rsidP="00F326FA">
            <w:pPr>
              <w:spacing w:after="0" w:line="240" w:lineRule="auto"/>
              <w:jc w:val="right"/>
              <w:rPr>
                <w:rFonts w:ascii="Arial" w:hAnsi="Arial" w:cs="Arial"/>
                <w:b/>
                <w:bCs/>
                <w:color w:val="000000"/>
                <w:sz w:val="16"/>
                <w:szCs w:val="16"/>
              </w:rPr>
            </w:pPr>
            <w:r w:rsidRPr="00F326FA">
              <w:rPr>
                <w:rFonts w:ascii="Arial" w:hAnsi="Arial" w:cs="Arial"/>
                <w:b/>
                <w:bCs/>
                <w:color w:val="000000"/>
                <w:sz w:val="16"/>
                <w:szCs w:val="16"/>
              </w:rPr>
              <w:t xml:space="preserve">29,517 </w:t>
            </w:r>
          </w:p>
        </w:tc>
      </w:tr>
    </w:tbl>
    <w:p w:rsidR="00162359" w:rsidRPr="00132F9E" w:rsidRDefault="00162359" w:rsidP="00162359">
      <w:pPr>
        <w:pStyle w:val="ChartandTableFootnote"/>
      </w:pPr>
      <w:r w:rsidRPr="00132F9E">
        <w:t>*Equity is the residual interest in assets after deduction of liabilities.</w:t>
      </w:r>
    </w:p>
    <w:p w:rsidR="00162359" w:rsidRPr="00F326FA" w:rsidRDefault="00162359" w:rsidP="00162359">
      <w:pPr>
        <w:pStyle w:val="ChartandTableFootnote"/>
        <w:rPr>
          <w:lang w:val="en-AU"/>
        </w:rPr>
      </w:pPr>
      <w:r w:rsidRPr="00132F9E">
        <w:t>Prepared on Australian Accounting Standards basis.</w:t>
      </w:r>
    </w:p>
    <w:p w:rsidR="00F326FA" w:rsidRDefault="00162359" w:rsidP="00F326FA">
      <w:pPr>
        <w:pStyle w:val="TableHeading"/>
      </w:pPr>
      <w:r>
        <w:br w:type="page"/>
      </w:r>
      <w:r w:rsidR="00F326FA" w:rsidRPr="00AD42E2">
        <w:lastRenderedPageBreak/>
        <w:t xml:space="preserve">Table 3.3: Departmental </w:t>
      </w:r>
      <w:r w:rsidR="00F326FA">
        <w:t>statement of changes in equity</w:t>
      </w:r>
      <w:r w:rsidR="00F326FA">
        <w:rPr>
          <w:lang w:val="en-AU"/>
        </w:rPr>
        <w:t>—</w:t>
      </w:r>
      <w:r w:rsidR="00F326FA" w:rsidRPr="00AD42E2">
        <w:t>summary of</w:t>
      </w:r>
      <w:r w:rsidR="00F326FA">
        <w:t xml:space="preserve"> movement (Budget year 2018</w:t>
      </w:r>
      <w:r w:rsidR="00F326FA">
        <w:rPr>
          <w:lang w:val="en-AU"/>
        </w:rPr>
        <w:t>–</w:t>
      </w:r>
      <w:r w:rsidR="00F326FA">
        <w:t>19</w:t>
      </w:r>
      <w:r w:rsidR="00F326FA" w:rsidRPr="00D30CBA">
        <w:t>)</w:t>
      </w:r>
    </w:p>
    <w:tbl>
      <w:tblPr>
        <w:tblW w:w="7681" w:type="dxa"/>
        <w:tblInd w:w="93" w:type="dxa"/>
        <w:tblCellMar>
          <w:left w:w="57" w:type="dxa"/>
          <w:right w:w="57" w:type="dxa"/>
        </w:tblCellMar>
        <w:tblLook w:val="04A0" w:firstRow="1" w:lastRow="0" w:firstColumn="1" w:lastColumn="0" w:noHBand="0" w:noVBand="1"/>
      </w:tblPr>
      <w:tblGrid>
        <w:gridCol w:w="3487"/>
        <w:gridCol w:w="1020"/>
        <w:gridCol w:w="1077"/>
        <w:gridCol w:w="1077"/>
        <w:gridCol w:w="1020"/>
      </w:tblGrid>
      <w:tr w:rsidR="001F4BC5" w:rsidRPr="001F4BC5" w:rsidTr="001F4BC5">
        <w:trPr>
          <w:trHeight w:val="794"/>
        </w:trPr>
        <w:tc>
          <w:tcPr>
            <w:tcW w:w="3487" w:type="dxa"/>
            <w:tcBorders>
              <w:top w:val="single" w:sz="4" w:space="0" w:color="auto"/>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color w:val="000000"/>
                <w:sz w:val="16"/>
                <w:szCs w:val="16"/>
              </w:rPr>
            </w:pPr>
            <w:r w:rsidRPr="001F4BC5">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Retained</w:t>
            </w:r>
            <w:r w:rsidRPr="001F4BC5">
              <w:rPr>
                <w:rFonts w:ascii="Arial" w:hAnsi="Arial" w:cs="Arial"/>
                <w:color w:val="000000"/>
                <w:sz w:val="16"/>
                <w:szCs w:val="16"/>
              </w:rPr>
              <w:br/>
              <w:t>earnings</w:t>
            </w:r>
            <w:r w:rsidRPr="001F4BC5">
              <w:rPr>
                <w:rFonts w:ascii="Arial" w:hAnsi="Arial" w:cs="Arial"/>
                <w:color w:val="000000"/>
                <w:sz w:val="16"/>
                <w:szCs w:val="16"/>
              </w:rPr>
              <w:br/>
            </w:r>
            <w:r w:rsidRPr="001F4BC5">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Asset</w:t>
            </w:r>
            <w:r w:rsidRPr="001F4BC5">
              <w:rPr>
                <w:rFonts w:ascii="Arial" w:hAnsi="Arial" w:cs="Arial"/>
                <w:color w:val="000000"/>
                <w:sz w:val="16"/>
                <w:szCs w:val="16"/>
              </w:rPr>
              <w:br/>
              <w:t>revaluation</w:t>
            </w:r>
            <w:r w:rsidRPr="001F4BC5">
              <w:rPr>
                <w:rFonts w:ascii="Arial" w:hAnsi="Arial" w:cs="Arial"/>
                <w:color w:val="000000"/>
                <w:sz w:val="16"/>
                <w:szCs w:val="16"/>
              </w:rPr>
              <w:br/>
              <w:t>reserve</w:t>
            </w:r>
            <w:r w:rsidRPr="001F4BC5">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Contributed</w:t>
            </w:r>
            <w:r w:rsidRPr="001F4BC5">
              <w:rPr>
                <w:rFonts w:ascii="Arial" w:hAnsi="Arial" w:cs="Arial"/>
                <w:color w:val="000000"/>
                <w:sz w:val="16"/>
                <w:szCs w:val="16"/>
              </w:rPr>
              <w:br/>
              <w:t>equity/</w:t>
            </w:r>
            <w:r w:rsidRPr="001F4BC5">
              <w:rPr>
                <w:rFonts w:ascii="Arial" w:hAnsi="Arial" w:cs="Arial"/>
                <w:color w:val="000000"/>
                <w:sz w:val="16"/>
                <w:szCs w:val="16"/>
              </w:rPr>
              <w:br/>
              <w:t>capital</w:t>
            </w:r>
            <w:r w:rsidRPr="001F4BC5">
              <w:rPr>
                <w:rFonts w:ascii="Arial" w:hAnsi="Arial" w:cs="Arial"/>
                <w:color w:val="000000"/>
                <w:sz w:val="16"/>
                <w:szCs w:val="16"/>
              </w:rPr>
              <w:br/>
              <w:t>$'000</w:t>
            </w:r>
          </w:p>
        </w:tc>
        <w:tc>
          <w:tcPr>
            <w:tcW w:w="1020" w:type="dxa"/>
            <w:tcBorders>
              <w:top w:val="single" w:sz="4" w:space="0" w:color="auto"/>
              <w:left w:val="nil"/>
              <w:bottom w:val="single" w:sz="4" w:space="0" w:color="000000"/>
              <w:right w:val="nil"/>
            </w:tcBorders>
            <w:shd w:val="clear" w:color="auto" w:fill="auto"/>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Total</w:t>
            </w:r>
            <w:r w:rsidRPr="001F4BC5">
              <w:rPr>
                <w:rFonts w:ascii="Arial" w:hAnsi="Arial" w:cs="Arial"/>
                <w:color w:val="000000"/>
                <w:sz w:val="16"/>
                <w:szCs w:val="16"/>
              </w:rPr>
              <w:br/>
              <w:t xml:space="preserve">equity </w:t>
            </w:r>
            <w:r w:rsidRPr="001F4BC5">
              <w:rPr>
                <w:rFonts w:ascii="Arial" w:hAnsi="Arial" w:cs="Arial"/>
                <w:color w:val="000000"/>
                <w:sz w:val="16"/>
                <w:szCs w:val="16"/>
              </w:rPr>
              <w:br/>
            </w:r>
            <w:r w:rsidRPr="001F4BC5">
              <w:rPr>
                <w:rFonts w:ascii="Arial" w:hAnsi="Arial" w:cs="Arial"/>
                <w:color w:val="000000"/>
                <w:sz w:val="16"/>
                <w:szCs w:val="16"/>
              </w:rPr>
              <w:br/>
              <w:t>$'000</w:t>
            </w:r>
          </w:p>
        </w:tc>
      </w:tr>
      <w:tr w:rsidR="001F4BC5" w:rsidRPr="001F4BC5" w:rsidTr="001F4BC5">
        <w:trPr>
          <w:trHeight w:val="225"/>
        </w:trPr>
        <w:tc>
          <w:tcPr>
            <w:tcW w:w="3487" w:type="dxa"/>
            <w:tcBorders>
              <w:top w:val="nil"/>
              <w:left w:val="nil"/>
              <w:bottom w:val="nil"/>
              <w:right w:val="nil"/>
            </w:tcBorders>
            <w:shd w:val="clear" w:color="auto" w:fill="auto"/>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7"/>
        </w:trPr>
        <w:tc>
          <w:tcPr>
            <w:tcW w:w="3487" w:type="dxa"/>
            <w:tcBorders>
              <w:top w:val="nil"/>
              <w:left w:val="nil"/>
              <w:bottom w:val="nil"/>
              <w:right w:val="nil"/>
            </w:tcBorders>
            <w:shd w:val="clear" w:color="auto" w:fill="auto"/>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(13,962)</w:t>
            </w: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12,410 </w:t>
            </w: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45,920 </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44,368 </w:t>
            </w:r>
          </w:p>
        </w:tc>
      </w:tr>
      <w:tr w:rsidR="001F4BC5" w:rsidRPr="001F4BC5" w:rsidTr="001F4BC5">
        <w:trPr>
          <w:trHeight w:val="227"/>
        </w:trPr>
        <w:tc>
          <w:tcPr>
            <w:tcW w:w="3487" w:type="dxa"/>
            <w:tcBorders>
              <w:top w:val="nil"/>
              <w:left w:val="nil"/>
              <w:bottom w:val="nil"/>
              <w:right w:val="nil"/>
            </w:tcBorders>
            <w:shd w:val="clear" w:color="auto" w:fill="auto"/>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(13,962)</w:t>
            </w:r>
          </w:p>
        </w:tc>
        <w:tc>
          <w:tcPr>
            <w:tcW w:w="107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12,410 </w:t>
            </w:r>
          </w:p>
        </w:tc>
        <w:tc>
          <w:tcPr>
            <w:tcW w:w="107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45,920 </w:t>
            </w:r>
          </w:p>
        </w:tc>
        <w:tc>
          <w:tcPr>
            <w:tcW w:w="1020"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44,368 </w:t>
            </w:r>
          </w:p>
        </w:tc>
      </w:tr>
      <w:tr w:rsidR="001F4BC5" w:rsidRPr="001F4BC5" w:rsidTr="001F4BC5">
        <w:trPr>
          <w:trHeight w:val="225"/>
        </w:trPr>
        <w:tc>
          <w:tcPr>
            <w:tcW w:w="348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48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sz w:val="16"/>
                <w:szCs w:val="16"/>
              </w:rPr>
            </w:pPr>
            <w:r w:rsidRPr="001F4BC5">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(6,222)</w:t>
            </w: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(6,222)</w:t>
            </w:r>
          </w:p>
        </w:tc>
      </w:tr>
      <w:tr w:rsidR="001F4BC5" w:rsidRPr="001F4BC5" w:rsidTr="001F4BC5">
        <w:trPr>
          <w:trHeight w:val="227"/>
        </w:trPr>
        <w:tc>
          <w:tcPr>
            <w:tcW w:w="3487" w:type="dxa"/>
            <w:tcBorders>
              <w:top w:val="nil"/>
              <w:left w:val="nil"/>
              <w:bottom w:val="nil"/>
              <w:right w:val="nil"/>
            </w:tcBorders>
            <w:shd w:val="clear" w:color="auto" w:fill="auto"/>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(6,222)</w:t>
            </w:r>
          </w:p>
        </w:tc>
        <w:tc>
          <w:tcPr>
            <w:tcW w:w="1077"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1077"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1020"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(6,222)</w:t>
            </w:r>
          </w:p>
        </w:tc>
      </w:tr>
      <w:tr w:rsidR="001F4BC5" w:rsidRPr="001F4BC5" w:rsidTr="001F4BC5">
        <w:trPr>
          <w:trHeight w:val="225"/>
        </w:trPr>
        <w:tc>
          <w:tcPr>
            <w:tcW w:w="348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1020"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r>
      <w:tr w:rsidR="001F4BC5" w:rsidRPr="001F4BC5" w:rsidTr="001F4BC5">
        <w:trPr>
          <w:trHeight w:val="227"/>
        </w:trPr>
        <w:tc>
          <w:tcPr>
            <w:tcW w:w="3487" w:type="dxa"/>
            <w:tcBorders>
              <w:top w:val="nil"/>
              <w:left w:val="nil"/>
              <w:bottom w:val="nil"/>
              <w:right w:val="nil"/>
            </w:tcBorders>
            <w:shd w:val="clear" w:color="auto" w:fill="auto"/>
            <w:vAlign w:val="center"/>
            <w:hideMark/>
          </w:tcPr>
          <w:p w:rsidR="001F4BC5" w:rsidRPr="001F4BC5" w:rsidRDefault="001F4BC5" w:rsidP="001F4BC5">
            <w:pPr>
              <w:spacing w:after="0" w:line="240" w:lineRule="auto"/>
              <w:ind w:firstLineChars="200" w:firstLine="320"/>
              <w:rPr>
                <w:rFonts w:ascii="Arial" w:hAnsi="Arial" w:cs="Arial"/>
                <w:color w:val="000000"/>
                <w:sz w:val="16"/>
                <w:szCs w:val="16"/>
              </w:rPr>
            </w:pPr>
            <w:r w:rsidRPr="001F4BC5">
              <w:rPr>
                <w:rFonts w:ascii="Arial" w:hAnsi="Arial" w:cs="Arial"/>
                <w:color w:val="000000"/>
                <w:sz w:val="16"/>
                <w:szCs w:val="16"/>
              </w:rPr>
              <w:t>Attributable to the Australian Government</w:t>
            </w:r>
          </w:p>
        </w:tc>
        <w:tc>
          <w:tcPr>
            <w:tcW w:w="1020" w:type="dxa"/>
            <w:tcBorders>
              <w:top w:val="nil"/>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(6,222)</w:t>
            </w:r>
          </w:p>
        </w:tc>
        <w:tc>
          <w:tcPr>
            <w:tcW w:w="1077" w:type="dxa"/>
            <w:tcBorders>
              <w:top w:val="nil"/>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20" w:type="dxa"/>
            <w:tcBorders>
              <w:top w:val="nil"/>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(6,222)</w:t>
            </w:r>
          </w:p>
        </w:tc>
      </w:tr>
      <w:tr w:rsidR="001F4BC5" w:rsidRPr="001F4BC5" w:rsidTr="001F4BC5">
        <w:trPr>
          <w:trHeight w:val="225"/>
        </w:trPr>
        <w:tc>
          <w:tcPr>
            <w:tcW w:w="348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Transactions with owners</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48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48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200" w:firstLine="320"/>
              <w:rPr>
                <w:rFonts w:ascii="Arial" w:hAnsi="Arial" w:cs="Arial"/>
                <w:color w:val="000000"/>
                <w:sz w:val="16"/>
                <w:szCs w:val="16"/>
              </w:rPr>
            </w:pPr>
            <w:r w:rsidRPr="001F4BC5">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2,372 </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2,372 </w:t>
            </w:r>
          </w:p>
        </w:tc>
      </w:tr>
      <w:tr w:rsidR="001F4BC5" w:rsidRPr="001F4BC5" w:rsidTr="001F4BC5">
        <w:trPr>
          <w:trHeight w:val="227"/>
        </w:trPr>
        <w:tc>
          <w:tcPr>
            <w:tcW w:w="3487" w:type="dxa"/>
            <w:tcBorders>
              <w:top w:val="nil"/>
              <w:left w:val="nil"/>
              <w:bottom w:val="nil"/>
              <w:right w:val="nil"/>
            </w:tcBorders>
            <w:shd w:val="clear" w:color="auto" w:fill="auto"/>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2,372 </w:t>
            </w:r>
          </w:p>
        </w:tc>
        <w:tc>
          <w:tcPr>
            <w:tcW w:w="1020"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2,372 </w:t>
            </w:r>
          </w:p>
        </w:tc>
      </w:tr>
      <w:tr w:rsidR="001F4BC5" w:rsidRPr="001F4BC5" w:rsidTr="001F4BC5">
        <w:trPr>
          <w:trHeight w:val="225"/>
        </w:trPr>
        <w:tc>
          <w:tcPr>
            <w:tcW w:w="348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Transfers between equity</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r>
      <w:tr w:rsidR="001F4BC5" w:rsidRPr="001F4BC5" w:rsidTr="001F4BC5">
        <w:trPr>
          <w:trHeight w:val="397"/>
        </w:trPr>
        <w:tc>
          <w:tcPr>
            <w:tcW w:w="3487" w:type="dxa"/>
            <w:tcBorders>
              <w:top w:val="nil"/>
              <w:left w:val="nil"/>
              <w:bottom w:val="nil"/>
              <w:right w:val="nil"/>
            </w:tcBorders>
            <w:shd w:val="clear" w:color="auto" w:fill="auto"/>
            <w:vAlign w:val="center"/>
            <w:hideMark/>
          </w:tcPr>
          <w:p w:rsidR="001F4BC5" w:rsidRPr="001F4BC5" w:rsidRDefault="001F4BC5" w:rsidP="001F4BC5">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 xml:space="preserve">Estimated closing balance as at </w:t>
            </w:r>
            <w:r>
              <w:rPr>
                <w:rFonts w:ascii="Arial" w:hAnsi="Arial" w:cs="Arial"/>
                <w:b/>
                <w:bCs/>
                <w:color w:val="000000"/>
                <w:sz w:val="16"/>
                <w:szCs w:val="16"/>
              </w:rPr>
              <w:br/>
            </w:r>
            <w:r w:rsidRPr="001F4BC5">
              <w:rPr>
                <w:rFonts w:ascii="Arial" w:hAnsi="Arial" w:cs="Arial"/>
                <w:b/>
                <w:bCs/>
                <w:color w:val="000000"/>
                <w:sz w:val="16"/>
                <w:szCs w:val="16"/>
              </w:rPr>
              <w:t>30 June 2019</w:t>
            </w:r>
          </w:p>
        </w:tc>
        <w:tc>
          <w:tcPr>
            <w:tcW w:w="1020" w:type="dxa"/>
            <w:tcBorders>
              <w:top w:val="single" w:sz="4" w:space="0" w:color="auto"/>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(20,184)</w:t>
            </w:r>
          </w:p>
        </w:tc>
        <w:tc>
          <w:tcPr>
            <w:tcW w:w="1077" w:type="dxa"/>
            <w:tcBorders>
              <w:top w:val="single" w:sz="4" w:space="0" w:color="auto"/>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12,410 </w:t>
            </w:r>
          </w:p>
        </w:tc>
        <w:tc>
          <w:tcPr>
            <w:tcW w:w="1077" w:type="dxa"/>
            <w:tcBorders>
              <w:top w:val="single" w:sz="4" w:space="0" w:color="auto"/>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48,292 </w:t>
            </w:r>
          </w:p>
        </w:tc>
        <w:tc>
          <w:tcPr>
            <w:tcW w:w="1020" w:type="dxa"/>
            <w:tcBorders>
              <w:top w:val="single" w:sz="4" w:space="0" w:color="auto"/>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40,518 </w:t>
            </w:r>
          </w:p>
        </w:tc>
      </w:tr>
      <w:tr w:rsidR="001F4BC5" w:rsidRPr="001F4BC5" w:rsidTr="001F4BC5">
        <w:trPr>
          <w:trHeight w:val="225"/>
        </w:trPr>
        <w:tc>
          <w:tcPr>
            <w:tcW w:w="348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Less: non-controlling interests</w:t>
            </w:r>
          </w:p>
        </w:tc>
        <w:tc>
          <w:tcPr>
            <w:tcW w:w="1020" w:type="dxa"/>
            <w:tcBorders>
              <w:top w:val="nil"/>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77" w:type="dxa"/>
            <w:tcBorders>
              <w:top w:val="nil"/>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1020" w:type="dxa"/>
            <w:tcBorders>
              <w:top w:val="nil"/>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r>
      <w:tr w:rsidR="001F4BC5" w:rsidRPr="001F4BC5" w:rsidTr="001F4BC5">
        <w:trPr>
          <w:trHeight w:val="397"/>
        </w:trPr>
        <w:tc>
          <w:tcPr>
            <w:tcW w:w="3487" w:type="dxa"/>
            <w:tcBorders>
              <w:top w:val="nil"/>
              <w:left w:val="nil"/>
              <w:bottom w:val="single" w:sz="4" w:space="0" w:color="000000"/>
              <w:right w:val="nil"/>
            </w:tcBorders>
            <w:shd w:val="clear" w:color="auto" w:fill="auto"/>
            <w:vAlign w:val="bottom"/>
            <w:hideMark/>
          </w:tcPr>
          <w:p w:rsidR="001F4BC5" w:rsidRPr="001F4BC5" w:rsidRDefault="001F4BC5" w:rsidP="001F4BC5">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Closing balance attributable to the Australian Government</w:t>
            </w:r>
          </w:p>
        </w:tc>
        <w:tc>
          <w:tcPr>
            <w:tcW w:w="1020" w:type="dxa"/>
            <w:tcBorders>
              <w:top w:val="nil"/>
              <w:left w:val="nil"/>
              <w:bottom w:val="single" w:sz="4" w:space="0" w:color="auto"/>
              <w:right w:val="nil"/>
            </w:tcBorders>
            <w:shd w:val="clear" w:color="auto" w:fill="auto"/>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(20,184)</w:t>
            </w:r>
          </w:p>
        </w:tc>
        <w:tc>
          <w:tcPr>
            <w:tcW w:w="1077" w:type="dxa"/>
            <w:tcBorders>
              <w:top w:val="nil"/>
              <w:left w:val="nil"/>
              <w:bottom w:val="single" w:sz="4" w:space="0" w:color="auto"/>
              <w:right w:val="nil"/>
            </w:tcBorders>
            <w:shd w:val="clear" w:color="auto" w:fill="auto"/>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12,410 </w:t>
            </w:r>
          </w:p>
        </w:tc>
        <w:tc>
          <w:tcPr>
            <w:tcW w:w="1077" w:type="dxa"/>
            <w:tcBorders>
              <w:top w:val="nil"/>
              <w:left w:val="nil"/>
              <w:bottom w:val="single" w:sz="4" w:space="0" w:color="auto"/>
              <w:right w:val="nil"/>
            </w:tcBorders>
            <w:shd w:val="clear" w:color="auto" w:fill="auto"/>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48,292 </w:t>
            </w:r>
          </w:p>
        </w:tc>
        <w:tc>
          <w:tcPr>
            <w:tcW w:w="1020" w:type="dxa"/>
            <w:tcBorders>
              <w:top w:val="nil"/>
              <w:left w:val="nil"/>
              <w:bottom w:val="single" w:sz="4" w:space="0" w:color="auto"/>
              <w:right w:val="nil"/>
            </w:tcBorders>
            <w:shd w:val="clear" w:color="auto" w:fill="auto"/>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40,518 </w:t>
            </w:r>
          </w:p>
        </w:tc>
      </w:tr>
    </w:tbl>
    <w:p w:rsidR="00F326FA" w:rsidRDefault="00F326FA" w:rsidP="00F326FA">
      <w:pPr>
        <w:pStyle w:val="ChartandTableFootnote"/>
      </w:pPr>
      <w:r>
        <w:t>Prepared on Australian Accounting Standards basis.</w:t>
      </w:r>
    </w:p>
    <w:p w:rsidR="00F326FA" w:rsidRDefault="00F326FA" w:rsidP="00F326FA">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692" w:type="dxa"/>
        <w:tblInd w:w="93" w:type="dxa"/>
        <w:tblCellMar>
          <w:left w:w="57" w:type="dxa"/>
          <w:right w:w="57" w:type="dxa"/>
        </w:tblCellMar>
        <w:tblLook w:val="04A0" w:firstRow="1" w:lastRow="0" w:firstColumn="1" w:lastColumn="0" w:noHBand="0" w:noVBand="1"/>
      </w:tblPr>
      <w:tblGrid>
        <w:gridCol w:w="3146"/>
        <w:gridCol w:w="918"/>
        <w:gridCol w:w="907"/>
        <w:gridCol w:w="907"/>
        <w:gridCol w:w="907"/>
        <w:gridCol w:w="907"/>
      </w:tblGrid>
      <w:tr w:rsidR="001F4BC5" w:rsidRPr="001F4BC5" w:rsidTr="001F4BC5">
        <w:trPr>
          <w:trHeight w:val="794"/>
        </w:trPr>
        <w:tc>
          <w:tcPr>
            <w:tcW w:w="3146" w:type="dxa"/>
            <w:tcBorders>
              <w:top w:val="single" w:sz="4" w:space="0" w:color="auto"/>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sz w:val="16"/>
                <w:szCs w:val="16"/>
              </w:rPr>
            </w:pPr>
            <w:r w:rsidRPr="001F4BC5">
              <w:rPr>
                <w:rFonts w:ascii="Arial" w:hAnsi="Arial" w:cs="Arial"/>
                <w:b/>
                <w:bCs/>
                <w:sz w:val="16"/>
                <w:szCs w:val="16"/>
              </w:rPr>
              <w:t> </w:t>
            </w:r>
          </w:p>
        </w:tc>
        <w:tc>
          <w:tcPr>
            <w:tcW w:w="918" w:type="dxa"/>
            <w:tcBorders>
              <w:top w:val="single" w:sz="4" w:space="0" w:color="auto"/>
              <w:left w:val="nil"/>
              <w:bottom w:val="single" w:sz="4" w:space="0" w:color="auto"/>
              <w:right w:val="nil"/>
            </w:tcBorders>
            <w:shd w:val="clear" w:color="auto" w:fill="auto"/>
            <w:vAlign w:val="center"/>
            <w:hideMark/>
          </w:tcPr>
          <w:p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2017–18 Estimated actual</w:t>
            </w:r>
            <w:r w:rsidRPr="001F4BC5">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2018–19</w:t>
            </w:r>
            <w:r w:rsidRPr="001F4BC5">
              <w:rPr>
                <w:rFonts w:ascii="Arial" w:hAnsi="Arial" w:cs="Arial"/>
                <w:sz w:val="16"/>
                <w:szCs w:val="16"/>
              </w:rPr>
              <w:br/>
              <w:t>Budget</w:t>
            </w:r>
            <w:r w:rsidRPr="001F4BC5">
              <w:rPr>
                <w:rFonts w:ascii="Arial" w:hAnsi="Arial" w:cs="Arial"/>
                <w:sz w:val="16"/>
                <w:szCs w:val="16"/>
              </w:rPr>
              <w:br/>
            </w:r>
            <w:r w:rsidRPr="001F4BC5">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2019–20 Forward estimate</w:t>
            </w:r>
            <w:r w:rsidRPr="001F4BC5">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2020–21 Forward estimate</w:t>
            </w:r>
            <w:r w:rsidRPr="001F4BC5">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1F4BC5" w:rsidRPr="001F4BC5" w:rsidRDefault="001F4BC5" w:rsidP="001F4BC5">
            <w:pPr>
              <w:spacing w:after="0" w:line="240" w:lineRule="auto"/>
              <w:jc w:val="right"/>
              <w:rPr>
                <w:rFonts w:ascii="Arial" w:hAnsi="Arial" w:cs="Arial"/>
                <w:sz w:val="16"/>
                <w:szCs w:val="16"/>
              </w:rPr>
            </w:pPr>
            <w:r w:rsidRPr="001F4BC5">
              <w:rPr>
                <w:rFonts w:ascii="Arial" w:hAnsi="Arial" w:cs="Arial"/>
                <w:sz w:val="16"/>
                <w:szCs w:val="16"/>
              </w:rPr>
              <w:t>2021–22</w:t>
            </w:r>
            <w:r w:rsidRPr="001F4BC5">
              <w:rPr>
                <w:rFonts w:ascii="Arial" w:hAnsi="Arial" w:cs="Arial"/>
                <w:sz w:val="16"/>
                <w:szCs w:val="16"/>
              </w:rPr>
              <w:br/>
              <w:t>Forward estimate</w:t>
            </w:r>
            <w:r w:rsidRPr="001F4BC5">
              <w:rPr>
                <w:rFonts w:ascii="Arial" w:hAnsi="Arial" w:cs="Arial"/>
                <w:sz w:val="16"/>
                <w:szCs w:val="16"/>
              </w:rPr>
              <w:br/>
              <w:t>$'000</w:t>
            </w: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OPERATING ACTIVITIES</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received</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Appropriations</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75,896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74,010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75,728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77,027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77,664 </w:t>
            </w:r>
          </w:p>
        </w:tc>
      </w:tr>
      <w:tr w:rsidR="001F4BC5" w:rsidRPr="001F4BC5" w:rsidTr="001F4BC5">
        <w:trPr>
          <w:trHeight w:val="227"/>
        </w:trPr>
        <w:tc>
          <w:tcPr>
            <w:tcW w:w="3146" w:type="dxa"/>
            <w:tcBorders>
              <w:top w:val="nil"/>
              <w:left w:val="nil"/>
              <w:bottom w:val="nil"/>
              <w:right w:val="nil"/>
            </w:tcBorders>
            <w:shd w:val="clear" w:color="auto" w:fill="auto"/>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Sale of goods and rendering of services</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1,950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1,800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1,800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1,800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1,800 </w:t>
            </w: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 xml:space="preserve">Other </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200 </w:t>
            </w:r>
          </w:p>
        </w:tc>
      </w:tr>
      <w:tr w:rsidR="001F4BC5" w:rsidRPr="001F4BC5" w:rsidTr="001F4BC5">
        <w:trPr>
          <w:trHeight w:val="227"/>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received</w:t>
            </w:r>
          </w:p>
        </w:tc>
        <w:tc>
          <w:tcPr>
            <w:tcW w:w="918"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78,046 </w:t>
            </w:r>
          </w:p>
        </w:tc>
        <w:tc>
          <w:tcPr>
            <w:tcW w:w="907" w:type="dxa"/>
            <w:tcBorders>
              <w:top w:val="single" w:sz="4" w:space="0" w:color="000000"/>
              <w:left w:val="nil"/>
              <w:bottom w:val="single" w:sz="4" w:space="0" w:color="000000"/>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76,010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77,728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79,027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79,664 </w:t>
            </w: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used</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Employees</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46,996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47,995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48,863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49,952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50,108 </w:t>
            </w: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Suppliers</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29,250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28,015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28,865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29,075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29,556 </w:t>
            </w:r>
          </w:p>
        </w:tc>
      </w:tr>
      <w:tr w:rsidR="001F4BC5" w:rsidRPr="001F4BC5" w:rsidTr="001F4BC5">
        <w:trPr>
          <w:trHeight w:val="227"/>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used</w:t>
            </w:r>
          </w:p>
        </w:tc>
        <w:tc>
          <w:tcPr>
            <w:tcW w:w="918"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76,246 </w:t>
            </w:r>
          </w:p>
        </w:tc>
        <w:tc>
          <w:tcPr>
            <w:tcW w:w="907" w:type="dxa"/>
            <w:tcBorders>
              <w:top w:val="single" w:sz="4" w:space="0" w:color="000000"/>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76,010 </w:t>
            </w:r>
          </w:p>
        </w:tc>
        <w:tc>
          <w:tcPr>
            <w:tcW w:w="907"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77,728 </w:t>
            </w:r>
          </w:p>
        </w:tc>
        <w:tc>
          <w:tcPr>
            <w:tcW w:w="907"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79,027 </w:t>
            </w:r>
          </w:p>
        </w:tc>
        <w:tc>
          <w:tcPr>
            <w:tcW w:w="907" w:type="dxa"/>
            <w:tcBorders>
              <w:top w:val="single" w:sz="4" w:space="0" w:color="000000"/>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79,664 </w:t>
            </w:r>
          </w:p>
        </w:tc>
      </w:tr>
      <w:tr w:rsidR="001F4BC5" w:rsidRPr="001F4BC5" w:rsidTr="001F4BC5">
        <w:trPr>
          <w:trHeight w:val="397"/>
        </w:trPr>
        <w:tc>
          <w:tcPr>
            <w:tcW w:w="3146" w:type="dxa"/>
            <w:tcBorders>
              <w:top w:val="nil"/>
              <w:left w:val="nil"/>
              <w:bottom w:val="nil"/>
              <w:right w:val="nil"/>
            </w:tcBorders>
            <w:shd w:val="clear" w:color="auto" w:fill="auto"/>
            <w:vAlign w:val="center"/>
            <w:hideMark/>
          </w:tcPr>
          <w:p w:rsidR="001F4BC5" w:rsidRPr="001F4BC5" w:rsidRDefault="001F4BC5" w:rsidP="001F4BC5">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Net cash from/(used by)</w:t>
            </w:r>
            <w:r>
              <w:rPr>
                <w:rFonts w:ascii="Arial" w:hAnsi="Arial" w:cs="Arial"/>
                <w:b/>
                <w:bCs/>
                <w:color w:val="000000"/>
                <w:sz w:val="16"/>
                <w:szCs w:val="16"/>
              </w:rPr>
              <w:t xml:space="preserve"> </w:t>
            </w:r>
            <w:r w:rsidRPr="001F4BC5">
              <w:rPr>
                <w:rFonts w:ascii="Arial" w:hAnsi="Arial" w:cs="Arial"/>
                <w:b/>
                <w:bCs/>
                <w:color w:val="000000"/>
                <w:sz w:val="16"/>
                <w:szCs w:val="16"/>
              </w:rPr>
              <w:t>operating activities</w:t>
            </w:r>
          </w:p>
        </w:tc>
        <w:tc>
          <w:tcPr>
            <w:tcW w:w="918" w:type="dxa"/>
            <w:tcBorders>
              <w:top w:val="single" w:sz="4" w:space="0" w:color="auto"/>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1,800 </w:t>
            </w:r>
          </w:p>
        </w:tc>
        <w:tc>
          <w:tcPr>
            <w:tcW w:w="907" w:type="dxa"/>
            <w:tcBorders>
              <w:top w:val="single" w:sz="4" w:space="0" w:color="auto"/>
              <w:left w:val="nil"/>
              <w:bottom w:val="single" w:sz="4" w:space="0" w:color="auto"/>
              <w:right w:val="nil"/>
            </w:tcBorders>
            <w:shd w:val="clear" w:color="000000" w:fill="E6E6E6"/>
            <w:noWrap/>
            <w:vAlign w:val="center"/>
            <w:hideMark/>
          </w:tcPr>
          <w:p w:rsidR="001F4BC5" w:rsidRPr="002723F9" w:rsidRDefault="001F4BC5" w:rsidP="001F4BC5">
            <w:pPr>
              <w:spacing w:after="0" w:line="240" w:lineRule="auto"/>
              <w:jc w:val="right"/>
              <w:rPr>
                <w:rFonts w:ascii="Arial" w:hAnsi="Arial" w:cs="Arial"/>
                <w:b/>
                <w:bCs/>
                <w:color w:val="000000"/>
                <w:sz w:val="16"/>
                <w:szCs w:val="16"/>
              </w:rPr>
            </w:pPr>
            <w:r w:rsidRPr="002723F9">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F4BC5" w:rsidRPr="002723F9" w:rsidRDefault="001F4BC5" w:rsidP="001F4BC5">
            <w:pPr>
              <w:spacing w:after="0" w:line="240" w:lineRule="auto"/>
              <w:jc w:val="right"/>
              <w:rPr>
                <w:rFonts w:ascii="Arial" w:hAnsi="Arial" w:cs="Arial"/>
                <w:b/>
                <w:bCs/>
                <w:color w:val="000000"/>
                <w:sz w:val="16"/>
                <w:szCs w:val="16"/>
              </w:rPr>
            </w:pPr>
            <w:r w:rsidRPr="002723F9">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F4BC5" w:rsidRPr="002723F9" w:rsidRDefault="001F4BC5" w:rsidP="001F4BC5">
            <w:pPr>
              <w:spacing w:after="0" w:line="240" w:lineRule="auto"/>
              <w:jc w:val="right"/>
              <w:rPr>
                <w:rFonts w:ascii="Arial" w:hAnsi="Arial" w:cs="Arial"/>
                <w:b/>
                <w:bCs/>
                <w:color w:val="000000"/>
                <w:sz w:val="16"/>
                <w:szCs w:val="16"/>
              </w:rPr>
            </w:pPr>
            <w:r w:rsidRPr="002723F9">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rsidR="001F4BC5" w:rsidRPr="002723F9" w:rsidRDefault="001F4BC5" w:rsidP="001F4BC5">
            <w:pPr>
              <w:spacing w:after="0" w:line="240" w:lineRule="auto"/>
              <w:jc w:val="right"/>
              <w:rPr>
                <w:rFonts w:ascii="Arial" w:hAnsi="Arial" w:cs="Arial"/>
                <w:b/>
                <w:bCs/>
                <w:color w:val="000000"/>
                <w:sz w:val="16"/>
                <w:szCs w:val="16"/>
              </w:rPr>
            </w:pPr>
            <w:r w:rsidRPr="002723F9">
              <w:rPr>
                <w:rFonts w:ascii="Arial" w:hAnsi="Arial" w:cs="Arial"/>
                <w:b/>
                <w:bCs/>
                <w:color w:val="000000"/>
                <w:sz w:val="16"/>
                <w:szCs w:val="16"/>
              </w:rPr>
              <w:t xml:space="preserve">- </w:t>
            </w: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INVESTING ACTIVITIES</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received</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Other</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r>
      <w:tr w:rsidR="001F4BC5" w:rsidRPr="001F4BC5" w:rsidTr="001F4BC5">
        <w:trPr>
          <w:trHeight w:val="227"/>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received</w:t>
            </w:r>
          </w:p>
        </w:tc>
        <w:tc>
          <w:tcPr>
            <w:tcW w:w="918" w:type="dxa"/>
            <w:tcBorders>
              <w:top w:val="single" w:sz="4" w:space="0" w:color="000000"/>
              <w:left w:val="nil"/>
              <w:bottom w:val="single" w:sz="4" w:space="0" w:color="000000"/>
              <w:right w:val="nil"/>
            </w:tcBorders>
            <w:shd w:val="clear" w:color="auto" w:fill="auto"/>
            <w:noWrap/>
            <w:vAlign w:val="center"/>
            <w:hideMark/>
          </w:tcPr>
          <w:p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C6076D" w:rsidRDefault="001F4BC5" w:rsidP="001F4BC5">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 </w:t>
            </w: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used</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787FE4">
        <w:trPr>
          <w:trHeight w:val="397"/>
        </w:trPr>
        <w:tc>
          <w:tcPr>
            <w:tcW w:w="3146" w:type="dxa"/>
            <w:tcBorders>
              <w:top w:val="nil"/>
              <w:left w:val="nil"/>
              <w:bottom w:val="nil"/>
              <w:right w:val="nil"/>
            </w:tcBorders>
            <w:shd w:val="clear" w:color="auto" w:fill="auto"/>
            <w:vAlign w:val="center"/>
            <w:hideMark/>
          </w:tcPr>
          <w:p w:rsidR="001F4BC5" w:rsidRPr="001F4BC5" w:rsidRDefault="001F4BC5" w:rsidP="00787FE4">
            <w:pPr>
              <w:spacing w:after="0" w:line="240" w:lineRule="auto"/>
              <w:ind w:leftChars="80" w:left="333" w:hangingChars="108" w:hanging="173"/>
              <w:rPr>
                <w:rFonts w:ascii="Arial" w:hAnsi="Arial" w:cs="Arial"/>
                <w:color w:val="000000"/>
                <w:sz w:val="16"/>
                <w:szCs w:val="16"/>
              </w:rPr>
            </w:pPr>
            <w:r w:rsidRPr="001F4BC5">
              <w:rPr>
                <w:rFonts w:ascii="Arial" w:hAnsi="Arial" w:cs="Arial"/>
                <w:color w:val="000000"/>
                <w:sz w:val="16"/>
                <w:szCs w:val="16"/>
              </w:rPr>
              <w:t>Purchase of property, plant and equipment and intangibles</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4,182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2,372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2,377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2,397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2,415 </w:t>
            </w:r>
          </w:p>
        </w:tc>
      </w:tr>
      <w:tr w:rsidR="001F4BC5" w:rsidRPr="001F4BC5" w:rsidTr="00787FE4">
        <w:trPr>
          <w:trHeight w:val="227"/>
        </w:trPr>
        <w:tc>
          <w:tcPr>
            <w:tcW w:w="3146" w:type="dxa"/>
            <w:tcBorders>
              <w:top w:val="nil"/>
              <w:left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used</w:t>
            </w:r>
          </w:p>
        </w:tc>
        <w:tc>
          <w:tcPr>
            <w:tcW w:w="918"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4,182 </w:t>
            </w:r>
          </w:p>
        </w:tc>
        <w:tc>
          <w:tcPr>
            <w:tcW w:w="907" w:type="dxa"/>
            <w:tcBorders>
              <w:top w:val="single" w:sz="4" w:space="0" w:color="000000"/>
              <w:left w:val="nil"/>
              <w:bottom w:val="single" w:sz="4" w:space="0" w:color="000000"/>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2,372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2,377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2,397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2,415 </w:t>
            </w:r>
          </w:p>
        </w:tc>
      </w:tr>
      <w:tr w:rsidR="001F4BC5" w:rsidRPr="001F4BC5" w:rsidTr="00787FE4">
        <w:trPr>
          <w:trHeight w:val="397"/>
        </w:trPr>
        <w:tc>
          <w:tcPr>
            <w:tcW w:w="3146" w:type="dxa"/>
            <w:tcBorders>
              <w:top w:val="nil"/>
              <w:left w:val="nil"/>
              <w:right w:val="nil"/>
            </w:tcBorders>
            <w:shd w:val="clear" w:color="auto" w:fill="auto"/>
            <w:vAlign w:val="center"/>
            <w:hideMark/>
          </w:tcPr>
          <w:p w:rsidR="001F4BC5" w:rsidRPr="001F4BC5" w:rsidRDefault="001F4BC5" w:rsidP="00787FE4">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Net cash from/(used by) investing activities</w:t>
            </w:r>
          </w:p>
        </w:tc>
        <w:tc>
          <w:tcPr>
            <w:tcW w:w="918" w:type="dxa"/>
            <w:tcBorders>
              <w:top w:val="nil"/>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(4,182)</w:t>
            </w:r>
          </w:p>
        </w:tc>
        <w:tc>
          <w:tcPr>
            <w:tcW w:w="907" w:type="dxa"/>
            <w:tcBorders>
              <w:top w:val="nil"/>
              <w:left w:val="nil"/>
              <w:bottom w:val="single" w:sz="4" w:space="0" w:color="auto"/>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(2,372)</w:t>
            </w:r>
          </w:p>
        </w:tc>
        <w:tc>
          <w:tcPr>
            <w:tcW w:w="907" w:type="dxa"/>
            <w:tcBorders>
              <w:top w:val="nil"/>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(2,377)</w:t>
            </w:r>
          </w:p>
        </w:tc>
        <w:tc>
          <w:tcPr>
            <w:tcW w:w="907" w:type="dxa"/>
            <w:tcBorders>
              <w:top w:val="nil"/>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(2,397)</w:t>
            </w:r>
          </w:p>
        </w:tc>
        <w:tc>
          <w:tcPr>
            <w:tcW w:w="907" w:type="dxa"/>
            <w:tcBorders>
              <w:top w:val="nil"/>
              <w:left w:val="nil"/>
              <w:bottom w:val="single" w:sz="4" w:space="0" w:color="auto"/>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(2,415)</w:t>
            </w:r>
          </w:p>
        </w:tc>
      </w:tr>
      <w:tr w:rsidR="001F4BC5" w:rsidRPr="001F4BC5" w:rsidTr="00787FE4">
        <w:trPr>
          <w:trHeight w:val="225"/>
        </w:trPr>
        <w:tc>
          <w:tcPr>
            <w:tcW w:w="3146" w:type="dxa"/>
            <w:tcBorders>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FINANCING ACTIVITIES</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received</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Contributed equity</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2,382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2,372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2,377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2,397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2,415 </w:t>
            </w:r>
          </w:p>
        </w:tc>
      </w:tr>
      <w:tr w:rsidR="001F4BC5" w:rsidRPr="001F4BC5" w:rsidTr="00787FE4">
        <w:trPr>
          <w:trHeight w:val="227"/>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received</w:t>
            </w:r>
          </w:p>
        </w:tc>
        <w:tc>
          <w:tcPr>
            <w:tcW w:w="918"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2,382 </w:t>
            </w:r>
          </w:p>
        </w:tc>
        <w:tc>
          <w:tcPr>
            <w:tcW w:w="907" w:type="dxa"/>
            <w:tcBorders>
              <w:top w:val="single" w:sz="4" w:space="0" w:color="000000"/>
              <w:left w:val="nil"/>
              <w:bottom w:val="single" w:sz="4" w:space="0" w:color="000000"/>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2,372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2,377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2,397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2,415 </w:t>
            </w: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Cash used</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p>
        </w:tc>
      </w:tr>
      <w:tr w:rsidR="001F4BC5" w:rsidRPr="001F4BC5" w:rsidTr="001F4BC5">
        <w:trPr>
          <w:trHeight w:val="225"/>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ind w:firstLineChars="100" w:firstLine="160"/>
              <w:rPr>
                <w:rFonts w:ascii="Arial" w:hAnsi="Arial" w:cs="Arial"/>
                <w:color w:val="000000"/>
                <w:sz w:val="16"/>
                <w:szCs w:val="16"/>
              </w:rPr>
            </w:pPr>
            <w:r w:rsidRPr="001F4BC5">
              <w:rPr>
                <w:rFonts w:ascii="Arial" w:hAnsi="Arial" w:cs="Arial"/>
                <w:color w:val="000000"/>
                <w:sz w:val="16"/>
                <w:szCs w:val="16"/>
              </w:rPr>
              <w:t>Other</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 </w:t>
            </w:r>
          </w:p>
        </w:tc>
      </w:tr>
      <w:tr w:rsidR="001F4BC5" w:rsidRPr="001F4BC5" w:rsidTr="00787FE4">
        <w:trPr>
          <w:trHeight w:val="227"/>
        </w:trPr>
        <w:tc>
          <w:tcPr>
            <w:tcW w:w="3146"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rPr>
                <w:rFonts w:ascii="Arial" w:hAnsi="Arial" w:cs="Arial"/>
                <w:b/>
                <w:bCs/>
                <w:i/>
                <w:iCs/>
                <w:color w:val="000000"/>
                <w:sz w:val="16"/>
                <w:szCs w:val="16"/>
              </w:rPr>
            </w:pPr>
            <w:r w:rsidRPr="001F4BC5">
              <w:rPr>
                <w:rFonts w:ascii="Arial" w:hAnsi="Arial" w:cs="Arial"/>
                <w:b/>
                <w:bCs/>
                <w:i/>
                <w:iCs/>
                <w:color w:val="000000"/>
                <w:sz w:val="16"/>
                <w:szCs w:val="16"/>
              </w:rPr>
              <w:t>Total cash used</w:t>
            </w:r>
          </w:p>
        </w:tc>
        <w:tc>
          <w:tcPr>
            <w:tcW w:w="918"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i/>
                <w:iCs/>
                <w:color w:val="000000"/>
                <w:sz w:val="16"/>
                <w:szCs w:val="16"/>
              </w:rPr>
            </w:pPr>
            <w:r w:rsidRPr="001F4BC5">
              <w:rPr>
                <w:rFonts w:ascii="Arial" w:hAnsi="Arial" w:cs="Arial"/>
                <w:b/>
                <w:bCs/>
                <w:i/>
                <w:iCs/>
                <w:color w:val="000000"/>
                <w:sz w:val="16"/>
                <w:szCs w:val="16"/>
              </w:rPr>
              <w:t xml:space="preserve">- </w:t>
            </w:r>
          </w:p>
        </w:tc>
      </w:tr>
      <w:tr w:rsidR="001F4BC5" w:rsidRPr="001F4BC5" w:rsidTr="00787FE4">
        <w:trPr>
          <w:trHeight w:val="397"/>
        </w:trPr>
        <w:tc>
          <w:tcPr>
            <w:tcW w:w="3146" w:type="dxa"/>
            <w:tcBorders>
              <w:top w:val="nil"/>
              <w:left w:val="nil"/>
              <w:bottom w:val="nil"/>
              <w:right w:val="nil"/>
            </w:tcBorders>
            <w:shd w:val="clear" w:color="auto" w:fill="auto"/>
            <w:vAlign w:val="center"/>
            <w:hideMark/>
          </w:tcPr>
          <w:p w:rsidR="001F4BC5" w:rsidRPr="001F4BC5" w:rsidRDefault="001F4BC5" w:rsidP="00787FE4">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Net cash from/(used by) financing activities</w:t>
            </w:r>
          </w:p>
        </w:tc>
        <w:tc>
          <w:tcPr>
            <w:tcW w:w="918" w:type="dxa"/>
            <w:tcBorders>
              <w:top w:val="nil"/>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2,382 </w:t>
            </w:r>
          </w:p>
        </w:tc>
        <w:tc>
          <w:tcPr>
            <w:tcW w:w="907" w:type="dxa"/>
            <w:tcBorders>
              <w:top w:val="nil"/>
              <w:left w:val="nil"/>
              <w:bottom w:val="single" w:sz="4" w:space="0" w:color="000000"/>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2,372 </w:t>
            </w:r>
          </w:p>
        </w:tc>
        <w:tc>
          <w:tcPr>
            <w:tcW w:w="907" w:type="dxa"/>
            <w:tcBorders>
              <w:top w:val="nil"/>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2,377 </w:t>
            </w:r>
          </w:p>
        </w:tc>
        <w:tc>
          <w:tcPr>
            <w:tcW w:w="907" w:type="dxa"/>
            <w:tcBorders>
              <w:top w:val="nil"/>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2,397 </w:t>
            </w:r>
          </w:p>
        </w:tc>
        <w:tc>
          <w:tcPr>
            <w:tcW w:w="907" w:type="dxa"/>
            <w:tcBorders>
              <w:top w:val="nil"/>
              <w:left w:val="nil"/>
              <w:bottom w:val="single" w:sz="4" w:space="0" w:color="000000"/>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2,415 </w:t>
            </w:r>
          </w:p>
        </w:tc>
      </w:tr>
      <w:tr w:rsidR="001F4BC5" w:rsidRPr="001F4BC5" w:rsidTr="00787FE4">
        <w:trPr>
          <w:trHeight w:val="227"/>
        </w:trPr>
        <w:tc>
          <w:tcPr>
            <w:tcW w:w="3146" w:type="dxa"/>
            <w:tcBorders>
              <w:top w:val="nil"/>
              <w:left w:val="nil"/>
              <w:bottom w:val="nil"/>
              <w:right w:val="nil"/>
            </w:tcBorders>
            <w:shd w:val="clear" w:color="auto" w:fill="auto"/>
            <w:vAlign w:val="center"/>
            <w:hideMark/>
          </w:tcPr>
          <w:p w:rsidR="001F4BC5" w:rsidRPr="001F4BC5" w:rsidRDefault="001F4BC5" w:rsidP="001F4BC5">
            <w:pPr>
              <w:spacing w:after="0" w:line="240" w:lineRule="auto"/>
              <w:rPr>
                <w:rFonts w:ascii="Arial" w:hAnsi="Arial" w:cs="Arial"/>
                <w:b/>
                <w:bCs/>
                <w:color w:val="000000"/>
                <w:sz w:val="16"/>
                <w:szCs w:val="16"/>
              </w:rPr>
            </w:pPr>
            <w:r w:rsidRPr="001F4BC5">
              <w:rPr>
                <w:rFonts w:ascii="Arial" w:hAnsi="Arial" w:cs="Arial"/>
                <w:b/>
                <w:bCs/>
                <w:color w:val="000000"/>
                <w:sz w:val="16"/>
                <w:szCs w:val="16"/>
              </w:rPr>
              <w:t>Net increase/(decrease) in cash held</w:t>
            </w:r>
          </w:p>
        </w:tc>
        <w:tc>
          <w:tcPr>
            <w:tcW w:w="918" w:type="dxa"/>
            <w:tcBorders>
              <w:top w:val="nil"/>
              <w:left w:val="nil"/>
              <w:bottom w:val="single" w:sz="4" w:space="0" w:color="000000"/>
              <w:right w:val="nil"/>
            </w:tcBorders>
            <w:shd w:val="clear" w:color="auto" w:fill="auto"/>
            <w:noWrap/>
            <w:vAlign w:val="center"/>
            <w:hideMark/>
          </w:tcPr>
          <w:p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rsidR="001F4BC5" w:rsidRPr="00C6076D" w:rsidRDefault="001F4BC5" w:rsidP="001F4BC5">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 </w:t>
            </w:r>
          </w:p>
        </w:tc>
      </w:tr>
      <w:tr w:rsidR="001F4BC5" w:rsidRPr="001F4BC5" w:rsidTr="00787FE4">
        <w:trPr>
          <w:trHeight w:val="397"/>
        </w:trPr>
        <w:tc>
          <w:tcPr>
            <w:tcW w:w="3146" w:type="dxa"/>
            <w:tcBorders>
              <w:top w:val="nil"/>
              <w:left w:val="nil"/>
              <w:bottom w:val="nil"/>
              <w:right w:val="nil"/>
            </w:tcBorders>
            <w:shd w:val="clear" w:color="auto" w:fill="auto"/>
            <w:vAlign w:val="center"/>
            <w:hideMark/>
          </w:tcPr>
          <w:p w:rsidR="001F4BC5" w:rsidRPr="001F4BC5" w:rsidRDefault="001F4BC5" w:rsidP="00787FE4">
            <w:pPr>
              <w:spacing w:after="0" w:line="240" w:lineRule="auto"/>
              <w:ind w:leftChars="80" w:left="333" w:hangingChars="108" w:hanging="173"/>
              <w:rPr>
                <w:rFonts w:ascii="Arial" w:hAnsi="Arial" w:cs="Arial"/>
                <w:color w:val="000000"/>
                <w:sz w:val="16"/>
                <w:szCs w:val="16"/>
              </w:rPr>
            </w:pPr>
            <w:r w:rsidRPr="001F4BC5">
              <w:rPr>
                <w:rFonts w:ascii="Arial" w:hAnsi="Arial" w:cs="Arial"/>
                <w:color w:val="000000"/>
                <w:sz w:val="16"/>
                <w:szCs w:val="16"/>
              </w:rPr>
              <w:t>Cash and cash equivalents at the beginning of the reporting period</w:t>
            </w:r>
          </w:p>
        </w:tc>
        <w:tc>
          <w:tcPr>
            <w:tcW w:w="918"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c>
          <w:tcPr>
            <w:tcW w:w="907" w:type="dxa"/>
            <w:tcBorders>
              <w:top w:val="nil"/>
              <w:left w:val="nil"/>
              <w:bottom w:val="nil"/>
              <w:right w:val="nil"/>
            </w:tcBorders>
            <w:shd w:val="clear" w:color="000000" w:fill="E6E6E6"/>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c>
          <w:tcPr>
            <w:tcW w:w="907" w:type="dxa"/>
            <w:tcBorders>
              <w:top w:val="nil"/>
              <w:left w:val="nil"/>
              <w:bottom w:val="nil"/>
              <w:right w:val="nil"/>
            </w:tcBorders>
            <w:shd w:val="clear" w:color="auto" w:fill="auto"/>
            <w:noWrap/>
            <w:vAlign w:val="center"/>
            <w:hideMark/>
          </w:tcPr>
          <w:p w:rsidR="001F4BC5" w:rsidRPr="001F4BC5" w:rsidRDefault="001F4BC5" w:rsidP="001F4BC5">
            <w:pPr>
              <w:spacing w:after="0" w:line="240" w:lineRule="auto"/>
              <w:jc w:val="right"/>
              <w:rPr>
                <w:rFonts w:ascii="Arial" w:hAnsi="Arial" w:cs="Arial"/>
                <w:color w:val="000000"/>
                <w:sz w:val="16"/>
                <w:szCs w:val="16"/>
              </w:rPr>
            </w:pPr>
            <w:r w:rsidRPr="001F4BC5">
              <w:rPr>
                <w:rFonts w:ascii="Arial" w:hAnsi="Arial" w:cs="Arial"/>
                <w:color w:val="000000"/>
                <w:sz w:val="16"/>
                <w:szCs w:val="16"/>
              </w:rPr>
              <w:t xml:space="preserve">1 </w:t>
            </w:r>
          </w:p>
        </w:tc>
      </w:tr>
      <w:tr w:rsidR="001F4BC5" w:rsidRPr="001F4BC5" w:rsidTr="00787FE4">
        <w:trPr>
          <w:trHeight w:val="397"/>
        </w:trPr>
        <w:tc>
          <w:tcPr>
            <w:tcW w:w="3146" w:type="dxa"/>
            <w:tcBorders>
              <w:top w:val="nil"/>
              <w:left w:val="nil"/>
              <w:bottom w:val="single" w:sz="4" w:space="0" w:color="auto"/>
              <w:right w:val="nil"/>
            </w:tcBorders>
            <w:shd w:val="clear" w:color="auto" w:fill="auto"/>
            <w:vAlign w:val="bottom"/>
            <w:hideMark/>
          </w:tcPr>
          <w:p w:rsidR="001F4BC5" w:rsidRPr="001F4BC5" w:rsidRDefault="001F4BC5" w:rsidP="00787FE4">
            <w:pPr>
              <w:spacing w:after="0" w:line="240" w:lineRule="auto"/>
              <w:ind w:left="191" w:hanging="191"/>
              <w:rPr>
                <w:rFonts w:ascii="Arial" w:hAnsi="Arial" w:cs="Arial"/>
                <w:b/>
                <w:bCs/>
                <w:color w:val="000000"/>
                <w:sz w:val="16"/>
                <w:szCs w:val="16"/>
              </w:rPr>
            </w:pPr>
            <w:r w:rsidRPr="001F4BC5">
              <w:rPr>
                <w:rFonts w:ascii="Arial" w:hAnsi="Arial" w:cs="Arial"/>
                <w:b/>
                <w:bCs/>
                <w:color w:val="000000"/>
                <w:sz w:val="16"/>
                <w:szCs w:val="16"/>
              </w:rPr>
              <w:t>Cash and cash equivalents at the end of the reporting period</w:t>
            </w:r>
          </w:p>
        </w:tc>
        <w:tc>
          <w:tcPr>
            <w:tcW w:w="918" w:type="dxa"/>
            <w:tcBorders>
              <w:top w:val="single" w:sz="4" w:space="0" w:color="000000"/>
              <w:left w:val="nil"/>
              <w:bottom w:val="single" w:sz="4" w:space="0" w:color="auto"/>
              <w:right w:val="nil"/>
            </w:tcBorders>
            <w:shd w:val="clear" w:color="auto" w:fill="auto"/>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c>
          <w:tcPr>
            <w:tcW w:w="907" w:type="dxa"/>
            <w:tcBorders>
              <w:top w:val="single" w:sz="4" w:space="0" w:color="000000"/>
              <w:left w:val="nil"/>
              <w:bottom w:val="single" w:sz="4" w:space="0" w:color="auto"/>
              <w:right w:val="nil"/>
            </w:tcBorders>
            <w:shd w:val="clear" w:color="000000" w:fill="E6E6E6"/>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c>
          <w:tcPr>
            <w:tcW w:w="907" w:type="dxa"/>
            <w:tcBorders>
              <w:top w:val="single" w:sz="4" w:space="0" w:color="000000"/>
              <w:left w:val="nil"/>
              <w:bottom w:val="single" w:sz="4" w:space="0" w:color="auto"/>
              <w:right w:val="nil"/>
            </w:tcBorders>
            <w:shd w:val="clear" w:color="auto" w:fill="auto"/>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c>
          <w:tcPr>
            <w:tcW w:w="907" w:type="dxa"/>
            <w:tcBorders>
              <w:top w:val="single" w:sz="4" w:space="0" w:color="000000"/>
              <w:left w:val="nil"/>
              <w:bottom w:val="single" w:sz="4" w:space="0" w:color="auto"/>
              <w:right w:val="nil"/>
            </w:tcBorders>
            <w:shd w:val="clear" w:color="auto" w:fill="auto"/>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c>
          <w:tcPr>
            <w:tcW w:w="907" w:type="dxa"/>
            <w:tcBorders>
              <w:top w:val="single" w:sz="4" w:space="0" w:color="000000"/>
              <w:left w:val="nil"/>
              <w:bottom w:val="single" w:sz="4" w:space="0" w:color="auto"/>
              <w:right w:val="nil"/>
            </w:tcBorders>
            <w:shd w:val="clear" w:color="auto" w:fill="auto"/>
            <w:noWrap/>
            <w:vAlign w:val="bottom"/>
            <w:hideMark/>
          </w:tcPr>
          <w:p w:rsidR="001F4BC5" w:rsidRPr="001F4BC5" w:rsidRDefault="001F4BC5" w:rsidP="001F4BC5">
            <w:pPr>
              <w:spacing w:after="0" w:line="240" w:lineRule="auto"/>
              <w:jc w:val="right"/>
              <w:rPr>
                <w:rFonts w:ascii="Arial" w:hAnsi="Arial" w:cs="Arial"/>
                <w:b/>
                <w:bCs/>
                <w:color w:val="000000"/>
                <w:sz w:val="16"/>
                <w:szCs w:val="16"/>
              </w:rPr>
            </w:pPr>
            <w:r w:rsidRPr="001F4BC5">
              <w:rPr>
                <w:rFonts w:ascii="Arial" w:hAnsi="Arial" w:cs="Arial"/>
                <w:b/>
                <w:bCs/>
                <w:color w:val="000000"/>
                <w:sz w:val="16"/>
                <w:szCs w:val="16"/>
              </w:rPr>
              <w:t xml:space="preserve">1 </w:t>
            </w:r>
          </w:p>
        </w:tc>
      </w:tr>
    </w:tbl>
    <w:p w:rsidR="00F326FA" w:rsidRPr="00132F9E" w:rsidRDefault="00F326FA" w:rsidP="00F326FA">
      <w:pPr>
        <w:pStyle w:val="ChartandTableFootnote"/>
      </w:pPr>
      <w:r w:rsidRPr="00132F9E">
        <w:t>Prepared on Australian Accounting Standards basis.</w:t>
      </w:r>
    </w:p>
    <w:p w:rsidR="00787FE4" w:rsidRPr="0041404E" w:rsidRDefault="00787FE4" w:rsidP="00787FE4">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711" w:type="dxa"/>
        <w:tblInd w:w="93" w:type="dxa"/>
        <w:tblCellMar>
          <w:left w:w="57" w:type="dxa"/>
          <w:right w:w="57" w:type="dxa"/>
        </w:tblCellMar>
        <w:tblLook w:val="04A0" w:firstRow="1" w:lastRow="0" w:firstColumn="1" w:lastColumn="0" w:noHBand="0" w:noVBand="1"/>
      </w:tblPr>
      <w:tblGrid>
        <w:gridCol w:w="3288"/>
        <w:gridCol w:w="907"/>
        <w:gridCol w:w="879"/>
        <w:gridCol w:w="879"/>
        <w:gridCol w:w="879"/>
        <w:gridCol w:w="879"/>
      </w:tblGrid>
      <w:tr w:rsidR="00C6076D" w:rsidRPr="00C6076D" w:rsidTr="00847E43">
        <w:trPr>
          <w:trHeight w:val="794"/>
        </w:trPr>
        <w:tc>
          <w:tcPr>
            <w:tcW w:w="3288" w:type="dxa"/>
            <w:tcBorders>
              <w:top w:val="single" w:sz="4" w:space="0" w:color="auto"/>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2017–18 Estimated actual</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2018–19</w:t>
            </w:r>
            <w:r w:rsidRPr="00C6076D">
              <w:rPr>
                <w:rFonts w:ascii="Arial" w:hAnsi="Arial" w:cs="Arial"/>
                <w:sz w:val="16"/>
                <w:szCs w:val="16"/>
              </w:rPr>
              <w:br/>
              <w:t>Budget</w:t>
            </w:r>
            <w:r w:rsidRPr="00C6076D">
              <w:rPr>
                <w:rFonts w:ascii="Arial" w:hAnsi="Arial" w:cs="Arial"/>
                <w:sz w:val="16"/>
                <w:szCs w:val="16"/>
              </w:rPr>
              <w:br/>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2019–20 Forward estimate</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2020–21 Forward estimate</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2021–22</w:t>
            </w:r>
            <w:r w:rsidRPr="00C6076D">
              <w:rPr>
                <w:rFonts w:ascii="Arial" w:hAnsi="Arial" w:cs="Arial"/>
                <w:sz w:val="16"/>
                <w:szCs w:val="16"/>
              </w:rPr>
              <w:br/>
              <w:t>Forward estimate</w:t>
            </w:r>
            <w:r w:rsidRPr="00C6076D">
              <w:rPr>
                <w:rFonts w:ascii="Arial" w:hAnsi="Arial" w:cs="Arial"/>
                <w:sz w:val="16"/>
                <w:szCs w:val="16"/>
              </w:rPr>
              <w:br/>
              <w:t>$'000</w:t>
            </w: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NEW CAPITAL APPROPRIATIONS</w:t>
            </w:r>
          </w:p>
        </w:tc>
        <w:tc>
          <w:tcPr>
            <w:tcW w:w="90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ind w:firstLineChars="100" w:firstLine="160"/>
              <w:rPr>
                <w:rFonts w:ascii="Arial" w:hAnsi="Arial" w:cs="Arial"/>
                <w:sz w:val="16"/>
                <w:szCs w:val="16"/>
              </w:rPr>
            </w:pPr>
            <w:r w:rsidRPr="00C6076D">
              <w:rPr>
                <w:rFonts w:ascii="Arial" w:hAnsi="Arial" w:cs="Arial"/>
                <w:sz w:val="16"/>
                <w:szCs w:val="16"/>
              </w:rPr>
              <w:t>Capital budget—Bill 1 (DCB)</w:t>
            </w:r>
          </w:p>
        </w:tc>
        <w:tc>
          <w:tcPr>
            <w:tcW w:w="90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2,382 </w:t>
            </w: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2,372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2,377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2,397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2,415 </w:t>
            </w: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Total new capital appropriations</w:t>
            </w:r>
          </w:p>
        </w:tc>
        <w:tc>
          <w:tcPr>
            <w:tcW w:w="907"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2,382 </w:t>
            </w:r>
          </w:p>
        </w:tc>
        <w:tc>
          <w:tcPr>
            <w:tcW w:w="879" w:type="dxa"/>
            <w:tcBorders>
              <w:top w:val="single" w:sz="4" w:space="0" w:color="auto"/>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2,372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2,377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2,397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2,415 </w:t>
            </w: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i/>
                <w:iCs/>
                <w:sz w:val="16"/>
                <w:szCs w:val="16"/>
              </w:rPr>
            </w:pPr>
            <w:r w:rsidRPr="00C6076D">
              <w:rPr>
                <w:rFonts w:ascii="Arial" w:hAnsi="Arial" w:cs="Arial"/>
                <w:b/>
                <w:bCs/>
                <w:i/>
                <w:iCs/>
                <w:sz w:val="16"/>
                <w:szCs w:val="16"/>
              </w:rPr>
              <w:t>Provided for:</w:t>
            </w:r>
          </w:p>
        </w:tc>
        <w:tc>
          <w:tcPr>
            <w:tcW w:w="90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i/>
                <w:iCs/>
                <w:sz w:val="16"/>
                <w:szCs w:val="16"/>
              </w:rPr>
            </w:pP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ind w:firstLineChars="100" w:firstLine="160"/>
              <w:rPr>
                <w:rFonts w:ascii="Arial" w:hAnsi="Arial" w:cs="Arial"/>
                <w:i/>
                <w:iCs/>
                <w:sz w:val="16"/>
                <w:szCs w:val="16"/>
              </w:rPr>
            </w:pPr>
            <w:r w:rsidRPr="00C6076D">
              <w:rPr>
                <w:rFonts w:ascii="Arial" w:hAnsi="Arial" w:cs="Arial"/>
                <w:i/>
                <w:iCs/>
                <w:sz w:val="16"/>
                <w:szCs w:val="16"/>
              </w:rPr>
              <w:t>Purchase of non-financial assets</w:t>
            </w:r>
          </w:p>
        </w:tc>
        <w:tc>
          <w:tcPr>
            <w:tcW w:w="90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xml:space="preserve">2,382 </w:t>
            </w: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2,372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xml:space="preserve">2,377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xml:space="preserve">2,397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i/>
                <w:iCs/>
                <w:sz w:val="16"/>
                <w:szCs w:val="16"/>
              </w:rPr>
            </w:pPr>
            <w:r w:rsidRPr="00C6076D">
              <w:rPr>
                <w:rFonts w:ascii="Arial" w:hAnsi="Arial" w:cs="Arial"/>
                <w:i/>
                <w:iCs/>
                <w:sz w:val="16"/>
                <w:szCs w:val="16"/>
              </w:rPr>
              <w:t xml:space="preserve">2,415 </w:t>
            </w: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i/>
                <w:iCs/>
                <w:sz w:val="16"/>
                <w:szCs w:val="16"/>
              </w:rPr>
            </w:pPr>
            <w:r w:rsidRPr="00C6076D">
              <w:rPr>
                <w:rFonts w:ascii="Arial" w:hAnsi="Arial" w:cs="Arial"/>
                <w:b/>
                <w:bCs/>
                <w:i/>
                <w:iCs/>
                <w:sz w:val="16"/>
                <w:szCs w:val="16"/>
              </w:rPr>
              <w:t>Total items</w:t>
            </w:r>
          </w:p>
        </w:tc>
        <w:tc>
          <w:tcPr>
            <w:tcW w:w="907"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2,382 </w:t>
            </w:r>
          </w:p>
        </w:tc>
        <w:tc>
          <w:tcPr>
            <w:tcW w:w="879" w:type="dxa"/>
            <w:tcBorders>
              <w:top w:val="single" w:sz="4" w:space="0" w:color="auto"/>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2,372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2,377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2,397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i/>
                <w:iCs/>
                <w:sz w:val="16"/>
                <w:szCs w:val="16"/>
              </w:rPr>
            </w:pPr>
            <w:r w:rsidRPr="00C6076D">
              <w:rPr>
                <w:rFonts w:ascii="Arial" w:hAnsi="Arial" w:cs="Arial"/>
                <w:b/>
                <w:bCs/>
                <w:i/>
                <w:iCs/>
                <w:sz w:val="16"/>
                <w:szCs w:val="16"/>
              </w:rPr>
              <w:t xml:space="preserve">2,415 </w:t>
            </w:r>
          </w:p>
        </w:tc>
      </w:tr>
      <w:tr w:rsidR="00C6076D" w:rsidRPr="00C6076D" w:rsidTr="00847E43">
        <w:trPr>
          <w:trHeight w:val="227"/>
        </w:trPr>
        <w:tc>
          <w:tcPr>
            <w:tcW w:w="3288" w:type="dxa"/>
            <w:tcBorders>
              <w:top w:val="nil"/>
              <w:left w:val="nil"/>
              <w:bottom w:val="nil"/>
              <w:right w:val="nil"/>
            </w:tcBorders>
            <w:shd w:val="clear" w:color="auto" w:fill="auto"/>
            <w:vAlign w:val="center"/>
            <w:hideMark/>
          </w:tcPr>
          <w:p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PURCHASE OF NON-FINANCIAL ASSETS</w:t>
            </w:r>
          </w:p>
        </w:tc>
        <w:tc>
          <w:tcPr>
            <w:tcW w:w="907" w:type="dxa"/>
            <w:tcBorders>
              <w:top w:val="nil"/>
              <w:left w:val="nil"/>
              <w:bottom w:val="nil"/>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w:t>
            </w:r>
          </w:p>
        </w:tc>
        <w:tc>
          <w:tcPr>
            <w:tcW w:w="879" w:type="dxa"/>
            <w:tcBorders>
              <w:top w:val="nil"/>
              <w:left w:val="nil"/>
              <w:bottom w:val="nil"/>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p>
        </w:tc>
      </w:tr>
      <w:tr w:rsidR="00C6076D" w:rsidRPr="00C6076D" w:rsidTr="00847E43">
        <w:trPr>
          <w:trHeight w:val="227"/>
        </w:trPr>
        <w:tc>
          <w:tcPr>
            <w:tcW w:w="3288" w:type="dxa"/>
            <w:tcBorders>
              <w:top w:val="nil"/>
              <w:left w:val="nil"/>
              <w:bottom w:val="nil"/>
              <w:right w:val="nil"/>
            </w:tcBorders>
            <w:shd w:val="clear" w:color="auto" w:fill="auto"/>
            <w:vAlign w:val="center"/>
            <w:hideMark/>
          </w:tcPr>
          <w:p w:rsidR="00C6076D" w:rsidRPr="00C6076D" w:rsidRDefault="00C6076D" w:rsidP="00847E43">
            <w:pPr>
              <w:spacing w:after="0" w:line="240" w:lineRule="auto"/>
              <w:ind w:firstLineChars="100" w:firstLine="160"/>
              <w:rPr>
                <w:rFonts w:ascii="Arial" w:hAnsi="Arial" w:cs="Arial"/>
                <w:sz w:val="16"/>
                <w:szCs w:val="16"/>
              </w:rPr>
            </w:pPr>
            <w:r w:rsidRPr="00C6076D">
              <w:rPr>
                <w:rFonts w:ascii="Arial" w:hAnsi="Arial" w:cs="Arial"/>
                <w:sz w:val="16"/>
                <w:szCs w:val="16"/>
              </w:rPr>
              <w:t>Funded by capital appropriation—DCB (a)</w:t>
            </w:r>
          </w:p>
        </w:tc>
        <w:tc>
          <w:tcPr>
            <w:tcW w:w="90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4,182 </w:t>
            </w: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2,372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2,377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2,397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2,415 </w:t>
            </w: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TOTAL</w:t>
            </w:r>
          </w:p>
        </w:tc>
        <w:tc>
          <w:tcPr>
            <w:tcW w:w="907"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4,182 </w:t>
            </w:r>
          </w:p>
        </w:tc>
        <w:tc>
          <w:tcPr>
            <w:tcW w:w="879" w:type="dxa"/>
            <w:tcBorders>
              <w:top w:val="single" w:sz="4" w:space="0" w:color="auto"/>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2,372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2,377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2,397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2,415 </w:t>
            </w:r>
          </w:p>
        </w:tc>
      </w:tr>
      <w:tr w:rsidR="00C6076D" w:rsidRPr="00C6076D" w:rsidTr="00847E43">
        <w:trPr>
          <w:trHeight w:val="567"/>
        </w:trPr>
        <w:tc>
          <w:tcPr>
            <w:tcW w:w="3288" w:type="dxa"/>
            <w:tcBorders>
              <w:top w:val="nil"/>
              <w:left w:val="nil"/>
              <w:bottom w:val="nil"/>
              <w:right w:val="nil"/>
            </w:tcBorders>
            <w:shd w:val="clear" w:color="auto" w:fill="auto"/>
            <w:vAlign w:val="center"/>
            <w:hideMark/>
          </w:tcPr>
          <w:p w:rsidR="00C6076D" w:rsidRPr="00C6076D" w:rsidRDefault="00C6076D" w:rsidP="00847E43">
            <w:pPr>
              <w:spacing w:after="0" w:line="240" w:lineRule="auto"/>
              <w:ind w:left="191" w:hanging="191"/>
              <w:rPr>
                <w:rFonts w:ascii="Arial" w:hAnsi="Arial" w:cs="Arial"/>
                <w:b/>
                <w:bCs/>
                <w:sz w:val="16"/>
                <w:szCs w:val="16"/>
              </w:rPr>
            </w:pPr>
            <w:r w:rsidRPr="00C6076D">
              <w:rPr>
                <w:rFonts w:ascii="Arial" w:hAnsi="Arial" w:cs="Arial"/>
                <w:b/>
                <w:bCs/>
                <w:sz w:val="16"/>
                <w:szCs w:val="16"/>
              </w:rPr>
              <w:t>RECONCILIATION OF CASH USED TO ACQUIRE ASSETS TO ASSET MOVEMENT TABLE</w:t>
            </w:r>
          </w:p>
        </w:tc>
        <w:tc>
          <w:tcPr>
            <w:tcW w:w="90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sz w:val="16"/>
                <w:szCs w:val="16"/>
              </w:rPr>
            </w:pPr>
          </w:p>
        </w:tc>
      </w:tr>
      <w:tr w:rsidR="00C6076D" w:rsidRPr="00C6076D" w:rsidTr="00847E43">
        <w:trPr>
          <w:trHeight w:val="225"/>
        </w:trPr>
        <w:tc>
          <w:tcPr>
            <w:tcW w:w="3288" w:type="dxa"/>
            <w:tcBorders>
              <w:top w:val="nil"/>
              <w:left w:val="nil"/>
              <w:bottom w:val="nil"/>
              <w:right w:val="nil"/>
            </w:tcBorders>
            <w:shd w:val="clear" w:color="auto" w:fill="auto"/>
            <w:noWrap/>
            <w:vAlign w:val="bottom"/>
            <w:hideMark/>
          </w:tcPr>
          <w:p w:rsidR="00C6076D" w:rsidRPr="00C6076D" w:rsidRDefault="00C6076D" w:rsidP="00847E43">
            <w:pPr>
              <w:spacing w:after="0" w:line="240" w:lineRule="auto"/>
              <w:ind w:firstLineChars="100" w:firstLine="160"/>
              <w:rPr>
                <w:rFonts w:ascii="Arial" w:hAnsi="Arial" w:cs="Arial"/>
                <w:sz w:val="16"/>
                <w:szCs w:val="16"/>
              </w:rPr>
            </w:pPr>
            <w:r w:rsidRPr="00C6076D">
              <w:rPr>
                <w:rFonts w:ascii="Arial" w:hAnsi="Arial" w:cs="Arial"/>
                <w:sz w:val="16"/>
                <w:szCs w:val="16"/>
              </w:rPr>
              <w:t>Total purchases</w:t>
            </w:r>
          </w:p>
        </w:tc>
        <w:tc>
          <w:tcPr>
            <w:tcW w:w="907" w:type="dxa"/>
            <w:tcBorders>
              <w:top w:val="nil"/>
              <w:left w:val="nil"/>
              <w:bottom w:val="nil"/>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4,182 </w:t>
            </w:r>
          </w:p>
        </w:tc>
        <w:tc>
          <w:tcPr>
            <w:tcW w:w="879" w:type="dxa"/>
            <w:tcBorders>
              <w:top w:val="nil"/>
              <w:left w:val="nil"/>
              <w:bottom w:val="nil"/>
              <w:right w:val="nil"/>
            </w:tcBorders>
            <w:shd w:val="clear" w:color="000000" w:fill="E6E6E6"/>
            <w:noWrap/>
            <w:vAlign w:val="bottom"/>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2,372 </w:t>
            </w:r>
          </w:p>
        </w:tc>
        <w:tc>
          <w:tcPr>
            <w:tcW w:w="879" w:type="dxa"/>
            <w:tcBorders>
              <w:top w:val="nil"/>
              <w:left w:val="nil"/>
              <w:bottom w:val="nil"/>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2,377 </w:t>
            </w:r>
          </w:p>
        </w:tc>
        <w:tc>
          <w:tcPr>
            <w:tcW w:w="879" w:type="dxa"/>
            <w:tcBorders>
              <w:top w:val="nil"/>
              <w:left w:val="nil"/>
              <w:bottom w:val="nil"/>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2,397 </w:t>
            </w:r>
          </w:p>
        </w:tc>
        <w:tc>
          <w:tcPr>
            <w:tcW w:w="879" w:type="dxa"/>
            <w:tcBorders>
              <w:top w:val="nil"/>
              <w:left w:val="nil"/>
              <w:bottom w:val="nil"/>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 xml:space="preserve">2,415 </w:t>
            </w:r>
          </w:p>
        </w:tc>
      </w:tr>
      <w:tr w:rsidR="00C6076D" w:rsidRPr="00C6076D" w:rsidTr="00847E43">
        <w:trPr>
          <w:trHeight w:val="225"/>
        </w:trPr>
        <w:tc>
          <w:tcPr>
            <w:tcW w:w="3288" w:type="dxa"/>
            <w:tcBorders>
              <w:top w:val="nil"/>
              <w:left w:val="nil"/>
              <w:bottom w:val="single" w:sz="4" w:space="0" w:color="auto"/>
              <w:right w:val="nil"/>
            </w:tcBorders>
            <w:shd w:val="clear" w:color="auto" w:fill="auto"/>
            <w:vAlign w:val="bottom"/>
            <w:hideMark/>
          </w:tcPr>
          <w:p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Total cash used to acquire assets</w:t>
            </w:r>
          </w:p>
        </w:tc>
        <w:tc>
          <w:tcPr>
            <w:tcW w:w="907" w:type="dxa"/>
            <w:tcBorders>
              <w:top w:val="single" w:sz="4" w:space="0" w:color="auto"/>
              <w:left w:val="nil"/>
              <w:bottom w:val="single" w:sz="4" w:space="0" w:color="auto"/>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4,182 </w:t>
            </w:r>
          </w:p>
        </w:tc>
        <w:tc>
          <w:tcPr>
            <w:tcW w:w="879" w:type="dxa"/>
            <w:tcBorders>
              <w:top w:val="single" w:sz="4" w:space="0" w:color="auto"/>
              <w:left w:val="nil"/>
              <w:bottom w:val="single" w:sz="4" w:space="0" w:color="auto"/>
              <w:right w:val="nil"/>
            </w:tcBorders>
            <w:shd w:val="clear" w:color="000000" w:fill="E6E6E6"/>
            <w:noWrap/>
            <w:vAlign w:val="bottom"/>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2,372 </w:t>
            </w:r>
          </w:p>
        </w:tc>
        <w:tc>
          <w:tcPr>
            <w:tcW w:w="879" w:type="dxa"/>
            <w:tcBorders>
              <w:top w:val="single" w:sz="4" w:space="0" w:color="auto"/>
              <w:left w:val="nil"/>
              <w:bottom w:val="single" w:sz="4" w:space="0" w:color="auto"/>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2,377 </w:t>
            </w:r>
          </w:p>
        </w:tc>
        <w:tc>
          <w:tcPr>
            <w:tcW w:w="879" w:type="dxa"/>
            <w:tcBorders>
              <w:top w:val="single" w:sz="4" w:space="0" w:color="auto"/>
              <w:left w:val="nil"/>
              <w:bottom w:val="single" w:sz="4" w:space="0" w:color="auto"/>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2,397 </w:t>
            </w:r>
          </w:p>
        </w:tc>
        <w:tc>
          <w:tcPr>
            <w:tcW w:w="879" w:type="dxa"/>
            <w:tcBorders>
              <w:top w:val="single" w:sz="4" w:space="0" w:color="auto"/>
              <w:left w:val="nil"/>
              <w:bottom w:val="single" w:sz="4" w:space="0" w:color="auto"/>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b/>
                <w:bCs/>
                <w:sz w:val="16"/>
                <w:szCs w:val="16"/>
              </w:rPr>
            </w:pPr>
            <w:r w:rsidRPr="00C6076D">
              <w:rPr>
                <w:rFonts w:ascii="Arial" w:hAnsi="Arial" w:cs="Arial"/>
                <w:b/>
                <w:bCs/>
                <w:sz w:val="16"/>
                <w:szCs w:val="16"/>
              </w:rPr>
              <w:t xml:space="preserve">2,415 </w:t>
            </w:r>
          </w:p>
        </w:tc>
      </w:tr>
    </w:tbl>
    <w:p w:rsidR="00787FE4" w:rsidRPr="00C6076D" w:rsidRDefault="00787FE4" w:rsidP="00E01B4E">
      <w:pPr>
        <w:pStyle w:val="ChartandTableFootnoteAlpha"/>
        <w:numPr>
          <w:ilvl w:val="0"/>
          <w:numId w:val="43"/>
        </w:numPr>
        <w:rPr>
          <w:rFonts w:cs="Arial"/>
          <w:szCs w:val="16"/>
        </w:rPr>
      </w:pPr>
      <w:r w:rsidRPr="00C6076D">
        <w:rPr>
          <w:rFonts w:cs="Arial"/>
          <w:szCs w:val="16"/>
        </w:rPr>
        <w:t xml:space="preserve">Does not include annual finance lease costs. Includes purchases from current and previous years’ Departmental </w:t>
      </w:r>
      <w:r w:rsidR="00FC6D39">
        <w:rPr>
          <w:rFonts w:cs="Arial"/>
          <w:szCs w:val="16"/>
          <w:lang w:val="en-AU"/>
        </w:rPr>
        <w:t>Capital</w:t>
      </w:r>
      <w:r w:rsidRPr="00C6076D">
        <w:rPr>
          <w:rFonts w:cs="Arial"/>
          <w:szCs w:val="16"/>
        </w:rPr>
        <w:t xml:space="preserve"> </w:t>
      </w:r>
      <w:r w:rsidR="00FC6D39">
        <w:rPr>
          <w:rFonts w:cs="Arial"/>
          <w:szCs w:val="16"/>
          <w:lang w:val="en-AU"/>
        </w:rPr>
        <w:t>Budgets</w:t>
      </w:r>
      <w:r w:rsidRPr="00C6076D">
        <w:rPr>
          <w:rFonts w:cs="Arial"/>
          <w:szCs w:val="16"/>
        </w:rPr>
        <w:t xml:space="preserve"> (DCBs).</w:t>
      </w:r>
    </w:p>
    <w:p w:rsidR="00787FE4" w:rsidRDefault="00787FE4" w:rsidP="00787FE4">
      <w:pPr>
        <w:pStyle w:val="ChartandTableFootnote"/>
      </w:pPr>
      <w:r w:rsidRPr="00132F9E">
        <w:t>Prepared on Australian Accounting Standards basis.</w:t>
      </w:r>
    </w:p>
    <w:p w:rsidR="00787FE4" w:rsidRDefault="00787FE4" w:rsidP="00787FE4">
      <w:pPr>
        <w:pStyle w:val="TableHeading"/>
      </w:pPr>
      <w:r>
        <w:rPr>
          <w:rFonts w:cs="Arial"/>
          <w:szCs w:val="16"/>
        </w:rPr>
        <w:br w:type="page"/>
      </w:r>
      <w:r w:rsidRPr="00D30CBA">
        <w:lastRenderedPageBreak/>
        <w:t>Table</w:t>
      </w:r>
      <w:r>
        <w:t xml:space="preserve"> 3.6</w:t>
      </w:r>
      <w:r w:rsidRPr="00D30CBA">
        <w:t xml:space="preserve">: </w:t>
      </w:r>
      <w:r>
        <w:t>Statement of asset movements (Budget year 2018</w:t>
      </w:r>
      <w:r>
        <w:rPr>
          <w:lang w:val="en-AU"/>
        </w:rPr>
        <w:t>–</w:t>
      </w:r>
      <w:r>
        <w:t>19)</w:t>
      </w:r>
    </w:p>
    <w:tbl>
      <w:tblPr>
        <w:tblW w:w="7738" w:type="dxa"/>
        <w:tblInd w:w="93" w:type="dxa"/>
        <w:tblLook w:val="04A0" w:firstRow="1" w:lastRow="0" w:firstColumn="1" w:lastColumn="0" w:noHBand="0" w:noVBand="1"/>
      </w:tblPr>
      <w:tblGrid>
        <w:gridCol w:w="3175"/>
        <w:gridCol w:w="1020"/>
        <w:gridCol w:w="1332"/>
        <w:gridCol w:w="1191"/>
        <w:gridCol w:w="1020"/>
      </w:tblGrid>
      <w:tr w:rsidR="00C6076D" w:rsidRPr="00C6076D" w:rsidTr="00847E43">
        <w:trPr>
          <w:trHeight w:val="794"/>
        </w:trPr>
        <w:tc>
          <w:tcPr>
            <w:tcW w:w="3175" w:type="dxa"/>
            <w:tcBorders>
              <w:top w:val="single" w:sz="4" w:space="0" w:color="auto"/>
              <w:left w:val="nil"/>
              <w:bottom w:val="nil"/>
              <w:right w:val="nil"/>
            </w:tcBorders>
            <w:shd w:val="clear" w:color="auto" w:fill="auto"/>
            <w:noWrap/>
            <w:vAlign w:val="center"/>
            <w:hideMark/>
          </w:tcPr>
          <w:p w:rsidR="00C6076D" w:rsidRPr="00C6076D" w:rsidRDefault="00C6076D" w:rsidP="00C6076D">
            <w:pPr>
              <w:spacing w:after="0" w:line="240" w:lineRule="auto"/>
              <w:rPr>
                <w:rFonts w:ascii="Arial" w:hAnsi="Arial" w:cs="Arial"/>
                <w:sz w:val="16"/>
                <w:szCs w:val="16"/>
              </w:rPr>
            </w:pPr>
            <w:r w:rsidRPr="00C6076D">
              <w:rPr>
                <w:rFonts w:ascii="Arial" w:hAnsi="Arial" w:cs="Arial"/>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C6076D">
            <w:pPr>
              <w:spacing w:after="0" w:line="240" w:lineRule="auto"/>
              <w:jc w:val="right"/>
              <w:rPr>
                <w:rFonts w:ascii="Arial" w:hAnsi="Arial" w:cs="Arial"/>
                <w:sz w:val="16"/>
                <w:szCs w:val="16"/>
              </w:rPr>
            </w:pPr>
            <w:r w:rsidRPr="00C6076D">
              <w:rPr>
                <w:rFonts w:ascii="Arial" w:hAnsi="Arial" w:cs="Arial"/>
                <w:sz w:val="16"/>
                <w:szCs w:val="16"/>
              </w:rPr>
              <w:t>Buildings</w:t>
            </w:r>
            <w:r w:rsidRPr="00C6076D">
              <w:rPr>
                <w:rFonts w:ascii="Arial" w:hAnsi="Arial" w:cs="Arial"/>
                <w:sz w:val="16"/>
                <w:szCs w:val="16"/>
              </w:rPr>
              <w:br/>
            </w:r>
            <w:r w:rsidRPr="00C6076D">
              <w:rPr>
                <w:rFonts w:ascii="Arial" w:hAnsi="Arial" w:cs="Arial"/>
                <w:sz w:val="16"/>
                <w:szCs w:val="16"/>
              </w:rPr>
              <w:br/>
            </w:r>
            <w:r w:rsidRPr="00C6076D">
              <w:rPr>
                <w:rFonts w:ascii="Arial" w:hAnsi="Arial" w:cs="Arial"/>
                <w:sz w:val="16"/>
                <w:szCs w:val="16"/>
              </w:rPr>
              <w:br/>
              <w:t>$'000</w:t>
            </w:r>
          </w:p>
        </w:tc>
        <w:tc>
          <w:tcPr>
            <w:tcW w:w="1332"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C6076D">
            <w:pPr>
              <w:spacing w:after="0" w:line="240" w:lineRule="auto"/>
              <w:jc w:val="right"/>
              <w:rPr>
                <w:rFonts w:ascii="Arial" w:hAnsi="Arial" w:cs="Arial"/>
                <w:sz w:val="16"/>
                <w:szCs w:val="16"/>
              </w:rPr>
            </w:pPr>
            <w:r w:rsidRPr="00C6076D">
              <w:rPr>
                <w:rFonts w:ascii="Arial" w:hAnsi="Arial" w:cs="Arial"/>
                <w:sz w:val="16"/>
                <w:szCs w:val="16"/>
              </w:rPr>
              <w:t>Other property,</w:t>
            </w:r>
            <w:r w:rsidRPr="00C6076D">
              <w:rPr>
                <w:rFonts w:ascii="Arial" w:hAnsi="Arial" w:cs="Arial"/>
                <w:sz w:val="16"/>
                <w:szCs w:val="16"/>
              </w:rPr>
              <w:br/>
              <w:t>plant and</w:t>
            </w:r>
            <w:r w:rsidRPr="00C6076D">
              <w:rPr>
                <w:rFonts w:ascii="Arial" w:hAnsi="Arial" w:cs="Arial"/>
                <w:sz w:val="16"/>
                <w:szCs w:val="16"/>
              </w:rPr>
              <w:br/>
              <w:t>equipment</w:t>
            </w:r>
            <w:r w:rsidRPr="00C6076D">
              <w:rPr>
                <w:rFonts w:ascii="Arial" w:hAnsi="Arial" w:cs="Arial"/>
                <w:sz w:val="16"/>
                <w:szCs w:val="16"/>
              </w:rPr>
              <w:br/>
              <w:t>$'000</w:t>
            </w:r>
          </w:p>
        </w:tc>
        <w:tc>
          <w:tcPr>
            <w:tcW w:w="1191"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C6076D">
            <w:pPr>
              <w:spacing w:after="0" w:line="240" w:lineRule="auto"/>
              <w:jc w:val="right"/>
              <w:rPr>
                <w:rFonts w:ascii="Arial" w:hAnsi="Arial" w:cs="Arial"/>
                <w:sz w:val="16"/>
                <w:szCs w:val="16"/>
              </w:rPr>
            </w:pPr>
            <w:r w:rsidRPr="00C6076D">
              <w:rPr>
                <w:rFonts w:ascii="Arial" w:hAnsi="Arial" w:cs="Arial"/>
                <w:sz w:val="16"/>
                <w:szCs w:val="16"/>
              </w:rPr>
              <w:t>Computer</w:t>
            </w:r>
            <w:r w:rsidRPr="00C6076D">
              <w:rPr>
                <w:rFonts w:ascii="Arial" w:hAnsi="Arial" w:cs="Arial"/>
                <w:sz w:val="16"/>
                <w:szCs w:val="16"/>
              </w:rPr>
              <w:br/>
              <w:t>software and</w:t>
            </w:r>
            <w:r w:rsidRPr="00C6076D">
              <w:rPr>
                <w:rFonts w:ascii="Arial" w:hAnsi="Arial" w:cs="Arial"/>
                <w:sz w:val="16"/>
                <w:szCs w:val="16"/>
              </w:rPr>
              <w:br/>
              <w:t>intangibles</w:t>
            </w:r>
            <w:r w:rsidRPr="00C6076D">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C6076D">
            <w:pPr>
              <w:spacing w:after="0" w:line="240" w:lineRule="auto"/>
              <w:jc w:val="right"/>
              <w:rPr>
                <w:rFonts w:ascii="Arial" w:hAnsi="Arial" w:cs="Arial"/>
                <w:sz w:val="16"/>
                <w:szCs w:val="16"/>
              </w:rPr>
            </w:pPr>
            <w:r w:rsidRPr="00C6076D">
              <w:rPr>
                <w:rFonts w:ascii="Arial" w:hAnsi="Arial" w:cs="Arial"/>
                <w:sz w:val="16"/>
                <w:szCs w:val="16"/>
              </w:rPr>
              <w:t>Total</w:t>
            </w:r>
            <w:r w:rsidRPr="00C6076D">
              <w:rPr>
                <w:rFonts w:ascii="Arial" w:hAnsi="Arial" w:cs="Arial"/>
                <w:sz w:val="16"/>
                <w:szCs w:val="16"/>
              </w:rPr>
              <w:br/>
            </w:r>
            <w:r w:rsidRPr="00C6076D">
              <w:rPr>
                <w:rFonts w:ascii="Arial" w:hAnsi="Arial" w:cs="Arial"/>
                <w:sz w:val="16"/>
                <w:szCs w:val="16"/>
              </w:rPr>
              <w:br/>
            </w:r>
            <w:r w:rsidRPr="00C6076D">
              <w:rPr>
                <w:rFonts w:ascii="Arial" w:hAnsi="Arial" w:cs="Arial"/>
                <w:sz w:val="16"/>
                <w:szCs w:val="16"/>
              </w:rPr>
              <w:br/>
              <w:t>$'000</w:t>
            </w:r>
          </w:p>
        </w:tc>
      </w:tr>
      <w:tr w:rsidR="00C6076D" w:rsidRPr="00C6076D" w:rsidTr="00847E43">
        <w:trPr>
          <w:trHeight w:val="225"/>
        </w:trPr>
        <w:tc>
          <w:tcPr>
            <w:tcW w:w="3175" w:type="dxa"/>
            <w:tcBorders>
              <w:top w:val="nil"/>
              <w:left w:val="nil"/>
              <w:bottom w:val="nil"/>
              <w:right w:val="nil"/>
            </w:tcBorders>
            <w:shd w:val="clear" w:color="auto" w:fill="auto"/>
            <w:vAlign w:val="bottom"/>
            <w:hideMark/>
          </w:tcPr>
          <w:p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As at 1 July 2018</w:t>
            </w:r>
          </w:p>
        </w:tc>
        <w:tc>
          <w:tcPr>
            <w:tcW w:w="1020" w:type="dxa"/>
            <w:tcBorders>
              <w:top w:val="nil"/>
              <w:left w:val="nil"/>
              <w:bottom w:val="nil"/>
              <w:right w:val="nil"/>
            </w:tcBorders>
            <w:shd w:val="clear" w:color="auto" w:fill="auto"/>
            <w:noWrap/>
            <w:vAlign w:val="bottom"/>
            <w:hideMark/>
          </w:tcPr>
          <w:p w:rsidR="00C6076D" w:rsidRPr="00C6076D" w:rsidRDefault="00C6076D" w:rsidP="00C6076D">
            <w:pPr>
              <w:spacing w:after="0" w:line="240" w:lineRule="auto"/>
              <w:rPr>
                <w:rFonts w:ascii="Arial" w:hAnsi="Arial" w:cs="Arial"/>
                <w:sz w:val="16"/>
                <w:szCs w:val="16"/>
              </w:rPr>
            </w:pPr>
          </w:p>
        </w:tc>
        <w:tc>
          <w:tcPr>
            <w:tcW w:w="1332" w:type="dxa"/>
            <w:tcBorders>
              <w:top w:val="nil"/>
              <w:left w:val="nil"/>
              <w:bottom w:val="nil"/>
              <w:right w:val="nil"/>
            </w:tcBorders>
            <w:shd w:val="clear" w:color="auto" w:fill="auto"/>
            <w:noWrap/>
            <w:vAlign w:val="bottom"/>
            <w:hideMark/>
          </w:tcPr>
          <w:p w:rsidR="00C6076D" w:rsidRPr="00C6076D" w:rsidRDefault="00C6076D" w:rsidP="00C6076D">
            <w:pPr>
              <w:spacing w:after="0" w:line="240" w:lineRule="auto"/>
              <w:rPr>
                <w:rFonts w:ascii="Arial" w:hAnsi="Arial" w:cs="Arial"/>
                <w:sz w:val="16"/>
                <w:szCs w:val="16"/>
              </w:rPr>
            </w:pPr>
          </w:p>
        </w:tc>
        <w:tc>
          <w:tcPr>
            <w:tcW w:w="1191" w:type="dxa"/>
            <w:tcBorders>
              <w:top w:val="nil"/>
              <w:left w:val="nil"/>
              <w:bottom w:val="nil"/>
              <w:right w:val="nil"/>
            </w:tcBorders>
            <w:shd w:val="clear" w:color="auto" w:fill="auto"/>
            <w:noWrap/>
            <w:vAlign w:val="bottom"/>
            <w:hideMark/>
          </w:tcPr>
          <w:p w:rsidR="00C6076D" w:rsidRPr="00C6076D" w:rsidRDefault="00C6076D" w:rsidP="00C6076D">
            <w:pPr>
              <w:spacing w:after="0" w:line="240" w:lineRule="auto"/>
              <w:rPr>
                <w:rFonts w:ascii="Arial" w:hAnsi="Arial" w:cs="Arial"/>
                <w:sz w:val="16"/>
                <w:szCs w:val="16"/>
              </w:rPr>
            </w:pPr>
          </w:p>
        </w:tc>
        <w:tc>
          <w:tcPr>
            <w:tcW w:w="1020" w:type="dxa"/>
            <w:tcBorders>
              <w:top w:val="nil"/>
              <w:left w:val="nil"/>
              <w:bottom w:val="nil"/>
              <w:right w:val="nil"/>
            </w:tcBorders>
            <w:shd w:val="clear" w:color="auto" w:fill="auto"/>
            <w:noWrap/>
            <w:vAlign w:val="bottom"/>
            <w:hideMark/>
          </w:tcPr>
          <w:p w:rsidR="00C6076D" w:rsidRPr="00C6076D" w:rsidRDefault="00C6076D" w:rsidP="00C6076D">
            <w:pPr>
              <w:spacing w:after="0" w:line="240" w:lineRule="auto"/>
              <w:jc w:val="right"/>
              <w:rPr>
                <w:rFonts w:ascii="Arial" w:hAnsi="Arial" w:cs="Arial"/>
                <w:sz w:val="16"/>
                <w:szCs w:val="16"/>
              </w:rPr>
            </w:pPr>
          </w:p>
        </w:tc>
      </w:tr>
      <w:tr w:rsidR="00C6076D" w:rsidRPr="00C6076D" w:rsidTr="001C66B0">
        <w:trPr>
          <w:trHeight w:val="225"/>
        </w:trPr>
        <w:tc>
          <w:tcPr>
            <w:tcW w:w="3175" w:type="dxa"/>
            <w:tcBorders>
              <w:top w:val="nil"/>
              <w:left w:val="nil"/>
              <w:bottom w:val="nil"/>
              <w:right w:val="nil"/>
            </w:tcBorders>
            <w:shd w:val="clear" w:color="auto" w:fill="auto"/>
            <w:vAlign w:val="bottom"/>
            <w:hideMark/>
          </w:tcPr>
          <w:p w:rsidR="00C6076D" w:rsidRPr="00C6076D" w:rsidRDefault="00C6076D" w:rsidP="00C6076D">
            <w:pPr>
              <w:spacing w:after="0" w:line="240" w:lineRule="auto"/>
              <w:ind w:firstLineChars="100" w:firstLine="160"/>
              <w:rPr>
                <w:rFonts w:ascii="Arial" w:hAnsi="Arial" w:cs="Arial"/>
                <w:sz w:val="16"/>
                <w:szCs w:val="16"/>
              </w:rPr>
            </w:pPr>
            <w:r w:rsidRPr="00C6076D">
              <w:rPr>
                <w:rFonts w:ascii="Arial" w:hAnsi="Arial" w:cs="Arial"/>
                <w:sz w:val="16"/>
                <w:szCs w:val="16"/>
              </w:rPr>
              <w:t xml:space="preserve">Gross book value </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25,810 </w:t>
            </w: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5,111 </w:t>
            </w: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6,730 </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37,651 </w:t>
            </w:r>
          </w:p>
        </w:tc>
      </w:tr>
      <w:tr w:rsidR="00C6076D" w:rsidRPr="00C6076D" w:rsidTr="001C66B0">
        <w:trPr>
          <w:trHeight w:val="397"/>
        </w:trPr>
        <w:tc>
          <w:tcPr>
            <w:tcW w:w="3175" w:type="dxa"/>
            <w:tcBorders>
              <w:top w:val="nil"/>
              <w:left w:val="nil"/>
              <w:bottom w:val="nil"/>
              <w:right w:val="nil"/>
            </w:tcBorders>
            <w:shd w:val="clear" w:color="auto" w:fill="auto"/>
            <w:vAlign w:val="bottom"/>
            <w:hideMark/>
          </w:tcPr>
          <w:p w:rsidR="00C6076D" w:rsidRPr="00C6076D" w:rsidRDefault="00C6076D" w:rsidP="00847E43">
            <w:pPr>
              <w:spacing w:after="0" w:line="240" w:lineRule="auto"/>
              <w:ind w:leftChars="80" w:left="333" w:hangingChars="108" w:hanging="173"/>
              <w:rPr>
                <w:rFonts w:ascii="Arial" w:hAnsi="Arial" w:cs="Arial"/>
                <w:sz w:val="16"/>
                <w:szCs w:val="16"/>
              </w:rPr>
            </w:pPr>
            <w:r w:rsidRPr="00C6076D">
              <w:rPr>
                <w:rFonts w:ascii="Arial" w:hAnsi="Arial" w:cs="Arial"/>
                <w:sz w:val="16"/>
                <w:szCs w:val="16"/>
              </w:rPr>
              <w:t>Accumulated depreciation/amortisation and impairment</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(4,034)</w:t>
            </w: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(1,157)</w:t>
            </w: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(3,689)</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(8,880)</w:t>
            </w:r>
          </w:p>
        </w:tc>
      </w:tr>
      <w:tr w:rsidR="00C6076D" w:rsidRPr="00C6076D" w:rsidTr="001C66B0">
        <w:trPr>
          <w:trHeight w:val="225"/>
        </w:trPr>
        <w:tc>
          <w:tcPr>
            <w:tcW w:w="3175" w:type="dxa"/>
            <w:tcBorders>
              <w:top w:val="nil"/>
              <w:left w:val="nil"/>
              <w:bottom w:val="nil"/>
              <w:right w:val="nil"/>
            </w:tcBorders>
            <w:shd w:val="clear" w:color="auto" w:fill="auto"/>
            <w:vAlign w:val="bottom"/>
            <w:hideMark/>
          </w:tcPr>
          <w:p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Opening net book balance</w:t>
            </w:r>
          </w:p>
        </w:tc>
        <w:tc>
          <w:tcPr>
            <w:tcW w:w="1020"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21,776 </w:t>
            </w:r>
          </w:p>
        </w:tc>
        <w:tc>
          <w:tcPr>
            <w:tcW w:w="1332"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3,954 </w:t>
            </w:r>
          </w:p>
        </w:tc>
        <w:tc>
          <w:tcPr>
            <w:tcW w:w="1191"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3,041 </w:t>
            </w:r>
          </w:p>
        </w:tc>
        <w:tc>
          <w:tcPr>
            <w:tcW w:w="1020"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28,771 </w:t>
            </w:r>
          </w:p>
        </w:tc>
      </w:tr>
      <w:tr w:rsidR="00C6076D" w:rsidRPr="00C6076D" w:rsidTr="001C66B0">
        <w:trPr>
          <w:trHeight w:val="225"/>
        </w:trPr>
        <w:tc>
          <w:tcPr>
            <w:tcW w:w="3175" w:type="dxa"/>
            <w:tcBorders>
              <w:top w:val="nil"/>
              <w:left w:val="nil"/>
              <w:bottom w:val="nil"/>
              <w:right w:val="nil"/>
            </w:tcBorders>
            <w:shd w:val="clear" w:color="auto" w:fill="auto"/>
            <w:vAlign w:val="bottom"/>
            <w:hideMark/>
          </w:tcPr>
          <w:p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Capital asset additions</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r>
      <w:tr w:rsidR="00C6076D" w:rsidRPr="00C6076D" w:rsidTr="001C66B0">
        <w:trPr>
          <w:trHeight w:val="397"/>
        </w:trPr>
        <w:tc>
          <w:tcPr>
            <w:tcW w:w="3175" w:type="dxa"/>
            <w:tcBorders>
              <w:top w:val="nil"/>
              <w:left w:val="nil"/>
              <w:bottom w:val="nil"/>
              <w:right w:val="nil"/>
            </w:tcBorders>
            <w:shd w:val="clear" w:color="auto" w:fill="auto"/>
            <w:vAlign w:val="bottom"/>
            <w:hideMark/>
          </w:tcPr>
          <w:p w:rsidR="00C6076D" w:rsidRPr="00C6076D" w:rsidRDefault="00C6076D" w:rsidP="00847E43">
            <w:pPr>
              <w:spacing w:after="0" w:line="240" w:lineRule="auto"/>
              <w:ind w:leftChars="81" w:left="332" w:hangingChars="106" w:hanging="170"/>
              <w:rPr>
                <w:rFonts w:ascii="Arial" w:hAnsi="Arial" w:cs="Arial"/>
                <w:b/>
                <w:bCs/>
                <w:sz w:val="16"/>
                <w:szCs w:val="16"/>
              </w:rPr>
            </w:pPr>
            <w:r w:rsidRPr="00C6076D">
              <w:rPr>
                <w:rFonts w:ascii="Arial" w:hAnsi="Arial" w:cs="Arial"/>
                <w:b/>
                <w:bCs/>
                <w:sz w:val="16"/>
                <w:szCs w:val="16"/>
              </w:rPr>
              <w:t>Estimated expenditure on new or replacement assets</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r>
      <w:tr w:rsidR="00C6076D" w:rsidRPr="00C6076D" w:rsidTr="001C66B0">
        <w:trPr>
          <w:trHeight w:val="397"/>
        </w:trPr>
        <w:tc>
          <w:tcPr>
            <w:tcW w:w="3175" w:type="dxa"/>
            <w:tcBorders>
              <w:top w:val="nil"/>
              <w:left w:val="nil"/>
              <w:bottom w:val="nil"/>
              <w:right w:val="nil"/>
            </w:tcBorders>
            <w:shd w:val="clear" w:color="auto" w:fill="auto"/>
            <w:vAlign w:val="bottom"/>
            <w:hideMark/>
          </w:tcPr>
          <w:p w:rsidR="00C6076D" w:rsidRPr="00C6076D" w:rsidRDefault="00C6076D" w:rsidP="00847E43">
            <w:pPr>
              <w:spacing w:after="0" w:line="240" w:lineRule="auto"/>
              <w:ind w:leftChars="80" w:left="333" w:hangingChars="108" w:hanging="173"/>
              <w:rPr>
                <w:rFonts w:ascii="Arial" w:hAnsi="Arial" w:cs="Arial"/>
                <w:sz w:val="16"/>
                <w:szCs w:val="16"/>
              </w:rPr>
            </w:pPr>
            <w:r w:rsidRPr="00C6076D">
              <w:rPr>
                <w:rFonts w:ascii="Arial" w:hAnsi="Arial" w:cs="Arial"/>
                <w:sz w:val="16"/>
                <w:szCs w:val="16"/>
              </w:rPr>
              <w:t>By purchase—appropriation ordinary annual services (a)</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250 </w:t>
            </w: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622 </w:t>
            </w: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1,500 </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2,372 </w:t>
            </w:r>
          </w:p>
        </w:tc>
      </w:tr>
      <w:tr w:rsidR="00C6076D" w:rsidRPr="00C6076D" w:rsidTr="001C66B0">
        <w:trPr>
          <w:trHeight w:val="225"/>
        </w:trPr>
        <w:tc>
          <w:tcPr>
            <w:tcW w:w="3175" w:type="dxa"/>
            <w:tcBorders>
              <w:top w:val="nil"/>
              <w:left w:val="nil"/>
              <w:bottom w:val="nil"/>
              <w:right w:val="nil"/>
            </w:tcBorders>
            <w:shd w:val="clear" w:color="auto" w:fill="auto"/>
            <w:vAlign w:val="bottom"/>
            <w:hideMark/>
          </w:tcPr>
          <w:p w:rsidR="00C6076D" w:rsidRPr="00C6076D" w:rsidRDefault="00C6076D" w:rsidP="00C6076D">
            <w:pPr>
              <w:spacing w:after="0" w:line="240" w:lineRule="auto"/>
              <w:ind w:firstLineChars="100" w:firstLine="160"/>
              <w:rPr>
                <w:rFonts w:ascii="Arial" w:hAnsi="Arial" w:cs="Arial"/>
                <w:b/>
                <w:bCs/>
                <w:sz w:val="16"/>
                <w:szCs w:val="16"/>
              </w:rPr>
            </w:pPr>
            <w:r w:rsidRPr="00C6076D">
              <w:rPr>
                <w:rFonts w:ascii="Arial" w:hAnsi="Arial" w:cs="Arial"/>
                <w:b/>
                <w:bCs/>
                <w:sz w:val="16"/>
                <w:szCs w:val="16"/>
              </w:rPr>
              <w:t>Total additions</w:t>
            </w:r>
          </w:p>
        </w:tc>
        <w:tc>
          <w:tcPr>
            <w:tcW w:w="1020" w:type="dxa"/>
            <w:tcBorders>
              <w:top w:val="single" w:sz="4" w:space="0" w:color="auto"/>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250 </w:t>
            </w:r>
          </w:p>
        </w:tc>
        <w:tc>
          <w:tcPr>
            <w:tcW w:w="1332" w:type="dxa"/>
            <w:tcBorders>
              <w:top w:val="single" w:sz="4" w:space="0" w:color="auto"/>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622 </w:t>
            </w:r>
          </w:p>
        </w:tc>
        <w:tc>
          <w:tcPr>
            <w:tcW w:w="1191" w:type="dxa"/>
            <w:tcBorders>
              <w:top w:val="single" w:sz="4" w:space="0" w:color="auto"/>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1,500 </w:t>
            </w:r>
          </w:p>
        </w:tc>
        <w:tc>
          <w:tcPr>
            <w:tcW w:w="1020" w:type="dxa"/>
            <w:tcBorders>
              <w:top w:val="single" w:sz="4" w:space="0" w:color="auto"/>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xml:space="preserve">2,372 </w:t>
            </w:r>
          </w:p>
        </w:tc>
      </w:tr>
      <w:tr w:rsidR="00C6076D" w:rsidRPr="00C6076D" w:rsidTr="001C66B0">
        <w:trPr>
          <w:trHeight w:val="225"/>
        </w:trPr>
        <w:tc>
          <w:tcPr>
            <w:tcW w:w="3175" w:type="dxa"/>
            <w:tcBorders>
              <w:top w:val="nil"/>
              <w:left w:val="nil"/>
              <w:bottom w:val="nil"/>
              <w:right w:val="nil"/>
            </w:tcBorders>
            <w:shd w:val="clear" w:color="auto" w:fill="auto"/>
            <w:vAlign w:val="bottom"/>
            <w:hideMark/>
          </w:tcPr>
          <w:p w:rsidR="00C6076D" w:rsidRPr="00C6076D" w:rsidRDefault="00C6076D" w:rsidP="00C6076D">
            <w:pPr>
              <w:spacing w:after="0" w:line="240" w:lineRule="auto"/>
              <w:ind w:firstLineChars="100" w:firstLine="160"/>
              <w:rPr>
                <w:rFonts w:ascii="Arial" w:hAnsi="Arial" w:cs="Arial"/>
                <w:b/>
                <w:bCs/>
                <w:sz w:val="16"/>
                <w:szCs w:val="16"/>
              </w:rPr>
            </w:pPr>
            <w:r w:rsidRPr="00C6076D">
              <w:rPr>
                <w:rFonts w:ascii="Arial" w:hAnsi="Arial" w:cs="Arial"/>
                <w:b/>
                <w:bCs/>
                <w:sz w:val="16"/>
                <w:szCs w:val="16"/>
              </w:rPr>
              <w:t>Other movements</w:t>
            </w:r>
          </w:p>
        </w:tc>
        <w:tc>
          <w:tcPr>
            <w:tcW w:w="1020" w:type="dxa"/>
            <w:tcBorders>
              <w:top w:val="single" w:sz="4" w:space="0" w:color="auto"/>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w:t>
            </w:r>
          </w:p>
        </w:tc>
        <w:tc>
          <w:tcPr>
            <w:tcW w:w="1332" w:type="dxa"/>
            <w:tcBorders>
              <w:top w:val="single" w:sz="4" w:space="0" w:color="auto"/>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w:t>
            </w:r>
          </w:p>
        </w:tc>
        <w:tc>
          <w:tcPr>
            <w:tcW w:w="1191" w:type="dxa"/>
            <w:tcBorders>
              <w:top w:val="single" w:sz="4" w:space="0" w:color="auto"/>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w:t>
            </w:r>
          </w:p>
        </w:tc>
        <w:tc>
          <w:tcPr>
            <w:tcW w:w="1020" w:type="dxa"/>
            <w:tcBorders>
              <w:top w:val="single" w:sz="4" w:space="0" w:color="auto"/>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 </w:t>
            </w:r>
          </w:p>
        </w:tc>
      </w:tr>
      <w:tr w:rsidR="00C6076D" w:rsidRPr="00C6076D" w:rsidTr="001C66B0">
        <w:trPr>
          <w:trHeight w:val="225"/>
        </w:trPr>
        <w:tc>
          <w:tcPr>
            <w:tcW w:w="3175" w:type="dxa"/>
            <w:tcBorders>
              <w:top w:val="nil"/>
              <w:left w:val="nil"/>
              <w:right w:val="nil"/>
            </w:tcBorders>
            <w:shd w:val="clear" w:color="auto" w:fill="auto"/>
            <w:vAlign w:val="bottom"/>
            <w:hideMark/>
          </w:tcPr>
          <w:p w:rsidR="00C6076D" w:rsidRPr="00C6076D" w:rsidRDefault="00C6076D" w:rsidP="00C6076D">
            <w:pPr>
              <w:spacing w:after="0" w:line="240" w:lineRule="auto"/>
              <w:ind w:firstLineChars="100" w:firstLine="160"/>
              <w:rPr>
                <w:rFonts w:ascii="Arial" w:hAnsi="Arial" w:cs="Arial"/>
                <w:sz w:val="16"/>
                <w:szCs w:val="16"/>
              </w:rPr>
            </w:pPr>
            <w:r w:rsidRPr="00C6076D">
              <w:rPr>
                <w:rFonts w:ascii="Arial" w:hAnsi="Arial" w:cs="Arial"/>
                <w:sz w:val="16"/>
                <w:szCs w:val="16"/>
              </w:rPr>
              <w:t>Depreciation/amortisation expense</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(4,193)</w:t>
            </w: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(1,156)</w:t>
            </w: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(873)</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(6,222)</w:t>
            </w:r>
          </w:p>
        </w:tc>
      </w:tr>
      <w:tr w:rsidR="00C6076D" w:rsidRPr="00C6076D" w:rsidTr="001C66B0">
        <w:trPr>
          <w:trHeight w:val="225"/>
        </w:trPr>
        <w:tc>
          <w:tcPr>
            <w:tcW w:w="3175" w:type="dxa"/>
            <w:tcBorders>
              <w:top w:val="nil"/>
              <w:left w:val="nil"/>
              <w:right w:val="nil"/>
            </w:tcBorders>
            <w:shd w:val="clear" w:color="auto" w:fill="auto"/>
            <w:vAlign w:val="bottom"/>
            <w:hideMark/>
          </w:tcPr>
          <w:p w:rsidR="00C6076D" w:rsidRPr="00C6076D" w:rsidRDefault="00C6076D" w:rsidP="00C6076D">
            <w:pPr>
              <w:spacing w:after="0" w:line="240" w:lineRule="auto"/>
              <w:ind w:firstLineChars="100" w:firstLine="160"/>
              <w:rPr>
                <w:rFonts w:ascii="Arial" w:hAnsi="Arial" w:cs="Arial"/>
                <w:b/>
                <w:bCs/>
                <w:sz w:val="16"/>
                <w:szCs w:val="16"/>
              </w:rPr>
            </w:pPr>
            <w:r w:rsidRPr="00C6076D">
              <w:rPr>
                <w:rFonts w:ascii="Arial" w:hAnsi="Arial" w:cs="Arial"/>
                <w:b/>
                <w:bCs/>
                <w:sz w:val="16"/>
                <w:szCs w:val="16"/>
              </w:rPr>
              <w:t>Total other movements</w:t>
            </w:r>
          </w:p>
        </w:tc>
        <w:tc>
          <w:tcPr>
            <w:tcW w:w="1020"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(4,193)</w:t>
            </w:r>
          </w:p>
        </w:tc>
        <w:tc>
          <w:tcPr>
            <w:tcW w:w="1332"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(1,156)</w:t>
            </w:r>
          </w:p>
        </w:tc>
        <w:tc>
          <w:tcPr>
            <w:tcW w:w="1191"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(873)</w:t>
            </w:r>
          </w:p>
        </w:tc>
        <w:tc>
          <w:tcPr>
            <w:tcW w:w="1020"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b/>
                <w:bCs/>
                <w:sz w:val="16"/>
                <w:szCs w:val="16"/>
              </w:rPr>
            </w:pPr>
            <w:r w:rsidRPr="00C6076D">
              <w:rPr>
                <w:rFonts w:ascii="Arial" w:hAnsi="Arial" w:cs="Arial"/>
                <w:b/>
                <w:bCs/>
                <w:sz w:val="16"/>
                <w:szCs w:val="16"/>
              </w:rPr>
              <w:t>(6,222)</w:t>
            </w:r>
          </w:p>
        </w:tc>
      </w:tr>
      <w:tr w:rsidR="00C6076D" w:rsidRPr="00C6076D" w:rsidTr="001C66B0">
        <w:trPr>
          <w:trHeight w:val="225"/>
        </w:trPr>
        <w:tc>
          <w:tcPr>
            <w:tcW w:w="3175" w:type="dxa"/>
            <w:tcBorders>
              <w:left w:val="nil"/>
              <w:bottom w:val="nil"/>
              <w:right w:val="nil"/>
            </w:tcBorders>
            <w:shd w:val="clear" w:color="auto" w:fill="auto"/>
            <w:vAlign w:val="bottom"/>
            <w:hideMark/>
          </w:tcPr>
          <w:p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As at 30 June 2019</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p>
        </w:tc>
      </w:tr>
      <w:tr w:rsidR="00C6076D" w:rsidRPr="00C6076D" w:rsidTr="001C66B0">
        <w:trPr>
          <w:trHeight w:val="225"/>
        </w:trPr>
        <w:tc>
          <w:tcPr>
            <w:tcW w:w="3175" w:type="dxa"/>
            <w:tcBorders>
              <w:top w:val="nil"/>
              <w:left w:val="nil"/>
              <w:bottom w:val="nil"/>
              <w:right w:val="nil"/>
            </w:tcBorders>
            <w:shd w:val="clear" w:color="auto" w:fill="auto"/>
            <w:vAlign w:val="bottom"/>
            <w:hideMark/>
          </w:tcPr>
          <w:p w:rsidR="00C6076D" w:rsidRPr="00C6076D" w:rsidRDefault="00C6076D" w:rsidP="00C6076D">
            <w:pPr>
              <w:spacing w:after="0" w:line="240" w:lineRule="auto"/>
              <w:ind w:firstLineChars="100" w:firstLine="160"/>
              <w:rPr>
                <w:rFonts w:ascii="Arial" w:hAnsi="Arial" w:cs="Arial"/>
                <w:sz w:val="16"/>
                <w:szCs w:val="16"/>
              </w:rPr>
            </w:pPr>
            <w:r w:rsidRPr="00C6076D">
              <w:rPr>
                <w:rFonts w:ascii="Arial" w:hAnsi="Arial" w:cs="Arial"/>
                <w:sz w:val="16"/>
                <w:szCs w:val="16"/>
              </w:rPr>
              <w:t>Gross book value</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26,060 </w:t>
            </w: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5,733 </w:t>
            </w: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8,230 </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 xml:space="preserve">40,023 </w:t>
            </w:r>
          </w:p>
        </w:tc>
      </w:tr>
      <w:tr w:rsidR="00C6076D" w:rsidRPr="00C6076D" w:rsidTr="001C66B0">
        <w:trPr>
          <w:trHeight w:val="397"/>
        </w:trPr>
        <w:tc>
          <w:tcPr>
            <w:tcW w:w="3175" w:type="dxa"/>
            <w:tcBorders>
              <w:top w:val="nil"/>
              <w:left w:val="nil"/>
              <w:bottom w:val="nil"/>
              <w:right w:val="nil"/>
            </w:tcBorders>
            <w:shd w:val="clear" w:color="auto" w:fill="auto"/>
            <w:vAlign w:val="bottom"/>
            <w:hideMark/>
          </w:tcPr>
          <w:p w:rsidR="00C6076D" w:rsidRPr="00C6076D" w:rsidRDefault="00C6076D" w:rsidP="00847E43">
            <w:pPr>
              <w:spacing w:after="0" w:line="240" w:lineRule="auto"/>
              <w:ind w:leftChars="80" w:left="333" w:hangingChars="108" w:hanging="173"/>
              <w:rPr>
                <w:rFonts w:ascii="Arial" w:hAnsi="Arial" w:cs="Arial"/>
                <w:sz w:val="16"/>
                <w:szCs w:val="16"/>
              </w:rPr>
            </w:pPr>
            <w:r w:rsidRPr="00C6076D">
              <w:rPr>
                <w:rFonts w:ascii="Arial" w:hAnsi="Arial" w:cs="Arial"/>
                <w:sz w:val="16"/>
                <w:szCs w:val="16"/>
              </w:rPr>
              <w:t>Accumulated depreciation/amortisation and impairment</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(8,227)</w:t>
            </w:r>
          </w:p>
        </w:tc>
        <w:tc>
          <w:tcPr>
            <w:tcW w:w="1332"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(2,313)</w:t>
            </w:r>
          </w:p>
        </w:tc>
        <w:tc>
          <w:tcPr>
            <w:tcW w:w="1191"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(4,562)</w:t>
            </w:r>
          </w:p>
        </w:tc>
        <w:tc>
          <w:tcPr>
            <w:tcW w:w="1020" w:type="dxa"/>
            <w:tcBorders>
              <w:top w:val="nil"/>
              <w:left w:val="nil"/>
              <w:bottom w:val="nil"/>
              <w:right w:val="nil"/>
            </w:tcBorders>
            <w:shd w:val="clear" w:color="auto" w:fill="auto"/>
            <w:noWrap/>
            <w:vAlign w:val="center"/>
            <w:hideMark/>
          </w:tcPr>
          <w:p w:rsidR="00C6076D" w:rsidRPr="00C6076D" w:rsidRDefault="00C6076D" w:rsidP="001C66B0">
            <w:pPr>
              <w:spacing w:after="0" w:line="240" w:lineRule="auto"/>
              <w:jc w:val="right"/>
              <w:rPr>
                <w:rFonts w:ascii="Arial" w:hAnsi="Arial" w:cs="Arial"/>
                <w:sz w:val="16"/>
                <w:szCs w:val="16"/>
              </w:rPr>
            </w:pPr>
            <w:r w:rsidRPr="00C6076D">
              <w:rPr>
                <w:rFonts w:ascii="Arial" w:hAnsi="Arial" w:cs="Arial"/>
                <w:sz w:val="16"/>
                <w:szCs w:val="16"/>
              </w:rPr>
              <w:t>(15,102)</w:t>
            </w:r>
          </w:p>
        </w:tc>
      </w:tr>
      <w:tr w:rsidR="00C6076D" w:rsidRPr="00C6076D" w:rsidTr="00847E43">
        <w:trPr>
          <w:trHeight w:val="225"/>
        </w:trPr>
        <w:tc>
          <w:tcPr>
            <w:tcW w:w="3175" w:type="dxa"/>
            <w:tcBorders>
              <w:top w:val="nil"/>
              <w:left w:val="nil"/>
              <w:bottom w:val="single" w:sz="4" w:space="0" w:color="auto"/>
              <w:right w:val="nil"/>
            </w:tcBorders>
            <w:shd w:val="clear" w:color="auto" w:fill="auto"/>
            <w:noWrap/>
            <w:vAlign w:val="bottom"/>
            <w:hideMark/>
          </w:tcPr>
          <w:p w:rsidR="00C6076D" w:rsidRPr="00C6076D" w:rsidRDefault="00C6076D" w:rsidP="00C6076D">
            <w:pPr>
              <w:spacing w:after="0" w:line="240" w:lineRule="auto"/>
              <w:rPr>
                <w:rFonts w:ascii="Arial" w:hAnsi="Arial" w:cs="Arial"/>
                <w:b/>
                <w:bCs/>
                <w:sz w:val="16"/>
                <w:szCs w:val="16"/>
              </w:rPr>
            </w:pPr>
            <w:r w:rsidRPr="00C6076D">
              <w:rPr>
                <w:rFonts w:ascii="Arial" w:hAnsi="Arial" w:cs="Arial"/>
                <w:b/>
                <w:bCs/>
                <w:sz w:val="16"/>
                <w:szCs w:val="16"/>
              </w:rPr>
              <w:t>Closing net book balance</w:t>
            </w:r>
          </w:p>
        </w:tc>
        <w:tc>
          <w:tcPr>
            <w:tcW w:w="1020" w:type="dxa"/>
            <w:tcBorders>
              <w:top w:val="single" w:sz="4" w:space="0" w:color="auto"/>
              <w:left w:val="nil"/>
              <w:bottom w:val="single" w:sz="4" w:space="0" w:color="auto"/>
              <w:right w:val="nil"/>
            </w:tcBorders>
            <w:shd w:val="clear" w:color="auto" w:fill="auto"/>
            <w:noWrap/>
            <w:vAlign w:val="bottom"/>
            <w:hideMark/>
          </w:tcPr>
          <w:p w:rsidR="00C6076D" w:rsidRPr="00C6076D" w:rsidRDefault="00C6076D" w:rsidP="00C6076D">
            <w:pPr>
              <w:spacing w:after="0" w:line="240" w:lineRule="auto"/>
              <w:jc w:val="right"/>
              <w:rPr>
                <w:rFonts w:ascii="Arial" w:hAnsi="Arial" w:cs="Arial"/>
                <w:b/>
                <w:bCs/>
                <w:sz w:val="16"/>
                <w:szCs w:val="16"/>
              </w:rPr>
            </w:pPr>
            <w:r w:rsidRPr="00C6076D">
              <w:rPr>
                <w:rFonts w:ascii="Arial" w:hAnsi="Arial" w:cs="Arial"/>
                <w:b/>
                <w:bCs/>
                <w:sz w:val="16"/>
                <w:szCs w:val="16"/>
              </w:rPr>
              <w:t xml:space="preserve">17,833 </w:t>
            </w:r>
          </w:p>
        </w:tc>
        <w:tc>
          <w:tcPr>
            <w:tcW w:w="1332" w:type="dxa"/>
            <w:tcBorders>
              <w:top w:val="single" w:sz="4" w:space="0" w:color="auto"/>
              <w:left w:val="nil"/>
              <w:bottom w:val="single" w:sz="4" w:space="0" w:color="auto"/>
              <w:right w:val="nil"/>
            </w:tcBorders>
            <w:shd w:val="clear" w:color="auto" w:fill="auto"/>
            <w:noWrap/>
            <w:vAlign w:val="bottom"/>
            <w:hideMark/>
          </w:tcPr>
          <w:p w:rsidR="00C6076D" w:rsidRPr="00C6076D" w:rsidRDefault="00C6076D" w:rsidP="00C6076D">
            <w:pPr>
              <w:spacing w:after="0" w:line="240" w:lineRule="auto"/>
              <w:jc w:val="right"/>
              <w:rPr>
                <w:rFonts w:ascii="Arial" w:hAnsi="Arial" w:cs="Arial"/>
                <w:b/>
                <w:bCs/>
                <w:sz w:val="16"/>
                <w:szCs w:val="16"/>
              </w:rPr>
            </w:pPr>
            <w:r w:rsidRPr="00C6076D">
              <w:rPr>
                <w:rFonts w:ascii="Arial" w:hAnsi="Arial" w:cs="Arial"/>
                <w:b/>
                <w:bCs/>
                <w:sz w:val="16"/>
                <w:szCs w:val="16"/>
              </w:rPr>
              <w:t xml:space="preserve">3,420 </w:t>
            </w:r>
          </w:p>
        </w:tc>
        <w:tc>
          <w:tcPr>
            <w:tcW w:w="1191" w:type="dxa"/>
            <w:tcBorders>
              <w:top w:val="single" w:sz="4" w:space="0" w:color="auto"/>
              <w:left w:val="nil"/>
              <w:bottom w:val="single" w:sz="4" w:space="0" w:color="auto"/>
              <w:right w:val="nil"/>
            </w:tcBorders>
            <w:shd w:val="clear" w:color="auto" w:fill="auto"/>
            <w:noWrap/>
            <w:vAlign w:val="bottom"/>
            <w:hideMark/>
          </w:tcPr>
          <w:p w:rsidR="00C6076D" w:rsidRPr="00C6076D" w:rsidRDefault="00C6076D" w:rsidP="00C6076D">
            <w:pPr>
              <w:spacing w:after="0" w:line="240" w:lineRule="auto"/>
              <w:jc w:val="right"/>
              <w:rPr>
                <w:rFonts w:ascii="Arial" w:hAnsi="Arial" w:cs="Arial"/>
                <w:b/>
                <w:bCs/>
                <w:sz w:val="16"/>
                <w:szCs w:val="16"/>
              </w:rPr>
            </w:pPr>
            <w:r w:rsidRPr="00C6076D">
              <w:rPr>
                <w:rFonts w:ascii="Arial" w:hAnsi="Arial" w:cs="Arial"/>
                <w:b/>
                <w:bCs/>
                <w:sz w:val="16"/>
                <w:szCs w:val="16"/>
              </w:rPr>
              <w:t xml:space="preserve">3,668 </w:t>
            </w:r>
          </w:p>
        </w:tc>
        <w:tc>
          <w:tcPr>
            <w:tcW w:w="1020" w:type="dxa"/>
            <w:tcBorders>
              <w:top w:val="single" w:sz="4" w:space="0" w:color="auto"/>
              <w:left w:val="nil"/>
              <w:bottom w:val="single" w:sz="4" w:space="0" w:color="auto"/>
              <w:right w:val="nil"/>
            </w:tcBorders>
            <w:shd w:val="clear" w:color="auto" w:fill="auto"/>
            <w:noWrap/>
            <w:vAlign w:val="bottom"/>
            <w:hideMark/>
          </w:tcPr>
          <w:p w:rsidR="00C6076D" w:rsidRPr="00C6076D" w:rsidRDefault="00C6076D" w:rsidP="00C6076D">
            <w:pPr>
              <w:spacing w:after="0" w:line="240" w:lineRule="auto"/>
              <w:jc w:val="right"/>
              <w:rPr>
                <w:rFonts w:ascii="Arial" w:hAnsi="Arial" w:cs="Arial"/>
                <w:b/>
                <w:bCs/>
                <w:sz w:val="16"/>
                <w:szCs w:val="16"/>
              </w:rPr>
            </w:pPr>
            <w:r w:rsidRPr="00C6076D">
              <w:rPr>
                <w:rFonts w:ascii="Arial" w:hAnsi="Arial" w:cs="Arial"/>
                <w:b/>
                <w:bCs/>
                <w:sz w:val="16"/>
                <w:szCs w:val="16"/>
              </w:rPr>
              <w:t xml:space="preserve">24,921 </w:t>
            </w:r>
          </w:p>
        </w:tc>
      </w:tr>
    </w:tbl>
    <w:p w:rsidR="00787FE4" w:rsidRPr="00C6076D" w:rsidRDefault="00787FE4" w:rsidP="00E01B4E">
      <w:pPr>
        <w:pStyle w:val="ChartandTableFootnoteAlpha"/>
        <w:numPr>
          <w:ilvl w:val="0"/>
          <w:numId w:val="44"/>
        </w:numPr>
        <w:rPr>
          <w:rFonts w:cs="Arial"/>
          <w:szCs w:val="16"/>
        </w:rPr>
      </w:pPr>
      <w:r w:rsidRPr="00C6076D">
        <w:rPr>
          <w:rFonts w:cs="Arial"/>
          <w:szCs w:val="16"/>
        </w:rPr>
        <w:t>‘Appropriation ordinary annual services’ refers to funding provided through Appropriation Bill (No. 1) 2018</w:t>
      </w:r>
      <w:r w:rsidR="009A4CA7">
        <w:rPr>
          <w:rFonts w:cs="Arial"/>
          <w:szCs w:val="16"/>
        </w:rPr>
        <w:t>–</w:t>
      </w:r>
      <w:r w:rsidRPr="00C6076D">
        <w:rPr>
          <w:rFonts w:cs="Arial"/>
          <w:szCs w:val="16"/>
        </w:rPr>
        <w:t>19 for depreciation/amortisation expenses, DCBs or other operational expenses.</w:t>
      </w:r>
    </w:p>
    <w:p w:rsidR="00787FE4" w:rsidRDefault="00787FE4" w:rsidP="00787FE4">
      <w:pPr>
        <w:pStyle w:val="ChartandTableFootnote"/>
      </w:pPr>
      <w:r w:rsidRPr="00132F9E">
        <w:t>Prepared on Australian Accounting Standards basis.</w:t>
      </w:r>
    </w:p>
    <w:p w:rsidR="00787FE4" w:rsidRDefault="00787FE4" w:rsidP="00787FE4">
      <w:pPr>
        <w:pStyle w:val="TableHeading"/>
      </w:pPr>
      <w:r>
        <w:rPr>
          <w:rFonts w:cs="Arial"/>
          <w:szCs w:val="16"/>
        </w:rPr>
        <w:br w:type="page"/>
      </w: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751" w:type="dxa"/>
        <w:tblInd w:w="93" w:type="dxa"/>
        <w:tblLook w:val="04A0" w:firstRow="1" w:lastRow="0" w:firstColumn="1" w:lastColumn="0" w:noHBand="0" w:noVBand="1"/>
      </w:tblPr>
      <w:tblGrid>
        <w:gridCol w:w="3288"/>
        <w:gridCol w:w="947"/>
        <w:gridCol w:w="879"/>
        <w:gridCol w:w="879"/>
        <w:gridCol w:w="879"/>
        <w:gridCol w:w="879"/>
      </w:tblGrid>
      <w:tr w:rsidR="00C6076D" w:rsidRPr="00C6076D" w:rsidTr="00847E43">
        <w:trPr>
          <w:trHeight w:val="794"/>
        </w:trPr>
        <w:tc>
          <w:tcPr>
            <w:tcW w:w="3288" w:type="dxa"/>
            <w:tcBorders>
              <w:top w:val="single" w:sz="4" w:space="0" w:color="auto"/>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sz w:val="16"/>
                <w:szCs w:val="16"/>
              </w:rPr>
            </w:pPr>
            <w:r w:rsidRPr="00C6076D">
              <w:rPr>
                <w:rFonts w:ascii="Arial" w:hAnsi="Arial" w:cs="Arial"/>
                <w:b/>
                <w:bCs/>
                <w:sz w:val="16"/>
                <w:szCs w:val="16"/>
              </w:rPr>
              <w:t> </w:t>
            </w:r>
          </w:p>
        </w:tc>
        <w:tc>
          <w:tcPr>
            <w:tcW w:w="947"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2017–18 Estimated actual</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2018–19</w:t>
            </w:r>
            <w:r w:rsidRPr="00C6076D">
              <w:rPr>
                <w:rFonts w:ascii="Arial" w:hAnsi="Arial" w:cs="Arial"/>
                <w:sz w:val="16"/>
                <w:szCs w:val="16"/>
              </w:rPr>
              <w:br/>
              <w:t>Budget</w:t>
            </w:r>
            <w:r w:rsidRPr="00C6076D">
              <w:rPr>
                <w:rFonts w:ascii="Arial" w:hAnsi="Arial" w:cs="Arial"/>
                <w:sz w:val="16"/>
                <w:szCs w:val="16"/>
              </w:rPr>
              <w:br/>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2019–20 Forward estimate</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2020–21 Forward estimate</w:t>
            </w:r>
            <w:r w:rsidRPr="00C6076D">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C6076D" w:rsidRPr="00C6076D" w:rsidRDefault="00C6076D" w:rsidP="00847E43">
            <w:pPr>
              <w:spacing w:after="0" w:line="240" w:lineRule="auto"/>
              <w:jc w:val="right"/>
              <w:rPr>
                <w:rFonts w:ascii="Arial" w:hAnsi="Arial" w:cs="Arial"/>
                <w:sz w:val="16"/>
                <w:szCs w:val="16"/>
              </w:rPr>
            </w:pPr>
            <w:r w:rsidRPr="00C6076D">
              <w:rPr>
                <w:rFonts w:ascii="Arial" w:hAnsi="Arial" w:cs="Arial"/>
                <w:sz w:val="16"/>
                <w:szCs w:val="16"/>
              </w:rPr>
              <w:t>2021–22</w:t>
            </w:r>
            <w:r w:rsidRPr="00C6076D">
              <w:rPr>
                <w:rFonts w:ascii="Arial" w:hAnsi="Arial" w:cs="Arial"/>
                <w:sz w:val="16"/>
                <w:szCs w:val="16"/>
              </w:rPr>
              <w:br/>
              <w:t>Forward estimate</w:t>
            </w:r>
            <w:r w:rsidRPr="00C6076D">
              <w:rPr>
                <w:rFonts w:ascii="Arial" w:hAnsi="Arial" w:cs="Arial"/>
                <w:sz w:val="16"/>
                <w:szCs w:val="16"/>
              </w:rPr>
              <w:br/>
              <w:t>$'000</w:t>
            </w: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EXPENSES</w:t>
            </w:r>
          </w:p>
        </w:tc>
        <w:tc>
          <w:tcPr>
            <w:tcW w:w="94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ind w:firstLineChars="100" w:firstLine="160"/>
              <w:rPr>
                <w:rFonts w:ascii="Arial" w:hAnsi="Arial" w:cs="Arial"/>
                <w:color w:val="000000"/>
                <w:sz w:val="16"/>
                <w:szCs w:val="16"/>
              </w:rPr>
            </w:pPr>
            <w:r w:rsidRPr="00C6076D">
              <w:rPr>
                <w:rFonts w:ascii="Arial" w:hAnsi="Arial" w:cs="Arial"/>
                <w:color w:val="000000"/>
                <w:sz w:val="16"/>
                <w:szCs w:val="16"/>
              </w:rPr>
              <w:t>Other expenses</w:t>
            </w:r>
          </w:p>
        </w:tc>
        <w:tc>
          <w:tcPr>
            <w:tcW w:w="94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500 </w:t>
            </w:r>
          </w:p>
        </w:tc>
      </w:tr>
      <w:tr w:rsidR="00C6076D" w:rsidRPr="00C6076D" w:rsidTr="00847E43">
        <w:trPr>
          <w:trHeight w:val="450"/>
        </w:trPr>
        <w:tc>
          <w:tcPr>
            <w:tcW w:w="3288" w:type="dxa"/>
            <w:tcBorders>
              <w:top w:val="nil"/>
              <w:left w:val="nil"/>
              <w:bottom w:val="nil"/>
              <w:right w:val="nil"/>
            </w:tcBorders>
            <w:shd w:val="clear" w:color="auto" w:fill="auto"/>
            <w:vAlign w:val="center"/>
            <w:hideMark/>
          </w:tcPr>
          <w:p w:rsidR="00C6076D" w:rsidRPr="00C6076D" w:rsidRDefault="00C6076D" w:rsidP="000B0916">
            <w:pPr>
              <w:spacing w:after="0" w:line="240" w:lineRule="auto"/>
              <w:ind w:left="191" w:hanging="191"/>
              <w:rPr>
                <w:rFonts w:ascii="Arial" w:hAnsi="Arial" w:cs="Arial"/>
                <w:b/>
                <w:bCs/>
                <w:color w:val="000000"/>
                <w:sz w:val="16"/>
                <w:szCs w:val="16"/>
              </w:rPr>
            </w:pPr>
            <w:r w:rsidRPr="00C6076D">
              <w:rPr>
                <w:rFonts w:ascii="Arial" w:hAnsi="Arial" w:cs="Arial"/>
                <w:b/>
                <w:bCs/>
                <w:color w:val="000000"/>
                <w:sz w:val="16"/>
                <w:szCs w:val="16"/>
              </w:rPr>
              <w:t xml:space="preserve">Total </w:t>
            </w:r>
            <w:r w:rsidR="000B0916">
              <w:rPr>
                <w:rFonts w:ascii="Arial" w:hAnsi="Arial" w:cs="Arial"/>
                <w:b/>
                <w:bCs/>
                <w:color w:val="000000"/>
                <w:sz w:val="16"/>
                <w:szCs w:val="16"/>
              </w:rPr>
              <w:t>expenses</w:t>
            </w:r>
            <w:r w:rsidRPr="00C6076D">
              <w:rPr>
                <w:rFonts w:ascii="Arial" w:hAnsi="Arial" w:cs="Arial"/>
                <w:b/>
                <w:bCs/>
                <w:color w:val="000000"/>
                <w:sz w:val="16"/>
                <w:szCs w:val="16"/>
              </w:rPr>
              <w:t xml:space="preserve"> administered on behalf of Government</w:t>
            </w:r>
          </w:p>
        </w:tc>
        <w:tc>
          <w:tcPr>
            <w:tcW w:w="947"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c>
          <w:tcPr>
            <w:tcW w:w="879" w:type="dxa"/>
            <w:tcBorders>
              <w:top w:val="single" w:sz="4" w:space="0" w:color="auto"/>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500 </w:t>
            </w: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LESS:</w:t>
            </w:r>
          </w:p>
        </w:tc>
        <w:tc>
          <w:tcPr>
            <w:tcW w:w="94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OWN-SOURCE INCOME</w:t>
            </w:r>
          </w:p>
        </w:tc>
        <w:tc>
          <w:tcPr>
            <w:tcW w:w="94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Own-source revenue</w:t>
            </w:r>
          </w:p>
        </w:tc>
        <w:tc>
          <w:tcPr>
            <w:tcW w:w="94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Non-taxation revenue</w:t>
            </w:r>
          </w:p>
        </w:tc>
        <w:tc>
          <w:tcPr>
            <w:tcW w:w="94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ind w:firstLineChars="100" w:firstLine="160"/>
              <w:rPr>
                <w:rFonts w:ascii="Arial" w:hAnsi="Arial" w:cs="Arial"/>
                <w:color w:val="000000"/>
                <w:sz w:val="16"/>
                <w:szCs w:val="16"/>
              </w:rPr>
            </w:pPr>
            <w:r w:rsidRPr="00C6076D">
              <w:rPr>
                <w:rFonts w:ascii="Arial" w:hAnsi="Arial" w:cs="Arial"/>
                <w:color w:val="000000"/>
                <w:sz w:val="16"/>
                <w:szCs w:val="16"/>
              </w:rPr>
              <w:t>Other revenue</w:t>
            </w:r>
          </w:p>
        </w:tc>
        <w:tc>
          <w:tcPr>
            <w:tcW w:w="947"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c>
          <w:tcPr>
            <w:tcW w:w="879" w:type="dxa"/>
            <w:tcBorders>
              <w:top w:val="nil"/>
              <w:left w:val="nil"/>
              <w:bottom w:val="nil"/>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c>
          <w:tcPr>
            <w:tcW w:w="879"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1,078 </w:t>
            </w:r>
          </w:p>
        </w:tc>
      </w:tr>
      <w:tr w:rsidR="00C6076D" w:rsidRPr="00C6076D" w:rsidTr="00847E43">
        <w:trPr>
          <w:trHeight w:val="227"/>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i/>
                <w:iCs/>
                <w:color w:val="000000"/>
                <w:sz w:val="16"/>
                <w:szCs w:val="16"/>
              </w:rPr>
            </w:pPr>
            <w:r w:rsidRPr="00C6076D">
              <w:rPr>
                <w:rFonts w:ascii="Arial" w:hAnsi="Arial" w:cs="Arial"/>
                <w:b/>
                <w:bCs/>
                <w:i/>
                <w:iCs/>
                <w:color w:val="000000"/>
                <w:sz w:val="16"/>
                <w:szCs w:val="16"/>
              </w:rPr>
              <w:t>Total non-taxation revenue</w:t>
            </w:r>
          </w:p>
        </w:tc>
        <w:tc>
          <w:tcPr>
            <w:tcW w:w="947"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c>
          <w:tcPr>
            <w:tcW w:w="879" w:type="dxa"/>
            <w:tcBorders>
              <w:top w:val="single" w:sz="4" w:space="0" w:color="auto"/>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i/>
                <w:iCs/>
                <w:color w:val="000000"/>
                <w:sz w:val="16"/>
                <w:szCs w:val="16"/>
              </w:rPr>
            </w:pPr>
            <w:r w:rsidRPr="00C6076D">
              <w:rPr>
                <w:rFonts w:ascii="Arial" w:hAnsi="Arial" w:cs="Arial"/>
                <w:b/>
                <w:bCs/>
                <w:i/>
                <w:iCs/>
                <w:color w:val="000000"/>
                <w:sz w:val="16"/>
                <w:szCs w:val="16"/>
              </w:rPr>
              <w:t xml:space="preserve">1,078 </w:t>
            </w:r>
          </w:p>
        </w:tc>
      </w:tr>
      <w:tr w:rsidR="00C6076D" w:rsidRPr="00C6076D" w:rsidTr="00847E43">
        <w:trPr>
          <w:trHeight w:val="397"/>
        </w:trPr>
        <w:tc>
          <w:tcPr>
            <w:tcW w:w="3288" w:type="dxa"/>
            <w:tcBorders>
              <w:top w:val="nil"/>
              <w:left w:val="nil"/>
              <w:bottom w:val="nil"/>
              <w:right w:val="nil"/>
            </w:tcBorders>
            <w:shd w:val="clear" w:color="auto" w:fill="auto"/>
            <w:vAlign w:val="center"/>
            <w:hideMark/>
          </w:tcPr>
          <w:p w:rsidR="00C6076D" w:rsidRPr="00C6076D" w:rsidRDefault="00C6076D" w:rsidP="00847E43">
            <w:pPr>
              <w:spacing w:after="0" w:line="240" w:lineRule="auto"/>
              <w:ind w:left="191" w:hanging="191"/>
              <w:rPr>
                <w:rFonts w:ascii="Arial" w:hAnsi="Arial" w:cs="Arial"/>
                <w:b/>
                <w:bCs/>
                <w:color w:val="000000"/>
                <w:sz w:val="16"/>
                <w:szCs w:val="16"/>
              </w:rPr>
            </w:pPr>
            <w:r w:rsidRPr="00C6076D">
              <w:rPr>
                <w:rFonts w:ascii="Arial" w:hAnsi="Arial" w:cs="Arial"/>
                <w:b/>
                <w:bCs/>
                <w:color w:val="000000"/>
                <w:sz w:val="16"/>
                <w:szCs w:val="16"/>
              </w:rPr>
              <w:t>Total own-source revenue administered on behalf of Government</w:t>
            </w:r>
          </w:p>
        </w:tc>
        <w:tc>
          <w:tcPr>
            <w:tcW w:w="947"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r>
      <w:tr w:rsidR="00C6076D" w:rsidRPr="00C6076D" w:rsidTr="006C1468">
        <w:trPr>
          <w:trHeight w:val="397"/>
        </w:trPr>
        <w:tc>
          <w:tcPr>
            <w:tcW w:w="3288" w:type="dxa"/>
            <w:tcBorders>
              <w:top w:val="nil"/>
              <w:left w:val="nil"/>
              <w:right w:val="nil"/>
            </w:tcBorders>
            <w:shd w:val="clear" w:color="auto" w:fill="auto"/>
            <w:vAlign w:val="center"/>
            <w:hideMark/>
          </w:tcPr>
          <w:p w:rsidR="00C6076D" w:rsidRPr="00C6076D" w:rsidRDefault="00C6076D" w:rsidP="006C1468">
            <w:pPr>
              <w:spacing w:after="0" w:line="240" w:lineRule="auto"/>
              <w:ind w:left="191" w:hanging="191"/>
              <w:rPr>
                <w:rFonts w:ascii="Arial" w:hAnsi="Arial" w:cs="Arial"/>
                <w:b/>
                <w:bCs/>
                <w:color w:val="000000"/>
                <w:sz w:val="16"/>
                <w:szCs w:val="16"/>
              </w:rPr>
            </w:pPr>
            <w:r w:rsidRPr="00C6076D">
              <w:rPr>
                <w:rFonts w:ascii="Arial" w:hAnsi="Arial" w:cs="Arial"/>
                <w:b/>
                <w:bCs/>
                <w:color w:val="000000"/>
                <w:sz w:val="16"/>
                <w:szCs w:val="16"/>
              </w:rPr>
              <w:t>Total own-sourced income administered on behalf of Government</w:t>
            </w:r>
          </w:p>
        </w:tc>
        <w:tc>
          <w:tcPr>
            <w:tcW w:w="947"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1,078 </w:t>
            </w:r>
          </w:p>
        </w:tc>
      </w:tr>
      <w:tr w:rsidR="00C6076D" w:rsidRPr="00C6076D" w:rsidTr="006C1468">
        <w:trPr>
          <w:trHeight w:val="227"/>
        </w:trPr>
        <w:tc>
          <w:tcPr>
            <w:tcW w:w="3288" w:type="dxa"/>
            <w:tcBorders>
              <w:top w:val="nil"/>
              <w:left w:val="nil"/>
              <w:right w:val="nil"/>
            </w:tcBorders>
            <w:shd w:val="clear" w:color="auto" w:fill="auto"/>
            <w:vAlign w:val="center"/>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Net (cost of)/contribution by services</w:t>
            </w:r>
          </w:p>
        </w:tc>
        <w:tc>
          <w:tcPr>
            <w:tcW w:w="947"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c>
          <w:tcPr>
            <w:tcW w:w="879" w:type="dxa"/>
            <w:tcBorders>
              <w:top w:val="nil"/>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(578)</w:t>
            </w:r>
          </w:p>
        </w:tc>
      </w:tr>
      <w:tr w:rsidR="00C6076D" w:rsidRPr="00C6076D" w:rsidTr="00847E43">
        <w:trPr>
          <w:trHeight w:val="225"/>
        </w:trPr>
        <w:tc>
          <w:tcPr>
            <w:tcW w:w="3288" w:type="dxa"/>
            <w:tcBorders>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Surplus/(deficit) before income tax</w:t>
            </w:r>
          </w:p>
        </w:tc>
        <w:tc>
          <w:tcPr>
            <w:tcW w:w="947"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r>
      <w:tr w:rsidR="00C6076D" w:rsidRPr="00C6076D" w:rsidTr="00847E43">
        <w:trPr>
          <w:trHeight w:val="225"/>
        </w:trPr>
        <w:tc>
          <w:tcPr>
            <w:tcW w:w="3288" w:type="dxa"/>
            <w:tcBorders>
              <w:top w:val="nil"/>
              <w:left w:val="nil"/>
              <w:bottom w:val="nil"/>
              <w:right w:val="nil"/>
            </w:tcBorders>
            <w:shd w:val="clear" w:color="auto" w:fill="auto"/>
            <w:noWrap/>
            <w:vAlign w:val="center"/>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Surplus/(deficit) after income tax</w:t>
            </w:r>
          </w:p>
        </w:tc>
        <w:tc>
          <w:tcPr>
            <w:tcW w:w="947"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c>
          <w:tcPr>
            <w:tcW w:w="879" w:type="dxa"/>
            <w:tcBorders>
              <w:top w:val="single" w:sz="4" w:space="0" w:color="auto"/>
              <w:left w:val="nil"/>
              <w:bottom w:val="single" w:sz="4" w:space="0" w:color="auto"/>
              <w:right w:val="nil"/>
            </w:tcBorders>
            <w:shd w:val="clear" w:color="000000" w:fill="E6E6E6"/>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c>
          <w:tcPr>
            <w:tcW w:w="879" w:type="dxa"/>
            <w:tcBorders>
              <w:top w:val="single" w:sz="4" w:space="0" w:color="auto"/>
              <w:left w:val="nil"/>
              <w:bottom w:val="single" w:sz="4" w:space="0" w:color="auto"/>
              <w:right w:val="nil"/>
            </w:tcBorders>
            <w:shd w:val="clear" w:color="auto" w:fill="auto"/>
            <w:noWrap/>
            <w:vAlign w:val="center"/>
            <w:hideMark/>
          </w:tcPr>
          <w:p w:rsidR="00C6076D" w:rsidRPr="00C6076D" w:rsidRDefault="00C6076D" w:rsidP="00847E43">
            <w:pPr>
              <w:spacing w:after="0" w:line="240" w:lineRule="auto"/>
              <w:jc w:val="right"/>
              <w:rPr>
                <w:rFonts w:ascii="Arial" w:hAnsi="Arial" w:cs="Arial"/>
                <w:color w:val="000000"/>
                <w:sz w:val="16"/>
                <w:szCs w:val="16"/>
              </w:rPr>
            </w:pPr>
            <w:r w:rsidRPr="00C6076D">
              <w:rPr>
                <w:rFonts w:ascii="Arial" w:hAnsi="Arial" w:cs="Arial"/>
                <w:color w:val="000000"/>
                <w:sz w:val="16"/>
                <w:szCs w:val="16"/>
              </w:rPr>
              <w:t xml:space="preserve">578 </w:t>
            </w:r>
          </w:p>
        </w:tc>
      </w:tr>
      <w:tr w:rsidR="00C6076D" w:rsidRPr="00C6076D" w:rsidTr="00847E43">
        <w:trPr>
          <w:trHeight w:val="225"/>
        </w:trPr>
        <w:tc>
          <w:tcPr>
            <w:tcW w:w="3288" w:type="dxa"/>
            <w:tcBorders>
              <w:top w:val="nil"/>
              <w:left w:val="nil"/>
              <w:bottom w:val="single" w:sz="4" w:space="0" w:color="000000"/>
              <w:right w:val="nil"/>
            </w:tcBorders>
            <w:shd w:val="clear" w:color="auto" w:fill="auto"/>
            <w:noWrap/>
            <w:vAlign w:val="bottom"/>
            <w:hideMark/>
          </w:tcPr>
          <w:p w:rsidR="00C6076D" w:rsidRPr="00C6076D" w:rsidRDefault="00C6076D" w:rsidP="00847E43">
            <w:pPr>
              <w:spacing w:after="0" w:line="240" w:lineRule="auto"/>
              <w:rPr>
                <w:rFonts w:ascii="Arial" w:hAnsi="Arial" w:cs="Arial"/>
                <w:b/>
                <w:bCs/>
                <w:color w:val="000000"/>
                <w:sz w:val="16"/>
                <w:szCs w:val="16"/>
              </w:rPr>
            </w:pPr>
            <w:r w:rsidRPr="00C6076D">
              <w:rPr>
                <w:rFonts w:ascii="Arial" w:hAnsi="Arial" w:cs="Arial"/>
                <w:b/>
                <w:bCs/>
                <w:color w:val="000000"/>
                <w:sz w:val="16"/>
                <w:szCs w:val="16"/>
              </w:rPr>
              <w:t>Total comprehensive income/(loss)</w:t>
            </w:r>
          </w:p>
        </w:tc>
        <w:tc>
          <w:tcPr>
            <w:tcW w:w="947" w:type="dxa"/>
            <w:tcBorders>
              <w:top w:val="nil"/>
              <w:left w:val="nil"/>
              <w:bottom w:val="single" w:sz="4" w:space="0" w:color="000000"/>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000000"/>
              <w:right w:val="nil"/>
            </w:tcBorders>
            <w:shd w:val="clear" w:color="000000" w:fill="E6E6E6"/>
            <w:noWrap/>
            <w:vAlign w:val="bottom"/>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000000"/>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000000"/>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c>
          <w:tcPr>
            <w:tcW w:w="879" w:type="dxa"/>
            <w:tcBorders>
              <w:top w:val="nil"/>
              <w:left w:val="nil"/>
              <w:bottom w:val="single" w:sz="4" w:space="0" w:color="000000"/>
              <w:right w:val="nil"/>
            </w:tcBorders>
            <w:shd w:val="clear" w:color="auto" w:fill="auto"/>
            <w:noWrap/>
            <w:vAlign w:val="bottom"/>
            <w:hideMark/>
          </w:tcPr>
          <w:p w:rsidR="00C6076D" w:rsidRPr="00C6076D" w:rsidRDefault="00C6076D" w:rsidP="00847E43">
            <w:pPr>
              <w:spacing w:after="0" w:line="240" w:lineRule="auto"/>
              <w:jc w:val="right"/>
              <w:rPr>
                <w:rFonts w:ascii="Arial" w:hAnsi="Arial" w:cs="Arial"/>
                <w:b/>
                <w:bCs/>
                <w:color w:val="000000"/>
                <w:sz w:val="16"/>
                <w:szCs w:val="16"/>
              </w:rPr>
            </w:pPr>
            <w:r w:rsidRPr="00C6076D">
              <w:rPr>
                <w:rFonts w:ascii="Arial" w:hAnsi="Arial" w:cs="Arial"/>
                <w:b/>
                <w:bCs/>
                <w:color w:val="000000"/>
                <w:sz w:val="16"/>
                <w:szCs w:val="16"/>
              </w:rPr>
              <w:t xml:space="preserve">578 </w:t>
            </w:r>
          </w:p>
        </w:tc>
      </w:tr>
    </w:tbl>
    <w:p w:rsidR="00C6076D" w:rsidRDefault="00C6076D" w:rsidP="00C6076D">
      <w:pPr>
        <w:pStyle w:val="ChartandTableFootnote"/>
      </w:pPr>
      <w:r w:rsidRPr="00E4582E">
        <w:t>Prepared on Australian Accounting Standards basis</w:t>
      </w:r>
      <w:r>
        <w:t>.</w:t>
      </w:r>
    </w:p>
    <w:p w:rsidR="00787FE4" w:rsidRPr="00F10305" w:rsidRDefault="00787FE4" w:rsidP="00C6076D"/>
    <w:p w:rsidR="00C6076D" w:rsidRDefault="00C6076D" w:rsidP="00C6076D">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C6076D" w:rsidRPr="00B7521F" w:rsidRDefault="00C6076D" w:rsidP="00C6076D">
      <w:r>
        <w:t xml:space="preserve">The Fair Work Commission has no administered assets and liabilities. For this reason, Table 3.8 is not presented. </w:t>
      </w:r>
    </w:p>
    <w:p w:rsidR="006C1468" w:rsidRDefault="00C6076D" w:rsidP="006C1468">
      <w:pPr>
        <w:pStyle w:val="TableHeading"/>
      </w:pPr>
      <w:r>
        <w:br w:type="page"/>
      </w:r>
      <w:r w:rsidR="006C1468">
        <w:lastRenderedPageBreak/>
        <w:t xml:space="preserve">Table 3.9: </w:t>
      </w:r>
      <w:r w:rsidR="006C1468" w:rsidRPr="00C41D55">
        <w:t xml:space="preserve">Schedule of </w:t>
      </w:r>
      <w:r w:rsidR="006C1468">
        <w:t xml:space="preserve">budgeted administered cash flows </w:t>
      </w:r>
      <w:r w:rsidR="006C1468" w:rsidRPr="00C41D55">
        <w:t>(for</w:t>
      </w:r>
      <w:r w:rsidR="006C1468">
        <w:t> the </w:t>
      </w:r>
      <w:r w:rsidR="006C1468" w:rsidRPr="00C41D55">
        <w:t>period ended 30 June)</w:t>
      </w:r>
    </w:p>
    <w:tbl>
      <w:tblPr>
        <w:tblW w:w="7688" w:type="dxa"/>
        <w:tblInd w:w="93" w:type="dxa"/>
        <w:tblCellMar>
          <w:left w:w="57" w:type="dxa"/>
          <w:right w:w="57" w:type="dxa"/>
        </w:tblCellMar>
        <w:tblLook w:val="04A0" w:firstRow="1" w:lastRow="0" w:firstColumn="1" w:lastColumn="0" w:noHBand="0" w:noVBand="1"/>
      </w:tblPr>
      <w:tblGrid>
        <w:gridCol w:w="3458"/>
        <w:gridCol w:w="850"/>
        <w:gridCol w:w="845"/>
        <w:gridCol w:w="845"/>
        <w:gridCol w:w="845"/>
        <w:gridCol w:w="845"/>
      </w:tblGrid>
      <w:tr w:rsidR="006C1468" w:rsidRPr="006C1468" w:rsidTr="006C1468">
        <w:trPr>
          <w:trHeight w:val="794"/>
        </w:trPr>
        <w:tc>
          <w:tcPr>
            <w:tcW w:w="3458" w:type="dxa"/>
            <w:tcBorders>
              <w:top w:val="single" w:sz="4" w:space="0" w:color="auto"/>
              <w:left w:val="nil"/>
              <w:bottom w:val="nil"/>
              <w:right w:val="nil"/>
            </w:tcBorders>
            <w:shd w:val="clear" w:color="auto" w:fill="auto"/>
            <w:noWrap/>
            <w:vAlign w:val="center"/>
            <w:hideMark/>
          </w:tcPr>
          <w:p w:rsidR="006C1468" w:rsidRPr="006C1468" w:rsidRDefault="006C1468" w:rsidP="006C1468">
            <w:pPr>
              <w:spacing w:after="0" w:line="240" w:lineRule="auto"/>
              <w:rPr>
                <w:rFonts w:ascii="Arial" w:hAnsi="Arial" w:cs="Arial"/>
                <w:b/>
                <w:bCs/>
                <w:sz w:val="16"/>
                <w:szCs w:val="16"/>
              </w:rPr>
            </w:pPr>
            <w:r w:rsidRPr="006C1468">
              <w:rPr>
                <w:rFonts w:ascii="Arial" w:hAnsi="Arial" w:cs="Arial"/>
                <w:b/>
                <w:bCs/>
                <w:sz w:val="16"/>
                <w:szCs w:val="16"/>
              </w:rPr>
              <w:t> </w:t>
            </w:r>
          </w:p>
        </w:tc>
        <w:tc>
          <w:tcPr>
            <w:tcW w:w="850" w:type="dxa"/>
            <w:tcBorders>
              <w:top w:val="single" w:sz="4" w:space="0" w:color="auto"/>
              <w:left w:val="nil"/>
              <w:bottom w:val="single" w:sz="4" w:space="0" w:color="auto"/>
              <w:right w:val="nil"/>
            </w:tcBorders>
            <w:shd w:val="clear" w:color="auto" w:fill="auto"/>
            <w:vAlign w:val="center"/>
            <w:hideMark/>
          </w:tcPr>
          <w:p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2017–18 Estimated actual</w:t>
            </w:r>
            <w:r w:rsidRPr="006C1468">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000000" w:fill="E6E6E6"/>
            <w:vAlign w:val="center"/>
            <w:hideMark/>
          </w:tcPr>
          <w:p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2018–19</w:t>
            </w:r>
            <w:r w:rsidRPr="006C1468">
              <w:rPr>
                <w:rFonts w:ascii="Arial" w:hAnsi="Arial" w:cs="Arial"/>
                <w:sz w:val="16"/>
                <w:szCs w:val="16"/>
              </w:rPr>
              <w:br/>
              <w:t>Budget</w:t>
            </w:r>
            <w:r w:rsidRPr="006C1468">
              <w:rPr>
                <w:rFonts w:ascii="Arial" w:hAnsi="Arial" w:cs="Arial"/>
                <w:sz w:val="16"/>
                <w:szCs w:val="16"/>
              </w:rPr>
              <w:br/>
            </w:r>
            <w:r w:rsidRPr="006C1468">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auto" w:fill="auto"/>
            <w:vAlign w:val="center"/>
            <w:hideMark/>
          </w:tcPr>
          <w:p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2019–20 Forward estimate</w:t>
            </w:r>
            <w:r w:rsidRPr="006C1468">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auto" w:fill="auto"/>
            <w:vAlign w:val="center"/>
            <w:hideMark/>
          </w:tcPr>
          <w:p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2020–21 Forward estimate</w:t>
            </w:r>
            <w:r w:rsidRPr="006C1468">
              <w:rPr>
                <w:rFonts w:ascii="Arial" w:hAnsi="Arial" w:cs="Arial"/>
                <w:sz w:val="16"/>
                <w:szCs w:val="16"/>
              </w:rPr>
              <w:br/>
              <w:t>$'000</w:t>
            </w:r>
          </w:p>
        </w:tc>
        <w:tc>
          <w:tcPr>
            <w:tcW w:w="845" w:type="dxa"/>
            <w:tcBorders>
              <w:top w:val="single" w:sz="4" w:space="0" w:color="auto"/>
              <w:left w:val="nil"/>
              <w:bottom w:val="single" w:sz="4" w:space="0" w:color="auto"/>
              <w:right w:val="nil"/>
            </w:tcBorders>
            <w:shd w:val="clear" w:color="auto" w:fill="auto"/>
            <w:vAlign w:val="center"/>
            <w:hideMark/>
          </w:tcPr>
          <w:p w:rsidR="006C1468" w:rsidRPr="006C1468" w:rsidRDefault="006C1468" w:rsidP="006C1468">
            <w:pPr>
              <w:spacing w:after="0" w:line="240" w:lineRule="auto"/>
              <w:jc w:val="right"/>
              <w:rPr>
                <w:rFonts w:ascii="Arial" w:hAnsi="Arial" w:cs="Arial"/>
                <w:sz w:val="16"/>
                <w:szCs w:val="16"/>
              </w:rPr>
            </w:pPr>
            <w:r w:rsidRPr="006C1468">
              <w:rPr>
                <w:rFonts w:ascii="Arial" w:hAnsi="Arial" w:cs="Arial"/>
                <w:sz w:val="16"/>
                <w:szCs w:val="16"/>
              </w:rPr>
              <w:t>2021–22</w:t>
            </w:r>
            <w:r w:rsidRPr="006C1468">
              <w:rPr>
                <w:rFonts w:ascii="Arial" w:hAnsi="Arial" w:cs="Arial"/>
                <w:sz w:val="16"/>
                <w:szCs w:val="16"/>
              </w:rPr>
              <w:br/>
              <w:t>Forward estimate</w:t>
            </w:r>
            <w:r w:rsidRPr="006C1468">
              <w:rPr>
                <w:rFonts w:ascii="Arial" w:hAnsi="Arial" w:cs="Arial"/>
                <w:sz w:val="16"/>
                <w:szCs w:val="16"/>
              </w:rPr>
              <w:br/>
              <w:t>$'000</w:t>
            </w:r>
          </w:p>
        </w:tc>
      </w:tr>
      <w:tr w:rsidR="006C1468" w:rsidRPr="006C1468" w:rsidTr="006C1468">
        <w:trPr>
          <w:trHeight w:val="225"/>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rPr>
                <w:rFonts w:ascii="Arial" w:hAnsi="Arial" w:cs="Arial"/>
                <w:b/>
                <w:bCs/>
                <w:color w:val="000000"/>
                <w:sz w:val="16"/>
                <w:szCs w:val="16"/>
              </w:rPr>
            </w:pPr>
            <w:r w:rsidRPr="006C1468">
              <w:rPr>
                <w:rFonts w:ascii="Arial" w:hAnsi="Arial" w:cs="Arial"/>
                <w:b/>
                <w:bCs/>
                <w:color w:val="000000"/>
                <w:sz w:val="16"/>
                <w:szCs w:val="16"/>
              </w:rPr>
              <w:t>OPERATING ACTIVITIES</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r>
      <w:tr w:rsidR="006C1468" w:rsidRPr="006C1468" w:rsidTr="006C1468">
        <w:trPr>
          <w:trHeight w:val="225"/>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rPr>
                <w:rFonts w:ascii="Arial" w:hAnsi="Arial" w:cs="Arial"/>
                <w:b/>
                <w:bCs/>
                <w:color w:val="000000"/>
                <w:sz w:val="16"/>
                <w:szCs w:val="16"/>
              </w:rPr>
            </w:pPr>
            <w:r w:rsidRPr="006C1468">
              <w:rPr>
                <w:rFonts w:ascii="Arial" w:hAnsi="Arial" w:cs="Arial"/>
                <w:b/>
                <w:bCs/>
                <w:color w:val="000000"/>
                <w:sz w:val="16"/>
                <w:szCs w:val="16"/>
              </w:rPr>
              <w:t>Cash received</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r>
      <w:tr w:rsidR="006C1468" w:rsidRPr="006C1468" w:rsidTr="006C1468">
        <w:trPr>
          <w:trHeight w:val="225"/>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Other—</w:t>
            </w:r>
            <w:r w:rsidRPr="006C1468">
              <w:rPr>
                <w:rFonts w:ascii="Arial" w:hAnsi="Arial" w:cs="Arial"/>
                <w:color w:val="000000"/>
                <w:sz w:val="16"/>
                <w:szCs w:val="16"/>
              </w:rPr>
              <w:t>Application fees</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1,078 </w:t>
            </w:r>
          </w:p>
        </w:tc>
      </w:tr>
      <w:tr w:rsidR="006C1468" w:rsidRPr="006C1468" w:rsidTr="006C1468">
        <w:trPr>
          <w:trHeight w:val="227"/>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rPr>
                <w:rFonts w:ascii="Arial" w:hAnsi="Arial" w:cs="Arial"/>
                <w:b/>
                <w:bCs/>
                <w:i/>
                <w:iCs/>
                <w:color w:val="000000"/>
                <w:sz w:val="16"/>
                <w:szCs w:val="16"/>
              </w:rPr>
            </w:pPr>
            <w:r w:rsidRPr="006C1468">
              <w:rPr>
                <w:rFonts w:ascii="Arial" w:hAnsi="Arial" w:cs="Arial"/>
                <w:b/>
                <w:bCs/>
                <w:i/>
                <w:iCs/>
                <w:color w:val="000000"/>
                <w:sz w:val="16"/>
                <w:szCs w:val="16"/>
              </w:rPr>
              <w:t>Total cash received</w:t>
            </w:r>
          </w:p>
        </w:tc>
        <w:tc>
          <w:tcPr>
            <w:tcW w:w="850" w:type="dxa"/>
            <w:tcBorders>
              <w:top w:val="single" w:sz="4" w:space="0" w:color="000000"/>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c>
          <w:tcPr>
            <w:tcW w:w="845" w:type="dxa"/>
            <w:tcBorders>
              <w:top w:val="single" w:sz="4" w:space="0" w:color="000000"/>
              <w:left w:val="nil"/>
              <w:bottom w:val="single" w:sz="4" w:space="0" w:color="000000"/>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c>
          <w:tcPr>
            <w:tcW w:w="845" w:type="dxa"/>
            <w:tcBorders>
              <w:top w:val="single" w:sz="4" w:space="0" w:color="000000"/>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c>
          <w:tcPr>
            <w:tcW w:w="845" w:type="dxa"/>
            <w:tcBorders>
              <w:top w:val="single" w:sz="4" w:space="0" w:color="000000"/>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c>
          <w:tcPr>
            <w:tcW w:w="845" w:type="dxa"/>
            <w:tcBorders>
              <w:top w:val="single" w:sz="4" w:space="0" w:color="000000"/>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1,078 </w:t>
            </w:r>
          </w:p>
        </w:tc>
      </w:tr>
      <w:tr w:rsidR="006C1468" w:rsidRPr="006C1468" w:rsidTr="006C1468">
        <w:trPr>
          <w:trHeight w:val="225"/>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rPr>
                <w:rFonts w:ascii="Arial" w:hAnsi="Arial" w:cs="Arial"/>
                <w:b/>
                <w:bCs/>
                <w:color w:val="000000"/>
                <w:sz w:val="16"/>
                <w:szCs w:val="16"/>
              </w:rPr>
            </w:pPr>
            <w:r w:rsidRPr="006C1468">
              <w:rPr>
                <w:rFonts w:ascii="Arial" w:hAnsi="Arial" w:cs="Arial"/>
                <w:b/>
                <w:bCs/>
                <w:color w:val="000000"/>
                <w:sz w:val="16"/>
                <w:szCs w:val="16"/>
              </w:rPr>
              <w:t>Cash used</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r>
      <w:tr w:rsidR="006C1468" w:rsidRPr="006C1468" w:rsidTr="006C1468">
        <w:trPr>
          <w:trHeight w:val="225"/>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Other—</w:t>
            </w:r>
            <w:r w:rsidRPr="006C1468">
              <w:rPr>
                <w:rFonts w:ascii="Arial" w:hAnsi="Arial" w:cs="Arial"/>
                <w:color w:val="000000"/>
                <w:sz w:val="16"/>
                <w:szCs w:val="16"/>
              </w:rPr>
              <w:t>Refund of application fees</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r>
      <w:tr w:rsidR="006C1468" w:rsidRPr="006C1468" w:rsidTr="006C1468">
        <w:trPr>
          <w:trHeight w:val="227"/>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rPr>
                <w:rFonts w:ascii="Arial" w:hAnsi="Arial" w:cs="Arial"/>
                <w:b/>
                <w:bCs/>
                <w:i/>
                <w:iCs/>
                <w:color w:val="000000"/>
                <w:sz w:val="16"/>
                <w:szCs w:val="16"/>
              </w:rPr>
            </w:pPr>
            <w:r w:rsidRPr="006C1468">
              <w:rPr>
                <w:rFonts w:ascii="Arial" w:hAnsi="Arial" w:cs="Arial"/>
                <w:b/>
                <w:bCs/>
                <w:i/>
                <w:iCs/>
                <w:color w:val="000000"/>
                <w:sz w:val="16"/>
                <w:szCs w:val="16"/>
              </w:rPr>
              <w:t>Total cash used</w:t>
            </w:r>
          </w:p>
        </w:tc>
        <w:tc>
          <w:tcPr>
            <w:tcW w:w="850" w:type="dxa"/>
            <w:tcBorders>
              <w:top w:val="single" w:sz="4" w:space="0" w:color="000000"/>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c>
          <w:tcPr>
            <w:tcW w:w="845" w:type="dxa"/>
            <w:tcBorders>
              <w:top w:val="single" w:sz="4" w:space="0" w:color="000000"/>
              <w:left w:val="nil"/>
              <w:bottom w:val="single" w:sz="4" w:space="0" w:color="000000"/>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c>
          <w:tcPr>
            <w:tcW w:w="845" w:type="dxa"/>
            <w:tcBorders>
              <w:top w:val="single" w:sz="4" w:space="0" w:color="000000"/>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c>
          <w:tcPr>
            <w:tcW w:w="845" w:type="dxa"/>
            <w:tcBorders>
              <w:top w:val="single" w:sz="4" w:space="0" w:color="000000"/>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c>
          <w:tcPr>
            <w:tcW w:w="845" w:type="dxa"/>
            <w:tcBorders>
              <w:top w:val="single" w:sz="4" w:space="0" w:color="000000"/>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500 </w:t>
            </w:r>
          </w:p>
        </w:tc>
      </w:tr>
      <w:tr w:rsidR="006C1468" w:rsidRPr="006C1468" w:rsidTr="006C1468">
        <w:trPr>
          <w:trHeight w:val="227"/>
        </w:trPr>
        <w:tc>
          <w:tcPr>
            <w:tcW w:w="3458" w:type="dxa"/>
            <w:tcBorders>
              <w:top w:val="nil"/>
              <w:left w:val="nil"/>
              <w:bottom w:val="nil"/>
              <w:right w:val="nil"/>
            </w:tcBorders>
            <w:shd w:val="clear" w:color="auto" w:fill="auto"/>
            <w:vAlign w:val="center"/>
            <w:hideMark/>
          </w:tcPr>
          <w:p w:rsidR="006C1468" w:rsidRPr="006C1468" w:rsidRDefault="006C1468" w:rsidP="006C1468">
            <w:pPr>
              <w:spacing w:after="0" w:line="240" w:lineRule="auto"/>
              <w:rPr>
                <w:rFonts w:ascii="Arial" w:hAnsi="Arial" w:cs="Arial"/>
                <w:b/>
                <w:bCs/>
                <w:color w:val="000000"/>
                <w:sz w:val="16"/>
                <w:szCs w:val="16"/>
              </w:rPr>
            </w:pPr>
            <w:r w:rsidRPr="006C1468">
              <w:rPr>
                <w:rFonts w:ascii="Arial" w:hAnsi="Arial" w:cs="Arial"/>
                <w:b/>
                <w:bCs/>
                <w:color w:val="000000"/>
                <w:sz w:val="16"/>
                <w:szCs w:val="16"/>
              </w:rPr>
              <w:t>Net cash from/(used by) operating activities</w:t>
            </w:r>
          </w:p>
        </w:tc>
        <w:tc>
          <w:tcPr>
            <w:tcW w:w="850" w:type="dxa"/>
            <w:tcBorders>
              <w:top w:val="nil"/>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c>
          <w:tcPr>
            <w:tcW w:w="845" w:type="dxa"/>
            <w:tcBorders>
              <w:top w:val="nil"/>
              <w:left w:val="nil"/>
              <w:bottom w:val="single" w:sz="4" w:space="0" w:color="000000"/>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c>
          <w:tcPr>
            <w:tcW w:w="845" w:type="dxa"/>
            <w:tcBorders>
              <w:top w:val="nil"/>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c>
          <w:tcPr>
            <w:tcW w:w="845" w:type="dxa"/>
            <w:tcBorders>
              <w:top w:val="nil"/>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c>
          <w:tcPr>
            <w:tcW w:w="845" w:type="dxa"/>
            <w:tcBorders>
              <w:top w:val="nil"/>
              <w:left w:val="nil"/>
              <w:bottom w:val="single" w:sz="4" w:space="0" w:color="000000"/>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578 </w:t>
            </w:r>
          </w:p>
        </w:tc>
      </w:tr>
      <w:tr w:rsidR="006C1468" w:rsidRPr="006C1468" w:rsidTr="006C1468">
        <w:trPr>
          <w:trHeight w:val="227"/>
        </w:trPr>
        <w:tc>
          <w:tcPr>
            <w:tcW w:w="3458" w:type="dxa"/>
            <w:tcBorders>
              <w:top w:val="nil"/>
              <w:left w:val="nil"/>
              <w:bottom w:val="nil"/>
              <w:right w:val="nil"/>
            </w:tcBorders>
            <w:shd w:val="clear" w:color="auto" w:fill="auto"/>
            <w:vAlign w:val="center"/>
            <w:hideMark/>
          </w:tcPr>
          <w:p w:rsidR="006C1468" w:rsidRPr="006C1468" w:rsidRDefault="006C1468" w:rsidP="006C1468">
            <w:pPr>
              <w:spacing w:after="0" w:line="240" w:lineRule="auto"/>
              <w:rPr>
                <w:rFonts w:ascii="Arial" w:hAnsi="Arial" w:cs="Arial"/>
                <w:b/>
                <w:bCs/>
                <w:i/>
                <w:iCs/>
                <w:color w:val="000000"/>
                <w:sz w:val="16"/>
                <w:szCs w:val="16"/>
              </w:rPr>
            </w:pPr>
            <w:r w:rsidRPr="006C1468">
              <w:rPr>
                <w:rFonts w:ascii="Arial" w:hAnsi="Arial" w:cs="Arial"/>
                <w:b/>
                <w:bCs/>
                <w:i/>
                <w:iCs/>
                <w:color w:val="000000"/>
                <w:sz w:val="16"/>
                <w:szCs w:val="16"/>
              </w:rPr>
              <w:t>Net increase/(decrease) in cash held</w:t>
            </w:r>
          </w:p>
        </w:tc>
        <w:tc>
          <w:tcPr>
            <w:tcW w:w="850" w:type="dxa"/>
            <w:tcBorders>
              <w:top w:val="nil"/>
              <w:left w:val="nil"/>
              <w:bottom w:val="single" w:sz="4" w:space="0" w:color="auto"/>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c>
          <w:tcPr>
            <w:tcW w:w="845" w:type="dxa"/>
            <w:tcBorders>
              <w:top w:val="nil"/>
              <w:left w:val="nil"/>
              <w:bottom w:val="single" w:sz="4" w:space="0" w:color="auto"/>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c>
          <w:tcPr>
            <w:tcW w:w="845" w:type="dxa"/>
            <w:tcBorders>
              <w:top w:val="nil"/>
              <w:left w:val="nil"/>
              <w:bottom w:val="single" w:sz="4" w:space="0" w:color="auto"/>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c>
          <w:tcPr>
            <w:tcW w:w="845" w:type="dxa"/>
            <w:tcBorders>
              <w:top w:val="nil"/>
              <w:left w:val="nil"/>
              <w:bottom w:val="single" w:sz="4" w:space="0" w:color="auto"/>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c>
          <w:tcPr>
            <w:tcW w:w="845" w:type="dxa"/>
            <w:tcBorders>
              <w:top w:val="nil"/>
              <w:left w:val="nil"/>
              <w:bottom w:val="single" w:sz="4" w:space="0" w:color="auto"/>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b/>
                <w:bCs/>
                <w:i/>
                <w:iCs/>
                <w:color w:val="000000"/>
                <w:sz w:val="16"/>
                <w:szCs w:val="16"/>
              </w:rPr>
            </w:pPr>
            <w:r w:rsidRPr="006C1468">
              <w:rPr>
                <w:rFonts w:ascii="Arial" w:hAnsi="Arial" w:cs="Arial"/>
                <w:b/>
                <w:bCs/>
                <w:i/>
                <w:iCs/>
                <w:color w:val="000000"/>
                <w:sz w:val="16"/>
                <w:szCs w:val="16"/>
              </w:rPr>
              <w:t xml:space="preserve">578 </w:t>
            </w:r>
          </w:p>
        </w:tc>
      </w:tr>
      <w:tr w:rsidR="006C1468" w:rsidRPr="006C1468" w:rsidTr="006C1468">
        <w:trPr>
          <w:trHeight w:val="397"/>
        </w:trPr>
        <w:tc>
          <w:tcPr>
            <w:tcW w:w="3458" w:type="dxa"/>
            <w:tcBorders>
              <w:top w:val="nil"/>
              <w:left w:val="nil"/>
              <w:bottom w:val="nil"/>
              <w:right w:val="nil"/>
            </w:tcBorders>
            <w:shd w:val="clear" w:color="auto" w:fill="auto"/>
            <w:vAlign w:val="center"/>
            <w:hideMark/>
          </w:tcPr>
          <w:p w:rsidR="006C1468" w:rsidRPr="006C1468" w:rsidRDefault="006C1468" w:rsidP="006C1468">
            <w:pPr>
              <w:spacing w:after="0" w:line="240" w:lineRule="auto"/>
              <w:ind w:leftChars="80" w:left="333" w:hangingChars="108" w:hanging="173"/>
              <w:rPr>
                <w:rFonts w:ascii="Arial" w:hAnsi="Arial" w:cs="Arial"/>
                <w:color w:val="000000"/>
                <w:sz w:val="16"/>
                <w:szCs w:val="16"/>
              </w:rPr>
            </w:pPr>
            <w:r w:rsidRPr="006C1468">
              <w:rPr>
                <w:rFonts w:ascii="Arial" w:hAnsi="Arial" w:cs="Arial"/>
                <w:color w:val="000000"/>
                <w:sz w:val="16"/>
                <w:szCs w:val="16"/>
              </w:rPr>
              <w:t>Cash and cash equivalents at beginning of reporting period</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 </w:t>
            </w:r>
          </w:p>
        </w:tc>
      </w:tr>
      <w:tr w:rsidR="006C1468" w:rsidRPr="006C1468" w:rsidTr="006C1468">
        <w:trPr>
          <w:trHeight w:val="225"/>
        </w:trPr>
        <w:tc>
          <w:tcPr>
            <w:tcW w:w="3458" w:type="dxa"/>
            <w:tcBorders>
              <w:top w:val="nil"/>
              <w:left w:val="nil"/>
              <w:bottom w:val="nil"/>
              <w:right w:val="nil"/>
            </w:tcBorders>
            <w:shd w:val="clear" w:color="auto" w:fill="auto"/>
            <w:vAlign w:val="center"/>
            <w:hideMark/>
          </w:tcPr>
          <w:p w:rsidR="006C1468" w:rsidRPr="006C1468" w:rsidRDefault="006C1468" w:rsidP="006C1468">
            <w:pPr>
              <w:spacing w:after="0" w:line="240" w:lineRule="auto"/>
              <w:ind w:firstLineChars="200" w:firstLine="320"/>
              <w:rPr>
                <w:rFonts w:ascii="Arial" w:hAnsi="Arial" w:cs="Arial"/>
                <w:color w:val="000000"/>
                <w:sz w:val="16"/>
                <w:szCs w:val="16"/>
              </w:rPr>
            </w:pPr>
            <w:r w:rsidRPr="006C1468">
              <w:rPr>
                <w:rFonts w:ascii="Arial" w:hAnsi="Arial" w:cs="Arial"/>
                <w:color w:val="000000"/>
                <w:sz w:val="16"/>
                <w:szCs w:val="16"/>
              </w:rPr>
              <w:t>Cash from Official Public Account for:</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p>
        </w:tc>
      </w:tr>
      <w:tr w:rsidR="006C1468" w:rsidRPr="006C1468" w:rsidTr="006C1468">
        <w:trPr>
          <w:trHeight w:val="225"/>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ind w:firstLineChars="300" w:firstLine="480"/>
              <w:rPr>
                <w:rFonts w:ascii="Arial" w:hAnsi="Arial" w:cs="Arial"/>
                <w:color w:val="000000"/>
                <w:sz w:val="16"/>
                <w:szCs w:val="16"/>
              </w:rPr>
            </w:pPr>
            <w:r w:rsidRPr="006C1468">
              <w:rPr>
                <w:rFonts w:ascii="Arial" w:hAnsi="Arial" w:cs="Arial"/>
                <w:color w:val="000000"/>
                <w:sz w:val="16"/>
                <w:szCs w:val="16"/>
              </w:rPr>
              <w:t>– Appropriations</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xml:space="preserve">500 </w:t>
            </w:r>
          </w:p>
        </w:tc>
      </w:tr>
      <w:tr w:rsidR="006C1468" w:rsidRPr="006C1468" w:rsidTr="006C1468">
        <w:trPr>
          <w:trHeight w:val="225"/>
        </w:trPr>
        <w:tc>
          <w:tcPr>
            <w:tcW w:w="3458" w:type="dxa"/>
            <w:tcBorders>
              <w:top w:val="nil"/>
              <w:left w:val="nil"/>
              <w:bottom w:val="nil"/>
              <w:right w:val="nil"/>
            </w:tcBorders>
            <w:shd w:val="clear" w:color="auto" w:fill="auto"/>
            <w:vAlign w:val="center"/>
            <w:hideMark/>
          </w:tcPr>
          <w:p w:rsidR="006C1468" w:rsidRPr="006C1468" w:rsidRDefault="006C1468" w:rsidP="006C1468">
            <w:pPr>
              <w:spacing w:after="0" w:line="240" w:lineRule="auto"/>
              <w:ind w:firstLineChars="200" w:firstLine="320"/>
              <w:rPr>
                <w:rFonts w:ascii="Arial" w:hAnsi="Arial" w:cs="Arial"/>
                <w:i/>
                <w:iCs/>
                <w:color w:val="000000"/>
                <w:sz w:val="16"/>
                <w:szCs w:val="16"/>
              </w:rPr>
            </w:pPr>
            <w:r w:rsidRPr="006C1468">
              <w:rPr>
                <w:rFonts w:ascii="Arial" w:hAnsi="Arial" w:cs="Arial"/>
                <w:i/>
                <w:iCs/>
                <w:color w:val="000000"/>
                <w:sz w:val="16"/>
                <w:szCs w:val="16"/>
              </w:rPr>
              <w:t>Total cash from Official Public Account</w:t>
            </w:r>
          </w:p>
        </w:tc>
        <w:tc>
          <w:tcPr>
            <w:tcW w:w="850" w:type="dxa"/>
            <w:tcBorders>
              <w:top w:val="single" w:sz="4" w:space="0" w:color="000000"/>
              <w:left w:val="nil"/>
              <w:bottom w:val="nil"/>
              <w:right w:val="nil"/>
            </w:tcBorders>
            <w:shd w:val="clear" w:color="000000" w:fill="FFFFFF"/>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c>
          <w:tcPr>
            <w:tcW w:w="845" w:type="dxa"/>
            <w:tcBorders>
              <w:top w:val="single" w:sz="4" w:space="0" w:color="000000"/>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c>
          <w:tcPr>
            <w:tcW w:w="845" w:type="dxa"/>
            <w:tcBorders>
              <w:top w:val="single" w:sz="4" w:space="0" w:color="000000"/>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c>
          <w:tcPr>
            <w:tcW w:w="845" w:type="dxa"/>
            <w:tcBorders>
              <w:top w:val="single" w:sz="4" w:space="0" w:color="000000"/>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c>
          <w:tcPr>
            <w:tcW w:w="845" w:type="dxa"/>
            <w:tcBorders>
              <w:top w:val="single" w:sz="4" w:space="0" w:color="000000"/>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 xml:space="preserve">500 </w:t>
            </w:r>
          </w:p>
        </w:tc>
      </w:tr>
      <w:tr w:rsidR="006C1468" w:rsidRPr="006C1468" w:rsidTr="006C1468">
        <w:trPr>
          <w:trHeight w:val="225"/>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ind w:firstLineChars="200" w:firstLine="320"/>
              <w:rPr>
                <w:rFonts w:ascii="Arial" w:hAnsi="Arial" w:cs="Arial"/>
                <w:color w:val="000000"/>
                <w:sz w:val="16"/>
                <w:szCs w:val="16"/>
              </w:rPr>
            </w:pPr>
            <w:r w:rsidRPr="006C1468">
              <w:rPr>
                <w:rFonts w:ascii="Arial" w:hAnsi="Arial" w:cs="Arial"/>
                <w:color w:val="000000"/>
                <w:sz w:val="16"/>
                <w:szCs w:val="16"/>
              </w:rPr>
              <w:t>Cash to Official Public Account for:</w:t>
            </w:r>
          </w:p>
        </w:tc>
        <w:tc>
          <w:tcPr>
            <w:tcW w:w="850" w:type="dxa"/>
            <w:tcBorders>
              <w:top w:val="single" w:sz="4" w:space="0" w:color="auto"/>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single" w:sz="4" w:space="0" w:color="auto"/>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single" w:sz="4" w:space="0" w:color="auto"/>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single" w:sz="4" w:space="0" w:color="auto"/>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c>
          <w:tcPr>
            <w:tcW w:w="845" w:type="dxa"/>
            <w:tcBorders>
              <w:top w:val="single" w:sz="4" w:space="0" w:color="auto"/>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 </w:t>
            </w:r>
          </w:p>
        </w:tc>
      </w:tr>
      <w:tr w:rsidR="006C1468" w:rsidRPr="006C1468" w:rsidTr="006C1468">
        <w:trPr>
          <w:trHeight w:val="225"/>
        </w:trPr>
        <w:tc>
          <w:tcPr>
            <w:tcW w:w="3458"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ind w:firstLineChars="300" w:firstLine="480"/>
              <w:rPr>
                <w:rFonts w:ascii="Arial" w:hAnsi="Arial" w:cs="Arial"/>
                <w:color w:val="000000"/>
                <w:sz w:val="16"/>
                <w:szCs w:val="16"/>
              </w:rPr>
            </w:pPr>
            <w:r w:rsidRPr="006C1468">
              <w:rPr>
                <w:rFonts w:ascii="Arial" w:hAnsi="Arial" w:cs="Arial"/>
                <w:color w:val="000000"/>
                <w:sz w:val="16"/>
                <w:szCs w:val="16"/>
              </w:rPr>
              <w:t>– Appropriations</w:t>
            </w:r>
          </w:p>
        </w:tc>
        <w:tc>
          <w:tcPr>
            <w:tcW w:w="850"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c>
          <w:tcPr>
            <w:tcW w:w="845" w:type="dxa"/>
            <w:tcBorders>
              <w:top w:val="nil"/>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c>
          <w:tcPr>
            <w:tcW w:w="845" w:type="dxa"/>
            <w:tcBorders>
              <w:top w:val="nil"/>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color w:val="000000"/>
                <w:sz w:val="16"/>
                <w:szCs w:val="16"/>
              </w:rPr>
            </w:pPr>
            <w:r w:rsidRPr="006C1468">
              <w:rPr>
                <w:rFonts w:ascii="Arial" w:hAnsi="Arial" w:cs="Arial"/>
                <w:color w:val="000000"/>
                <w:sz w:val="16"/>
                <w:szCs w:val="16"/>
              </w:rPr>
              <w:t>(1,078)</w:t>
            </w:r>
          </w:p>
        </w:tc>
      </w:tr>
      <w:tr w:rsidR="006C1468" w:rsidRPr="006C1468" w:rsidTr="006C1468">
        <w:trPr>
          <w:trHeight w:val="225"/>
        </w:trPr>
        <w:tc>
          <w:tcPr>
            <w:tcW w:w="3458" w:type="dxa"/>
            <w:tcBorders>
              <w:top w:val="nil"/>
              <w:left w:val="nil"/>
              <w:bottom w:val="nil"/>
              <w:right w:val="nil"/>
            </w:tcBorders>
            <w:shd w:val="clear" w:color="auto" w:fill="auto"/>
            <w:vAlign w:val="center"/>
            <w:hideMark/>
          </w:tcPr>
          <w:p w:rsidR="006C1468" w:rsidRPr="006C1468" w:rsidRDefault="006C1468" w:rsidP="006C1468">
            <w:pPr>
              <w:spacing w:after="0" w:line="240" w:lineRule="auto"/>
              <w:ind w:firstLineChars="208" w:firstLine="333"/>
              <w:rPr>
                <w:rFonts w:ascii="Arial" w:hAnsi="Arial" w:cs="Arial"/>
                <w:i/>
                <w:iCs/>
                <w:color w:val="000000"/>
                <w:sz w:val="16"/>
                <w:szCs w:val="16"/>
              </w:rPr>
            </w:pPr>
            <w:r w:rsidRPr="006C1468">
              <w:rPr>
                <w:rFonts w:ascii="Arial" w:hAnsi="Arial" w:cs="Arial"/>
                <w:i/>
                <w:iCs/>
                <w:color w:val="000000"/>
                <w:sz w:val="16"/>
                <w:szCs w:val="16"/>
              </w:rPr>
              <w:t>Total cash to Official Public Account</w:t>
            </w:r>
          </w:p>
        </w:tc>
        <w:tc>
          <w:tcPr>
            <w:tcW w:w="850" w:type="dxa"/>
            <w:tcBorders>
              <w:top w:val="single" w:sz="4" w:space="0" w:color="000000"/>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c>
          <w:tcPr>
            <w:tcW w:w="845" w:type="dxa"/>
            <w:tcBorders>
              <w:top w:val="single" w:sz="4" w:space="0" w:color="000000"/>
              <w:left w:val="nil"/>
              <w:bottom w:val="nil"/>
              <w:right w:val="nil"/>
            </w:tcBorders>
            <w:shd w:val="clear" w:color="000000" w:fill="E6E6E6"/>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c>
          <w:tcPr>
            <w:tcW w:w="845" w:type="dxa"/>
            <w:tcBorders>
              <w:top w:val="single" w:sz="4" w:space="0" w:color="000000"/>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c>
          <w:tcPr>
            <w:tcW w:w="845" w:type="dxa"/>
            <w:tcBorders>
              <w:top w:val="single" w:sz="4" w:space="0" w:color="000000"/>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c>
          <w:tcPr>
            <w:tcW w:w="845" w:type="dxa"/>
            <w:tcBorders>
              <w:top w:val="single" w:sz="4" w:space="0" w:color="000000"/>
              <w:left w:val="nil"/>
              <w:bottom w:val="nil"/>
              <w:right w:val="nil"/>
            </w:tcBorders>
            <w:shd w:val="clear" w:color="auto" w:fill="auto"/>
            <w:noWrap/>
            <w:vAlign w:val="center"/>
            <w:hideMark/>
          </w:tcPr>
          <w:p w:rsidR="006C1468" w:rsidRPr="006C1468" w:rsidRDefault="006C1468" w:rsidP="006C1468">
            <w:pPr>
              <w:spacing w:after="0" w:line="240" w:lineRule="auto"/>
              <w:jc w:val="right"/>
              <w:rPr>
                <w:rFonts w:ascii="Arial" w:hAnsi="Arial" w:cs="Arial"/>
                <w:i/>
                <w:iCs/>
                <w:color w:val="000000"/>
                <w:sz w:val="16"/>
                <w:szCs w:val="16"/>
              </w:rPr>
            </w:pPr>
            <w:r w:rsidRPr="006C1468">
              <w:rPr>
                <w:rFonts w:ascii="Arial" w:hAnsi="Arial" w:cs="Arial"/>
                <w:i/>
                <w:iCs/>
                <w:color w:val="000000"/>
                <w:sz w:val="16"/>
                <w:szCs w:val="16"/>
              </w:rPr>
              <w:t>(1,078)</w:t>
            </w:r>
          </w:p>
        </w:tc>
      </w:tr>
      <w:tr w:rsidR="006C1468" w:rsidRPr="006C1468" w:rsidTr="006C1468">
        <w:trPr>
          <w:trHeight w:val="397"/>
        </w:trPr>
        <w:tc>
          <w:tcPr>
            <w:tcW w:w="3458" w:type="dxa"/>
            <w:tcBorders>
              <w:top w:val="nil"/>
              <w:left w:val="nil"/>
              <w:bottom w:val="single" w:sz="4" w:space="0" w:color="auto"/>
              <w:right w:val="nil"/>
            </w:tcBorders>
            <w:shd w:val="clear" w:color="auto" w:fill="auto"/>
            <w:vAlign w:val="bottom"/>
            <w:hideMark/>
          </w:tcPr>
          <w:p w:rsidR="006C1468" w:rsidRPr="006C1468" w:rsidRDefault="006C1468" w:rsidP="006C1468">
            <w:pPr>
              <w:spacing w:after="0" w:line="240" w:lineRule="auto"/>
              <w:ind w:left="191" w:hanging="191"/>
              <w:rPr>
                <w:rFonts w:ascii="Arial" w:hAnsi="Arial" w:cs="Arial"/>
                <w:b/>
                <w:bCs/>
                <w:color w:val="000000"/>
                <w:sz w:val="16"/>
                <w:szCs w:val="16"/>
              </w:rPr>
            </w:pPr>
            <w:r w:rsidRPr="006C1468">
              <w:rPr>
                <w:rFonts w:ascii="Arial" w:hAnsi="Arial" w:cs="Arial"/>
                <w:b/>
                <w:bCs/>
                <w:color w:val="000000"/>
                <w:sz w:val="16"/>
                <w:szCs w:val="16"/>
              </w:rPr>
              <w:t>Cash and cash equivalents at end of reporting period</w:t>
            </w:r>
          </w:p>
        </w:tc>
        <w:tc>
          <w:tcPr>
            <w:tcW w:w="850" w:type="dxa"/>
            <w:tcBorders>
              <w:top w:val="single" w:sz="4" w:space="0" w:color="000000"/>
              <w:left w:val="nil"/>
              <w:bottom w:val="single" w:sz="4" w:space="0" w:color="auto"/>
              <w:right w:val="nil"/>
            </w:tcBorders>
            <w:shd w:val="clear" w:color="auto" w:fill="auto"/>
            <w:noWrap/>
            <w:vAlign w:val="bottom"/>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c>
          <w:tcPr>
            <w:tcW w:w="845" w:type="dxa"/>
            <w:tcBorders>
              <w:top w:val="single" w:sz="4" w:space="0" w:color="000000"/>
              <w:left w:val="nil"/>
              <w:bottom w:val="single" w:sz="4" w:space="0" w:color="auto"/>
              <w:right w:val="nil"/>
            </w:tcBorders>
            <w:shd w:val="clear" w:color="000000" w:fill="E6E6E6"/>
            <w:noWrap/>
            <w:vAlign w:val="bottom"/>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c>
          <w:tcPr>
            <w:tcW w:w="845" w:type="dxa"/>
            <w:tcBorders>
              <w:top w:val="single" w:sz="4" w:space="0" w:color="000000"/>
              <w:left w:val="nil"/>
              <w:bottom w:val="single" w:sz="4" w:space="0" w:color="auto"/>
              <w:right w:val="nil"/>
            </w:tcBorders>
            <w:shd w:val="clear" w:color="auto" w:fill="auto"/>
            <w:noWrap/>
            <w:vAlign w:val="bottom"/>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c>
          <w:tcPr>
            <w:tcW w:w="845" w:type="dxa"/>
            <w:tcBorders>
              <w:top w:val="single" w:sz="4" w:space="0" w:color="000000"/>
              <w:left w:val="nil"/>
              <w:bottom w:val="single" w:sz="4" w:space="0" w:color="auto"/>
              <w:right w:val="nil"/>
            </w:tcBorders>
            <w:shd w:val="clear" w:color="auto" w:fill="auto"/>
            <w:noWrap/>
            <w:vAlign w:val="bottom"/>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c>
          <w:tcPr>
            <w:tcW w:w="845" w:type="dxa"/>
            <w:tcBorders>
              <w:top w:val="single" w:sz="4" w:space="0" w:color="000000"/>
              <w:left w:val="nil"/>
              <w:bottom w:val="single" w:sz="4" w:space="0" w:color="auto"/>
              <w:right w:val="nil"/>
            </w:tcBorders>
            <w:shd w:val="clear" w:color="auto" w:fill="auto"/>
            <w:noWrap/>
            <w:vAlign w:val="bottom"/>
            <w:hideMark/>
          </w:tcPr>
          <w:p w:rsidR="006C1468" w:rsidRPr="006C1468" w:rsidRDefault="006C1468" w:rsidP="006C1468">
            <w:pPr>
              <w:spacing w:after="0" w:line="240" w:lineRule="auto"/>
              <w:jc w:val="right"/>
              <w:rPr>
                <w:rFonts w:ascii="Arial" w:hAnsi="Arial" w:cs="Arial"/>
                <w:b/>
                <w:bCs/>
                <w:color w:val="000000"/>
                <w:sz w:val="16"/>
                <w:szCs w:val="16"/>
              </w:rPr>
            </w:pPr>
            <w:r w:rsidRPr="006C1468">
              <w:rPr>
                <w:rFonts w:ascii="Arial" w:hAnsi="Arial" w:cs="Arial"/>
                <w:b/>
                <w:bCs/>
                <w:color w:val="000000"/>
                <w:sz w:val="16"/>
                <w:szCs w:val="16"/>
              </w:rPr>
              <w:t xml:space="preserve">- </w:t>
            </w:r>
          </w:p>
        </w:tc>
      </w:tr>
    </w:tbl>
    <w:p w:rsidR="006C1468" w:rsidRDefault="006C1468" w:rsidP="00EB77C1">
      <w:pPr>
        <w:pStyle w:val="ChartandTableFootnote"/>
        <w:spacing w:after="480"/>
        <w:rPr>
          <w:lang w:val="en-AU"/>
        </w:rPr>
      </w:pPr>
      <w:r>
        <w:t>Prepared on Australian Accounting Standards basis.</w:t>
      </w:r>
    </w:p>
    <w:p w:rsidR="006C1468" w:rsidRDefault="006C1468" w:rsidP="006C1468">
      <w:pPr>
        <w:pStyle w:val="TableHeading"/>
      </w:pPr>
      <w:r w:rsidRPr="00D30CBA">
        <w:t>Table</w:t>
      </w:r>
      <w:r>
        <w:t xml:space="preserve"> 3.10</w:t>
      </w:r>
      <w:r w:rsidRPr="00D30CBA">
        <w:t xml:space="preserve">: </w:t>
      </w:r>
      <w:r>
        <w:t>Administered capital budget statement (for the period ended 30 June)</w:t>
      </w:r>
    </w:p>
    <w:p w:rsidR="006C1468" w:rsidRDefault="006C1468" w:rsidP="006C1468">
      <w:r>
        <w:t xml:space="preserve">The Fair Work Commission has no administered capital budget. For this reason, Table 3.10 is not presented. </w:t>
      </w:r>
    </w:p>
    <w:p w:rsidR="006C1468" w:rsidRPr="00273D98" w:rsidRDefault="006C1468" w:rsidP="00300D89">
      <w:pPr>
        <w:pStyle w:val="TableHeading"/>
        <w:spacing w:before="360" w:after="0"/>
        <w:rPr>
          <w:lang w:val="en-AU"/>
        </w:rPr>
      </w:pPr>
      <w:r>
        <w:t>Table 3.11: Statement of administered asset movements (Budget year 2018</w:t>
      </w:r>
      <w:r>
        <w:rPr>
          <w:lang w:val="en-AU"/>
        </w:rPr>
        <w:t>–</w:t>
      </w:r>
      <w:r>
        <w:t>19)</w:t>
      </w:r>
    </w:p>
    <w:p w:rsidR="006C1468" w:rsidRDefault="006C1468" w:rsidP="006C1468">
      <w:r>
        <w:t xml:space="preserve">The Fair Work Commission has no administered non-financial assets. For this reason, Table 3.11 is not presented. </w:t>
      </w:r>
    </w:p>
    <w:p w:rsidR="00392ACA" w:rsidRDefault="00392ACA" w:rsidP="003F3839"/>
    <w:p w:rsidR="00392ACA" w:rsidRDefault="00392ACA" w:rsidP="003F3839">
      <w:pPr>
        <w:sectPr w:rsidR="00392ACA" w:rsidSect="00BD1E84">
          <w:headerReference w:type="even" r:id="rId117"/>
          <w:headerReference w:type="default" r:id="rId118"/>
          <w:headerReference w:type="first" r:id="rId119"/>
          <w:footnotePr>
            <w:numRestart w:val="eachPage"/>
          </w:footnotePr>
          <w:type w:val="oddPage"/>
          <w:pgSz w:w="11906" w:h="16838" w:code="9"/>
          <w:pgMar w:top="2466" w:right="2098" w:bottom="2127" w:left="2098" w:header="1899" w:footer="1899" w:gutter="0"/>
          <w:cols w:space="708"/>
          <w:titlePg/>
          <w:docGrid w:linePitch="360"/>
        </w:sectPr>
      </w:pPr>
    </w:p>
    <w:p w:rsidR="003F3839" w:rsidRDefault="003D6968" w:rsidP="00EB77C1">
      <w:pPr>
        <w:pStyle w:val="PartHeading"/>
        <w:spacing w:before="240" w:after="1800"/>
      </w:pPr>
      <w:r>
        <w:lastRenderedPageBreak/>
        <w:t xml:space="preserve">Fair Work Ombudsman </w:t>
      </w:r>
      <w:r>
        <w:br/>
        <w:t xml:space="preserve">and the </w:t>
      </w:r>
      <w:r>
        <w:br/>
        <w:t>Registered Organisations Commission</w:t>
      </w:r>
    </w:p>
    <w:p w:rsidR="00891DC5" w:rsidRDefault="003F3839" w:rsidP="00891DC5">
      <w:pPr>
        <w:pStyle w:val="PartHeading-TOC"/>
      </w:pPr>
      <w:bookmarkStart w:id="443" w:name="_Toc511634921"/>
      <w:bookmarkStart w:id="444" w:name="_Toc511635316"/>
      <w:bookmarkStart w:id="445" w:name="_Toc511651065"/>
      <w:r>
        <w:t>Entity resources and planned performance</w:t>
      </w:r>
      <w:bookmarkEnd w:id="443"/>
      <w:bookmarkEnd w:id="444"/>
      <w:bookmarkEnd w:id="445"/>
    </w:p>
    <w:p w:rsidR="00891DC5" w:rsidRPr="00891DC5" w:rsidRDefault="00891DC5" w:rsidP="00891DC5">
      <w:pPr>
        <w:sectPr w:rsidR="00891DC5" w:rsidRPr="00891DC5" w:rsidSect="005A7C0B">
          <w:headerReference w:type="even" r:id="rId120"/>
          <w:headerReference w:type="default" r:id="rId121"/>
          <w:headerReference w:type="first" r:id="rId122"/>
          <w:footerReference w:type="first" r:id="rId123"/>
          <w:footnotePr>
            <w:numRestart w:val="eachPage"/>
          </w:footnotePr>
          <w:type w:val="oddPage"/>
          <w:pgSz w:w="11906" w:h="16838" w:code="9"/>
          <w:pgMar w:top="2466" w:right="2098" w:bottom="2466" w:left="2098" w:header="1899" w:footer="1899" w:gutter="0"/>
          <w:cols w:space="708"/>
          <w:vAlign w:val="center"/>
          <w:titlePg/>
          <w:docGrid w:linePitch="360"/>
        </w:sectPr>
      </w:pPr>
    </w:p>
    <w:p w:rsidR="00894726" w:rsidRPr="00894726" w:rsidRDefault="003D6968" w:rsidP="00894726">
      <w:pPr>
        <w:pStyle w:val="ContentsHeading"/>
        <w:rPr>
          <w:noProof/>
        </w:rPr>
      </w:pPr>
      <w:r>
        <w:lastRenderedPageBreak/>
        <w:t xml:space="preserve">Fair Work Ombudsman </w:t>
      </w:r>
      <w:r>
        <w:br/>
        <w:t xml:space="preserve">and the </w:t>
      </w:r>
      <w:r>
        <w:br/>
        <w:t>Registered Organisations Commission</w:t>
      </w:r>
      <w:r w:rsidR="003F3839" w:rsidRPr="00BF51E9">
        <w:fldChar w:fldCharType="begin"/>
      </w:r>
      <w:r w:rsidR="003F3839" w:rsidRPr="00BF51E9">
        <w:instrText xml:space="preserve"> TOC \h \z \t "Heading 2,1,Heading 3,2" </w:instrText>
      </w:r>
      <w:r w:rsidR="003F3839" w:rsidRPr="00BF51E9">
        <w:fldChar w:fldCharType="separate"/>
      </w:r>
    </w:p>
    <w:p w:rsidR="00894726" w:rsidRPr="00254380" w:rsidRDefault="00894726">
      <w:pPr>
        <w:pStyle w:val="TOC1"/>
        <w:rPr>
          <w:rFonts w:ascii="Calibri" w:hAnsi="Calibri"/>
          <w:b w:val="0"/>
          <w:caps w:val="0"/>
          <w:noProof/>
          <w:sz w:val="22"/>
          <w:szCs w:val="22"/>
        </w:rPr>
      </w:pPr>
      <w:hyperlink w:anchor="_Toc511765660" w:history="1">
        <w:r w:rsidRPr="002D155D">
          <w:rPr>
            <w:rStyle w:val="Hyperlink"/>
            <w:noProof/>
          </w:rPr>
          <w:t>Section 1: Entity overview and resources</w:t>
        </w:r>
        <w:r>
          <w:rPr>
            <w:noProof/>
            <w:webHidden/>
          </w:rPr>
          <w:tab/>
        </w:r>
        <w:r>
          <w:rPr>
            <w:noProof/>
            <w:webHidden/>
          </w:rPr>
          <w:fldChar w:fldCharType="begin"/>
        </w:r>
        <w:r>
          <w:rPr>
            <w:noProof/>
            <w:webHidden/>
          </w:rPr>
          <w:instrText xml:space="preserve"> PAGEREF _Toc511765660 \h </w:instrText>
        </w:r>
        <w:r>
          <w:rPr>
            <w:noProof/>
            <w:webHidden/>
          </w:rPr>
        </w:r>
        <w:r>
          <w:rPr>
            <w:noProof/>
            <w:webHidden/>
          </w:rPr>
          <w:fldChar w:fldCharType="separate"/>
        </w:r>
        <w:r w:rsidR="007212DF">
          <w:rPr>
            <w:noProof/>
            <w:webHidden/>
          </w:rPr>
          <w:t>133</w:t>
        </w:r>
        <w:r>
          <w:rPr>
            <w:noProof/>
            <w:webHidden/>
          </w:rPr>
          <w:fldChar w:fldCharType="end"/>
        </w:r>
      </w:hyperlink>
    </w:p>
    <w:p w:rsidR="00894726" w:rsidRPr="00254380" w:rsidRDefault="00894726">
      <w:pPr>
        <w:pStyle w:val="TOC2"/>
        <w:tabs>
          <w:tab w:val="left" w:pos="800"/>
        </w:tabs>
        <w:rPr>
          <w:rFonts w:ascii="Calibri" w:hAnsi="Calibri"/>
          <w:noProof/>
          <w:sz w:val="22"/>
          <w:szCs w:val="22"/>
        </w:rPr>
      </w:pPr>
      <w:hyperlink w:anchor="_Toc511765661" w:history="1">
        <w:r w:rsidRPr="002D155D">
          <w:rPr>
            <w:rStyle w:val="Hyperlink"/>
            <w:noProof/>
          </w:rPr>
          <w:t>1.1</w:t>
        </w:r>
        <w:r w:rsidRPr="00254380">
          <w:rPr>
            <w:rFonts w:ascii="Calibri" w:hAnsi="Calibri"/>
            <w:noProof/>
            <w:sz w:val="22"/>
            <w:szCs w:val="22"/>
          </w:rPr>
          <w:tab/>
        </w:r>
        <w:r w:rsidRPr="002D155D">
          <w:rPr>
            <w:rStyle w:val="Hyperlink"/>
            <w:noProof/>
          </w:rPr>
          <w:t>Strategic direction statement</w:t>
        </w:r>
        <w:r>
          <w:rPr>
            <w:noProof/>
            <w:webHidden/>
          </w:rPr>
          <w:tab/>
        </w:r>
        <w:r>
          <w:rPr>
            <w:noProof/>
            <w:webHidden/>
          </w:rPr>
          <w:fldChar w:fldCharType="begin"/>
        </w:r>
        <w:r>
          <w:rPr>
            <w:noProof/>
            <w:webHidden/>
          </w:rPr>
          <w:instrText xml:space="preserve"> PAGEREF _Toc511765661 \h </w:instrText>
        </w:r>
        <w:r>
          <w:rPr>
            <w:noProof/>
            <w:webHidden/>
          </w:rPr>
        </w:r>
        <w:r>
          <w:rPr>
            <w:noProof/>
            <w:webHidden/>
          </w:rPr>
          <w:fldChar w:fldCharType="separate"/>
        </w:r>
        <w:r w:rsidR="007212DF">
          <w:rPr>
            <w:noProof/>
            <w:webHidden/>
          </w:rPr>
          <w:t>133</w:t>
        </w:r>
        <w:r>
          <w:rPr>
            <w:noProof/>
            <w:webHidden/>
          </w:rPr>
          <w:fldChar w:fldCharType="end"/>
        </w:r>
      </w:hyperlink>
    </w:p>
    <w:p w:rsidR="00894726" w:rsidRPr="00254380" w:rsidRDefault="00894726">
      <w:pPr>
        <w:pStyle w:val="TOC2"/>
        <w:tabs>
          <w:tab w:val="left" w:pos="800"/>
        </w:tabs>
        <w:rPr>
          <w:rFonts w:ascii="Calibri" w:hAnsi="Calibri"/>
          <w:noProof/>
          <w:sz w:val="22"/>
          <w:szCs w:val="22"/>
        </w:rPr>
      </w:pPr>
      <w:hyperlink w:anchor="_Toc511765662" w:history="1">
        <w:r w:rsidRPr="002D155D">
          <w:rPr>
            <w:rStyle w:val="Hyperlink"/>
            <w:noProof/>
          </w:rPr>
          <w:t>1.2</w:t>
        </w:r>
        <w:r w:rsidRPr="00254380">
          <w:rPr>
            <w:rFonts w:ascii="Calibri" w:hAnsi="Calibri"/>
            <w:noProof/>
            <w:sz w:val="22"/>
            <w:szCs w:val="22"/>
          </w:rPr>
          <w:tab/>
        </w:r>
        <w:r w:rsidRPr="002D155D">
          <w:rPr>
            <w:rStyle w:val="Hyperlink"/>
            <w:noProof/>
          </w:rPr>
          <w:t>Entity resource statement</w:t>
        </w:r>
        <w:r>
          <w:rPr>
            <w:noProof/>
            <w:webHidden/>
          </w:rPr>
          <w:tab/>
        </w:r>
        <w:r>
          <w:rPr>
            <w:noProof/>
            <w:webHidden/>
          </w:rPr>
          <w:fldChar w:fldCharType="begin"/>
        </w:r>
        <w:r>
          <w:rPr>
            <w:noProof/>
            <w:webHidden/>
          </w:rPr>
          <w:instrText xml:space="preserve"> PAGEREF _Toc511765662 \h </w:instrText>
        </w:r>
        <w:r>
          <w:rPr>
            <w:noProof/>
            <w:webHidden/>
          </w:rPr>
        </w:r>
        <w:r>
          <w:rPr>
            <w:noProof/>
            <w:webHidden/>
          </w:rPr>
          <w:fldChar w:fldCharType="separate"/>
        </w:r>
        <w:r w:rsidR="007212DF">
          <w:rPr>
            <w:noProof/>
            <w:webHidden/>
          </w:rPr>
          <w:t>135</w:t>
        </w:r>
        <w:r>
          <w:rPr>
            <w:noProof/>
            <w:webHidden/>
          </w:rPr>
          <w:fldChar w:fldCharType="end"/>
        </w:r>
      </w:hyperlink>
    </w:p>
    <w:p w:rsidR="00894726" w:rsidRPr="00254380" w:rsidRDefault="00894726">
      <w:pPr>
        <w:pStyle w:val="TOC2"/>
        <w:tabs>
          <w:tab w:val="left" w:pos="800"/>
        </w:tabs>
        <w:rPr>
          <w:rFonts w:ascii="Calibri" w:hAnsi="Calibri"/>
          <w:noProof/>
          <w:sz w:val="22"/>
          <w:szCs w:val="22"/>
        </w:rPr>
      </w:pPr>
      <w:hyperlink w:anchor="_Toc511765663" w:history="1">
        <w:r w:rsidRPr="002D155D">
          <w:rPr>
            <w:rStyle w:val="Hyperlink"/>
            <w:noProof/>
          </w:rPr>
          <w:t>1.3</w:t>
        </w:r>
        <w:r w:rsidRPr="00254380">
          <w:rPr>
            <w:rFonts w:ascii="Calibri" w:hAnsi="Calibri"/>
            <w:noProof/>
            <w:sz w:val="22"/>
            <w:szCs w:val="22"/>
          </w:rPr>
          <w:tab/>
        </w:r>
        <w:r w:rsidRPr="002D155D">
          <w:rPr>
            <w:rStyle w:val="Hyperlink"/>
            <w:noProof/>
          </w:rPr>
          <w:t>Budget measures</w:t>
        </w:r>
        <w:r>
          <w:rPr>
            <w:noProof/>
            <w:webHidden/>
          </w:rPr>
          <w:tab/>
        </w:r>
        <w:r>
          <w:rPr>
            <w:noProof/>
            <w:webHidden/>
          </w:rPr>
          <w:fldChar w:fldCharType="begin"/>
        </w:r>
        <w:r>
          <w:rPr>
            <w:noProof/>
            <w:webHidden/>
          </w:rPr>
          <w:instrText xml:space="preserve"> PAGEREF _Toc511765663 \h </w:instrText>
        </w:r>
        <w:r>
          <w:rPr>
            <w:noProof/>
            <w:webHidden/>
          </w:rPr>
        </w:r>
        <w:r>
          <w:rPr>
            <w:noProof/>
            <w:webHidden/>
          </w:rPr>
          <w:fldChar w:fldCharType="separate"/>
        </w:r>
        <w:r w:rsidR="007212DF">
          <w:rPr>
            <w:noProof/>
            <w:webHidden/>
          </w:rPr>
          <w:t>137</w:t>
        </w:r>
        <w:r>
          <w:rPr>
            <w:noProof/>
            <w:webHidden/>
          </w:rPr>
          <w:fldChar w:fldCharType="end"/>
        </w:r>
      </w:hyperlink>
    </w:p>
    <w:p w:rsidR="00894726" w:rsidRPr="00254380" w:rsidRDefault="00894726">
      <w:pPr>
        <w:pStyle w:val="TOC1"/>
        <w:rPr>
          <w:rFonts w:ascii="Calibri" w:hAnsi="Calibri"/>
          <w:b w:val="0"/>
          <w:caps w:val="0"/>
          <w:noProof/>
          <w:sz w:val="22"/>
          <w:szCs w:val="22"/>
        </w:rPr>
      </w:pPr>
      <w:hyperlink w:anchor="_Toc511765664" w:history="1">
        <w:r w:rsidRPr="002D155D">
          <w:rPr>
            <w:rStyle w:val="Hyperlink"/>
            <w:noProof/>
          </w:rPr>
          <w:t>Section 2: Outcomes and planned performance</w:t>
        </w:r>
        <w:r>
          <w:rPr>
            <w:noProof/>
            <w:webHidden/>
          </w:rPr>
          <w:tab/>
        </w:r>
        <w:r>
          <w:rPr>
            <w:noProof/>
            <w:webHidden/>
          </w:rPr>
          <w:fldChar w:fldCharType="begin"/>
        </w:r>
        <w:r>
          <w:rPr>
            <w:noProof/>
            <w:webHidden/>
          </w:rPr>
          <w:instrText xml:space="preserve"> PAGEREF _Toc511765664 \h </w:instrText>
        </w:r>
        <w:r>
          <w:rPr>
            <w:noProof/>
            <w:webHidden/>
          </w:rPr>
        </w:r>
        <w:r>
          <w:rPr>
            <w:noProof/>
            <w:webHidden/>
          </w:rPr>
          <w:fldChar w:fldCharType="separate"/>
        </w:r>
        <w:r w:rsidR="007212DF">
          <w:rPr>
            <w:noProof/>
            <w:webHidden/>
          </w:rPr>
          <w:t>138</w:t>
        </w:r>
        <w:r>
          <w:rPr>
            <w:noProof/>
            <w:webHidden/>
          </w:rPr>
          <w:fldChar w:fldCharType="end"/>
        </w:r>
      </w:hyperlink>
    </w:p>
    <w:p w:rsidR="00894726" w:rsidRPr="00254380" w:rsidRDefault="00894726">
      <w:pPr>
        <w:pStyle w:val="TOC2"/>
        <w:tabs>
          <w:tab w:val="left" w:pos="800"/>
        </w:tabs>
        <w:rPr>
          <w:rFonts w:ascii="Calibri" w:hAnsi="Calibri"/>
          <w:noProof/>
          <w:sz w:val="22"/>
          <w:szCs w:val="22"/>
        </w:rPr>
      </w:pPr>
      <w:hyperlink w:anchor="_Toc511765665" w:history="1">
        <w:r w:rsidRPr="002D155D">
          <w:rPr>
            <w:rStyle w:val="Hyperlink"/>
            <w:noProof/>
          </w:rPr>
          <w:t xml:space="preserve">2.1 </w:t>
        </w:r>
        <w:r w:rsidRPr="00254380">
          <w:rPr>
            <w:rFonts w:ascii="Calibri" w:hAnsi="Calibri"/>
            <w:noProof/>
            <w:sz w:val="22"/>
            <w:szCs w:val="22"/>
          </w:rPr>
          <w:tab/>
        </w:r>
        <w:r w:rsidRPr="002D155D">
          <w:rPr>
            <w:rStyle w:val="Hyperlink"/>
            <w:noProof/>
          </w:rPr>
          <w:t>Budgeted expenses and performance for Outcome 1</w:t>
        </w:r>
        <w:r>
          <w:rPr>
            <w:noProof/>
            <w:webHidden/>
          </w:rPr>
          <w:tab/>
        </w:r>
        <w:r>
          <w:rPr>
            <w:noProof/>
            <w:webHidden/>
          </w:rPr>
          <w:fldChar w:fldCharType="begin"/>
        </w:r>
        <w:r>
          <w:rPr>
            <w:noProof/>
            <w:webHidden/>
          </w:rPr>
          <w:instrText xml:space="preserve"> PAGEREF _Toc511765665 \h </w:instrText>
        </w:r>
        <w:r>
          <w:rPr>
            <w:noProof/>
            <w:webHidden/>
          </w:rPr>
        </w:r>
        <w:r>
          <w:rPr>
            <w:noProof/>
            <w:webHidden/>
          </w:rPr>
          <w:fldChar w:fldCharType="separate"/>
        </w:r>
        <w:r w:rsidR="007212DF">
          <w:rPr>
            <w:noProof/>
            <w:webHidden/>
          </w:rPr>
          <w:t>139</w:t>
        </w:r>
        <w:r>
          <w:rPr>
            <w:noProof/>
            <w:webHidden/>
          </w:rPr>
          <w:fldChar w:fldCharType="end"/>
        </w:r>
      </w:hyperlink>
    </w:p>
    <w:p w:rsidR="00894726" w:rsidRPr="00254380" w:rsidRDefault="00894726">
      <w:pPr>
        <w:pStyle w:val="TOC2"/>
        <w:tabs>
          <w:tab w:val="left" w:pos="800"/>
        </w:tabs>
        <w:rPr>
          <w:rFonts w:ascii="Calibri" w:hAnsi="Calibri"/>
          <w:noProof/>
          <w:sz w:val="22"/>
          <w:szCs w:val="22"/>
        </w:rPr>
      </w:pPr>
      <w:hyperlink w:anchor="_Toc511765666" w:history="1">
        <w:r w:rsidRPr="002D155D">
          <w:rPr>
            <w:rStyle w:val="Hyperlink"/>
            <w:noProof/>
          </w:rPr>
          <w:t xml:space="preserve">2.2 </w:t>
        </w:r>
        <w:r w:rsidRPr="00254380">
          <w:rPr>
            <w:rFonts w:ascii="Calibri" w:hAnsi="Calibri"/>
            <w:noProof/>
            <w:sz w:val="22"/>
            <w:szCs w:val="22"/>
          </w:rPr>
          <w:tab/>
        </w:r>
        <w:r w:rsidRPr="002D155D">
          <w:rPr>
            <w:rStyle w:val="Hyperlink"/>
            <w:noProof/>
          </w:rPr>
          <w:t>Budgeted expenses and performance for Outcome 2</w:t>
        </w:r>
        <w:r>
          <w:rPr>
            <w:noProof/>
            <w:webHidden/>
          </w:rPr>
          <w:tab/>
        </w:r>
        <w:r>
          <w:rPr>
            <w:noProof/>
            <w:webHidden/>
          </w:rPr>
          <w:fldChar w:fldCharType="begin"/>
        </w:r>
        <w:r>
          <w:rPr>
            <w:noProof/>
            <w:webHidden/>
          </w:rPr>
          <w:instrText xml:space="preserve"> PAGEREF _Toc511765666 \h </w:instrText>
        </w:r>
        <w:r>
          <w:rPr>
            <w:noProof/>
            <w:webHidden/>
          </w:rPr>
        </w:r>
        <w:r>
          <w:rPr>
            <w:noProof/>
            <w:webHidden/>
          </w:rPr>
          <w:fldChar w:fldCharType="separate"/>
        </w:r>
        <w:r w:rsidR="007212DF">
          <w:rPr>
            <w:noProof/>
            <w:webHidden/>
          </w:rPr>
          <w:t>141</w:t>
        </w:r>
        <w:r>
          <w:rPr>
            <w:noProof/>
            <w:webHidden/>
          </w:rPr>
          <w:fldChar w:fldCharType="end"/>
        </w:r>
      </w:hyperlink>
    </w:p>
    <w:p w:rsidR="00894726" w:rsidRPr="00254380" w:rsidRDefault="00894726">
      <w:pPr>
        <w:pStyle w:val="TOC1"/>
        <w:rPr>
          <w:rFonts w:ascii="Calibri" w:hAnsi="Calibri"/>
          <w:b w:val="0"/>
          <w:caps w:val="0"/>
          <w:noProof/>
          <w:sz w:val="22"/>
          <w:szCs w:val="22"/>
        </w:rPr>
      </w:pPr>
      <w:hyperlink w:anchor="_Toc511765667" w:history="1">
        <w:r w:rsidRPr="002D155D">
          <w:rPr>
            <w:rStyle w:val="Hyperlink"/>
            <w:noProof/>
          </w:rPr>
          <w:t>Section 3: Budgeted financial statements</w:t>
        </w:r>
        <w:r>
          <w:rPr>
            <w:noProof/>
            <w:webHidden/>
          </w:rPr>
          <w:tab/>
        </w:r>
        <w:r>
          <w:rPr>
            <w:noProof/>
            <w:webHidden/>
          </w:rPr>
          <w:fldChar w:fldCharType="begin"/>
        </w:r>
        <w:r>
          <w:rPr>
            <w:noProof/>
            <w:webHidden/>
          </w:rPr>
          <w:instrText xml:space="preserve"> PAGEREF _Toc511765667 \h </w:instrText>
        </w:r>
        <w:r>
          <w:rPr>
            <w:noProof/>
            <w:webHidden/>
          </w:rPr>
        </w:r>
        <w:r>
          <w:rPr>
            <w:noProof/>
            <w:webHidden/>
          </w:rPr>
          <w:fldChar w:fldCharType="separate"/>
        </w:r>
        <w:r w:rsidR="007212DF">
          <w:rPr>
            <w:noProof/>
            <w:webHidden/>
          </w:rPr>
          <w:t>143</w:t>
        </w:r>
        <w:r>
          <w:rPr>
            <w:noProof/>
            <w:webHidden/>
          </w:rPr>
          <w:fldChar w:fldCharType="end"/>
        </w:r>
      </w:hyperlink>
    </w:p>
    <w:p w:rsidR="00894726" w:rsidRPr="00254380" w:rsidRDefault="00894726">
      <w:pPr>
        <w:pStyle w:val="TOC2"/>
        <w:tabs>
          <w:tab w:val="left" w:pos="800"/>
        </w:tabs>
        <w:rPr>
          <w:rFonts w:ascii="Calibri" w:hAnsi="Calibri"/>
          <w:noProof/>
          <w:sz w:val="22"/>
          <w:szCs w:val="22"/>
        </w:rPr>
      </w:pPr>
      <w:hyperlink w:anchor="_Toc511765668" w:history="1">
        <w:r w:rsidRPr="002D155D">
          <w:rPr>
            <w:rStyle w:val="Hyperlink"/>
            <w:noProof/>
          </w:rPr>
          <w:t>3.1</w:t>
        </w:r>
        <w:r w:rsidRPr="00254380">
          <w:rPr>
            <w:rFonts w:ascii="Calibri" w:hAnsi="Calibri"/>
            <w:noProof/>
            <w:sz w:val="22"/>
            <w:szCs w:val="22"/>
          </w:rPr>
          <w:tab/>
        </w:r>
        <w:r w:rsidRPr="002D155D">
          <w:rPr>
            <w:rStyle w:val="Hyperlink"/>
            <w:noProof/>
          </w:rPr>
          <w:t>Budgeted financial statements</w:t>
        </w:r>
        <w:r>
          <w:rPr>
            <w:noProof/>
            <w:webHidden/>
          </w:rPr>
          <w:tab/>
        </w:r>
        <w:r>
          <w:rPr>
            <w:noProof/>
            <w:webHidden/>
          </w:rPr>
          <w:fldChar w:fldCharType="begin"/>
        </w:r>
        <w:r>
          <w:rPr>
            <w:noProof/>
            <w:webHidden/>
          </w:rPr>
          <w:instrText xml:space="preserve"> PAGEREF _Toc511765668 \h </w:instrText>
        </w:r>
        <w:r>
          <w:rPr>
            <w:noProof/>
            <w:webHidden/>
          </w:rPr>
        </w:r>
        <w:r>
          <w:rPr>
            <w:noProof/>
            <w:webHidden/>
          </w:rPr>
          <w:fldChar w:fldCharType="separate"/>
        </w:r>
        <w:r w:rsidR="007212DF">
          <w:rPr>
            <w:noProof/>
            <w:webHidden/>
          </w:rPr>
          <w:t>143</w:t>
        </w:r>
        <w:r>
          <w:rPr>
            <w:noProof/>
            <w:webHidden/>
          </w:rPr>
          <w:fldChar w:fldCharType="end"/>
        </w:r>
      </w:hyperlink>
    </w:p>
    <w:p w:rsidR="00894726" w:rsidRPr="00254380" w:rsidRDefault="00894726">
      <w:pPr>
        <w:pStyle w:val="TOC2"/>
        <w:tabs>
          <w:tab w:val="left" w:pos="800"/>
        </w:tabs>
        <w:rPr>
          <w:rFonts w:ascii="Calibri" w:hAnsi="Calibri"/>
          <w:noProof/>
          <w:sz w:val="22"/>
          <w:szCs w:val="22"/>
        </w:rPr>
      </w:pPr>
      <w:hyperlink w:anchor="_Toc511765669" w:history="1">
        <w:r w:rsidRPr="002D155D">
          <w:rPr>
            <w:rStyle w:val="Hyperlink"/>
            <w:noProof/>
          </w:rPr>
          <w:t>3.2.</w:t>
        </w:r>
        <w:r w:rsidRPr="00254380">
          <w:rPr>
            <w:rFonts w:ascii="Calibri" w:hAnsi="Calibri"/>
            <w:noProof/>
            <w:sz w:val="22"/>
            <w:szCs w:val="22"/>
          </w:rPr>
          <w:tab/>
        </w:r>
        <w:r w:rsidRPr="002D155D">
          <w:rPr>
            <w:rStyle w:val="Hyperlink"/>
            <w:noProof/>
          </w:rPr>
          <w:t>Budgeted financial statements tables</w:t>
        </w:r>
        <w:r>
          <w:rPr>
            <w:noProof/>
            <w:webHidden/>
          </w:rPr>
          <w:tab/>
        </w:r>
        <w:r>
          <w:rPr>
            <w:noProof/>
            <w:webHidden/>
          </w:rPr>
          <w:fldChar w:fldCharType="begin"/>
        </w:r>
        <w:r>
          <w:rPr>
            <w:noProof/>
            <w:webHidden/>
          </w:rPr>
          <w:instrText xml:space="preserve"> PAGEREF _Toc511765669 \h </w:instrText>
        </w:r>
        <w:r>
          <w:rPr>
            <w:noProof/>
            <w:webHidden/>
          </w:rPr>
        </w:r>
        <w:r>
          <w:rPr>
            <w:noProof/>
            <w:webHidden/>
          </w:rPr>
          <w:fldChar w:fldCharType="separate"/>
        </w:r>
        <w:r w:rsidR="007212DF">
          <w:rPr>
            <w:noProof/>
            <w:webHidden/>
          </w:rPr>
          <w:t>144</w:t>
        </w:r>
        <w:r>
          <w:rPr>
            <w:noProof/>
            <w:webHidden/>
          </w:rPr>
          <w:fldChar w:fldCharType="end"/>
        </w:r>
      </w:hyperlink>
    </w:p>
    <w:p w:rsidR="003F3839" w:rsidRPr="00BF51E9" w:rsidRDefault="003F3839" w:rsidP="003F3839">
      <w:pPr>
        <w:pStyle w:val="TOC1"/>
      </w:pPr>
      <w:r w:rsidRPr="00BF51E9">
        <w:fldChar w:fldCharType="end"/>
      </w:r>
    </w:p>
    <w:p w:rsidR="00891DC5" w:rsidRDefault="00891DC5" w:rsidP="003F3839">
      <w:pPr>
        <w:sectPr w:rsidR="00891DC5" w:rsidSect="0050346A">
          <w:headerReference w:type="even" r:id="rId124"/>
          <w:headerReference w:type="default" r:id="rId125"/>
          <w:headerReference w:type="first" r:id="rId126"/>
          <w:footerReference w:type="first" r:id="rId127"/>
          <w:footnotePr>
            <w:numRestart w:val="eachPage"/>
          </w:footnotePr>
          <w:type w:val="oddPage"/>
          <w:pgSz w:w="11906" w:h="16838" w:code="9"/>
          <w:pgMar w:top="2466" w:right="2098" w:bottom="2466" w:left="2098" w:header="1899" w:footer="1899" w:gutter="0"/>
          <w:cols w:space="708"/>
          <w:titlePg/>
          <w:docGrid w:linePitch="360"/>
        </w:sectPr>
      </w:pPr>
    </w:p>
    <w:p w:rsidR="00891DC5" w:rsidRDefault="00891DC5" w:rsidP="00891DC5">
      <w:pPr>
        <w:pStyle w:val="Heading1"/>
      </w:pPr>
      <w:bookmarkStart w:id="446" w:name="_Toc511635317"/>
      <w:bookmarkStart w:id="447" w:name="_Toc511651066"/>
      <w:r>
        <w:lastRenderedPageBreak/>
        <w:t xml:space="preserve">Fair Work Ombudsman </w:t>
      </w:r>
      <w:r>
        <w:br/>
        <w:t xml:space="preserve">and the </w:t>
      </w:r>
      <w:r>
        <w:br/>
        <w:t>Registered Organisations Commission</w:t>
      </w:r>
      <w:bookmarkEnd w:id="446"/>
      <w:bookmarkEnd w:id="447"/>
    </w:p>
    <w:p w:rsidR="00891DC5" w:rsidRPr="002C4D41" w:rsidRDefault="00891DC5" w:rsidP="00891DC5">
      <w:pPr>
        <w:pStyle w:val="Heading2"/>
      </w:pPr>
      <w:bookmarkStart w:id="448" w:name="_Toc511656290"/>
      <w:bookmarkStart w:id="449" w:name="_Toc511722663"/>
      <w:bookmarkStart w:id="450" w:name="_Toc511736995"/>
      <w:bookmarkStart w:id="451" w:name="_Toc511747257"/>
      <w:bookmarkStart w:id="452" w:name="_Toc511765660"/>
      <w:bookmarkStart w:id="453" w:name="_Toc511828716"/>
      <w:bookmarkStart w:id="454" w:name="_Toc511836855"/>
      <w:bookmarkStart w:id="455" w:name="_Toc511902561"/>
      <w:r w:rsidRPr="002C4D41">
        <w:t>Section 1: Entity overview and resources</w:t>
      </w:r>
      <w:bookmarkEnd w:id="448"/>
      <w:bookmarkEnd w:id="449"/>
      <w:bookmarkEnd w:id="450"/>
      <w:bookmarkEnd w:id="451"/>
      <w:bookmarkEnd w:id="452"/>
      <w:bookmarkEnd w:id="453"/>
      <w:bookmarkEnd w:id="454"/>
      <w:bookmarkEnd w:id="455"/>
    </w:p>
    <w:p w:rsidR="00891DC5" w:rsidRDefault="00891DC5" w:rsidP="00891DC5">
      <w:pPr>
        <w:pStyle w:val="Heading3"/>
      </w:pPr>
      <w:bookmarkStart w:id="456" w:name="_Toc511656291"/>
      <w:bookmarkStart w:id="457" w:name="_Toc511722664"/>
      <w:bookmarkStart w:id="458" w:name="_Toc511736996"/>
      <w:bookmarkStart w:id="459" w:name="_Toc511747258"/>
      <w:bookmarkStart w:id="460" w:name="_Toc511765661"/>
      <w:bookmarkStart w:id="461" w:name="_Toc511828717"/>
      <w:bookmarkStart w:id="462" w:name="_Toc511836856"/>
      <w:bookmarkStart w:id="463" w:name="_Toc511902562"/>
      <w:r>
        <w:t>1.1</w:t>
      </w:r>
      <w:r>
        <w:tab/>
        <w:t>Strategic direction statement</w:t>
      </w:r>
      <w:bookmarkEnd w:id="456"/>
      <w:bookmarkEnd w:id="457"/>
      <w:bookmarkEnd w:id="458"/>
      <w:bookmarkEnd w:id="459"/>
      <w:bookmarkEnd w:id="460"/>
      <w:bookmarkEnd w:id="461"/>
      <w:bookmarkEnd w:id="462"/>
      <w:bookmarkEnd w:id="463"/>
    </w:p>
    <w:p w:rsidR="0035241F" w:rsidRPr="0035241F" w:rsidRDefault="0035241F" w:rsidP="0035241F">
      <w:pPr>
        <w:pStyle w:val="Heading4"/>
      </w:pPr>
      <w:r w:rsidRPr="0035241F">
        <w:t>Fair Work Ombudsman</w:t>
      </w:r>
    </w:p>
    <w:p w:rsidR="0035241F" w:rsidRDefault="0035241F" w:rsidP="0035241F">
      <w:r>
        <w:t xml:space="preserve">The Fair Work Ombudsman is an independent statutory office created by the </w:t>
      </w:r>
      <w:r>
        <w:rPr>
          <w:i/>
        </w:rPr>
        <w:t>Fair Work Act 2009</w:t>
      </w:r>
      <w:r>
        <w:t xml:space="preserve"> on 1 July 2009.</w:t>
      </w:r>
    </w:p>
    <w:p w:rsidR="0035241F" w:rsidRDefault="0035241F" w:rsidP="0035241F">
      <w:pPr>
        <w:spacing w:after="80"/>
      </w:pPr>
      <w:r>
        <w:t>The Fair Work Ombudsman promotes harmonious, productive and cooperative workplace relations and ensures compliance with Commonwealth workplace laws by:</w:t>
      </w:r>
    </w:p>
    <w:p w:rsidR="0035241F" w:rsidRDefault="0035241F" w:rsidP="00AF5563">
      <w:pPr>
        <w:pStyle w:val="Bullet"/>
        <w:spacing w:after="120"/>
        <w:ind w:left="284" w:hanging="284"/>
      </w:pPr>
      <w:r>
        <w:t>offering people a single point of contact for them to receive accurate and timely advice and information about Australia’s workplace relations system</w:t>
      </w:r>
    </w:p>
    <w:p w:rsidR="0035241F" w:rsidRDefault="0035241F" w:rsidP="00AF5563">
      <w:pPr>
        <w:pStyle w:val="Bullet"/>
        <w:spacing w:after="120"/>
        <w:ind w:left="284" w:hanging="284"/>
      </w:pPr>
      <w:r>
        <w:t>educating people working in Australia about their workplace rights and obligations</w:t>
      </w:r>
    </w:p>
    <w:p w:rsidR="0035241F" w:rsidRDefault="0035241F" w:rsidP="00AF5563">
      <w:pPr>
        <w:pStyle w:val="Bullet"/>
        <w:spacing w:after="120"/>
        <w:ind w:left="284" w:hanging="284"/>
      </w:pPr>
      <w:r>
        <w:t>investigating complaints or suspected contraventions of workplace laws, awards and agreements</w:t>
      </w:r>
      <w:r w:rsidR="009017A1">
        <w:rPr>
          <w:lang w:val="en-AU"/>
        </w:rPr>
        <w:t>, and</w:t>
      </w:r>
    </w:p>
    <w:p w:rsidR="0035241F" w:rsidRDefault="0035241F" w:rsidP="0035241F">
      <w:pPr>
        <w:pStyle w:val="Bullet"/>
      </w:pPr>
      <w:r>
        <w:t xml:space="preserve">litigating to enforce workplace laws and to deter people from not complying with their workplace responsibilities. </w:t>
      </w:r>
    </w:p>
    <w:p w:rsidR="0035241F" w:rsidRDefault="0035241F" w:rsidP="0035241F">
      <w:r>
        <w:t xml:space="preserve">The strategic focus of the Fair Work Ombudsman in 2018–19 is to ensure that there is increased compliance with Commonwealth workplace laws through educating and advising employees, employers, outworkers, outworker entities and organisations about the federal workplace relations system. </w:t>
      </w:r>
    </w:p>
    <w:p w:rsidR="0035241F" w:rsidRDefault="0035241F" w:rsidP="0035241F">
      <w:pPr>
        <w:pStyle w:val="Heading4"/>
      </w:pPr>
      <w:r>
        <w:t>Registered Organisations Commission</w:t>
      </w:r>
    </w:p>
    <w:p w:rsidR="0035241F" w:rsidRDefault="0035241F" w:rsidP="0035241F">
      <w:r>
        <w:t xml:space="preserve">The Registered Organisations Commission (ROC) was established on 1 May 2017 within the Fair Work Ombudsman as the independent regulator of registered organisations in Australia. It was established under the </w:t>
      </w:r>
      <w:r>
        <w:rPr>
          <w:i/>
        </w:rPr>
        <w:t>Fair Work (Registered Organisations) Amendment Act 2016</w:t>
      </w:r>
      <w:r>
        <w:t xml:space="preserve">. </w:t>
      </w:r>
    </w:p>
    <w:p w:rsidR="0035241F" w:rsidRDefault="0035241F" w:rsidP="00AF5563">
      <w:pPr>
        <w:spacing w:after="120"/>
      </w:pPr>
      <w:r>
        <w:t>The Registered Organisations Commission is an independent regulator of registered organisations with the key functions of:</w:t>
      </w:r>
    </w:p>
    <w:p w:rsidR="0035241F" w:rsidRDefault="0035241F" w:rsidP="00AF5563">
      <w:pPr>
        <w:pStyle w:val="Bullet"/>
        <w:spacing w:after="120"/>
      </w:pPr>
      <w:r>
        <w:t>promoting the efficient management of registered organisations and high standards of registered organisations</w:t>
      </w:r>
      <w:r w:rsidR="00FF68FF">
        <w:rPr>
          <w:lang w:val="en-AU"/>
        </w:rPr>
        <w:t>’</w:t>
      </w:r>
      <w:r>
        <w:t xml:space="preserve"> accountability to members</w:t>
      </w:r>
    </w:p>
    <w:p w:rsidR="00AF5563" w:rsidRDefault="0035241F" w:rsidP="00AF5563">
      <w:pPr>
        <w:pStyle w:val="Bullet"/>
        <w:spacing w:after="120"/>
      </w:pPr>
      <w:r>
        <w:t>promoting registered organisations’ compliance with financial reporting and accountability requirements under the Act</w:t>
      </w:r>
      <w:r w:rsidR="009017A1">
        <w:rPr>
          <w:lang w:val="en-AU"/>
        </w:rPr>
        <w:t>, and</w:t>
      </w:r>
    </w:p>
    <w:p w:rsidR="0035241F" w:rsidRDefault="0035241F" w:rsidP="0035241F">
      <w:pPr>
        <w:pStyle w:val="Bullet"/>
      </w:pPr>
      <w:r>
        <w:t xml:space="preserve">monitoring registered organisations’ compliance with provisions of the Act. </w:t>
      </w:r>
    </w:p>
    <w:p w:rsidR="0035241F" w:rsidRDefault="0035241F" w:rsidP="0035241F">
      <w:r>
        <w:lastRenderedPageBreak/>
        <w:t xml:space="preserve">The Registered Organisations Commission comprises the Registered Organisations Commissioner and staff assisting the Commissioner. </w:t>
      </w:r>
    </w:p>
    <w:p w:rsidR="0035241F" w:rsidRDefault="0035241F" w:rsidP="0035241F">
      <w:r>
        <w:t xml:space="preserve">The Fair Work Ombudsman is the head of the Registered Organisations Commission for the purposes of the </w:t>
      </w:r>
      <w:r>
        <w:rPr>
          <w:i/>
        </w:rPr>
        <w:t>Public Service Act 1999</w:t>
      </w:r>
      <w:r>
        <w:t xml:space="preserve"> and is the accountable authority for the purposes of the </w:t>
      </w:r>
      <w:r>
        <w:rPr>
          <w:i/>
        </w:rPr>
        <w:t>Public Governance, Performance and Accountability Act 2013</w:t>
      </w:r>
      <w:r>
        <w:t>.</w:t>
      </w:r>
    </w:p>
    <w:p w:rsidR="0035241F" w:rsidRDefault="0035241F" w:rsidP="0035241F">
      <w:r>
        <w:t xml:space="preserve">Staff assisting the Registered Organisations Commissioner are engaged by the Office of the Fair Work Ombudsman under the </w:t>
      </w:r>
      <w:r>
        <w:rPr>
          <w:i/>
        </w:rPr>
        <w:t>Public Service Act 1999</w:t>
      </w:r>
      <w:r>
        <w:t xml:space="preserve"> and made available to assist the Registered Organisations Commissioner. Staff are subject to the directions of the Commissioner and will not be subject to the directions of the Fair Work Ombudsman.</w:t>
      </w:r>
    </w:p>
    <w:p w:rsidR="00891DC5" w:rsidRPr="0079797F" w:rsidRDefault="0035241F" w:rsidP="0035241F">
      <w:r>
        <w:t>The Registered Organisations Commission operates under a Special Account to ensure the financial independence from the Office of the Fair Work Ombudsman. The Registered Organisations Commissioner manages the Account.</w:t>
      </w:r>
    </w:p>
    <w:p w:rsidR="00891DC5" w:rsidRDefault="00891DC5" w:rsidP="00891DC5">
      <w:pPr>
        <w:pStyle w:val="Heading3"/>
      </w:pPr>
      <w:r w:rsidRPr="0079797F">
        <w:br w:type="page"/>
      </w:r>
      <w:bookmarkStart w:id="464" w:name="_Toc511656292"/>
      <w:bookmarkStart w:id="465" w:name="_Toc511722665"/>
      <w:bookmarkStart w:id="466" w:name="_Toc511736997"/>
      <w:bookmarkStart w:id="467" w:name="_Toc511747259"/>
      <w:bookmarkStart w:id="468" w:name="_Toc511765662"/>
      <w:bookmarkStart w:id="469" w:name="_Toc511828718"/>
      <w:bookmarkStart w:id="470" w:name="_Toc511836857"/>
      <w:bookmarkStart w:id="471" w:name="_Toc511902563"/>
      <w:r>
        <w:lastRenderedPageBreak/>
        <w:t>1.2</w:t>
      </w:r>
      <w:r>
        <w:tab/>
        <w:t>Entity resource statement</w:t>
      </w:r>
      <w:bookmarkEnd w:id="464"/>
      <w:bookmarkEnd w:id="465"/>
      <w:bookmarkEnd w:id="466"/>
      <w:bookmarkEnd w:id="467"/>
      <w:bookmarkEnd w:id="468"/>
      <w:bookmarkEnd w:id="469"/>
      <w:bookmarkEnd w:id="470"/>
      <w:bookmarkEnd w:id="471"/>
    </w:p>
    <w:p w:rsidR="00891DC5" w:rsidRDefault="00891DC5" w:rsidP="00891DC5">
      <w:r>
        <w:t>Table 1.1 shows the total funding from all sources available to the entity for its operations and to deliver programs and services on behalf of the Government.</w:t>
      </w:r>
    </w:p>
    <w:p w:rsidR="00891DC5" w:rsidRDefault="00891DC5" w:rsidP="00891DC5">
      <w:r>
        <w:t>The table summarises how resources will be applied by outcome (government strategic policy objectives) and by administered (on behalf of the Government or the public) and departmental (for the entity’s operations) classification.</w:t>
      </w:r>
    </w:p>
    <w:p w:rsidR="00891DC5" w:rsidRDefault="00891DC5" w:rsidP="00891DC5">
      <w:r>
        <w:t xml:space="preserve">For more detailed information on special accounts and special appropriations, please refer to </w:t>
      </w:r>
      <w:r>
        <w:rPr>
          <w:i/>
        </w:rPr>
        <w:t>Budget Paper No. 4—</w:t>
      </w:r>
      <w:r w:rsidRPr="00412C0B">
        <w:rPr>
          <w:i/>
        </w:rPr>
        <w:t>Agency Resourcing</w:t>
      </w:r>
      <w:r>
        <w:t>.</w:t>
      </w:r>
    </w:p>
    <w:p w:rsidR="00891DC5" w:rsidRDefault="00891DC5" w:rsidP="00891DC5">
      <w:r>
        <w:t>Information in this table is presented on a resourcing (that is, appropriations/cash available) basis, whilst the</w:t>
      </w:r>
      <w:r w:rsidR="0035241F">
        <w:t xml:space="preserve"> ‘Budgeted expenses by Outcome</w:t>
      </w:r>
      <w:r>
        <w:t>’ tables in Section 2 and the financial statements in Section 3 are presented on an accrual basis.</w:t>
      </w:r>
    </w:p>
    <w:p w:rsidR="00891DC5" w:rsidRPr="005731D3" w:rsidRDefault="00DC5D5A" w:rsidP="00891DC5">
      <w:pPr>
        <w:pStyle w:val="TableHeading"/>
      </w:pPr>
      <w:r>
        <w:br w:type="page"/>
      </w:r>
      <w:r w:rsidR="00891DC5" w:rsidRPr="005731D3">
        <w:lastRenderedPageBreak/>
        <w:t xml:space="preserve">Table 1.1: </w:t>
      </w:r>
      <w:r>
        <w:rPr>
          <w:lang w:val="en-AU"/>
        </w:rPr>
        <w:t xml:space="preserve">Fair Work Ombudsman and the Registered Organisations Commission </w:t>
      </w:r>
      <w:r w:rsidR="00891DC5">
        <w:t>resource statement</w:t>
      </w:r>
      <w:r w:rsidR="00891DC5">
        <w:rPr>
          <w:lang w:val="en-AU"/>
        </w:rPr>
        <w:t>—</w:t>
      </w:r>
      <w:r w:rsidR="00891DC5" w:rsidRPr="005731D3">
        <w:t xml:space="preserve">Budget estimates for </w:t>
      </w:r>
      <w:r w:rsidR="00891DC5" w:rsidRPr="003F3C77">
        <w:t>201</w:t>
      </w:r>
      <w:r w:rsidR="00891DC5">
        <w:t>8</w:t>
      </w:r>
      <w:r w:rsidR="00891DC5">
        <w:rPr>
          <w:lang w:val="en-AU"/>
        </w:rPr>
        <w:t>–</w:t>
      </w:r>
      <w:r w:rsidR="00891DC5" w:rsidRPr="003F3C77">
        <w:t>1</w:t>
      </w:r>
      <w:r w:rsidR="00891DC5">
        <w:t>9</w:t>
      </w:r>
      <w:r w:rsidR="00891DC5">
        <w:rPr>
          <w:lang w:val="en-AU"/>
        </w:rPr>
        <w:t xml:space="preserve"> </w:t>
      </w:r>
      <w:r w:rsidR="00891DC5" w:rsidRPr="005731D3">
        <w:t>as at Budget</w:t>
      </w:r>
      <w:r w:rsidR="00C5333D">
        <w:rPr>
          <w:lang w:val="en-AU"/>
        </w:rPr>
        <w:t>,</w:t>
      </w:r>
      <w:r w:rsidR="00891DC5" w:rsidRPr="005731D3">
        <w:t xml:space="preserve"> May 201</w:t>
      </w:r>
      <w:r w:rsidR="00891DC5">
        <w:t>8</w:t>
      </w:r>
    </w:p>
    <w:tbl>
      <w:tblPr>
        <w:tblW w:w="7768" w:type="dxa"/>
        <w:tblInd w:w="93" w:type="dxa"/>
        <w:tblLook w:val="04A0" w:firstRow="1" w:lastRow="0" w:firstColumn="1" w:lastColumn="0" w:noHBand="0" w:noVBand="1"/>
      </w:tblPr>
      <w:tblGrid>
        <w:gridCol w:w="5386"/>
        <w:gridCol w:w="1191"/>
        <w:gridCol w:w="1191"/>
      </w:tblGrid>
      <w:tr w:rsidR="00DC5D5A" w:rsidRPr="00DC5D5A" w:rsidTr="00DC5D5A">
        <w:trPr>
          <w:trHeight w:val="794"/>
        </w:trPr>
        <w:tc>
          <w:tcPr>
            <w:tcW w:w="5386" w:type="dxa"/>
            <w:tcBorders>
              <w:top w:val="single" w:sz="4" w:space="0" w:color="auto"/>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w:t>
            </w:r>
          </w:p>
        </w:tc>
        <w:tc>
          <w:tcPr>
            <w:tcW w:w="1191" w:type="dxa"/>
            <w:tcBorders>
              <w:top w:val="single" w:sz="4" w:space="0" w:color="auto"/>
              <w:left w:val="nil"/>
              <w:bottom w:val="single" w:sz="4" w:space="0" w:color="auto"/>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2017–18 Estimated actual </w:t>
            </w:r>
            <w:r w:rsidRPr="00DC5D5A">
              <w:rPr>
                <w:rFonts w:ascii="Arial" w:hAnsi="Arial" w:cs="Arial"/>
                <w:i/>
                <w:iCs/>
                <w:color w:val="000000"/>
                <w:sz w:val="16"/>
                <w:szCs w:val="16"/>
              </w:rPr>
              <w:br/>
              <w:t>$'000</w:t>
            </w:r>
          </w:p>
        </w:tc>
        <w:tc>
          <w:tcPr>
            <w:tcW w:w="1191" w:type="dxa"/>
            <w:tcBorders>
              <w:top w:val="single" w:sz="4" w:space="0" w:color="auto"/>
              <w:left w:val="nil"/>
              <w:bottom w:val="single" w:sz="4" w:space="0" w:color="auto"/>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2018–19 Estimate</w:t>
            </w:r>
            <w:r w:rsidRPr="00DC5D5A">
              <w:rPr>
                <w:rFonts w:ascii="Arial" w:hAnsi="Arial" w:cs="Arial"/>
                <w:color w:val="000000"/>
                <w:sz w:val="16"/>
                <w:szCs w:val="16"/>
              </w:rPr>
              <w:br/>
            </w:r>
            <w:r w:rsidRPr="00DC5D5A">
              <w:rPr>
                <w:rFonts w:ascii="Arial" w:hAnsi="Arial" w:cs="Arial"/>
                <w:color w:val="000000"/>
                <w:sz w:val="16"/>
                <w:szCs w:val="16"/>
              </w:rPr>
              <w:br/>
              <w:t>$'000</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Departmental</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Annual appropriations—ordinary annual services (a)</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Prior year appropriations available</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63,165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60,680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Departmental appropriation (b)</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110,464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110,009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s74 Retained revenue receipts (c)</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1,190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1,000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672459" w:rsidP="00672459">
            <w:pPr>
              <w:spacing w:after="0" w:line="240" w:lineRule="auto"/>
              <w:rPr>
                <w:rFonts w:ascii="Arial" w:hAnsi="Arial" w:cs="Arial"/>
                <w:color w:val="000000"/>
                <w:sz w:val="16"/>
                <w:szCs w:val="16"/>
              </w:rPr>
            </w:pPr>
            <w:r>
              <w:rPr>
                <w:rFonts w:ascii="Arial" w:hAnsi="Arial" w:cs="Arial"/>
                <w:color w:val="000000"/>
                <w:sz w:val="16"/>
                <w:szCs w:val="16"/>
              </w:rPr>
              <w:t xml:space="preserve">    Departmental C</w:t>
            </w:r>
            <w:r w:rsidR="00DC5D5A" w:rsidRPr="00DC5D5A">
              <w:rPr>
                <w:rFonts w:ascii="Arial" w:hAnsi="Arial" w:cs="Arial"/>
                <w:color w:val="000000"/>
                <w:sz w:val="16"/>
                <w:szCs w:val="16"/>
              </w:rPr>
              <w:t xml:space="preserve">apital </w:t>
            </w:r>
            <w:r>
              <w:rPr>
                <w:rFonts w:ascii="Arial" w:hAnsi="Arial" w:cs="Arial"/>
                <w:color w:val="000000"/>
                <w:sz w:val="16"/>
                <w:szCs w:val="16"/>
              </w:rPr>
              <w:t>B</w:t>
            </w:r>
            <w:r w:rsidR="00DC5D5A" w:rsidRPr="00DC5D5A">
              <w:rPr>
                <w:rFonts w:ascii="Arial" w:hAnsi="Arial" w:cs="Arial"/>
                <w:color w:val="000000"/>
                <w:sz w:val="16"/>
                <w:szCs w:val="16"/>
              </w:rPr>
              <w:t>udget (d)</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5,283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7,215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Total departmental annual appropriations</w:t>
            </w:r>
          </w:p>
        </w:tc>
        <w:tc>
          <w:tcPr>
            <w:tcW w:w="1191" w:type="dxa"/>
            <w:tcBorders>
              <w:top w:val="single" w:sz="4" w:space="0" w:color="auto"/>
              <w:left w:val="nil"/>
              <w:bottom w:val="single" w:sz="4" w:space="0" w:color="auto"/>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180,102 </w:t>
            </w:r>
          </w:p>
        </w:tc>
        <w:tc>
          <w:tcPr>
            <w:tcW w:w="1191" w:type="dxa"/>
            <w:tcBorders>
              <w:top w:val="single" w:sz="4" w:space="0" w:color="auto"/>
              <w:left w:val="nil"/>
              <w:bottom w:val="single" w:sz="4" w:space="0" w:color="auto"/>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178,904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Special accounts (e)</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w:t>
            </w:r>
            <w:r w:rsidRPr="00061E07">
              <w:rPr>
                <w:rFonts w:ascii="Arial" w:hAnsi="Arial" w:cs="Arial"/>
                <w:color w:val="000000"/>
                <w:sz w:val="16"/>
                <w:szCs w:val="16"/>
              </w:rPr>
              <w:t>Opening balance</w:t>
            </w:r>
          </w:p>
        </w:tc>
        <w:tc>
          <w:tcPr>
            <w:tcW w:w="1191" w:type="dxa"/>
            <w:tcBorders>
              <w:top w:val="nil"/>
              <w:left w:val="nil"/>
              <w:bottom w:val="nil"/>
              <w:right w:val="nil"/>
            </w:tcBorders>
            <w:shd w:val="clear" w:color="000000" w:fill="FFFFFF"/>
            <w:vAlign w:val="center"/>
            <w:hideMark/>
          </w:tcPr>
          <w:p w:rsidR="00DC5D5A" w:rsidRPr="00DC5D5A" w:rsidRDefault="00931196" w:rsidP="00211A19">
            <w:pPr>
              <w:spacing w:after="0" w:line="240" w:lineRule="auto"/>
              <w:jc w:val="right"/>
              <w:rPr>
                <w:rFonts w:ascii="Arial" w:hAnsi="Arial" w:cs="Arial"/>
                <w:i/>
                <w:iCs/>
                <w:color w:val="000000"/>
                <w:sz w:val="16"/>
                <w:szCs w:val="16"/>
              </w:rPr>
            </w:pPr>
            <w:r>
              <w:rPr>
                <w:rFonts w:ascii="Arial" w:hAnsi="Arial" w:cs="Arial"/>
                <w:i/>
                <w:iCs/>
                <w:color w:val="000000"/>
                <w:sz w:val="16"/>
                <w:szCs w:val="16"/>
              </w:rPr>
              <w:t>1,379</w:t>
            </w:r>
            <w:r w:rsidR="00211A19">
              <w:rPr>
                <w:rFonts w:ascii="Arial" w:hAnsi="Arial" w:cs="Arial"/>
                <w:i/>
                <w:iCs/>
                <w:color w:val="000000"/>
                <w:sz w:val="16"/>
                <w:szCs w:val="16"/>
              </w:rPr>
              <w:t xml:space="preserve"> </w:t>
            </w:r>
          </w:p>
        </w:tc>
        <w:tc>
          <w:tcPr>
            <w:tcW w:w="1191" w:type="dxa"/>
            <w:tcBorders>
              <w:top w:val="nil"/>
              <w:left w:val="nil"/>
              <w:bottom w:val="nil"/>
              <w:right w:val="nil"/>
            </w:tcBorders>
            <w:shd w:val="clear" w:color="000000" w:fill="E6E6E6"/>
            <w:vAlign w:val="center"/>
            <w:hideMark/>
          </w:tcPr>
          <w:p w:rsidR="00DC5D5A" w:rsidRPr="00DC5D5A" w:rsidRDefault="00931196" w:rsidP="00211A19">
            <w:pPr>
              <w:spacing w:after="0" w:line="240" w:lineRule="auto"/>
              <w:jc w:val="right"/>
              <w:rPr>
                <w:rFonts w:ascii="Arial" w:hAnsi="Arial" w:cs="Arial"/>
                <w:color w:val="000000"/>
                <w:sz w:val="16"/>
                <w:szCs w:val="16"/>
              </w:rPr>
            </w:pPr>
            <w:r>
              <w:rPr>
                <w:rFonts w:ascii="Arial" w:hAnsi="Arial" w:cs="Arial"/>
                <w:color w:val="000000"/>
                <w:sz w:val="16"/>
                <w:szCs w:val="16"/>
              </w:rPr>
              <w:t>1,300</w:t>
            </w:r>
            <w:r w:rsidR="00211A19">
              <w:rPr>
                <w:rFonts w:ascii="Arial" w:hAnsi="Arial" w:cs="Arial"/>
                <w:color w:val="000000"/>
                <w:sz w:val="16"/>
                <w:szCs w:val="16"/>
              </w:rPr>
              <w:t xml:space="preserve">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Appropriation receipts (f)</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6,509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7,752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i/>
                <w:iCs/>
                <w:color w:val="000000"/>
                <w:sz w:val="16"/>
                <w:szCs w:val="16"/>
              </w:rPr>
            </w:pPr>
            <w:r w:rsidRPr="00DC5D5A">
              <w:rPr>
                <w:rFonts w:ascii="Arial" w:hAnsi="Arial" w:cs="Arial"/>
                <w:i/>
                <w:iCs/>
                <w:color w:val="000000"/>
                <w:sz w:val="16"/>
                <w:szCs w:val="16"/>
              </w:rPr>
              <w:t>Total special accounts</w:t>
            </w:r>
          </w:p>
        </w:tc>
        <w:tc>
          <w:tcPr>
            <w:tcW w:w="1191" w:type="dxa"/>
            <w:tcBorders>
              <w:top w:val="single" w:sz="4" w:space="0" w:color="auto"/>
              <w:left w:val="nil"/>
              <w:bottom w:val="single" w:sz="4" w:space="0" w:color="auto"/>
              <w:right w:val="nil"/>
            </w:tcBorders>
            <w:shd w:val="clear" w:color="000000" w:fill="FFFFFF"/>
            <w:vAlign w:val="center"/>
            <w:hideMark/>
          </w:tcPr>
          <w:p w:rsidR="00DC5D5A" w:rsidRPr="00DC5D5A" w:rsidRDefault="00061E07" w:rsidP="00DC5D5A">
            <w:pPr>
              <w:spacing w:after="0" w:line="240" w:lineRule="auto"/>
              <w:jc w:val="right"/>
              <w:rPr>
                <w:rFonts w:ascii="Arial" w:hAnsi="Arial" w:cs="Arial"/>
                <w:i/>
                <w:iCs/>
                <w:color w:val="000000"/>
                <w:sz w:val="16"/>
                <w:szCs w:val="16"/>
              </w:rPr>
            </w:pPr>
            <w:r>
              <w:rPr>
                <w:rFonts w:ascii="Arial" w:hAnsi="Arial" w:cs="Arial"/>
                <w:i/>
                <w:iCs/>
                <w:color w:val="000000"/>
                <w:sz w:val="16"/>
                <w:szCs w:val="16"/>
              </w:rPr>
              <w:t>7,888</w:t>
            </w:r>
            <w:r w:rsidR="00DC5D5A" w:rsidRPr="00DC5D5A">
              <w:rPr>
                <w:rFonts w:ascii="Arial" w:hAnsi="Arial" w:cs="Arial"/>
                <w:i/>
                <w:iCs/>
                <w:color w:val="000000"/>
                <w:sz w:val="16"/>
                <w:szCs w:val="16"/>
              </w:rPr>
              <w:t xml:space="preserve"> </w:t>
            </w:r>
          </w:p>
        </w:tc>
        <w:tc>
          <w:tcPr>
            <w:tcW w:w="1191" w:type="dxa"/>
            <w:tcBorders>
              <w:top w:val="single" w:sz="4" w:space="0" w:color="auto"/>
              <w:left w:val="nil"/>
              <w:bottom w:val="single" w:sz="4" w:space="0" w:color="auto"/>
              <w:right w:val="nil"/>
            </w:tcBorders>
            <w:shd w:val="clear" w:color="000000" w:fill="E6E6E6"/>
            <w:vAlign w:val="center"/>
            <w:hideMark/>
          </w:tcPr>
          <w:p w:rsidR="00DC5D5A" w:rsidRPr="00DC5D5A" w:rsidRDefault="00931196" w:rsidP="00DC5D5A">
            <w:pPr>
              <w:spacing w:after="0" w:line="240" w:lineRule="auto"/>
              <w:jc w:val="right"/>
              <w:rPr>
                <w:rFonts w:ascii="Arial" w:hAnsi="Arial" w:cs="Arial"/>
                <w:color w:val="000000"/>
                <w:sz w:val="16"/>
                <w:szCs w:val="16"/>
              </w:rPr>
            </w:pPr>
            <w:r>
              <w:rPr>
                <w:rFonts w:ascii="Arial" w:hAnsi="Arial" w:cs="Arial"/>
                <w:color w:val="000000"/>
                <w:sz w:val="16"/>
                <w:szCs w:val="16"/>
              </w:rPr>
              <w:t>9,052</w:t>
            </w:r>
            <w:r w:rsidR="00DC5D5A" w:rsidRPr="00DC5D5A">
              <w:rPr>
                <w:rFonts w:ascii="Arial" w:hAnsi="Arial" w:cs="Arial"/>
                <w:color w:val="000000"/>
                <w:sz w:val="16"/>
                <w:szCs w:val="16"/>
              </w:rPr>
              <w:t xml:space="preserve">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b/>
                <w:bCs/>
                <w:i/>
                <w:iCs/>
                <w:color w:val="000000"/>
                <w:sz w:val="16"/>
                <w:szCs w:val="16"/>
              </w:rPr>
            </w:pPr>
            <w:r w:rsidRPr="00DC5D5A">
              <w:rPr>
                <w:rFonts w:ascii="Arial" w:hAnsi="Arial" w:cs="Arial"/>
                <w:b/>
                <w:bCs/>
                <w:i/>
                <w:iCs/>
                <w:color w:val="000000"/>
                <w:sz w:val="16"/>
                <w:szCs w:val="16"/>
              </w:rPr>
              <w:t>Total departmental resourcing</w:t>
            </w:r>
          </w:p>
        </w:tc>
        <w:tc>
          <w:tcPr>
            <w:tcW w:w="1191" w:type="dxa"/>
            <w:tcBorders>
              <w:top w:val="single" w:sz="4" w:space="0" w:color="auto"/>
              <w:left w:val="nil"/>
              <w:bottom w:val="single" w:sz="4" w:space="0" w:color="auto"/>
              <w:right w:val="nil"/>
            </w:tcBorders>
            <w:shd w:val="clear" w:color="000000" w:fill="FFFFFF"/>
            <w:vAlign w:val="center"/>
            <w:hideMark/>
          </w:tcPr>
          <w:p w:rsidR="00DC5D5A" w:rsidRPr="00DC5D5A" w:rsidRDefault="00DC5D5A" w:rsidP="00061E07">
            <w:pPr>
              <w:spacing w:after="0" w:line="240" w:lineRule="auto"/>
              <w:jc w:val="right"/>
              <w:rPr>
                <w:rFonts w:ascii="Arial" w:hAnsi="Arial" w:cs="Arial"/>
                <w:b/>
                <w:bCs/>
                <w:i/>
                <w:iCs/>
                <w:color w:val="000000"/>
                <w:sz w:val="16"/>
                <w:szCs w:val="16"/>
              </w:rPr>
            </w:pPr>
            <w:r w:rsidRPr="00DC5D5A">
              <w:rPr>
                <w:rFonts w:ascii="Arial" w:hAnsi="Arial" w:cs="Arial"/>
                <w:b/>
                <w:bCs/>
                <w:i/>
                <w:iCs/>
                <w:color w:val="000000"/>
                <w:sz w:val="16"/>
                <w:szCs w:val="16"/>
              </w:rPr>
              <w:t>18</w:t>
            </w:r>
            <w:r w:rsidR="00061E07">
              <w:rPr>
                <w:rFonts w:ascii="Arial" w:hAnsi="Arial" w:cs="Arial"/>
                <w:b/>
                <w:bCs/>
                <w:i/>
                <w:iCs/>
                <w:color w:val="000000"/>
                <w:sz w:val="16"/>
                <w:szCs w:val="16"/>
              </w:rPr>
              <w:t>7</w:t>
            </w:r>
            <w:r w:rsidRPr="00DC5D5A">
              <w:rPr>
                <w:rFonts w:ascii="Arial" w:hAnsi="Arial" w:cs="Arial"/>
                <w:b/>
                <w:bCs/>
                <w:i/>
                <w:iCs/>
                <w:color w:val="000000"/>
                <w:sz w:val="16"/>
                <w:szCs w:val="16"/>
              </w:rPr>
              <w:t>,</w:t>
            </w:r>
            <w:r w:rsidR="00061E07">
              <w:rPr>
                <w:rFonts w:ascii="Arial" w:hAnsi="Arial" w:cs="Arial"/>
                <w:b/>
                <w:bCs/>
                <w:i/>
                <w:iCs/>
                <w:color w:val="000000"/>
                <w:sz w:val="16"/>
                <w:szCs w:val="16"/>
              </w:rPr>
              <w:t>990</w:t>
            </w:r>
            <w:r w:rsidRPr="00DC5D5A">
              <w:rPr>
                <w:rFonts w:ascii="Arial" w:hAnsi="Arial" w:cs="Arial"/>
                <w:b/>
                <w:bCs/>
                <w:i/>
                <w:iCs/>
                <w:color w:val="000000"/>
                <w:sz w:val="16"/>
                <w:szCs w:val="16"/>
              </w:rPr>
              <w:t xml:space="preserve"> </w:t>
            </w:r>
          </w:p>
        </w:tc>
        <w:tc>
          <w:tcPr>
            <w:tcW w:w="1191" w:type="dxa"/>
            <w:tcBorders>
              <w:top w:val="single" w:sz="4" w:space="0" w:color="auto"/>
              <w:left w:val="nil"/>
              <w:bottom w:val="single" w:sz="4" w:space="0" w:color="auto"/>
              <w:right w:val="nil"/>
            </w:tcBorders>
            <w:shd w:val="clear" w:color="000000" w:fill="E6E6E6"/>
            <w:vAlign w:val="center"/>
            <w:hideMark/>
          </w:tcPr>
          <w:p w:rsidR="00DC5D5A" w:rsidRPr="00DC5D5A" w:rsidRDefault="00DC5D5A" w:rsidP="00061E07">
            <w:pPr>
              <w:spacing w:after="0" w:line="240" w:lineRule="auto"/>
              <w:jc w:val="right"/>
              <w:rPr>
                <w:rFonts w:ascii="Arial" w:hAnsi="Arial" w:cs="Arial"/>
                <w:b/>
                <w:bCs/>
                <w:color w:val="000000"/>
                <w:sz w:val="16"/>
                <w:szCs w:val="16"/>
              </w:rPr>
            </w:pPr>
            <w:r w:rsidRPr="00DC5D5A">
              <w:rPr>
                <w:rFonts w:ascii="Arial" w:hAnsi="Arial" w:cs="Arial"/>
                <w:b/>
                <w:bCs/>
                <w:color w:val="000000"/>
                <w:sz w:val="16"/>
                <w:szCs w:val="16"/>
              </w:rPr>
              <w:t>18</w:t>
            </w:r>
            <w:r w:rsidR="00061E07">
              <w:rPr>
                <w:rFonts w:ascii="Arial" w:hAnsi="Arial" w:cs="Arial"/>
                <w:b/>
                <w:bCs/>
                <w:color w:val="000000"/>
                <w:sz w:val="16"/>
                <w:szCs w:val="16"/>
              </w:rPr>
              <w:t>7</w:t>
            </w:r>
            <w:r w:rsidRPr="00DC5D5A">
              <w:rPr>
                <w:rFonts w:ascii="Arial" w:hAnsi="Arial" w:cs="Arial"/>
                <w:b/>
                <w:bCs/>
                <w:color w:val="000000"/>
                <w:sz w:val="16"/>
                <w:szCs w:val="16"/>
              </w:rPr>
              <w:t>,</w:t>
            </w:r>
            <w:r w:rsidR="00061E07">
              <w:rPr>
                <w:rFonts w:ascii="Arial" w:hAnsi="Arial" w:cs="Arial"/>
                <w:b/>
                <w:bCs/>
                <w:color w:val="000000"/>
                <w:sz w:val="16"/>
                <w:szCs w:val="16"/>
              </w:rPr>
              <w:t>95</w:t>
            </w:r>
            <w:r w:rsidRPr="00DC5D5A">
              <w:rPr>
                <w:rFonts w:ascii="Arial" w:hAnsi="Arial" w:cs="Arial"/>
                <w:b/>
                <w:bCs/>
                <w:color w:val="000000"/>
                <w:sz w:val="16"/>
                <w:szCs w:val="16"/>
              </w:rPr>
              <w:t xml:space="preserve">6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Administered</w:t>
            </w:r>
          </w:p>
        </w:tc>
        <w:tc>
          <w:tcPr>
            <w:tcW w:w="1191"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w:t>
            </w:r>
          </w:p>
        </w:tc>
      </w:tr>
      <w:tr w:rsidR="00DC5D5A" w:rsidRPr="00DC5D5A" w:rsidTr="00DC5D5A">
        <w:trPr>
          <w:trHeight w:val="225"/>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Total administered special appropriations (g)</w:t>
            </w:r>
          </w:p>
        </w:tc>
        <w:tc>
          <w:tcPr>
            <w:tcW w:w="1191" w:type="dxa"/>
            <w:tcBorders>
              <w:top w:val="nil"/>
              <w:left w:val="nil"/>
              <w:bottom w:val="single" w:sz="4" w:space="0" w:color="auto"/>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275 </w:t>
            </w:r>
          </w:p>
        </w:tc>
        <w:tc>
          <w:tcPr>
            <w:tcW w:w="1191" w:type="dxa"/>
            <w:tcBorders>
              <w:top w:val="nil"/>
              <w:left w:val="nil"/>
              <w:bottom w:val="single" w:sz="4" w:space="0" w:color="auto"/>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250 </w:t>
            </w:r>
          </w:p>
        </w:tc>
      </w:tr>
      <w:tr w:rsidR="00DC5D5A" w:rsidRPr="00DC5D5A" w:rsidTr="00DC5D5A">
        <w:trPr>
          <w:trHeight w:val="227"/>
        </w:trPr>
        <w:tc>
          <w:tcPr>
            <w:tcW w:w="5386" w:type="dxa"/>
            <w:tcBorders>
              <w:top w:val="nil"/>
              <w:left w:val="nil"/>
              <w:bottom w:val="nil"/>
              <w:right w:val="nil"/>
            </w:tcBorders>
            <w:shd w:val="clear" w:color="000000" w:fill="FFFFFF"/>
            <w:vAlign w:val="center"/>
            <w:hideMark/>
          </w:tcPr>
          <w:p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Total administered resourcing</w:t>
            </w:r>
          </w:p>
        </w:tc>
        <w:tc>
          <w:tcPr>
            <w:tcW w:w="1191" w:type="dxa"/>
            <w:tcBorders>
              <w:top w:val="single" w:sz="4" w:space="0" w:color="auto"/>
              <w:left w:val="nil"/>
              <w:bottom w:val="single" w:sz="4" w:space="0" w:color="auto"/>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b/>
                <w:bCs/>
                <w:i/>
                <w:iCs/>
                <w:color w:val="000000"/>
                <w:sz w:val="16"/>
                <w:szCs w:val="16"/>
              </w:rPr>
            </w:pPr>
            <w:r w:rsidRPr="00DC5D5A">
              <w:rPr>
                <w:rFonts w:ascii="Arial" w:hAnsi="Arial" w:cs="Arial"/>
                <w:b/>
                <w:bCs/>
                <w:i/>
                <w:iCs/>
                <w:color w:val="000000"/>
                <w:sz w:val="16"/>
                <w:szCs w:val="16"/>
              </w:rPr>
              <w:t xml:space="preserve">275 </w:t>
            </w:r>
          </w:p>
        </w:tc>
        <w:tc>
          <w:tcPr>
            <w:tcW w:w="1191" w:type="dxa"/>
            <w:tcBorders>
              <w:top w:val="single" w:sz="4" w:space="0" w:color="auto"/>
              <w:left w:val="nil"/>
              <w:bottom w:val="single" w:sz="4" w:space="0" w:color="auto"/>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b/>
                <w:bCs/>
                <w:color w:val="000000"/>
                <w:sz w:val="16"/>
                <w:szCs w:val="16"/>
              </w:rPr>
            </w:pPr>
            <w:r w:rsidRPr="00DC5D5A">
              <w:rPr>
                <w:rFonts w:ascii="Arial" w:hAnsi="Arial" w:cs="Arial"/>
                <w:b/>
                <w:bCs/>
                <w:color w:val="000000"/>
                <w:sz w:val="16"/>
                <w:szCs w:val="16"/>
              </w:rPr>
              <w:t xml:space="preserve">250 </w:t>
            </w:r>
          </w:p>
        </w:tc>
      </w:tr>
      <w:tr w:rsidR="00DC5D5A" w:rsidRPr="00DC5D5A" w:rsidTr="00DC5D5A">
        <w:trPr>
          <w:trHeight w:val="397"/>
        </w:trPr>
        <w:tc>
          <w:tcPr>
            <w:tcW w:w="5386" w:type="dxa"/>
            <w:tcBorders>
              <w:top w:val="nil"/>
              <w:left w:val="nil"/>
              <w:bottom w:val="single" w:sz="4" w:space="0" w:color="auto"/>
              <w:right w:val="nil"/>
            </w:tcBorders>
            <w:shd w:val="clear" w:color="000000" w:fill="FFFFFF"/>
            <w:vAlign w:val="bottom"/>
            <w:hideMark/>
          </w:tcPr>
          <w:p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Total resourcing for Fair Work Ombudsman and Registered Organisations Commission</w:t>
            </w:r>
          </w:p>
        </w:tc>
        <w:tc>
          <w:tcPr>
            <w:tcW w:w="1191" w:type="dxa"/>
            <w:tcBorders>
              <w:top w:val="nil"/>
              <w:left w:val="nil"/>
              <w:bottom w:val="single" w:sz="4" w:space="0" w:color="auto"/>
              <w:right w:val="nil"/>
            </w:tcBorders>
            <w:shd w:val="clear" w:color="000000" w:fill="FFFFFF"/>
            <w:vAlign w:val="bottom"/>
            <w:hideMark/>
          </w:tcPr>
          <w:p w:rsidR="00DC5D5A" w:rsidRPr="00DC5D5A" w:rsidRDefault="00061E07" w:rsidP="00DC5D5A">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188,265</w:t>
            </w:r>
            <w:r w:rsidR="00DC5D5A" w:rsidRPr="00DC5D5A">
              <w:rPr>
                <w:rFonts w:ascii="Arial" w:hAnsi="Arial" w:cs="Arial"/>
                <w:b/>
                <w:bCs/>
                <w:i/>
                <w:iCs/>
                <w:color w:val="000000"/>
                <w:sz w:val="16"/>
                <w:szCs w:val="16"/>
              </w:rPr>
              <w:t xml:space="preserve"> </w:t>
            </w:r>
          </w:p>
        </w:tc>
        <w:tc>
          <w:tcPr>
            <w:tcW w:w="1191" w:type="dxa"/>
            <w:tcBorders>
              <w:top w:val="nil"/>
              <w:left w:val="nil"/>
              <w:bottom w:val="single" w:sz="4" w:space="0" w:color="auto"/>
              <w:right w:val="nil"/>
            </w:tcBorders>
            <w:shd w:val="clear" w:color="000000" w:fill="E6E6E6"/>
            <w:vAlign w:val="bottom"/>
            <w:hideMark/>
          </w:tcPr>
          <w:p w:rsidR="00DC5D5A" w:rsidRPr="00DC5D5A" w:rsidRDefault="00061E07" w:rsidP="00DC5D5A">
            <w:pPr>
              <w:spacing w:after="0" w:line="240" w:lineRule="auto"/>
              <w:jc w:val="right"/>
              <w:rPr>
                <w:rFonts w:ascii="Arial" w:hAnsi="Arial" w:cs="Arial"/>
                <w:b/>
                <w:bCs/>
                <w:color w:val="000000"/>
                <w:sz w:val="16"/>
                <w:szCs w:val="16"/>
              </w:rPr>
            </w:pPr>
            <w:r>
              <w:rPr>
                <w:rFonts w:ascii="Arial" w:hAnsi="Arial" w:cs="Arial"/>
                <w:b/>
                <w:bCs/>
                <w:color w:val="000000"/>
                <w:sz w:val="16"/>
                <w:szCs w:val="16"/>
              </w:rPr>
              <w:t>188,206</w:t>
            </w:r>
          </w:p>
        </w:tc>
      </w:tr>
      <w:tr w:rsidR="00DC5D5A" w:rsidRPr="00DC5D5A" w:rsidTr="00DC5D5A">
        <w:trPr>
          <w:trHeight w:val="64"/>
        </w:trPr>
        <w:tc>
          <w:tcPr>
            <w:tcW w:w="5386" w:type="dxa"/>
            <w:tcBorders>
              <w:top w:val="nil"/>
              <w:left w:val="nil"/>
              <w:bottom w:val="nil"/>
              <w:right w:val="nil"/>
            </w:tcBorders>
            <w:shd w:val="clear" w:color="000000" w:fill="FFFFFF"/>
            <w:vAlign w:val="bottom"/>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w:t>
            </w:r>
          </w:p>
        </w:tc>
        <w:tc>
          <w:tcPr>
            <w:tcW w:w="1191" w:type="dxa"/>
            <w:tcBorders>
              <w:top w:val="nil"/>
              <w:left w:val="nil"/>
              <w:bottom w:val="nil"/>
              <w:right w:val="nil"/>
            </w:tcBorders>
            <w:shd w:val="clear" w:color="000000" w:fill="FFFFFF"/>
            <w:vAlign w:val="bottom"/>
            <w:hideMark/>
          </w:tcPr>
          <w:p w:rsidR="00DC5D5A" w:rsidRPr="00DC5D5A" w:rsidRDefault="00DC5D5A" w:rsidP="00DC5D5A">
            <w:pPr>
              <w:spacing w:after="0" w:line="240" w:lineRule="auto"/>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FFFFFF"/>
            <w:vAlign w:val="bottom"/>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w:t>
            </w:r>
          </w:p>
        </w:tc>
      </w:tr>
      <w:tr w:rsidR="00DC5D5A" w:rsidRPr="00DC5D5A" w:rsidTr="00DC5D5A">
        <w:trPr>
          <w:trHeight w:val="225"/>
        </w:trPr>
        <w:tc>
          <w:tcPr>
            <w:tcW w:w="5386" w:type="dxa"/>
            <w:tcBorders>
              <w:top w:val="single" w:sz="4" w:space="0" w:color="auto"/>
              <w:left w:val="nil"/>
              <w:bottom w:val="nil"/>
              <w:right w:val="nil"/>
            </w:tcBorders>
            <w:shd w:val="clear" w:color="000000" w:fill="FFFFFF"/>
            <w:vAlign w:val="bottom"/>
            <w:hideMark/>
          </w:tcPr>
          <w:p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w:t>
            </w:r>
          </w:p>
        </w:tc>
        <w:tc>
          <w:tcPr>
            <w:tcW w:w="1191" w:type="dxa"/>
            <w:tcBorders>
              <w:top w:val="single" w:sz="4" w:space="0" w:color="auto"/>
              <w:left w:val="nil"/>
              <w:bottom w:val="single" w:sz="4" w:space="0" w:color="auto"/>
              <w:right w:val="nil"/>
            </w:tcBorders>
            <w:shd w:val="clear" w:color="000000" w:fill="FFFFFF"/>
            <w:vAlign w:val="center"/>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2017–18</w:t>
            </w:r>
          </w:p>
        </w:tc>
        <w:tc>
          <w:tcPr>
            <w:tcW w:w="1191" w:type="dxa"/>
            <w:tcBorders>
              <w:top w:val="single" w:sz="4" w:space="0" w:color="auto"/>
              <w:left w:val="nil"/>
              <w:bottom w:val="single" w:sz="4" w:space="0" w:color="auto"/>
              <w:right w:val="nil"/>
            </w:tcBorders>
            <w:shd w:val="clear" w:color="000000" w:fill="E6E6E6"/>
            <w:vAlign w:val="center"/>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2018–19</w:t>
            </w:r>
          </w:p>
        </w:tc>
      </w:tr>
      <w:tr w:rsidR="00DC5D5A" w:rsidRPr="00DC5D5A" w:rsidTr="00DC5D5A">
        <w:trPr>
          <w:trHeight w:val="225"/>
        </w:trPr>
        <w:tc>
          <w:tcPr>
            <w:tcW w:w="5386" w:type="dxa"/>
            <w:tcBorders>
              <w:top w:val="nil"/>
              <w:left w:val="nil"/>
              <w:bottom w:val="single" w:sz="4" w:space="0" w:color="auto"/>
              <w:right w:val="nil"/>
            </w:tcBorders>
            <w:shd w:val="clear" w:color="000000" w:fill="FFFFFF"/>
            <w:vAlign w:val="bottom"/>
            <w:hideMark/>
          </w:tcPr>
          <w:p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Average staffing level (number)</w:t>
            </w:r>
          </w:p>
        </w:tc>
        <w:tc>
          <w:tcPr>
            <w:tcW w:w="1191" w:type="dxa"/>
            <w:tcBorders>
              <w:top w:val="nil"/>
              <w:left w:val="nil"/>
              <w:bottom w:val="single" w:sz="4" w:space="0" w:color="auto"/>
              <w:right w:val="nil"/>
            </w:tcBorders>
            <w:shd w:val="clear" w:color="000000" w:fill="FFFFFF"/>
            <w:vAlign w:val="bottom"/>
            <w:hideMark/>
          </w:tcPr>
          <w:p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736 </w:t>
            </w:r>
          </w:p>
        </w:tc>
        <w:tc>
          <w:tcPr>
            <w:tcW w:w="1191" w:type="dxa"/>
            <w:tcBorders>
              <w:top w:val="nil"/>
              <w:left w:val="nil"/>
              <w:bottom w:val="single" w:sz="4" w:space="0" w:color="auto"/>
              <w:right w:val="nil"/>
            </w:tcBorders>
            <w:shd w:val="clear" w:color="000000" w:fill="E6E6E6"/>
            <w:vAlign w:val="bottom"/>
            <w:hideMark/>
          </w:tcPr>
          <w:p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745 </w:t>
            </w:r>
          </w:p>
        </w:tc>
      </w:tr>
    </w:tbl>
    <w:p w:rsidR="00DC5D5A" w:rsidRDefault="00DC5D5A" w:rsidP="00DC5D5A">
      <w:pPr>
        <w:pStyle w:val="ChartandTableFootnote"/>
        <w:spacing w:before="60"/>
      </w:pPr>
      <w:r>
        <w:t>Prepared on a resourcing (</w:t>
      </w:r>
      <w:r>
        <w:rPr>
          <w:lang w:val="en-AU"/>
        </w:rPr>
        <w:t>that is,</w:t>
      </w:r>
      <w:r>
        <w:t xml:space="preserve"> appropriations available) basis.</w:t>
      </w:r>
    </w:p>
    <w:p w:rsidR="00DC5D5A" w:rsidRDefault="00DC5D5A" w:rsidP="00DC5D5A">
      <w:pPr>
        <w:pStyle w:val="ChartandTableFootnote"/>
        <w:spacing w:before="60" w:after="60"/>
      </w:pPr>
      <w:r>
        <w:rPr>
          <w:u w:val="single"/>
        </w:rPr>
        <w:t>Please note</w:t>
      </w:r>
      <w:r>
        <w:t>: All figures shown above are GST exclusive</w:t>
      </w:r>
      <w:r>
        <w:rPr>
          <w:lang w:val="en-AU"/>
        </w:rPr>
        <w:t>—</w:t>
      </w:r>
      <w:r>
        <w:t xml:space="preserve">these may not match figures in the cash flow statement. </w:t>
      </w:r>
    </w:p>
    <w:p w:rsidR="00DC5D5A" w:rsidRPr="00672459" w:rsidRDefault="00DC5D5A" w:rsidP="00672459">
      <w:pPr>
        <w:pStyle w:val="ChartandTableFootnoteAlpha"/>
        <w:numPr>
          <w:ilvl w:val="0"/>
          <w:numId w:val="45"/>
        </w:numPr>
      </w:pPr>
      <w:r w:rsidRPr="00672459">
        <w:t>Appropriation Bill (No.1) 2018–19.</w:t>
      </w:r>
    </w:p>
    <w:p w:rsidR="00DC5D5A" w:rsidRPr="00672459" w:rsidRDefault="00672459" w:rsidP="00672459">
      <w:pPr>
        <w:pStyle w:val="ChartandTableFootnoteAlpha"/>
      </w:pPr>
      <w:r>
        <w:t xml:space="preserve">Excludes </w:t>
      </w:r>
      <w:r>
        <w:rPr>
          <w:lang w:val="en-AU"/>
        </w:rPr>
        <w:t>Departmental</w:t>
      </w:r>
      <w:r>
        <w:t xml:space="preserve"> </w:t>
      </w:r>
      <w:r>
        <w:rPr>
          <w:lang w:val="en-AU"/>
        </w:rPr>
        <w:t>Capital</w:t>
      </w:r>
      <w:r w:rsidR="00DC5D5A" w:rsidRPr="00672459">
        <w:t xml:space="preserve"> </w:t>
      </w:r>
      <w:r>
        <w:rPr>
          <w:lang w:val="en-AU"/>
        </w:rPr>
        <w:t>Budget</w:t>
      </w:r>
      <w:r w:rsidR="00DC5D5A" w:rsidRPr="00672459">
        <w:t xml:space="preserve"> (DCB).</w:t>
      </w:r>
    </w:p>
    <w:p w:rsidR="00DC5D5A" w:rsidRPr="00672459" w:rsidRDefault="00DC5D5A" w:rsidP="00672459">
      <w:pPr>
        <w:pStyle w:val="ChartandTableFootnoteAlpha"/>
      </w:pPr>
      <w:r w:rsidRPr="00672459">
        <w:t>Estimated retained revenue receipts under section 74 of the PGPA Act.</w:t>
      </w:r>
    </w:p>
    <w:p w:rsidR="00DC5D5A" w:rsidRPr="00672459" w:rsidRDefault="00672459" w:rsidP="00672459">
      <w:pPr>
        <w:pStyle w:val="ChartandTableFootnoteAlpha"/>
      </w:pPr>
      <w:r>
        <w:rPr>
          <w:lang w:val="en-AU"/>
        </w:rPr>
        <w:t>DCBs</w:t>
      </w:r>
      <w:r w:rsidR="00DC5D5A" w:rsidRPr="00672459">
        <w:t xml:space="preserve"> are not separately identified in Appropriation Bill (No.1) and form part of ordinary annual services items. Please refer to Table 3.5 for further details. For accounting purposes, this amount has been designated as a 'contribution by owner’. </w:t>
      </w:r>
    </w:p>
    <w:p w:rsidR="00DC5D5A" w:rsidRPr="00672459" w:rsidRDefault="00DC5D5A" w:rsidP="00672459">
      <w:pPr>
        <w:pStyle w:val="ChartandTableFootnoteAlpha"/>
      </w:pPr>
      <w:r w:rsidRPr="00672459">
        <w:t>Appropriation Bill (No.2) 2018–19.</w:t>
      </w:r>
    </w:p>
    <w:p w:rsidR="00DC5D5A" w:rsidRPr="00672459" w:rsidRDefault="00DC5D5A" w:rsidP="00672459">
      <w:pPr>
        <w:pStyle w:val="ChartandTableFootnoteAlpha"/>
      </w:pPr>
      <w:r w:rsidRPr="00672459">
        <w:t xml:space="preserve">Excludes 'Special Public Money'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4—Agency Resourcing. Please also see Table 2.1 for further information on outcome. </w:t>
      </w:r>
    </w:p>
    <w:p w:rsidR="00891DC5" w:rsidRPr="00672459" w:rsidRDefault="00DC5D5A" w:rsidP="00672459">
      <w:pPr>
        <w:pStyle w:val="ChartandTableFootnoteAlpha"/>
      </w:pPr>
      <w:r w:rsidRPr="00672459">
        <w:t>Amounts credited to the special account(s) from another entity's annual and special appropriations.</w:t>
      </w:r>
    </w:p>
    <w:p w:rsidR="00DC5D5A" w:rsidRPr="005A7C0B" w:rsidRDefault="00891DC5" w:rsidP="00DC5D5A">
      <w:pPr>
        <w:pStyle w:val="Heading3"/>
        <w:spacing w:before="0"/>
      </w:pPr>
      <w:r>
        <w:br w:type="page"/>
      </w:r>
      <w:bookmarkStart w:id="472" w:name="_Toc511656293"/>
      <w:bookmarkStart w:id="473" w:name="_Toc511722666"/>
      <w:bookmarkStart w:id="474" w:name="_Toc511736998"/>
      <w:bookmarkStart w:id="475" w:name="_Toc511747260"/>
      <w:bookmarkStart w:id="476" w:name="_Toc511765663"/>
      <w:bookmarkStart w:id="477" w:name="_Toc511828719"/>
      <w:bookmarkStart w:id="478" w:name="_Toc511836858"/>
      <w:bookmarkStart w:id="479" w:name="_Toc511902564"/>
      <w:r w:rsidR="00DC5D5A" w:rsidRPr="005A7C0B">
        <w:lastRenderedPageBreak/>
        <w:t>1.3</w:t>
      </w:r>
      <w:r w:rsidR="00DC5D5A" w:rsidRPr="005A7C0B">
        <w:tab/>
        <w:t>Budget measures</w:t>
      </w:r>
      <w:bookmarkEnd w:id="472"/>
      <w:bookmarkEnd w:id="473"/>
      <w:bookmarkEnd w:id="474"/>
      <w:bookmarkEnd w:id="475"/>
      <w:bookmarkEnd w:id="476"/>
      <w:bookmarkEnd w:id="477"/>
      <w:bookmarkEnd w:id="478"/>
      <w:bookmarkEnd w:id="479"/>
    </w:p>
    <w:p w:rsidR="00DC5D5A" w:rsidRDefault="00DC5D5A" w:rsidP="00DC5D5A">
      <w:r w:rsidRPr="00DC32EC">
        <w:t xml:space="preserve">Budget measures </w:t>
      </w:r>
      <w:r>
        <w:t xml:space="preserve">in Part 1 </w:t>
      </w:r>
      <w:r w:rsidRPr="00DC32EC">
        <w:t>relating to</w:t>
      </w:r>
      <w:r>
        <w:t xml:space="preserve"> the Fair Work Ombudsman and the Registered Organisations Commission</w:t>
      </w:r>
      <w:r w:rsidRPr="00DC32EC">
        <w:t xml:space="preserve"> a</w:t>
      </w:r>
      <w:r>
        <w:t>re detailed in Budget Paper No. </w:t>
      </w:r>
      <w:r w:rsidRPr="00DC32EC">
        <w:t>2</w:t>
      </w:r>
      <w:r>
        <w:t xml:space="preserve"> and are summarised below.</w:t>
      </w:r>
    </w:p>
    <w:p w:rsidR="00DC5D5A" w:rsidRPr="009A40DD" w:rsidRDefault="00DC5D5A" w:rsidP="00DC5D5A">
      <w:pPr>
        <w:pStyle w:val="TableHeading"/>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rsidR="00DC5D5A" w:rsidRPr="009A40DD" w:rsidRDefault="00DC5D5A" w:rsidP="00DC5D5A">
      <w:pPr>
        <w:pStyle w:val="TableHeadingcontinued"/>
      </w:pPr>
      <w:r w:rsidRPr="009A40DD">
        <w:t xml:space="preserve">Part 1: Measures announced since the </w:t>
      </w:r>
      <w:r>
        <w:t>2017–18</w:t>
      </w:r>
      <w:r w:rsidRPr="009A40DD">
        <w:t xml:space="preserve"> M</w:t>
      </w:r>
      <w:r>
        <w:t>id-</w:t>
      </w:r>
      <w:r w:rsidRPr="009A40DD">
        <w:t>Year Economic and Fiscal Outlook (MYEFO)</w:t>
      </w:r>
    </w:p>
    <w:tbl>
      <w:tblPr>
        <w:tblW w:w="7709" w:type="dxa"/>
        <w:tblInd w:w="93" w:type="dxa"/>
        <w:tblCellMar>
          <w:left w:w="85" w:type="dxa"/>
          <w:right w:w="85" w:type="dxa"/>
        </w:tblCellMar>
        <w:tblLook w:val="04A0" w:firstRow="1" w:lastRow="0" w:firstColumn="1" w:lastColumn="0" w:noHBand="0" w:noVBand="1"/>
      </w:tblPr>
      <w:tblGrid>
        <w:gridCol w:w="2665"/>
        <w:gridCol w:w="794"/>
        <w:gridCol w:w="850"/>
        <w:gridCol w:w="850"/>
        <w:gridCol w:w="850"/>
        <w:gridCol w:w="850"/>
        <w:gridCol w:w="850"/>
      </w:tblGrid>
      <w:tr w:rsidR="00DC5D5A" w:rsidRPr="00DC5D5A" w:rsidTr="00B77D3D">
        <w:trPr>
          <w:trHeight w:val="397"/>
        </w:trPr>
        <w:tc>
          <w:tcPr>
            <w:tcW w:w="2665" w:type="dxa"/>
            <w:tcBorders>
              <w:top w:val="single" w:sz="4" w:space="0" w:color="auto"/>
              <w:left w:val="nil"/>
              <w:bottom w:val="nil"/>
              <w:right w:val="nil"/>
            </w:tcBorders>
            <w:shd w:val="clear" w:color="auto" w:fill="auto"/>
            <w:noWrap/>
            <w:vAlign w:val="center"/>
            <w:hideMark/>
          </w:tcPr>
          <w:p w:rsidR="00DC5D5A" w:rsidRPr="00DC5D5A" w:rsidRDefault="00DC5D5A" w:rsidP="00B77D3D">
            <w:pPr>
              <w:spacing w:after="0" w:line="240" w:lineRule="auto"/>
              <w:rPr>
                <w:rFonts w:ascii="Arial" w:hAnsi="Arial" w:cs="Arial"/>
                <w:sz w:val="16"/>
                <w:szCs w:val="16"/>
              </w:rPr>
            </w:pPr>
            <w:r w:rsidRPr="00DC5D5A">
              <w:rPr>
                <w:rFonts w:ascii="Arial" w:hAnsi="Arial" w:cs="Arial"/>
                <w:sz w:val="16"/>
                <w:szCs w:val="16"/>
              </w:rPr>
              <w:t> </w:t>
            </w:r>
          </w:p>
        </w:tc>
        <w:tc>
          <w:tcPr>
            <w:tcW w:w="794" w:type="dxa"/>
            <w:tcBorders>
              <w:top w:val="single" w:sz="4" w:space="0" w:color="auto"/>
              <w:left w:val="nil"/>
              <w:bottom w:val="single" w:sz="4" w:space="0" w:color="auto"/>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r w:rsidRPr="00DC5D5A">
              <w:rPr>
                <w:rFonts w:ascii="Arial" w:hAnsi="Arial" w:cs="Arial"/>
                <w:sz w:val="16"/>
                <w:szCs w:val="16"/>
              </w:rPr>
              <w:t>Program</w:t>
            </w:r>
          </w:p>
        </w:tc>
        <w:tc>
          <w:tcPr>
            <w:tcW w:w="850" w:type="dxa"/>
            <w:tcBorders>
              <w:top w:val="single" w:sz="4" w:space="0" w:color="auto"/>
              <w:left w:val="nil"/>
              <w:bottom w:val="single" w:sz="4" w:space="0" w:color="auto"/>
              <w:right w:val="nil"/>
            </w:tcBorders>
            <w:shd w:val="clear" w:color="000000" w:fill="E6E6E6"/>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2017–18</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2018–19</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2019–20</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2020–21</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2021–22</w:t>
            </w:r>
            <w:r w:rsidRPr="00DC5D5A">
              <w:rPr>
                <w:rFonts w:ascii="Arial" w:hAnsi="Arial" w:cs="Arial"/>
                <w:sz w:val="16"/>
                <w:szCs w:val="16"/>
              </w:rPr>
              <w:br/>
              <w:t>$'000</w:t>
            </w:r>
          </w:p>
        </w:tc>
      </w:tr>
      <w:tr w:rsidR="00DC5D5A" w:rsidRPr="00DC5D5A" w:rsidTr="00B77D3D">
        <w:trPr>
          <w:trHeight w:val="225"/>
        </w:trPr>
        <w:tc>
          <w:tcPr>
            <w:tcW w:w="2665" w:type="dxa"/>
            <w:tcBorders>
              <w:top w:val="nil"/>
              <w:left w:val="nil"/>
              <w:bottom w:val="nil"/>
              <w:right w:val="nil"/>
            </w:tcBorders>
            <w:shd w:val="clear" w:color="auto" w:fill="auto"/>
            <w:vAlign w:val="center"/>
            <w:hideMark/>
          </w:tcPr>
          <w:p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Expense measures</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r>
      <w:tr w:rsidR="00DC5D5A" w:rsidRPr="00DC5D5A" w:rsidTr="003E7035">
        <w:trPr>
          <w:trHeight w:val="340"/>
        </w:trPr>
        <w:tc>
          <w:tcPr>
            <w:tcW w:w="2665" w:type="dxa"/>
            <w:tcBorders>
              <w:top w:val="nil"/>
              <w:left w:val="nil"/>
              <w:bottom w:val="nil"/>
              <w:right w:val="nil"/>
            </w:tcBorders>
            <w:shd w:val="clear" w:color="auto" w:fill="auto"/>
            <w:vAlign w:val="center"/>
            <w:hideMark/>
          </w:tcPr>
          <w:p w:rsidR="00DC5D5A" w:rsidRPr="00DC5D5A" w:rsidRDefault="00DC5D5A" w:rsidP="003E7035">
            <w:pPr>
              <w:spacing w:after="0" w:line="240" w:lineRule="auto"/>
              <w:rPr>
                <w:rFonts w:ascii="Arial" w:hAnsi="Arial" w:cs="Arial"/>
                <w:sz w:val="16"/>
                <w:szCs w:val="16"/>
              </w:rPr>
            </w:pPr>
            <w:r w:rsidRPr="00DC5D5A">
              <w:rPr>
                <w:rFonts w:ascii="Arial" w:hAnsi="Arial" w:cs="Arial"/>
                <w:sz w:val="16"/>
                <w:szCs w:val="16"/>
              </w:rPr>
              <w:t>Registered Organisations Commission</w:t>
            </w:r>
            <w:r w:rsidR="003E7035" w:rsidRPr="00DC5D5A">
              <w:rPr>
                <w:rFonts w:ascii="Arial" w:hAnsi="Arial" w:cs="Arial"/>
                <w:sz w:val="16"/>
                <w:szCs w:val="16"/>
              </w:rPr>
              <w:t xml:space="preserve"> </w:t>
            </w:r>
            <w:r w:rsidR="003E7035">
              <w:rPr>
                <w:rFonts w:ascii="Arial" w:hAnsi="Arial" w:cs="Arial"/>
                <w:sz w:val="16"/>
                <w:szCs w:val="16"/>
              </w:rPr>
              <w:t>— a</w:t>
            </w:r>
            <w:r w:rsidR="003E7035" w:rsidRPr="00DC5D5A">
              <w:rPr>
                <w:rFonts w:ascii="Arial" w:hAnsi="Arial" w:cs="Arial"/>
                <w:sz w:val="16"/>
                <w:szCs w:val="16"/>
              </w:rPr>
              <w:t xml:space="preserve">dditional </w:t>
            </w:r>
            <w:r w:rsidR="003E7035">
              <w:rPr>
                <w:rFonts w:ascii="Arial" w:hAnsi="Arial" w:cs="Arial"/>
                <w:sz w:val="16"/>
                <w:szCs w:val="16"/>
              </w:rPr>
              <w:t>funding</w:t>
            </w:r>
            <w:r w:rsidR="003E7035" w:rsidRPr="00DC5D5A">
              <w:rPr>
                <w:rFonts w:ascii="Arial" w:hAnsi="Arial" w:cs="Arial"/>
                <w:sz w:val="16"/>
                <w:szCs w:val="16"/>
              </w:rPr>
              <w:t xml:space="preserve"> </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r w:rsidRPr="00DC5D5A">
              <w:rPr>
                <w:rFonts w:ascii="Arial" w:hAnsi="Arial" w:cs="Arial"/>
                <w:sz w:val="16"/>
                <w:szCs w:val="16"/>
              </w:rPr>
              <w:t>2.1</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r>
      <w:tr w:rsidR="001C66B0" w:rsidRPr="00DC5D5A" w:rsidTr="001C66B0">
        <w:trPr>
          <w:trHeight w:val="225"/>
        </w:trPr>
        <w:tc>
          <w:tcPr>
            <w:tcW w:w="2665"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ind w:firstLineChars="100" w:firstLine="160"/>
              <w:rPr>
                <w:rFonts w:ascii="Arial" w:hAnsi="Arial" w:cs="Arial"/>
                <w:sz w:val="16"/>
                <w:szCs w:val="16"/>
              </w:rPr>
            </w:pPr>
            <w:r>
              <w:rPr>
                <w:rFonts w:ascii="Arial" w:hAnsi="Arial" w:cs="Arial"/>
                <w:sz w:val="16"/>
                <w:szCs w:val="16"/>
              </w:rPr>
              <w:t>Administered</w:t>
            </w:r>
            <w:r w:rsidRPr="00DC5D5A">
              <w:rPr>
                <w:rFonts w:ascii="Arial" w:hAnsi="Arial" w:cs="Arial"/>
                <w:sz w:val="16"/>
                <w:szCs w:val="16"/>
              </w:rPr>
              <w:t xml:space="preserve"> expenses</w:t>
            </w:r>
          </w:p>
        </w:tc>
        <w:tc>
          <w:tcPr>
            <w:tcW w:w="794"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r>
      <w:tr w:rsidR="00DC5D5A" w:rsidRPr="00DC5D5A" w:rsidTr="00B77D3D">
        <w:trPr>
          <w:trHeight w:val="225"/>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ind w:firstLineChars="100" w:firstLine="160"/>
              <w:rPr>
                <w:rFonts w:ascii="Arial" w:hAnsi="Arial" w:cs="Arial"/>
                <w:sz w:val="16"/>
                <w:szCs w:val="16"/>
              </w:rPr>
            </w:pPr>
            <w:r w:rsidRPr="00DC5D5A">
              <w:rPr>
                <w:rFonts w:ascii="Arial" w:hAnsi="Arial" w:cs="Arial"/>
                <w:sz w:val="16"/>
                <w:szCs w:val="16"/>
              </w:rPr>
              <w:t>Departmental expenses</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1,937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1,702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1,767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1,723 </w:t>
            </w:r>
          </w:p>
        </w:tc>
      </w:tr>
      <w:tr w:rsidR="00DC5D5A" w:rsidRPr="00DC5D5A" w:rsidTr="00B77D3D">
        <w:trPr>
          <w:trHeight w:val="227"/>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 xml:space="preserve">Total </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1,937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1,702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1,767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1,723 </w:t>
            </w:r>
          </w:p>
        </w:tc>
      </w:tr>
      <w:tr w:rsidR="00DC5D5A" w:rsidRPr="00DC5D5A" w:rsidTr="00B77D3D">
        <w:trPr>
          <w:trHeight w:val="225"/>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Total expense measures</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r>
      <w:tr w:rsidR="001C66B0" w:rsidRPr="00DC5D5A" w:rsidTr="001C66B0">
        <w:trPr>
          <w:trHeight w:val="225"/>
        </w:trPr>
        <w:tc>
          <w:tcPr>
            <w:tcW w:w="2665"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ind w:firstLineChars="100" w:firstLine="160"/>
              <w:rPr>
                <w:rFonts w:ascii="Arial" w:hAnsi="Arial" w:cs="Arial"/>
                <w:sz w:val="16"/>
                <w:szCs w:val="16"/>
              </w:rPr>
            </w:pPr>
            <w:r>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r>
      <w:tr w:rsidR="00DC5D5A" w:rsidRPr="00DC5D5A" w:rsidTr="00B77D3D">
        <w:trPr>
          <w:trHeight w:val="225"/>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ind w:firstLineChars="100" w:firstLine="160"/>
              <w:rPr>
                <w:rFonts w:ascii="Arial" w:hAnsi="Arial" w:cs="Arial"/>
                <w:sz w:val="16"/>
                <w:szCs w:val="16"/>
              </w:rPr>
            </w:pPr>
            <w:r w:rsidRPr="00DC5D5A">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1,937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1,702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1,767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1,723 </w:t>
            </w:r>
          </w:p>
        </w:tc>
      </w:tr>
      <w:tr w:rsidR="00DC5D5A" w:rsidRPr="00DC5D5A" w:rsidTr="00B77D3D">
        <w:trPr>
          <w:trHeight w:val="227"/>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Total</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1,937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1,702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1,767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1,723 </w:t>
            </w:r>
          </w:p>
        </w:tc>
      </w:tr>
      <w:tr w:rsidR="00DC5D5A" w:rsidRPr="00DC5D5A" w:rsidTr="00B77D3D">
        <w:trPr>
          <w:trHeight w:val="225"/>
        </w:trPr>
        <w:tc>
          <w:tcPr>
            <w:tcW w:w="2665" w:type="dxa"/>
            <w:tcBorders>
              <w:top w:val="nil"/>
              <w:left w:val="nil"/>
              <w:bottom w:val="nil"/>
              <w:right w:val="nil"/>
            </w:tcBorders>
            <w:shd w:val="clear" w:color="auto" w:fill="auto"/>
            <w:vAlign w:val="center"/>
            <w:hideMark/>
          </w:tcPr>
          <w:p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Capital measures</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r>
      <w:tr w:rsidR="00DC5D5A" w:rsidRPr="00DC5D5A" w:rsidTr="003E7035">
        <w:trPr>
          <w:trHeight w:val="340"/>
        </w:trPr>
        <w:tc>
          <w:tcPr>
            <w:tcW w:w="2665" w:type="dxa"/>
            <w:tcBorders>
              <w:top w:val="nil"/>
              <w:left w:val="nil"/>
              <w:bottom w:val="nil"/>
              <w:right w:val="nil"/>
            </w:tcBorders>
            <w:shd w:val="clear" w:color="auto" w:fill="auto"/>
            <w:vAlign w:val="center"/>
            <w:hideMark/>
          </w:tcPr>
          <w:p w:rsidR="00DC5D5A" w:rsidRPr="00DC5D5A" w:rsidRDefault="003E7035" w:rsidP="00B77D3D">
            <w:pPr>
              <w:spacing w:after="0" w:line="240" w:lineRule="auto"/>
              <w:rPr>
                <w:rFonts w:ascii="Arial" w:hAnsi="Arial" w:cs="Arial"/>
                <w:sz w:val="16"/>
                <w:szCs w:val="16"/>
              </w:rPr>
            </w:pPr>
            <w:r w:rsidRPr="00DC5D5A">
              <w:rPr>
                <w:rFonts w:ascii="Arial" w:hAnsi="Arial" w:cs="Arial"/>
                <w:sz w:val="16"/>
                <w:szCs w:val="16"/>
              </w:rPr>
              <w:t xml:space="preserve">Registered Organisations Commission </w:t>
            </w:r>
            <w:r>
              <w:rPr>
                <w:rFonts w:ascii="Arial" w:hAnsi="Arial" w:cs="Arial"/>
                <w:sz w:val="16"/>
                <w:szCs w:val="16"/>
              </w:rPr>
              <w:t>— a</w:t>
            </w:r>
            <w:r w:rsidRPr="00DC5D5A">
              <w:rPr>
                <w:rFonts w:ascii="Arial" w:hAnsi="Arial" w:cs="Arial"/>
                <w:sz w:val="16"/>
                <w:szCs w:val="16"/>
              </w:rPr>
              <w:t xml:space="preserve">dditional </w:t>
            </w:r>
            <w:r>
              <w:rPr>
                <w:rFonts w:ascii="Arial" w:hAnsi="Arial" w:cs="Arial"/>
                <w:sz w:val="16"/>
                <w:szCs w:val="16"/>
              </w:rPr>
              <w:t>funding</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r w:rsidRPr="00DC5D5A">
              <w:rPr>
                <w:rFonts w:ascii="Arial" w:hAnsi="Arial" w:cs="Arial"/>
                <w:sz w:val="16"/>
                <w:szCs w:val="16"/>
              </w:rPr>
              <w:t>2.1</w:t>
            </w: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r>
      <w:tr w:rsidR="001C66B0" w:rsidRPr="00DC5D5A" w:rsidTr="001C66B0">
        <w:trPr>
          <w:trHeight w:val="225"/>
        </w:trPr>
        <w:tc>
          <w:tcPr>
            <w:tcW w:w="2665"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ind w:firstLineChars="100" w:firstLine="160"/>
              <w:rPr>
                <w:rFonts w:ascii="Arial" w:hAnsi="Arial" w:cs="Arial"/>
                <w:sz w:val="16"/>
                <w:szCs w:val="16"/>
              </w:rPr>
            </w:pPr>
            <w:r>
              <w:rPr>
                <w:rFonts w:ascii="Arial" w:hAnsi="Arial" w:cs="Arial"/>
                <w:sz w:val="16"/>
                <w:szCs w:val="16"/>
              </w:rPr>
              <w:t>Administered</w:t>
            </w:r>
            <w:r w:rsidRPr="00DC5D5A">
              <w:rPr>
                <w:rFonts w:ascii="Arial" w:hAnsi="Arial" w:cs="Arial"/>
                <w:sz w:val="16"/>
                <w:szCs w:val="16"/>
              </w:rPr>
              <w:t xml:space="preserve"> </w:t>
            </w:r>
            <w:r>
              <w:rPr>
                <w:rFonts w:ascii="Arial" w:hAnsi="Arial" w:cs="Arial"/>
                <w:sz w:val="16"/>
                <w:szCs w:val="16"/>
              </w:rPr>
              <w:t>capital</w:t>
            </w:r>
          </w:p>
        </w:tc>
        <w:tc>
          <w:tcPr>
            <w:tcW w:w="794"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r>
      <w:tr w:rsidR="00DC5D5A" w:rsidRPr="00DC5D5A" w:rsidTr="00B77D3D">
        <w:trPr>
          <w:trHeight w:val="225"/>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ind w:firstLineChars="100" w:firstLine="160"/>
              <w:rPr>
                <w:rFonts w:ascii="Arial" w:hAnsi="Arial" w:cs="Arial"/>
                <w:sz w:val="16"/>
                <w:szCs w:val="16"/>
              </w:rPr>
            </w:pPr>
            <w:r w:rsidRPr="00DC5D5A">
              <w:rPr>
                <w:rFonts w:ascii="Arial" w:hAnsi="Arial" w:cs="Arial"/>
                <w:sz w:val="16"/>
                <w:szCs w:val="16"/>
              </w:rPr>
              <w:t>Departmental capital</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998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r>
      <w:tr w:rsidR="00DC5D5A" w:rsidRPr="00DC5D5A" w:rsidTr="00B77D3D">
        <w:trPr>
          <w:trHeight w:val="227"/>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Total</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998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r>
      <w:tr w:rsidR="00DC5D5A" w:rsidRPr="00DC5D5A" w:rsidTr="00B77D3D">
        <w:trPr>
          <w:trHeight w:val="225"/>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Total capital measures</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rsidR="00DC5D5A" w:rsidRPr="00DC5D5A" w:rsidRDefault="00DC5D5A" w:rsidP="00B77D3D">
            <w:pPr>
              <w:spacing w:after="0" w:line="240" w:lineRule="auto"/>
              <w:jc w:val="right"/>
              <w:rPr>
                <w:rFonts w:ascii="Arial" w:hAnsi="Arial" w:cs="Arial"/>
                <w:sz w:val="16"/>
                <w:szCs w:val="16"/>
              </w:rPr>
            </w:pPr>
          </w:p>
        </w:tc>
      </w:tr>
      <w:tr w:rsidR="001C66B0" w:rsidRPr="00DC5D5A" w:rsidTr="001C66B0">
        <w:trPr>
          <w:trHeight w:val="225"/>
        </w:trPr>
        <w:tc>
          <w:tcPr>
            <w:tcW w:w="2665"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ind w:firstLineChars="100" w:firstLine="160"/>
              <w:rPr>
                <w:rFonts w:ascii="Arial" w:hAnsi="Arial" w:cs="Arial"/>
                <w:sz w:val="16"/>
                <w:szCs w:val="16"/>
              </w:rPr>
            </w:pPr>
            <w:r>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r>
      <w:tr w:rsidR="00DC5D5A" w:rsidRPr="00DC5D5A" w:rsidTr="00B77D3D">
        <w:trPr>
          <w:trHeight w:val="225"/>
        </w:trPr>
        <w:tc>
          <w:tcPr>
            <w:tcW w:w="2665"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ind w:firstLineChars="100" w:firstLine="160"/>
              <w:rPr>
                <w:rFonts w:ascii="Arial" w:hAnsi="Arial" w:cs="Arial"/>
                <w:sz w:val="16"/>
                <w:szCs w:val="16"/>
              </w:rPr>
            </w:pPr>
            <w:r w:rsidRPr="00DC5D5A">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998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000000" w:fill="E6E6E6"/>
            <w:noWrap/>
            <w:vAlign w:val="center"/>
            <w:hideMark/>
          </w:tcPr>
          <w:p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r>
      <w:tr w:rsidR="00DC5D5A" w:rsidRPr="00DC5D5A" w:rsidTr="00B77D3D">
        <w:trPr>
          <w:trHeight w:val="227"/>
        </w:trPr>
        <w:tc>
          <w:tcPr>
            <w:tcW w:w="2665" w:type="dxa"/>
            <w:tcBorders>
              <w:top w:val="nil"/>
              <w:left w:val="nil"/>
              <w:bottom w:val="single" w:sz="4" w:space="0" w:color="auto"/>
              <w:right w:val="nil"/>
            </w:tcBorders>
            <w:shd w:val="clear" w:color="auto" w:fill="auto"/>
            <w:noWrap/>
            <w:vAlign w:val="bottom"/>
            <w:hideMark/>
          </w:tcPr>
          <w:p w:rsidR="00DC5D5A" w:rsidRPr="00DC5D5A" w:rsidRDefault="00DC5D5A" w:rsidP="00DC5D5A">
            <w:pPr>
              <w:spacing w:after="0" w:line="240" w:lineRule="auto"/>
              <w:rPr>
                <w:rFonts w:ascii="Arial" w:hAnsi="Arial" w:cs="Arial"/>
                <w:b/>
                <w:bCs/>
                <w:sz w:val="16"/>
                <w:szCs w:val="16"/>
              </w:rPr>
            </w:pPr>
            <w:r w:rsidRPr="00DC5D5A">
              <w:rPr>
                <w:rFonts w:ascii="Arial" w:hAnsi="Arial" w:cs="Arial"/>
                <w:b/>
                <w:bCs/>
                <w:sz w:val="16"/>
                <w:szCs w:val="16"/>
              </w:rPr>
              <w:t>Total</w:t>
            </w:r>
          </w:p>
        </w:tc>
        <w:tc>
          <w:tcPr>
            <w:tcW w:w="794" w:type="dxa"/>
            <w:tcBorders>
              <w:top w:val="nil"/>
              <w:left w:val="nil"/>
              <w:bottom w:val="single" w:sz="4" w:space="0" w:color="auto"/>
              <w:right w:val="nil"/>
            </w:tcBorders>
            <w:shd w:val="clear" w:color="auto" w:fill="auto"/>
            <w:noWrap/>
            <w:vAlign w:val="center"/>
            <w:hideMark/>
          </w:tcPr>
          <w:p w:rsidR="00DC5D5A" w:rsidRPr="00DC5D5A" w:rsidRDefault="00DC5D5A" w:rsidP="00B77D3D">
            <w:pPr>
              <w:spacing w:after="0" w:line="240" w:lineRule="auto"/>
              <w:jc w:val="center"/>
              <w:rPr>
                <w:rFonts w:ascii="Arial" w:hAnsi="Arial" w:cs="Arial"/>
                <w:b/>
                <w:bCs/>
                <w:sz w:val="16"/>
                <w:szCs w:val="16"/>
              </w:rPr>
            </w:pPr>
          </w:p>
        </w:tc>
        <w:tc>
          <w:tcPr>
            <w:tcW w:w="850" w:type="dxa"/>
            <w:tcBorders>
              <w:top w:val="nil"/>
              <w:left w:val="nil"/>
              <w:bottom w:val="single" w:sz="4" w:space="0" w:color="auto"/>
              <w:right w:val="nil"/>
            </w:tcBorders>
            <w:shd w:val="clear" w:color="000000" w:fill="E6E6E6"/>
            <w:noWrap/>
            <w:vAlign w:val="bottom"/>
            <w:hideMark/>
          </w:tcPr>
          <w:p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998 </w:t>
            </w:r>
          </w:p>
        </w:tc>
        <w:tc>
          <w:tcPr>
            <w:tcW w:w="850" w:type="dxa"/>
            <w:tcBorders>
              <w:top w:val="nil"/>
              <w:left w:val="nil"/>
              <w:bottom w:val="single" w:sz="4" w:space="0" w:color="auto"/>
              <w:right w:val="nil"/>
            </w:tcBorders>
            <w:shd w:val="clear" w:color="000000" w:fill="E6E6E6"/>
            <w:noWrap/>
            <w:vAlign w:val="bottom"/>
            <w:hideMark/>
          </w:tcPr>
          <w:p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single" w:sz="4" w:space="0" w:color="auto"/>
              <w:right w:val="nil"/>
            </w:tcBorders>
            <w:shd w:val="clear" w:color="000000" w:fill="E6E6E6"/>
            <w:noWrap/>
            <w:vAlign w:val="bottom"/>
            <w:hideMark/>
          </w:tcPr>
          <w:p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r>
    </w:tbl>
    <w:p w:rsidR="00B77D3D" w:rsidRPr="00EB77C1" w:rsidRDefault="00DC5D5A" w:rsidP="00EB77C1">
      <w:pPr>
        <w:pStyle w:val="ChartandTableFootnote"/>
        <w:spacing w:after="480"/>
        <w:rPr>
          <w:lang w:val="en-AU"/>
        </w:rPr>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rsidR="00B77D3D" w:rsidRPr="00E5444F" w:rsidRDefault="00B77D3D" w:rsidP="00B77D3D">
      <w:pPr>
        <w:pStyle w:val="TableHeadingcontinued"/>
      </w:pPr>
      <w:r w:rsidRPr="00E5444F">
        <w:t>Part 2: Other measures not previously reported in a portfolio statement</w:t>
      </w:r>
    </w:p>
    <w:p w:rsidR="00B77D3D" w:rsidRDefault="00B77D3D" w:rsidP="00B77D3D">
      <w:r>
        <w:t>The Fair Work Ombudsman and the Registered Organisations Commission have no other measures not previously reported in a portfolio statement. For this reason, Part 2 of Table 1.2 is not presented.</w:t>
      </w:r>
    </w:p>
    <w:p w:rsidR="00B77D3D" w:rsidRPr="00810C6A" w:rsidRDefault="00DC5D5A" w:rsidP="00B77D3D">
      <w:pPr>
        <w:pStyle w:val="Heading2"/>
      </w:pPr>
      <w:r>
        <w:br w:type="page"/>
      </w:r>
      <w:bookmarkStart w:id="480" w:name="_Toc511656294"/>
      <w:bookmarkStart w:id="481" w:name="_Toc511722667"/>
      <w:bookmarkStart w:id="482" w:name="_Toc511736999"/>
      <w:bookmarkStart w:id="483" w:name="_Toc511747261"/>
      <w:bookmarkStart w:id="484" w:name="_Toc511765664"/>
      <w:bookmarkStart w:id="485" w:name="_Toc511828720"/>
      <w:bookmarkStart w:id="486" w:name="_Toc511836859"/>
      <w:bookmarkStart w:id="487" w:name="_Toc511902565"/>
      <w:r w:rsidR="00B77D3D" w:rsidRPr="00810C6A">
        <w:lastRenderedPageBreak/>
        <w:t>Section 2: Outcomes and planned performance</w:t>
      </w:r>
      <w:bookmarkEnd w:id="480"/>
      <w:bookmarkEnd w:id="481"/>
      <w:bookmarkEnd w:id="482"/>
      <w:bookmarkEnd w:id="483"/>
      <w:bookmarkEnd w:id="484"/>
      <w:bookmarkEnd w:id="485"/>
      <w:bookmarkEnd w:id="486"/>
      <w:bookmarkEnd w:id="487"/>
    </w:p>
    <w:p w:rsidR="00B77D3D" w:rsidRPr="005E6F2B" w:rsidRDefault="00B77D3D" w:rsidP="00B77D3D">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B77D3D" w:rsidRPr="005E6F2B" w:rsidRDefault="00B77D3D" w:rsidP="00B77D3D">
      <w:r w:rsidRPr="005E6F2B">
        <w:t xml:space="preserve">Each outcome is described below together with its related programs. The following provides detailed information on expenses for each outcome and program, further broken down by funding source. </w:t>
      </w:r>
    </w:p>
    <w:p w:rsidR="00B77D3D" w:rsidRPr="006906E4" w:rsidRDefault="00B77D3D" w:rsidP="00B77D3D">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B77D3D" w:rsidRDefault="00B77D3D" w:rsidP="00B77D3D">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B77D3D" w:rsidRDefault="00B77D3D" w:rsidP="00B77D3D">
      <w:pPr>
        <w:pBdr>
          <w:top w:val="single" w:sz="2" w:space="6" w:color="auto"/>
          <w:left w:val="single" w:sz="2" w:space="4" w:color="auto"/>
          <w:bottom w:val="single" w:sz="2" w:space="6" w:color="auto"/>
          <w:right w:val="single" w:sz="2" w:space="4" w:color="auto"/>
        </w:pBdr>
      </w:pPr>
      <w:r>
        <w:t xml:space="preserve">The most recent corporate plan for Fair Work Ombudsman can be found at: </w:t>
      </w:r>
      <w:hyperlink r:id="rId128" w:history="1">
        <w:r>
          <w:rPr>
            <w:rStyle w:val="Hyperlink"/>
          </w:rPr>
          <w:t>www.fairwork.gov.au/about-us/our-vision/corporate-plan</w:t>
        </w:r>
      </w:hyperlink>
      <w:r>
        <w:t>.</w:t>
      </w:r>
    </w:p>
    <w:p w:rsidR="00B77D3D" w:rsidRDefault="00B77D3D" w:rsidP="00B77D3D">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29" w:history="1">
        <w:r>
          <w:rPr>
            <w:rStyle w:val="Hyperlink"/>
          </w:rPr>
          <w:t>https://www.fairwork.gov.au/annual-reports/annual-report-2016-17/default</w:t>
        </w:r>
      </w:hyperlink>
      <w:r>
        <w:t>.</w:t>
      </w:r>
    </w:p>
    <w:p w:rsidR="00B77D3D" w:rsidRPr="00F743D8" w:rsidRDefault="00B77D3D" w:rsidP="00B77D3D">
      <w:pPr>
        <w:pStyle w:val="Heading3"/>
      </w:pPr>
      <w:r>
        <w:rPr>
          <w:highlight w:val="yellow"/>
        </w:rPr>
        <w:br w:type="page"/>
      </w:r>
      <w:bookmarkStart w:id="488" w:name="_Toc511656295"/>
      <w:bookmarkStart w:id="489" w:name="_Toc511722668"/>
      <w:bookmarkStart w:id="490" w:name="_Toc511737000"/>
      <w:bookmarkStart w:id="491" w:name="_Toc511747262"/>
      <w:bookmarkStart w:id="492" w:name="_Toc511765665"/>
      <w:bookmarkStart w:id="493" w:name="_Toc511828721"/>
      <w:bookmarkStart w:id="494" w:name="_Toc511836860"/>
      <w:bookmarkStart w:id="495" w:name="_Toc511902566"/>
      <w:r>
        <w:lastRenderedPageBreak/>
        <w:t>2.1</w:t>
      </w:r>
      <w:r w:rsidRPr="00F743D8">
        <w:t xml:space="preserve"> </w:t>
      </w:r>
      <w:r w:rsidRPr="00F743D8">
        <w:tab/>
        <w:t xml:space="preserve">Budgeted expenses and performance for Outcome </w:t>
      </w:r>
      <w:bookmarkEnd w:id="488"/>
      <w:bookmarkEnd w:id="489"/>
      <w:bookmarkEnd w:id="490"/>
      <w:bookmarkEnd w:id="491"/>
      <w:r w:rsidR="00F71E7F">
        <w:t>1</w:t>
      </w:r>
      <w:bookmarkEnd w:id="492"/>
      <w:bookmarkEnd w:id="493"/>
      <w:bookmarkEnd w:id="494"/>
      <w:bookmarkEnd w:id="495"/>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B77D3D" w:rsidRPr="005E6F2B" w:rsidTr="00B77D3D">
        <w:tc>
          <w:tcPr>
            <w:tcW w:w="7713" w:type="dxa"/>
            <w:shd w:val="clear" w:color="auto" w:fill="E6E6E6"/>
          </w:tcPr>
          <w:p w:rsidR="00B77D3D" w:rsidRPr="005E6F2B" w:rsidRDefault="00B77D3D" w:rsidP="00F71E7F">
            <w:pPr>
              <w:pStyle w:val="TableColumnHeadingLeft"/>
            </w:pPr>
            <w:r w:rsidRPr="005E6F2B">
              <w:t xml:space="preserve">Outcome </w:t>
            </w:r>
            <w:r w:rsidR="00F71E7F">
              <w:t>1: Compliance with workplace relations legislation by employees and employers through advice, education and where necessary enforcement.</w:t>
            </w:r>
          </w:p>
        </w:tc>
      </w:tr>
    </w:tbl>
    <w:p w:rsidR="00F71E7F" w:rsidRPr="00446612" w:rsidRDefault="00F71E7F" w:rsidP="00F71E7F">
      <w:pPr>
        <w:pStyle w:val="Heading4"/>
      </w:pPr>
      <w:r>
        <w:t>Budgeted expenses for Outcome 1</w:t>
      </w:r>
    </w:p>
    <w:p w:rsidR="00F71E7F" w:rsidRDefault="00F71E7F" w:rsidP="00F71E7F">
      <w:r w:rsidRPr="00950281">
        <w:t>This table shows how much the entity intends to spend (on an accrual basis) on achieving the outcome, broken down by program, as well as by Administered an</w:t>
      </w:r>
      <w:r>
        <w:t>d Departmental funding sources.</w:t>
      </w:r>
    </w:p>
    <w:p w:rsidR="00F71E7F" w:rsidRPr="00F71E7F" w:rsidRDefault="00F71E7F" w:rsidP="00F71E7F">
      <w:pPr>
        <w:pStyle w:val="TableHeading"/>
        <w:rPr>
          <w:lang w:val="en-AU"/>
        </w:rPr>
      </w:pPr>
      <w:r>
        <w:t>Table 2.</w:t>
      </w:r>
      <w:r>
        <w:rPr>
          <w:lang w:val="en-AU"/>
        </w:rPr>
        <w:t>1</w:t>
      </w:r>
      <w:r>
        <w:t xml:space="preserve">.1: Budgeted expenses for Outcome </w:t>
      </w:r>
      <w:r>
        <w:rPr>
          <w:lang w:val="en-AU"/>
        </w:rPr>
        <w:t>1</w:t>
      </w:r>
    </w:p>
    <w:tbl>
      <w:tblPr>
        <w:tblW w:w="7739" w:type="dxa"/>
        <w:tblInd w:w="93" w:type="dxa"/>
        <w:tblLook w:val="04A0" w:firstRow="1" w:lastRow="0" w:firstColumn="1" w:lastColumn="0" w:noHBand="0" w:noVBand="1"/>
      </w:tblPr>
      <w:tblGrid>
        <w:gridCol w:w="3146"/>
        <w:gridCol w:w="964"/>
        <w:gridCol w:w="907"/>
        <w:gridCol w:w="907"/>
        <w:gridCol w:w="907"/>
        <w:gridCol w:w="908"/>
      </w:tblGrid>
      <w:tr w:rsidR="00F71E7F" w:rsidRPr="00F71E7F" w:rsidTr="00F71E7F">
        <w:trPr>
          <w:trHeight w:val="420"/>
        </w:trPr>
        <w:tc>
          <w:tcPr>
            <w:tcW w:w="7739" w:type="dxa"/>
            <w:gridSpan w:val="6"/>
            <w:tcBorders>
              <w:top w:val="single" w:sz="4" w:space="0" w:color="auto"/>
              <w:left w:val="nil"/>
              <w:bottom w:val="nil"/>
              <w:right w:val="nil"/>
            </w:tcBorders>
            <w:shd w:val="clear" w:color="auto" w:fill="auto"/>
            <w:vAlign w:val="center"/>
            <w:hideMark/>
          </w:tcPr>
          <w:p w:rsidR="00F71E7F" w:rsidRPr="00F71E7F" w:rsidRDefault="00F71E7F" w:rsidP="00F71E7F">
            <w:pPr>
              <w:spacing w:after="0" w:line="240" w:lineRule="auto"/>
              <w:rPr>
                <w:rFonts w:ascii="Arial" w:hAnsi="Arial" w:cs="Arial"/>
                <w:b/>
                <w:bCs/>
                <w:sz w:val="16"/>
                <w:szCs w:val="16"/>
              </w:rPr>
            </w:pPr>
            <w:r w:rsidRPr="00F71E7F">
              <w:rPr>
                <w:rFonts w:ascii="Arial" w:hAnsi="Arial" w:cs="Arial"/>
                <w:b/>
                <w:bCs/>
                <w:sz w:val="16"/>
                <w:szCs w:val="16"/>
              </w:rPr>
              <w:t>Outcome 1: Compliance with workplace relations legislation by employees and employers through advice, education and where necessary enforcement.</w:t>
            </w:r>
          </w:p>
        </w:tc>
      </w:tr>
      <w:tr w:rsidR="00F71E7F" w:rsidRPr="00F71E7F" w:rsidTr="00AB5AE6">
        <w:trPr>
          <w:trHeight w:val="794"/>
        </w:trPr>
        <w:tc>
          <w:tcPr>
            <w:tcW w:w="3146" w:type="dxa"/>
            <w:tcBorders>
              <w:top w:val="single" w:sz="4" w:space="0" w:color="auto"/>
              <w:left w:val="nil"/>
              <w:bottom w:val="single" w:sz="4" w:space="0" w:color="auto"/>
              <w:right w:val="nil"/>
            </w:tcBorders>
            <w:shd w:val="clear" w:color="auto" w:fill="auto"/>
            <w:vAlign w:val="center"/>
            <w:hideMark/>
          </w:tcPr>
          <w:p w:rsidR="00F71E7F" w:rsidRPr="00F71E7F" w:rsidRDefault="00F71E7F" w:rsidP="00F71E7F">
            <w:pPr>
              <w:spacing w:after="0" w:line="240" w:lineRule="auto"/>
              <w:rPr>
                <w:rFonts w:ascii="Arial" w:hAnsi="Arial" w:cs="Arial"/>
                <w:b/>
                <w:bCs/>
                <w:color w:val="000000"/>
                <w:sz w:val="16"/>
                <w:szCs w:val="16"/>
              </w:rPr>
            </w:pPr>
            <w:r w:rsidRPr="00F71E7F">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2017–18 Estimated actual</w:t>
            </w:r>
            <w:r w:rsidRPr="00F71E7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2018–19</w:t>
            </w:r>
            <w:r w:rsidRPr="00F71E7F">
              <w:rPr>
                <w:rFonts w:ascii="Arial" w:hAnsi="Arial" w:cs="Arial"/>
                <w:sz w:val="16"/>
                <w:szCs w:val="16"/>
              </w:rPr>
              <w:br/>
              <w:t>Budget</w:t>
            </w:r>
            <w:r w:rsidRPr="00F71E7F">
              <w:rPr>
                <w:rFonts w:ascii="Arial" w:hAnsi="Arial" w:cs="Arial"/>
                <w:sz w:val="16"/>
                <w:szCs w:val="16"/>
              </w:rPr>
              <w:br/>
            </w:r>
            <w:r w:rsidRPr="00F71E7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2019–20 Forward estimate</w:t>
            </w:r>
            <w:r w:rsidRPr="00F71E7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2020–21 Forward estimate</w:t>
            </w:r>
            <w:r w:rsidRPr="00F71E7F">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2021–22</w:t>
            </w:r>
            <w:r w:rsidRPr="00F71E7F">
              <w:rPr>
                <w:rFonts w:ascii="Arial" w:hAnsi="Arial" w:cs="Arial"/>
                <w:sz w:val="16"/>
                <w:szCs w:val="16"/>
              </w:rPr>
              <w:br/>
              <w:t>Forward estimate</w:t>
            </w:r>
            <w:r w:rsidRPr="00F71E7F">
              <w:rPr>
                <w:rFonts w:ascii="Arial" w:hAnsi="Arial" w:cs="Arial"/>
                <w:sz w:val="16"/>
                <w:szCs w:val="16"/>
              </w:rPr>
              <w:br/>
              <w:t>$'000</w:t>
            </w:r>
          </w:p>
        </w:tc>
      </w:tr>
      <w:tr w:rsidR="00F71E7F" w:rsidRPr="00F71E7F" w:rsidTr="00AB5AE6">
        <w:trPr>
          <w:trHeight w:val="630"/>
        </w:trPr>
        <w:tc>
          <w:tcPr>
            <w:tcW w:w="7739" w:type="dxa"/>
            <w:gridSpan w:val="6"/>
            <w:tcBorders>
              <w:top w:val="single" w:sz="4" w:space="0" w:color="auto"/>
              <w:left w:val="nil"/>
              <w:bottom w:val="single" w:sz="4" w:space="0" w:color="auto"/>
              <w:right w:val="nil"/>
            </w:tcBorders>
            <w:shd w:val="clear" w:color="000000" w:fill="E6E6E6"/>
            <w:vAlign w:val="center"/>
            <w:hideMark/>
          </w:tcPr>
          <w:p w:rsidR="00F71E7F" w:rsidRPr="00F71E7F" w:rsidRDefault="00F71E7F" w:rsidP="00F71E7F">
            <w:pPr>
              <w:spacing w:after="0" w:line="240" w:lineRule="auto"/>
              <w:rPr>
                <w:rFonts w:ascii="Arial" w:hAnsi="Arial" w:cs="Arial"/>
                <w:b/>
                <w:bCs/>
                <w:sz w:val="16"/>
                <w:szCs w:val="16"/>
              </w:rPr>
            </w:pPr>
            <w:r w:rsidRPr="00F71E7F">
              <w:rPr>
                <w:rFonts w:ascii="Arial" w:hAnsi="Arial" w:cs="Arial"/>
                <w:b/>
                <w:bCs/>
                <w:sz w:val="16"/>
                <w:szCs w:val="16"/>
              </w:rPr>
              <w:t>Program 1.1: Education Servi</w:t>
            </w:r>
            <w:r>
              <w:rPr>
                <w:rFonts w:ascii="Arial" w:hAnsi="Arial" w:cs="Arial"/>
                <w:b/>
                <w:bCs/>
                <w:sz w:val="16"/>
                <w:szCs w:val="16"/>
              </w:rPr>
              <w:t>ces and Compliance Activities—</w:t>
            </w:r>
            <w:r w:rsidRPr="00F71E7F">
              <w:rPr>
                <w:rFonts w:ascii="Arial" w:hAnsi="Arial" w:cs="Arial"/>
                <w:b/>
                <w:bCs/>
                <w:sz w:val="16"/>
                <w:szCs w:val="16"/>
              </w:rPr>
              <w:t>To educate employers, employees, organisations and contractors about the workplace relations system and to ensure compliance with workplace laws.</w:t>
            </w:r>
          </w:p>
        </w:tc>
      </w:tr>
      <w:tr w:rsidR="00F71E7F" w:rsidRPr="00F71E7F" w:rsidTr="00AB5AE6">
        <w:trPr>
          <w:trHeight w:val="225"/>
        </w:trPr>
        <w:tc>
          <w:tcPr>
            <w:tcW w:w="3146" w:type="dxa"/>
            <w:tcBorders>
              <w:top w:val="single" w:sz="4" w:space="0" w:color="auto"/>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r w:rsidRPr="00F71E7F">
              <w:rPr>
                <w:rFonts w:ascii="Arial" w:hAnsi="Arial" w:cs="Arial"/>
                <w:sz w:val="16"/>
                <w:szCs w:val="16"/>
              </w:rPr>
              <w:t>Departmental expenses</w:t>
            </w:r>
          </w:p>
        </w:tc>
        <w:tc>
          <w:tcPr>
            <w:tcW w:w="964" w:type="dxa"/>
            <w:tcBorders>
              <w:top w:val="single" w:sz="4" w:space="0" w:color="auto"/>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p>
        </w:tc>
        <w:tc>
          <w:tcPr>
            <w:tcW w:w="907" w:type="dxa"/>
            <w:tcBorders>
              <w:top w:val="single" w:sz="4" w:space="0" w:color="auto"/>
              <w:left w:val="nil"/>
              <w:bottom w:val="nil"/>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w:t>
            </w:r>
          </w:p>
        </w:tc>
        <w:tc>
          <w:tcPr>
            <w:tcW w:w="907" w:type="dxa"/>
            <w:tcBorders>
              <w:top w:val="single" w:sz="4" w:space="0" w:color="auto"/>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p>
        </w:tc>
        <w:tc>
          <w:tcPr>
            <w:tcW w:w="907" w:type="dxa"/>
            <w:tcBorders>
              <w:top w:val="single" w:sz="4" w:space="0" w:color="auto"/>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p>
        </w:tc>
        <w:tc>
          <w:tcPr>
            <w:tcW w:w="908" w:type="dxa"/>
            <w:tcBorders>
              <w:top w:val="single" w:sz="4" w:space="0" w:color="auto"/>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p>
        </w:tc>
      </w:tr>
      <w:tr w:rsidR="00F71E7F" w:rsidRPr="00F71E7F" w:rsidTr="00F71E7F">
        <w:trPr>
          <w:trHeight w:val="225"/>
        </w:trPr>
        <w:tc>
          <w:tcPr>
            <w:tcW w:w="3146"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ind w:firstLineChars="100" w:firstLine="160"/>
              <w:rPr>
                <w:rFonts w:ascii="Arial" w:hAnsi="Arial" w:cs="Arial"/>
                <w:sz w:val="16"/>
                <w:szCs w:val="16"/>
              </w:rPr>
            </w:pPr>
            <w:r w:rsidRPr="00F71E7F">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110,464 </w:t>
            </w:r>
          </w:p>
        </w:tc>
        <w:tc>
          <w:tcPr>
            <w:tcW w:w="907" w:type="dxa"/>
            <w:tcBorders>
              <w:top w:val="nil"/>
              <w:left w:val="nil"/>
              <w:bottom w:val="nil"/>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110,009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109,941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113,571 </w:t>
            </w: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117,275 </w:t>
            </w:r>
          </w:p>
        </w:tc>
      </w:tr>
      <w:tr w:rsidR="00F71E7F" w:rsidRPr="00F71E7F" w:rsidTr="00F71E7F">
        <w:trPr>
          <w:trHeight w:val="225"/>
        </w:trPr>
        <w:tc>
          <w:tcPr>
            <w:tcW w:w="3146" w:type="dxa"/>
            <w:tcBorders>
              <w:top w:val="nil"/>
              <w:left w:val="nil"/>
              <w:bottom w:val="nil"/>
              <w:right w:val="nil"/>
            </w:tcBorders>
            <w:shd w:val="clear" w:color="auto" w:fill="auto"/>
            <w:vAlign w:val="center"/>
            <w:hideMark/>
          </w:tcPr>
          <w:p w:rsidR="00F71E7F" w:rsidRPr="00F71E7F" w:rsidRDefault="00F71E7F" w:rsidP="00F71E7F">
            <w:pPr>
              <w:spacing w:after="0" w:line="240" w:lineRule="auto"/>
              <w:ind w:firstLineChars="100" w:firstLine="160"/>
              <w:rPr>
                <w:rFonts w:ascii="Arial" w:hAnsi="Arial" w:cs="Arial"/>
                <w:sz w:val="16"/>
                <w:szCs w:val="16"/>
              </w:rPr>
            </w:pPr>
            <w:r w:rsidRPr="00F71E7F">
              <w:rPr>
                <w:rFonts w:ascii="Arial" w:hAnsi="Arial" w:cs="Arial"/>
                <w:sz w:val="16"/>
                <w:szCs w:val="16"/>
              </w:rPr>
              <w:t>s74 Retained revenue receipts (a)</w:t>
            </w:r>
          </w:p>
        </w:tc>
        <w:tc>
          <w:tcPr>
            <w:tcW w:w="964"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1,190 </w:t>
            </w:r>
          </w:p>
        </w:tc>
        <w:tc>
          <w:tcPr>
            <w:tcW w:w="907" w:type="dxa"/>
            <w:tcBorders>
              <w:top w:val="nil"/>
              <w:left w:val="nil"/>
              <w:bottom w:val="nil"/>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1,000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r>
      <w:tr w:rsidR="00F71E7F" w:rsidRPr="00F71E7F" w:rsidTr="00F71E7F">
        <w:trPr>
          <w:trHeight w:val="397"/>
        </w:trPr>
        <w:tc>
          <w:tcPr>
            <w:tcW w:w="3146" w:type="dxa"/>
            <w:tcBorders>
              <w:top w:val="nil"/>
              <w:left w:val="nil"/>
              <w:bottom w:val="nil"/>
              <w:right w:val="nil"/>
            </w:tcBorders>
            <w:shd w:val="clear" w:color="auto" w:fill="auto"/>
            <w:vAlign w:val="center"/>
            <w:hideMark/>
          </w:tcPr>
          <w:p w:rsidR="00F71E7F" w:rsidRPr="00F71E7F" w:rsidRDefault="00F71E7F" w:rsidP="00F71E7F">
            <w:pPr>
              <w:spacing w:after="0" w:line="240" w:lineRule="auto"/>
              <w:ind w:leftChars="80" w:left="333" w:hangingChars="108" w:hanging="173"/>
              <w:rPr>
                <w:rFonts w:ascii="Arial" w:hAnsi="Arial" w:cs="Arial"/>
                <w:sz w:val="16"/>
                <w:szCs w:val="16"/>
              </w:rPr>
            </w:pPr>
            <w:r w:rsidRPr="00F71E7F">
              <w:rPr>
                <w:rFonts w:ascii="Arial" w:hAnsi="Arial" w:cs="Arial"/>
                <w:sz w:val="16"/>
                <w:szCs w:val="16"/>
              </w:rPr>
              <w:t>Expenses not requiring appropriation in the Budget year (b)</w:t>
            </w:r>
          </w:p>
        </w:tc>
        <w:tc>
          <w:tcPr>
            <w:tcW w:w="964"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11,180 </w:t>
            </w:r>
          </w:p>
        </w:tc>
        <w:tc>
          <w:tcPr>
            <w:tcW w:w="907" w:type="dxa"/>
            <w:tcBorders>
              <w:top w:val="nil"/>
              <w:left w:val="nil"/>
              <w:bottom w:val="nil"/>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8,019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6,997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8,041 </w:t>
            </w: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7,951 </w:t>
            </w:r>
          </w:p>
        </w:tc>
      </w:tr>
      <w:tr w:rsidR="00F71E7F" w:rsidRPr="00F71E7F" w:rsidTr="00F71E7F">
        <w:trPr>
          <w:trHeight w:val="225"/>
        </w:trPr>
        <w:tc>
          <w:tcPr>
            <w:tcW w:w="3146" w:type="dxa"/>
            <w:tcBorders>
              <w:top w:val="nil"/>
              <w:left w:val="nil"/>
              <w:bottom w:val="nil"/>
              <w:right w:val="nil"/>
            </w:tcBorders>
            <w:shd w:val="clear" w:color="auto" w:fill="auto"/>
            <w:vAlign w:val="center"/>
            <w:hideMark/>
          </w:tcPr>
          <w:p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122,834 </w:t>
            </w:r>
          </w:p>
        </w:tc>
        <w:tc>
          <w:tcPr>
            <w:tcW w:w="907" w:type="dxa"/>
            <w:tcBorders>
              <w:top w:val="single" w:sz="4" w:space="0" w:color="000000"/>
              <w:left w:val="nil"/>
              <w:bottom w:val="single" w:sz="4" w:space="0" w:color="000000"/>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119,028 </w:t>
            </w:r>
          </w:p>
        </w:tc>
        <w:tc>
          <w:tcPr>
            <w:tcW w:w="907" w:type="dxa"/>
            <w:tcBorders>
              <w:top w:val="single" w:sz="4" w:space="0" w:color="000000"/>
              <w:left w:val="nil"/>
              <w:bottom w:val="single" w:sz="4" w:space="0" w:color="000000"/>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117,518 </w:t>
            </w:r>
          </w:p>
        </w:tc>
        <w:tc>
          <w:tcPr>
            <w:tcW w:w="907" w:type="dxa"/>
            <w:tcBorders>
              <w:top w:val="single" w:sz="4" w:space="0" w:color="000000"/>
              <w:left w:val="nil"/>
              <w:bottom w:val="single" w:sz="4" w:space="0" w:color="000000"/>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122,192 </w:t>
            </w:r>
          </w:p>
        </w:tc>
        <w:tc>
          <w:tcPr>
            <w:tcW w:w="908" w:type="dxa"/>
            <w:tcBorders>
              <w:top w:val="single" w:sz="4" w:space="0" w:color="000000"/>
              <w:left w:val="nil"/>
              <w:bottom w:val="single" w:sz="4" w:space="0" w:color="000000"/>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125,806 </w:t>
            </w:r>
          </w:p>
        </w:tc>
      </w:tr>
      <w:tr w:rsidR="00F71E7F" w:rsidRPr="00F71E7F" w:rsidTr="00F71E7F">
        <w:trPr>
          <w:trHeight w:val="225"/>
        </w:trPr>
        <w:tc>
          <w:tcPr>
            <w:tcW w:w="3146" w:type="dxa"/>
            <w:tcBorders>
              <w:top w:val="nil"/>
              <w:left w:val="nil"/>
              <w:bottom w:val="single" w:sz="4" w:space="0" w:color="000000"/>
              <w:right w:val="nil"/>
            </w:tcBorders>
            <w:shd w:val="clear" w:color="auto" w:fill="auto"/>
            <w:vAlign w:val="center"/>
            <w:hideMark/>
          </w:tcPr>
          <w:p w:rsidR="00F71E7F" w:rsidRPr="00F71E7F" w:rsidRDefault="00F71E7F" w:rsidP="00F71E7F">
            <w:pPr>
              <w:spacing w:after="0" w:line="240" w:lineRule="auto"/>
              <w:rPr>
                <w:rFonts w:ascii="Arial" w:hAnsi="Arial" w:cs="Arial"/>
                <w:b/>
                <w:bCs/>
                <w:sz w:val="16"/>
                <w:szCs w:val="16"/>
              </w:rPr>
            </w:pPr>
            <w:r w:rsidRPr="00F71E7F">
              <w:rPr>
                <w:rFonts w:ascii="Arial" w:hAnsi="Arial" w:cs="Arial"/>
                <w:b/>
                <w:bCs/>
                <w:sz w:val="16"/>
                <w:szCs w:val="16"/>
              </w:rPr>
              <w:t xml:space="preserve">Total expenses for </w:t>
            </w:r>
            <w:r>
              <w:rPr>
                <w:rFonts w:ascii="Arial" w:hAnsi="Arial" w:cs="Arial"/>
                <w:b/>
                <w:bCs/>
                <w:sz w:val="16"/>
                <w:szCs w:val="16"/>
              </w:rPr>
              <w:t>P</w:t>
            </w:r>
            <w:r w:rsidRPr="00F71E7F">
              <w:rPr>
                <w:rFonts w:ascii="Arial" w:hAnsi="Arial" w:cs="Arial"/>
                <w:b/>
                <w:bCs/>
                <w:sz w:val="16"/>
                <w:szCs w:val="16"/>
              </w:rPr>
              <w:t>rogram 1.1</w:t>
            </w:r>
          </w:p>
        </w:tc>
        <w:tc>
          <w:tcPr>
            <w:tcW w:w="964" w:type="dxa"/>
            <w:tcBorders>
              <w:top w:val="nil"/>
              <w:left w:val="nil"/>
              <w:bottom w:val="single" w:sz="4" w:space="0" w:color="000000"/>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b/>
                <w:bCs/>
                <w:color w:val="000000"/>
                <w:sz w:val="16"/>
                <w:szCs w:val="16"/>
              </w:rPr>
            </w:pPr>
            <w:r w:rsidRPr="00F71E7F">
              <w:rPr>
                <w:rFonts w:ascii="Arial" w:hAnsi="Arial" w:cs="Arial"/>
                <w:b/>
                <w:bCs/>
                <w:color w:val="000000"/>
                <w:sz w:val="16"/>
                <w:szCs w:val="16"/>
              </w:rPr>
              <w:t xml:space="preserve">122,834 </w:t>
            </w:r>
          </w:p>
        </w:tc>
        <w:tc>
          <w:tcPr>
            <w:tcW w:w="907" w:type="dxa"/>
            <w:tcBorders>
              <w:top w:val="nil"/>
              <w:left w:val="nil"/>
              <w:bottom w:val="single" w:sz="4" w:space="0" w:color="000000"/>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b/>
                <w:bCs/>
                <w:color w:val="000000"/>
                <w:sz w:val="16"/>
                <w:szCs w:val="16"/>
              </w:rPr>
            </w:pPr>
            <w:r w:rsidRPr="00F71E7F">
              <w:rPr>
                <w:rFonts w:ascii="Arial" w:hAnsi="Arial" w:cs="Arial"/>
                <w:b/>
                <w:bCs/>
                <w:color w:val="000000"/>
                <w:sz w:val="16"/>
                <w:szCs w:val="16"/>
              </w:rPr>
              <w:t xml:space="preserve">119,028 </w:t>
            </w:r>
          </w:p>
        </w:tc>
        <w:tc>
          <w:tcPr>
            <w:tcW w:w="907" w:type="dxa"/>
            <w:tcBorders>
              <w:top w:val="nil"/>
              <w:left w:val="nil"/>
              <w:bottom w:val="single" w:sz="4" w:space="0" w:color="000000"/>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117,518 </w:t>
            </w:r>
          </w:p>
        </w:tc>
        <w:tc>
          <w:tcPr>
            <w:tcW w:w="907" w:type="dxa"/>
            <w:tcBorders>
              <w:top w:val="nil"/>
              <w:left w:val="nil"/>
              <w:bottom w:val="single" w:sz="4" w:space="0" w:color="000000"/>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122,192 </w:t>
            </w:r>
          </w:p>
        </w:tc>
        <w:tc>
          <w:tcPr>
            <w:tcW w:w="908" w:type="dxa"/>
            <w:tcBorders>
              <w:top w:val="nil"/>
              <w:left w:val="nil"/>
              <w:bottom w:val="single" w:sz="4" w:space="0" w:color="000000"/>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125,806 </w:t>
            </w:r>
          </w:p>
        </w:tc>
      </w:tr>
      <w:tr w:rsidR="00F71E7F" w:rsidRPr="00F71E7F" w:rsidTr="00F71E7F">
        <w:trPr>
          <w:trHeight w:val="225"/>
        </w:trPr>
        <w:tc>
          <w:tcPr>
            <w:tcW w:w="7739" w:type="dxa"/>
            <w:gridSpan w:val="6"/>
            <w:tcBorders>
              <w:top w:val="single" w:sz="4" w:space="0" w:color="auto"/>
              <w:left w:val="nil"/>
              <w:bottom w:val="single" w:sz="4" w:space="0" w:color="auto"/>
              <w:right w:val="nil"/>
            </w:tcBorders>
            <w:shd w:val="clear" w:color="000000" w:fill="E6E6E6"/>
            <w:vAlign w:val="center"/>
            <w:hideMark/>
          </w:tcPr>
          <w:p w:rsidR="00F71E7F" w:rsidRPr="00F71E7F" w:rsidRDefault="00F71E7F" w:rsidP="00F71E7F">
            <w:pPr>
              <w:spacing w:after="0" w:line="240" w:lineRule="auto"/>
              <w:rPr>
                <w:rFonts w:ascii="Arial" w:hAnsi="Arial" w:cs="Arial"/>
                <w:b/>
                <w:bCs/>
                <w:sz w:val="16"/>
                <w:szCs w:val="16"/>
              </w:rPr>
            </w:pPr>
            <w:r w:rsidRPr="00F71E7F">
              <w:rPr>
                <w:rFonts w:ascii="Arial" w:hAnsi="Arial" w:cs="Arial"/>
                <w:b/>
                <w:bCs/>
                <w:sz w:val="16"/>
                <w:szCs w:val="16"/>
              </w:rPr>
              <w:t>Outcome 1 Totals by appropriation type</w:t>
            </w:r>
          </w:p>
        </w:tc>
      </w:tr>
      <w:tr w:rsidR="00F71E7F" w:rsidRPr="00F71E7F" w:rsidTr="00F71E7F">
        <w:trPr>
          <w:trHeight w:val="225"/>
        </w:trPr>
        <w:tc>
          <w:tcPr>
            <w:tcW w:w="3146"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r w:rsidRPr="00F71E7F">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r>
      <w:tr w:rsidR="00F71E7F" w:rsidRPr="00F71E7F" w:rsidTr="00F71E7F">
        <w:trPr>
          <w:trHeight w:val="225"/>
        </w:trPr>
        <w:tc>
          <w:tcPr>
            <w:tcW w:w="3146"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ind w:firstLineChars="100" w:firstLine="160"/>
              <w:rPr>
                <w:rFonts w:ascii="Arial" w:hAnsi="Arial" w:cs="Arial"/>
                <w:sz w:val="16"/>
                <w:szCs w:val="16"/>
              </w:rPr>
            </w:pPr>
            <w:r w:rsidRPr="00F71E7F">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110,464 </w:t>
            </w:r>
          </w:p>
        </w:tc>
        <w:tc>
          <w:tcPr>
            <w:tcW w:w="907" w:type="dxa"/>
            <w:tcBorders>
              <w:top w:val="nil"/>
              <w:left w:val="nil"/>
              <w:bottom w:val="nil"/>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110,009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109,941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113,571 </w:t>
            </w: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117,275 </w:t>
            </w:r>
          </w:p>
        </w:tc>
      </w:tr>
      <w:tr w:rsidR="00F71E7F" w:rsidRPr="00F71E7F" w:rsidTr="00F71E7F">
        <w:trPr>
          <w:trHeight w:val="225"/>
        </w:trPr>
        <w:tc>
          <w:tcPr>
            <w:tcW w:w="3146" w:type="dxa"/>
            <w:tcBorders>
              <w:top w:val="nil"/>
              <w:left w:val="nil"/>
              <w:bottom w:val="nil"/>
              <w:right w:val="nil"/>
            </w:tcBorders>
            <w:shd w:val="clear" w:color="auto" w:fill="auto"/>
            <w:vAlign w:val="center"/>
            <w:hideMark/>
          </w:tcPr>
          <w:p w:rsidR="00F71E7F" w:rsidRPr="00F71E7F" w:rsidRDefault="00F71E7F" w:rsidP="00F71E7F">
            <w:pPr>
              <w:spacing w:after="0" w:line="240" w:lineRule="auto"/>
              <w:ind w:firstLineChars="100" w:firstLine="160"/>
              <w:rPr>
                <w:rFonts w:ascii="Arial" w:hAnsi="Arial" w:cs="Arial"/>
                <w:sz w:val="16"/>
                <w:szCs w:val="16"/>
              </w:rPr>
            </w:pPr>
            <w:r w:rsidRPr="00F71E7F">
              <w:rPr>
                <w:rFonts w:ascii="Arial" w:hAnsi="Arial" w:cs="Arial"/>
                <w:sz w:val="16"/>
                <w:szCs w:val="16"/>
              </w:rPr>
              <w:t>s74 Retained revenue receipts (a)</w:t>
            </w:r>
          </w:p>
        </w:tc>
        <w:tc>
          <w:tcPr>
            <w:tcW w:w="964"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1,190 </w:t>
            </w:r>
          </w:p>
        </w:tc>
        <w:tc>
          <w:tcPr>
            <w:tcW w:w="907" w:type="dxa"/>
            <w:tcBorders>
              <w:top w:val="nil"/>
              <w:left w:val="nil"/>
              <w:bottom w:val="nil"/>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1,000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r>
      <w:tr w:rsidR="00F71E7F" w:rsidRPr="00F71E7F" w:rsidTr="00F71E7F">
        <w:trPr>
          <w:trHeight w:val="397"/>
        </w:trPr>
        <w:tc>
          <w:tcPr>
            <w:tcW w:w="3146" w:type="dxa"/>
            <w:tcBorders>
              <w:top w:val="nil"/>
              <w:left w:val="nil"/>
              <w:bottom w:val="nil"/>
              <w:right w:val="nil"/>
            </w:tcBorders>
            <w:shd w:val="clear" w:color="auto" w:fill="auto"/>
            <w:vAlign w:val="center"/>
            <w:hideMark/>
          </w:tcPr>
          <w:p w:rsidR="00F71E7F" w:rsidRPr="00F71E7F" w:rsidRDefault="00F71E7F" w:rsidP="00F71E7F">
            <w:pPr>
              <w:spacing w:after="0" w:line="240" w:lineRule="auto"/>
              <w:ind w:leftChars="80" w:left="333" w:hangingChars="108" w:hanging="173"/>
              <w:rPr>
                <w:rFonts w:ascii="Arial" w:hAnsi="Arial" w:cs="Arial"/>
                <w:sz w:val="16"/>
                <w:szCs w:val="16"/>
              </w:rPr>
            </w:pPr>
            <w:r w:rsidRPr="00F71E7F">
              <w:rPr>
                <w:rFonts w:ascii="Arial" w:hAnsi="Arial" w:cs="Arial"/>
                <w:sz w:val="16"/>
                <w:szCs w:val="16"/>
              </w:rPr>
              <w:t>Expenses not requiring appropriation  in the Budget year (b)</w:t>
            </w:r>
          </w:p>
        </w:tc>
        <w:tc>
          <w:tcPr>
            <w:tcW w:w="964"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11,180 </w:t>
            </w:r>
          </w:p>
        </w:tc>
        <w:tc>
          <w:tcPr>
            <w:tcW w:w="907" w:type="dxa"/>
            <w:tcBorders>
              <w:top w:val="nil"/>
              <w:left w:val="nil"/>
              <w:bottom w:val="nil"/>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8,019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6,997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8,041 </w:t>
            </w: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7,951 </w:t>
            </w:r>
          </w:p>
        </w:tc>
      </w:tr>
      <w:tr w:rsidR="00F71E7F" w:rsidRPr="00F71E7F" w:rsidTr="00F71E7F">
        <w:trPr>
          <w:trHeight w:val="225"/>
        </w:trPr>
        <w:tc>
          <w:tcPr>
            <w:tcW w:w="3146" w:type="dxa"/>
            <w:tcBorders>
              <w:top w:val="nil"/>
              <w:left w:val="nil"/>
              <w:bottom w:val="nil"/>
              <w:right w:val="nil"/>
            </w:tcBorders>
            <w:shd w:val="clear" w:color="auto" w:fill="auto"/>
            <w:vAlign w:val="center"/>
            <w:hideMark/>
          </w:tcPr>
          <w:p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122,834 </w:t>
            </w:r>
          </w:p>
        </w:tc>
        <w:tc>
          <w:tcPr>
            <w:tcW w:w="907" w:type="dxa"/>
            <w:tcBorders>
              <w:top w:val="single" w:sz="4" w:space="0" w:color="auto"/>
              <w:left w:val="nil"/>
              <w:bottom w:val="single" w:sz="4" w:space="0" w:color="auto"/>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119,028 </w:t>
            </w:r>
          </w:p>
        </w:tc>
        <w:tc>
          <w:tcPr>
            <w:tcW w:w="907" w:type="dxa"/>
            <w:tcBorders>
              <w:top w:val="single" w:sz="4" w:space="0" w:color="auto"/>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117,518 </w:t>
            </w:r>
          </w:p>
        </w:tc>
        <w:tc>
          <w:tcPr>
            <w:tcW w:w="907" w:type="dxa"/>
            <w:tcBorders>
              <w:top w:val="single" w:sz="4" w:space="0" w:color="auto"/>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122,192 </w:t>
            </w:r>
          </w:p>
        </w:tc>
        <w:tc>
          <w:tcPr>
            <w:tcW w:w="908" w:type="dxa"/>
            <w:tcBorders>
              <w:top w:val="single" w:sz="4" w:space="0" w:color="auto"/>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125,806 </w:t>
            </w:r>
          </w:p>
        </w:tc>
      </w:tr>
      <w:tr w:rsidR="00F71E7F" w:rsidRPr="00F71E7F" w:rsidTr="00F71E7F">
        <w:trPr>
          <w:trHeight w:val="225"/>
        </w:trPr>
        <w:tc>
          <w:tcPr>
            <w:tcW w:w="3146" w:type="dxa"/>
            <w:tcBorders>
              <w:top w:val="nil"/>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rPr>
                <w:rFonts w:ascii="Arial" w:hAnsi="Arial" w:cs="Arial"/>
                <w:b/>
                <w:bCs/>
                <w:color w:val="000000"/>
                <w:sz w:val="16"/>
                <w:szCs w:val="16"/>
              </w:rPr>
            </w:pPr>
            <w:r w:rsidRPr="00F71E7F">
              <w:rPr>
                <w:rFonts w:ascii="Arial" w:hAnsi="Arial" w:cs="Arial"/>
                <w:b/>
                <w:bCs/>
                <w:color w:val="000000"/>
                <w:sz w:val="16"/>
                <w:szCs w:val="16"/>
              </w:rPr>
              <w:t>Total expenses for Outcome 1</w:t>
            </w:r>
          </w:p>
        </w:tc>
        <w:tc>
          <w:tcPr>
            <w:tcW w:w="964" w:type="dxa"/>
            <w:tcBorders>
              <w:top w:val="nil"/>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b/>
                <w:bCs/>
                <w:color w:val="000000"/>
                <w:sz w:val="16"/>
                <w:szCs w:val="16"/>
              </w:rPr>
            </w:pPr>
            <w:r w:rsidRPr="00F71E7F">
              <w:rPr>
                <w:rFonts w:ascii="Arial" w:hAnsi="Arial" w:cs="Arial"/>
                <w:b/>
                <w:bCs/>
                <w:color w:val="000000"/>
                <w:sz w:val="16"/>
                <w:szCs w:val="16"/>
              </w:rPr>
              <w:t xml:space="preserve">122,834 </w:t>
            </w:r>
          </w:p>
        </w:tc>
        <w:tc>
          <w:tcPr>
            <w:tcW w:w="907" w:type="dxa"/>
            <w:tcBorders>
              <w:top w:val="nil"/>
              <w:left w:val="nil"/>
              <w:bottom w:val="single" w:sz="4" w:space="0" w:color="auto"/>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b/>
                <w:bCs/>
                <w:color w:val="000000"/>
                <w:sz w:val="16"/>
                <w:szCs w:val="16"/>
              </w:rPr>
            </w:pPr>
            <w:r w:rsidRPr="00F71E7F">
              <w:rPr>
                <w:rFonts w:ascii="Arial" w:hAnsi="Arial" w:cs="Arial"/>
                <w:b/>
                <w:bCs/>
                <w:color w:val="000000"/>
                <w:sz w:val="16"/>
                <w:szCs w:val="16"/>
              </w:rPr>
              <w:t xml:space="preserve">119,028 </w:t>
            </w:r>
          </w:p>
        </w:tc>
        <w:tc>
          <w:tcPr>
            <w:tcW w:w="907" w:type="dxa"/>
            <w:tcBorders>
              <w:top w:val="nil"/>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117,518 </w:t>
            </w:r>
          </w:p>
        </w:tc>
        <w:tc>
          <w:tcPr>
            <w:tcW w:w="907" w:type="dxa"/>
            <w:tcBorders>
              <w:top w:val="nil"/>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122,192 </w:t>
            </w:r>
          </w:p>
        </w:tc>
        <w:tc>
          <w:tcPr>
            <w:tcW w:w="908" w:type="dxa"/>
            <w:tcBorders>
              <w:top w:val="nil"/>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125,806 </w:t>
            </w:r>
          </w:p>
        </w:tc>
      </w:tr>
      <w:tr w:rsidR="00F71E7F" w:rsidRPr="00F71E7F" w:rsidTr="00F71E7F">
        <w:trPr>
          <w:trHeight w:val="225"/>
        </w:trPr>
        <w:tc>
          <w:tcPr>
            <w:tcW w:w="3146" w:type="dxa"/>
            <w:tcBorders>
              <w:top w:val="single" w:sz="4" w:space="0" w:color="000000"/>
              <w:left w:val="nil"/>
              <w:bottom w:val="nil"/>
              <w:right w:val="nil"/>
            </w:tcBorders>
            <w:shd w:val="clear" w:color="auto" w:fill="auto"/>
            <w:noWrap/>
            <w:vAlign w:val="center"/>
          </w:tcPr>
          <w:p w:rsidR="00F71E7F" w:rsidRPr="00F71E7F" w:rsidRDefault="00F71E7F" w:rsidP="00F71E7F">
            <w:pPr>
              <w:spacing w:after="0" w:line="240" w:lineRule="auto"/>
              <w:rPr>
                <w:rFonts w:ascii="Arial" w:hAnsi="Arial" w:cs="Arial"/>
                <w:color w:val="000000"/>
                <w:sz w:val="16"/>
                <w:szCs w:val="16"/>
              </w:rPr>
            </w:pPr>
          </w:p>
        </w:tc>
        <w:tc>
          <w:tcPr>
            <w:tcW w:w="964" w:type="dxa"/>
            <w:tcBorders>
              <w:top w:val="single" w:sz="4" w:space="0" w:color="auto"/>
              <w:left w:val="nil"/>
              <w:bottom w:val="single" w:sz="4" w:space="0" w:color="auto"/>
              <w:right w:val="nil"/>
            </w:tcBorders>
            <w:shd w:val="clear" w:color="auto" w:fill="auto"/>
            <w:noWrap/>
            <w:vAlign w:val="center"/>
          </w:tcPr>
          <w:p w:rsidR="00F71E7F" w:rsidRPr="00F71E7F" w:rsidRDefault="00F71E7F" w:rsidP="00F71E7F">
            <w:pPr>
              <w:spacing w:after="0" w:line="240" w:lineRule="auto"/>
              <w:jc w:val="right"/>
              <w:rPr>
                <w:rFonts w:ascii="Arial" w:hAnsi="Arial" w:cs="Arial"/>
                <w:sz w:val="16"/>
                <w:szCs w:val="16"/>
              </w:rPr>
            </w:pPr>
          </w:p>
        </w:tc>
        <w:tc>
          <w:tcPr>
            <w:tcW w:w="907" w:type="dxa"/>
            <w:tcBorders>
              <w:top w:val="single" w:sz="4" w:space="0" w:color="auto"/>
              <w:left w:val="nil"/>
              <w:bottom w:val="single" w:sz="4" w:space="0" w:color="auto"/>
              <w:right w:val="nil"/>
            </w:tcBorders>
            <w:shd w:val="clear" w:color="000000" w:fill="E6E6E6"/>
            <w:noWrap/>
            <w:vAlign w:val="center"/>
          </w:tcPr>
          <w:p w:rsidR="00F71E7F" w:rsidRPr="00F71E7F" w:rsidRDefault="00F71E7F" w:rsidP="00F71E7F">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tcPr>
          <w:p w:rsidR="00F71E7F" w:rsidRPr="00F71E7F" w:rsidRDefault="00F71E7F" w:rsidP="00F71E7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tcPr>
          <w:p w:rsidR="00F71E7F" w:rsidRPr="00F71E7F" w:rsidRDefault="00F71E7F" w:rsidP="00F71E7F">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tcPr>
          <w:p w:rsidR="00F71E7F" w:rsidRPr="00F71E7F" w:rsidRDefault="00F71E7F" w:rsidP="00F71E7F">
            <w:pPr>
              <w:spacing w:after="0" w:line="240" w:lineRule="auto"/>
              <w:rPr>
                <w:rFonts w:ascii="Arial" w:hAnsi="Arial" w:cs="Arial"/>
                <w:sz w:val="16"/>
                <w:szCs w:val="16"/>
              </w:rPr>
            </w:pPr>
          </w:p>
        </w:tc>
      </w:tr>
      <w:tr w:rsidR="00F71E7F" w:rsidRPr="00F71E7F" w:rsidTr="00F71E7F">
        <w:trPr>
          <w:trHeight w:val="225"/>
        </w:trPr>
        <w:tc>
          <w:tcPr>
            <w:tcW w:w="3146" w:type="dxa"/>
            <w:tcBorders>
              <w:top w:val="single" w:sz="4" w:space="0" w:color="000000"/>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color w:val="000000"/>
                <w:sz w:val="16"/>
                <w:szCs w:val="16"/>
              </w:rPr>
            </w:pPr>
            <w:r w:rsidRPr="00F71E7F">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2018–19</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r>
      <w:tr w:rsidR="00F71E7F" w:rsidRPr="00F71E7F" w:rsidTr="00F71E7F">
        <w:trPr>
          <w:trHeight w:val="225"/>
        </w:trPr>
        <w:tc>
          <w:tcPr>
            <w:tcW w:w="3146" w:type="dxa"/>
            <w:tcBorders>
              <w:top w:val="nil"/>
              <w:left w:val="nil"/>
              <w:bottom w:val="single" w:sz="4" w:space="0" w:color="000000"/>
              <w:right w:val="nil"/>
            </w:tcBorders>
            <w:shd w:val="clear" w:color="auto" w:fill="auto"/>
            <w:noWrap/>
            <w:vAlign w:val="bottom"/>
            <w:hideMark/>
          </w:tcPr>
          <w:p w:rsidR="00F71E7F" w:rsidRPr="00F71E7F" w:rsidRDefault="00F71E7F" w:rsidP="00F71E7F">
            <w:pPr>
              <w:spacing w:after="0" w:line="240" w:lineRule="auto"/>
              <w:rPr>
                <w:rFonts w:ascii="Arial" w:hAnsi="Arial" w:cs="Arial"/>
                <w:b/>
                <w:bCs/>
                <w:color w:val="000000"/>
                <w:sz w:val="16"/>
                <w:szCs w:val="16"/>
              </w:rPr>
            </w:pPr>
            <w:r w:rsidRPr="00F71E7F">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717 </w:t>
            </w:r>
          </w:p>
        </w:tc>
        <w:tc>
          <w:tcPr>
            <w:tcW w:w="907" w:type="dxa"/>
            <w:tcBorders>
              <w:top w:val="nil"/>
              <w:left w:val="nil"/>
              <w:bottom w:val="single" w:sz="4" w:space="0" w:color="auto"/>
              <w:right w:val="nil"/>
            </w:tcBorders>
            <w:shd w:val="clear" w:color="000000" w:fill="E6E6E6"/>
            <w:noWrap/>
            <w:vAlign w:val="bottom"/>
            <w:hideMark/>
          </w:tcPr>
          <w:p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717 </w:t>
            </w: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rsidR="00F71E7F" w:rsidRPr="00F71E7F" w:rsidRDefault="00F71E7F" w:rsidP="00F71E7F">
            <w:pPr>
              <w:spacing w:after="0" w:line="240" w:lineRule="auto"/>
              <w:rPr>
                <w:rFonts w:ascii="Arial" w:hAnsi="Arial" w:cs="Arial"/>
                <w:sz w:val="16"/>
                <w:szCs w:val="16"/>
              </w:rPr>
            </w:pPr>
          </w:p>
        </w:tc>
      </w:tr>
    </w:tbl>
    <w:p w:rsidR="003721B7" w:rsidRPr="00950281" w:rsidRDefault="003721B7" w:rsidP="00E01B4E">
      <w:pPr>
        <w:pStyle w:val="ChartandTableFootnoteAlpha"/>
        <w:numPr>
          <w:ilvl w:val="0"/>
          <w:numId w:val="46"/>
        </w:numPr>
      </w:pPr>
      <w:r w:rsidRPr="00950281">
        <w:t>E</w:t>
      </w:r>
      <w:r>
        <w:t>stimated e</w:t>
      </w:r>
      <w:r w:rsidRPr="00950281">
        <w:t xml:space="preserve">xpenses </w:t>
      </w:r>
      <w:r>
        <w:t>incurred in relation to receipts retained under section 74 of the PGPA Act</w:t>
      </w:r>
      <w:r w:rsidRPr="006922DC">
        <w:t>.</w:t>
      </w:r>
    </w:p>
    <w:p w:rsidR="003721B7" w:rsidRPr="00950281" w:rsidRDefault="003721B7" w:rsidP="003721B7">
      <w:pPr>
        <w:pStyle w:val="ChartandTableFootnoteAlpha"/>
      </w:pPr>
      <w:r w:rsidRPr="00950281">
        <w:t xml:space="preserve">Expenses not requiring appropriation in the Budget year are made up of depreciation expenses, amortisation expenses, make good expenses, </w:t>
      </w:r>
      <w:r>
        <w:t>and audit fees</w:t>
      </w:r>
      <w:r w:rsidRPr="00950281">
        <w:t>.</w:t>
      </w:r>
    </w:p>
    <w:p w:rsidR="003721B7" w:rsidRPr="00446612" w:rsidRDefault="003721B7" w:rsidP="003721B7">
      <w:pPr>
        <w:pStyle w:val="ChartandTableFootnote"/>
      </w:pPr>
      <w:r w:rsidRPr="00446612">
        <w:t>Note: Departmental appropriation splits and totals are indicative estimates and may change in the course of the budget year as government priorities change.</w:t>
      </w:r>
    </w:p>
    <w:p w:rsidR="003721B7" w:rsidRPr="003721B7" w:rsidRDefault="003721B7" w:rsidP="003721B7">
      <w:pPr>
        <w:pStyle w:val="TableHeading"/>
        <w:rPr>
          <w:lang w:val="en-AU"/>
        </w:rPr>
      </w:pPr>
      <w:r>
        <w:rPr>
          <w:highlight w:val="yellow"/>
          <w:lang w:val="en-US"/>
        </w:rPr>
        <w:br w:type="page"/>
      </w:r>
      <w:r w:rsidRPr="00F71634">
        <w:lastRenderedPageBreak/>
        <w:t>Table 2.</w:t>
      </w:r>
      <w:r>
        <w:rPr>
          <w:lang w:val="en-AU"/>
        </w:rPr>
        <w:t>1</w:t>
      </w:r>
      <w:r w:rsidRPr="00F71634">
        <w:t>.</w:t>
      </w:r>
      <w:r>
        <w:rPr>
          <w:lang w:val="en-AU"/>
        </w:rPr>
        <w:t>2</w:t>
      </w:r>
      <w:r w:rsidRPr="00F71634">
        <w:t xml:space="preserve">: Performance criteria for Outcome </w:t>
      </w:r>
      <w:r>
        <w:rPr>
          <w:lang w:val="en-AU"/>
        </w:rPr>
        <w:t>1</w:t>
      </w:r>
    </w:p>
    <w:p w:rsidR="003721B7" w:rsidRPr="00F71634" w:rsidRDefault="003721B7" w:rsidP="003721B7">
      <w:r w:rsidRPr="00B166C6">
        <w:t>Table 2.</w:t>
      </w:r>
      <w:r>
        <w:t>1</w:t>
      </w:r>
      <w:r w:rsidRPr="00B166C6">
        <w:t>.</w:t>
      </w:r>
      <w:r>
        <w:t>2</w:t>
      </w:r>
      <w:r w:rsidRPr="00B166C6">
        <w:t xml:space="preserve"> below details the performance criteria for each p</w:t>
      </w:r>
      <w:r>
        <w:t>rogram associated with Outcome 1</w:t>
      </w:r>
      <w:r w:rsidRPr="00B166C6">
        <w:t>. It also summarises how each prog</w:t>
      </w:r>
      <w:r w:rsidR="00AB5AE6">
        <w:t>ram is delivered and where 2018–</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3721B7" w:rsidRPr="00F71634" w:rsidTr="003721B7">
        <w:trPr>
          <w:tblHeader/>
        </w:trPr>
        <w:tc>
          <w:tcPr>
            <w:tcW w:w="7741" w:type="dxa"/>
            <w:gridSpan w:val="3"/>
            <w:shd w:val="clear" w:color="auto" w:fill="F2F2F2"/>
          </w:tcPr>
          <w:p w:rsidR="003721B7" w:rsidRPr="006906E4" w:rsidRDefault="003721B7" w:rsidP="003721B7">
            <w:pPr>
              <w:pStyle w:val="TableColumnHeadingLeft"/>
            </w:pPr>
            <w:r>
              <w:t>Outcome 1—Compliance with workplace relations legislation by employees and employers through advice, education and where necessary enforcement.</w:t>
            </w:r>
          </w:p>
        </w:tc>
      </w:tr>
      <w:tr w:rsidR="003721B7" w:rsidRPr="003721B7" w:rsidTr="003721B7">
        <w:trPr>
          <w:tblHeader/>
        </w:trPr>
        <w:tc>
          <w:tcPr>
            <w:tcW w:w="7741" w:type="dxa"/>
            <w:gridSpan w:val="3"/>
            <w:shd w:val="clear" w:color="auto" w:fill="F2F2F2"/>
          </w:tcPr>
          <w:p w:rsidR="003721B7" w:rsidRPr="003721B7" w:rsidRDefault="003721B7" w:rsidP="003721B7">
            <w:pPr>
              <w:pStyle w:val="TableTextLeft"/>
              <w:rPr>
                <w:b/>
              </w:rPr>
            </w:pPr>
            <w:r w:rsidRPr="003721B7">
              <w:rPr>
                <w:b/>
              </w:rPr>
              <w:t>Program 1.1—Education Services and Compliance Activities</w:t>
            </w:r>
          </w:p>
          <w:p w:rsidR="003721B7" w:rsidRPr="003721B7" w:rsidRDefault="003721B7" w:rsidP="003721B7">
            <w:pPr>
              <w:pStyle w:val="TableTextLeft"/>
            </w:pPr>
            <w:r w:rsidRPr="003721B7">
              <w:t xml:space="preserve">To educate employers, employees, organisations and contractors about the workplace relations system and to ensure compliance with workplace laws. </w:t>
            </w:r>
          </w:p>
        </w:tc>
      </w:tr>
      <w:tr w:rsidR="003721B7" w:rsidRPr="00F71634" w:rsidTr="003721B7">
        <w:tc>
          <w:tcPr>
            <w:tcW w:w="1276" w:type="dxa"/>
          </w:tcPr>
          <w:p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rsidR="003721B7" w:rsidRPr="00254380" w:rsidRDefault="003721B7" w:rsidP="003721B7">
            <w:pPr>
              <w:pStyle w:val="TableTextLeft"/>
              <w:rPr>
                <w:rFonts w:eastAsia="Calibri"/>
              </w:rPr>
            </w:pPr>
            <w:r w:rsidRPr="003721B7">
              <w:t>The FWO is the Australian Government agency responsible for ensuring compliance with workplace relations laws through advice, education and where necessary enforcement.</w:t>
            </w:r>
          </w:p>
        </w:tc>
      </w:tr>
      <w:tr w:rsidR="003721B7" w:rsidRPr="00F71634" w:rsidTr="003721B7">
        <w:tc>
          <w:tcPr>
            <w:tcW w:w="1276" w:type="dxa"/>
            <w:tcBorders>
              <w:bottom w:val="double" w:sz="4" w:space="0" w:color="auto"/>
            </w:tcBorders>
          </w:tcPr>
          <w:p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rsidR="003721B7" w:rsidRDefault="003721B7" w:rsidP="003721B7">
            <w:pPr>
              <w:pStyle w:val="TableTextBullet"/>
              <w:rPr>
                <w:lang w:eastAsia="en-US"/>
              </w:rPr>
            </w:pPr>
            <w:r>
              <w:rPr>
                <w:lang w:eastAsia="en-US"/>
              </w:rPr>
              <w:t>Provide information, advice and education on the requirements and flexibilities of workplace laws to foster voluntary compliance.</w:t>
            </w:r>
          </w:p>
          <w:p w:rsidR="003721B7" w:rsidRDefault="003721B7" w:rsidP="003721B7">
            <w:pPr>
              <w:pStyle w:val="TableTextBullet"/>
              <w:rPr>
                <w:lang w:eastAsia="en-US"/>
              </w:rPr>
            </w:pPr>
            <w:r>
              <w:rPr>
                <w:lang w:eastAsia="en-US"/>
              </w:rPr>
              <w:t>Investigate claims regarding alleged breaches of workplace laws and undertake targeted activities.</w:t>
            </w:r>
          </w:p>
          <w:p w:rsidR="003721B7" w:rsidRDefault="003721B7" w:rsidP="003721B7">
            <w:pPr>
              <w:pStyle w:val="TableTextBullet"/>
              <w:rPr>
                <w:lang w:eastAsia="en-US"/>
              </w:rPr>
            </w:pPr>
            <w:r>
              <w:rPr>
                <w:lang w:eastAsia="en-US"/>
              </w:rPr>
              <w:t>Litigate, where necessary, to enforce compliance with workplace laws.</w:t>
            </w:r>
          </w:p>
        </w:tc>
      </w:tr>
      <w:tr w:rsidR="003721B7" w:rsidRPr="00F71634" w:rsidTr="003721B7">
        <w:tc>
          <w:tcPr>
            <w:tcW w:w="7741" w:type="dxa"/>
            <w:gridSpan w:val="3"/>
            <w:tcBorders>
              <w:top w:val="double" w:sz="4" w:space="0" w:color="auto"/>
              <w:bottom w:val="double" w:sz="4" w:space="0" w:color="auto"/>
            </w:tcBorders>
          </w:tcPr>
          <w:p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3721B7" w:rsidRPr="00F71634" w:rsidTr="00055900">
        <w:tc>
          <w:tcPr>
            <w:tcW w:w="1276" w:type="dxa"/>
            <w:tcBorders>
              <w:top w:val="double" w:sz="4" w:space="0" w:color="auto"/>
              <w:bottom w:val="single" w:sz="4" w:space="0" w:color="auto"/>
              <w:right w:val="single" w:sz="4" w:space="0" w:color="auto"/>
            </w:tcBorders>
          </w:tcPr>
          <w:p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p>
        </w:tc>
        <w:tc>
          <w:tcPr>
            <w:tcW w:w="2565" w:type="dxa"/>
            <w:tcBorders>
              <w:top w:val="double" w:sz="4" w:space="0" w:color="auto"/>
              <w:left w:val="single" w:sz="4" w:space="0" w:color="auto"/>
              <w:bottom w:val="single" w:sz="4" w:space="0" w:color="auto"/>
            </w:tcBorders>
          </w:tcPr>
          <w:p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3721B7" w:rsidRPr="00F71634" w:rsidTr="00055900">
        <w:trPr>
          <w:trHeight w:val="60"/>
        </w:trPr>
        <w:tc>
          <w:tcPr>
            <w:tcW w:w="1276" w:type="dxa"/>
            <w:tcBorders>
              <w:top w:val="single" w:sz="4" w:space="0" w:color="auto"/>
              <w:bottom w:val="nil"/>
              <w:right w:val="single" w:sz="4" w:space="0" w:color="auto"/>
            </w:tcBorders>
          </w:tcPr>
          <w:p w:rsidR="003721B7" w:rsidRPr="006906E4" w:rsidRDefault="003721B7" w:rsidP="003721B7">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rsidR="003721B7" w:rsidRPr="00055900" w:rsidRDefault="00055900" w:rsidP="00055900">
            <w:pPr>
              <w:pStyle w:val="TableTextLeft"/>
            </w:pPr>
            <w:r w:rsidRPr="00055900">
              <w:t xml:space="preserve">At least 90% of requests for assistance involving a workplace dispute are finalised through education </w:t>
            </w:r>
            <w:r w:rsidR="00A9013E">
              <w:t>and dispute resolution services</w:t>
            </w:r>
          </w:p>
        </w:tc>
        <w:tc>
          <w:tcPr>
            <w:tcW w:w="2565" w:type="dxa"/>
            <w:tcBorders>
              <w:top w:val="single" w:sz="4" w:space="0" w:color="auto"/>
              <w:left w:val="single" w:sz="4" w:space="0" w:color="auto"/>
              <w:bottom w:val="dotted" w:sz="4" w:space="0" w:color="auto"/>
            </w:tcBorders>
          </w:tcPr>
          <w:p w:rsidR="003721B7" w:rsidRPr="00055900" w:rsidRDefault="00055900" w:rsidP="00055900">
            <w:pPr>
              <w:pStyle w:val="TableTextLeft"/>
            </w:pPr>
            <w:r w:rsidRPr="00A9013E">
              <w:rPr>
                <w:b/>
              </w:rPr>
              <w:t>Assessment</w:t>
            </w:r>
            <w:r w:rsidRPr="00055900">
              <w:t>: On Track</w:t>
            </w:r>
          </w:p>
        </w:tc>
      </w:tr>
      <w:tr w:rsidR="00055900" w:rsidRPr="00F71634" w:rsidTr="00055900">
        <w:tc>
          <w:tcPr>
            <w:tcW w:w="1276" w:type="dxa"/>
            <w:tcBorders>
              <w:top w:val="nil"/>
              <w:bottom w:val="nil"/>
              <w:right w:val="single" w:sz="4" w:space="0" w:color="auto"/>
            </w:tcBorders>
          </w:tcPr>
          <w:p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055900" w:rsidRPr="00055900" w:rsidRDefault="00055900" w:rsidP="00055900">
            <w:pPr>
              <w:pStyle w:val="TableTextLeft"/>
            </w:pPr>
            <w:r w:rsidRPr="00055900">
              <w:t>No more than 10% of requests for assistance involving a workplace dispute are finalised through c</w:t>
            </w:r>
            <w:r w:rsidR="00A9013E">
              <w:t>ompliance and enforcement tools</w:t>
            </w:r>
          </w:p>
        </w:tc>
        <w:tc>
          <w:tcPr>
            <w:tcW w:w="2565" w:type="dxa"/>
            <w:tcBorders>
              <w:top w:val="dotted" w:sz="4" w:space="0" w:color="auto"/>
              <w:left w:val="single" w:sz="4" w:space="0" w:color="auto"/>
              <w:bottom w:val="dotted" w:sz="4" w:space="0" w:color="auto"/>
            </w:tcBorders>
          </w:tcPr>
          <w:p w:rsidR="00055900" w:rsidRPr="00055900" w:rsidRDefault="00055900" w:rsidP="00055900">
            <w:pPr>
              <w:pStyle w:val="TableTextLeft"/>
            </w:pPr>
            <w:r w:rsidRPr="00A9013E">
              <w:rPr>
                <w:b/>
              </w:rPr>
              <w:t>Assessment</w:t>
            </w:r>
            <w:r w:rsidRPr="00055900">
              <w:t>: On Track</w:t>
            </w:r>
          </w:p>
        </w:tc>
      </w:tr>
      <w:tr w:rsidR="00055900" w:rsidRPr="00F71634" w:rsidTr="00055900">
        <w:tc>
          <w:tcPr>
            <w:tcW w:w="1276" w:type="dxa"/>
            <w:tcBorders>
              <w:top w:val="nil"/>
              <w:bottom w:val="nil"/>
              <w:right w:val="single" w:sz="4" w:space="0" w:color="auto"/>
            </w:tcBorders>
          </w:tcPr>
          <w:p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055900" w:rsidRPr="00055900" w:rsidRDefault="00055900" w:rsidP="00055900">
            <w:pPr>
              <w:pStyle w:val="TableTextLeft"/>
            </w:pPr>
            <w:r w:rsidRPr="00055900">
              <w:t xml:space="preserve">99% availability for website services and of </w:t>
            </w:r>
            <w:r w:rsidR="00A9013E">
              <w:t>advertised contact centre hours</w:t>
            </w:r>
          </w:p>
        </w:tc>
        <w:tc>
          <w:tcPr>
            <w:tcW w:w="2565" w:type="dxa"/>
            <w:tcBorders>
              <w:top w:val="dotted" w:sz="4" w:space="0" w:color="auto"/>
              <w:left w:val="single" w:sz="4" w:space="0" w:color="auto"/>
              <w:bottom w:val="dotted" w:sz="4" w:space="0" w:color="auto"/>
            </w:tcBorders>
          </w:tcPr>
          <w:p w:rsidR="00055900" w:rsidRPr="00055900" w:rsidRDefault="00055900" w:rsidP="00055900">
            <w:pPr>
              <w:pStyle w:val="TableTextLeft"/>
            </w:pPr>
            <w:r w:rsidRPr="00A9013E">
              <w:rPr>
                <w:b/>
              </w:rPr>
              <w:t>Assessment</w:t>
            </w:r>
            <w:r w:rsidRPr="00055900">
              <w:t>: On Track</w:t>
            </w:r>
          </w:p>
        </w:tc>
      </w:tr>
      <w:tr w:rsidR="00055900" w:rsidRPr="00F71634" w:rsidTr="00055900">
        <w:tc>
          <w:tcPr>
            <w:tcW w:w="1276" w:type="dxa"/>
            <w:tcBorders>
              <w:top w:val="nil"/>
              <w:bottom w:val="single" w:sz="4" w:space="0" w:color="auto"/>
              <w:right w:val="single" w:sz="4" w:space="0" w:color="auto"/>
            </w:tcBorders>
          </w:tcPr>
          <w:p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055900" w:rsidRPr="00055900" w:rsidRDefault="00055900" w:rsidP="00055900">
            <w:pPr>
              <w:pStyle w:val="TableTextLeft"/>
            </w:pPr>
            <w:r w:rsidRPr="00055900">
              <w:t>Requests for assistance involving a workplace dispute are fin</w:t>
            </w:r>
            <w:r w:rsidR="00A9013E">
              <w:t>alised in an average of 30 days</w:t>
            </w:r>
          </w:p>
        </w:tc>
        <w:tc>
          <w:tcPr>
            <w:tcW w:w="2565" w:type="dxa"/>
            <w:tcBorders>
              <w:top w:val="dotted" w:sz="4" w:space="0" w:color="auto"/>
              <w:left w:val="single" w:sz="4" w:space="0" w:color="auto"/>
              <w:bottom w:val="single" w:sz="4" w:space="0" w:color="auto"/>
            </w:tcBorders>
          </w:tcPr>
          <w:p w:rsidR="00055900" w:rsidRPr="00055900" w:rsidRDefault="00055900" w:rsidP="00055900">
            <w:pPr>
              <w:pStyle w:val="TableTextLeft"/>
            </w:pPr>
            <w:r w:rsidRPr="00A9013E">
              <w:rPr>
                <w:b/>
              </w:rPr>
              <w:t>Assessment</w:t>
            </w:r>
            <w:r w:rsidRPr="00055900">
              <w:t>: On Track</w:t>
            </w:r>
          </w:p>
        </w:tc>
      </w:tr>
      <w:tr w:rsidR="00055900" w:rsidRPr="00F71634" w:rsidTr="00055900">
        <w:tc>
          <w:tcPr>
            <w:tcW w:w="1276" w:type="dxa"/>
            <w:tcBorders>
              <w:top w:val="single" w:sz="4" w:space="0" w:color="auto"/>
              <w:bottom w:val="nil"/>
              <w:right w:val="single" w:sz="4" w:space="0" w:color="auto"/>
            </w:tcBorders>
          </w:tcPr>
          <w:p w:rsidR="00055900" w:rsidRPr="006906E4" w:rsidRDefault="00055900" w:rsidP="003721B7">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rsidR="00055900" w:rsidRPr="00055900" w:rsidRDefault="00055900" w:rsidP="00055900">
            <w:pPr>
              <w:pStyle w:val="TableTextLeft"/>
            </w:pPr>
            <w:r w:rsidRPr="00055900">
              <w:t>Requests for assistance involving a workplace dispute are finalised through education and dispute resolution services</w:t>
            </w:r>
          </w:p>
        </w:tc>
        <w:tc>
          <w:tcPr>
            <w:tcW w:w="2565" w:type="dxa"/>
            <w:tcBorders>
              <w:top w:val="single" w:sz="4" w:space="0" w:color="auto"/>
              <w:left w:val="single" w:sz="4" w:space="0" w:color="auto"/>
              <w:bottom w:val="dotted" w:sz="4" w:space="0" w:color="auto"/>
            </w:tcBorders>
          </w:tcPr>
          <w:p w:rsidR="00055900" w:rsidRPr="00055900" w:rsidRDefault="00055900" w:rsidP="00055900">
            <w:pPr>
              <w:pStyle w:val="TableTextLeft"/>
            </w:pPr>
            <w:r w:rsidRPr="00055900">
              <w:t>At least 90%</w:t>
            </w:r>
          </w:p>
        </w:tc>
      </w:tr>
      <w:tr w:rsidR="00055900" w:rsidRPr="00F71634" w:rsidTr="00055900">
        <w:tc>
          <w:tcPr>
            <w:tcW w:w="1276" w:type="dxa"/>
            <w:tcBorders>
              <w:top w:val="nil"/>
              <w:bottom w:val="nil"/>
              <w:right w:val="single" w:sz="4" w:space="0" w:color="auto"/>
            </w:tcBorders>
          </w:tcPr>
          <w:p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055900" w:rsidRPr="00055900" w:rsidRDefault="00055900" w:rsidP="00055900">
            <w:pPr>
              <w:pStyle w:val="TableTextLeft"/>
            </w:pPr>
            <w:r w:rsidRPr="00055900">
              <w:t>Requests for assistance involving a workplace dispute are finalised through c</w:t>
            </w:r>
            <w:r w:rsidR="00A9013E">
              <w:t>ompliance and enforcement tools</w:t>
            </w:r>
          </w:p>
        </w:tc>
        <w:tc>
          <w:tcPr>
            <w:tcW w:w="2565" w:type="dxa"/>
            <w:tcBorders>
              <w:top w:val="dotted" w:sz="4" w:space="0" w:color="auto"/>
              <w:left w:val="single" w:sz="4" w:space="0" w:color="auto"/>
              <w:bottom w:val="dotted" w:sz="4" w:space="0" w:color="auto"/>
            </w:tcBorders>
          </w:tcPr>
          <w:p w:rsidR="00055900" w:rsidRPr="00055900" w:rsidRDefault="00055900" w:rsidP="00055900">
            <w:pPr>
              <w:pStyle w:val="TableTextLeft"/>
            </w:pPr>
            <w:r w:rsidRPr="00055900">
              <w:t>No more than 10%</w:t>
            </w:r>
          </w:p>
        </w:tc>
      </w:tr>
      <w:tr w:rsidR="00055900" w:rsidRPr="00F71634" w:rsidTr="00055900">
        <w:tc>
          <w:tcPr>
            <w:tcW w:w="1276" w:type="dxa"/>
            <w:tcBorders>
              <w:top w:val="nil"/>
              <w:bottom w:val="nil"/>
              <w:right w:val="single" w:sz="4" w:space="0" w:color="auto"/>
            </w:tcBorders>
          </w:tcPr>
          <w:p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rsidR="00055900" w:rsidRPr="00055900" w:rsidRDefault="00055900" w:rsidP="00055900">
            <w:pPr>
              <w:pStyle w:val="TableTextLeft"/>
            </w:pPr>
            <w:r w:rsidRPr="00055900">
              <w:t xml:space="preserve">Availability for website services and of </w:t>
            </w:r>
            <w:r w:rsidR="00A9013E">
              <w:t>advertised contact centre hours</w:t>
            </w:r>
          </w:p>
        </w:tc>
        <w:tc>
          <w:tcPr>
            <w:tcW w:w="2565" w:type="dxa"/>
            <w:tcBorders>
              <w:top w:val="dotted" w:sz="4" w:space="0" w:color="auto"/>
              <w:left w:val="single" w:sz="4" w:space="0" w:color="auto"/>
              <w:bottom w:val="dotted" w:sz="4" w:space="0" w:color="auto"/>
            </w:tcBorders>
          </w:tcPr>
          <w:p w:rsidR="00055900" w:rsidRPr="00055900" w:rsidRDefault="00055900" w:rsidP="00055900">
            <w:pPr>
              <w:pStyle w:val="TableTextLeft"/>
            </w:pPr>
            <w:r w:rsidRPr="00055900">
              <w:t>99%</w:t>
            </w:r>
          </w:p>
        </w:tc>
      </w:tr>
      <w:tr w:rsidR="00055900" w:rsidRPr="00F71634" w:rsidTr="00055900">
        <w:tc>
          <w:tcPr>
            <w:tcW w:w="1276" w:type="dxa"/>
            <w:tcBorders>
              <w:top w:val="nil"/>
              <w:bottom w:val="single" w:sz="4" w:space="0" w:color="auto"/>
              <w:right w:val="single" w:sz="4" w:space="0" w:color="auto"/>
            </w:tcBorders>
          </w:tcPr>
          <w:p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rsidR="00055900" w:rsidRPr="00055900" w:rsidRDefault="00055900" w:rsidP="00055900">
            <w:pPr>
              <w:pStyle w:val="TableTextLeft"/>
            </w:pPr>
            <w:r w:rsidRPr="00055900">
              <w:t>Requests for assistance involving a workplace dispute are fin</w:t>
            </w:r>
            <w:r w:rsidR="00A9013E">
              <w:t>alised in an average of 30 days</w:t>
            </w:r>
          </w:p>
        </w:tc>
        <w:tc>
          <w:tcPr>
            <w:tcW w:w="2565" w:type="dxa"/>
            <w:tcBorders>
              <w:top w:val="dotted" w:sz="4" w:space="0" w:color="auto"/>
              <w:left w:val="single" w:sz="4" w:space="0" w:color="auto"/>
              <w:bottom w:val="single" w:sz="4" w:space="0" w:color="auto"/>
            </w:tcBorders>
          </w:tcPr>
          <w:p w:rsidR="00055900" w:rsidRPr="00055900" w:rsidRDefault="00055900" w:rsidP="00055900">
            <w:pPr>
              <w:pStyle w:val="TableTextLeft"/>
            </w:pPr>
            <w:r w:rsidRPr="00055900">
              <w:t>Finalised in an average of 30 days</w:t>
            </w:r>
          </w:p>
        </w:tc>
      </w:tr>
      <w:tr w:rsidR="00055900" w:rsidRPr="00F71634" w:rsidTr="00055900">
        <w:tc>
          <w:tcPr>
            <w:tcW w:w="1276" w:type="dxa"/>
            <w:tcBorders>
              <w:top w:val="single" w:sz="4" w:space="0" w:color="auto"/>
              <w:right w:val="single" w:sz="4" w:space="0" w:color="auto"/>
            </w:tcBorders>
          </w:tcPr>
          <w:p w:rsidR="00055900" w:rsidRPr="006906E4" w:rsidRDefault="00055900" w:rsidP="003721B7">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right w:val="single" w:sz="4" w:space="0" w:color="auto"/>
            </w:tcBorders>
          </w:tcPr>
          <w:p w:rsidR="00055900" w:rsidRPr="00254380" w:rsidRDefault="00055900" w:rsidP="00055900">
            <w:pPr>
              <w:pStyle w:val="TableTextLeft"/>
              <w:rPr>
                <w:rFonts w:eastAsia="Calibri"/>
              </w:rPr>
            </w:pPr>
            <w:r w:rsidRPr="00055900">
              <w:t>As per 2018–19</w:t>
            </w:r>
          </w:p>
        </w:tc>
        <w:tc>
          <w:tcPr>
            <w:tcW w:w="2565" w:type="dxa"/>
            <w:tcBorders>
              <w:top w:val="single" w:sz="4" w:space="0" w:color="auto"/>
              <w:left w:val="single" w:sz="4" w:space="0" w:color="auto"/>
            </w:tcBorders>
          </w:tcPr>
          <w:p w:rsidR="00055900" w:rsidRPr="00254380" w:rsidRDefault="00055900" w:rsidP="00055900">
            <w:pPr>
              <w:pStyle w:val="TableTextLeft"/>
              <w:rPr>
                <w:rFonts w:eastAsia="Calibri"/>
              </w:rPr>
            </w:pPr>
            <w:r w:rsidRPr="00055900">
              <w:t>As per 2018–19</w:t>
            </w:r>
          </w:p>
        </w:tc>
      </w:tr>
      <w:tr w:rsidR="003721B7" w:rsidRPr="00F71634" w:rsidTr="003721B7">
        <w:tc>
          <w:tcPr>
            <w:tcW w:w="7741" w:type="dxa"/>
            <w:gridSpan w:val="3"/>
          </w:tcPr>
          <w:p w:rsidR="003721B7" w:rsidRPr="00055900" w:rsidRDefault="003721B7" w:rsidP="00055900">
            <w:pPr>
              <w:pStyle w:val="TableTextLeft"/>
              <w:rPr>
                <w:rStyle w:val="BodyTextChar"/>
                <w:rFonts w:ascii="Arial" w:hAnsi="Arial"/>
                <w:b/>
                <w:sz w:val="17"/>
                <w:szCs w:val="20"/>
                <w:lang w:eastAsia="en-AU"/>
              </w:rPr>
            </w:pPr>
            <w:r w:rsidRPr="00055900">
              <w:rPr>
                <w:rStyle w:val="BodyTextChar"/>
                <w:rFonts w:ascii="Arial" w:hAnsi="Arial"/>
                <w:b/>
                <w:sz w:val="17"/>
                <w:szCs w:val="20"/>
                <w:lang w:eastAsia="en-AU"/>
              </w:rPr>
              <w:t>Material changes to Program 1.1 resulting from the following measures:</w:t>
            </w:r>
          </w:p>
          <w:p w:rsidR="003721B7" w:rsidRPr="003721B7" w:rsidRDefault="003721B7" w:rsidP="003721B7">
            <w:pPr>
              <w:pStyle w:val="TableTextLeft"/>
            </w:pPr>
            <w:r>
              <w:t>Nil</w:t>
            </w:r>
          </w:p>
        </w:tc>
      </w:tr>
    </w:tbl>
    <w:p w:rsidR="00A4028C" w:rsidRPr="00F743D8" w:rsidRDefault="00A4028C" w:rsidP="00A4028C">
      <w:pPr>
        <w:pStyle w:val="Heading3"/>
      </w:pPr>
      <w:r>
        <w:rPr>
          <w:highlight w:val="yellow"/>
        </w:rPr>
        <w:br w:type="page"/>
      </w:r>
      <w:bookmarkStart w:id="496" w:name="_Toc511765666"/>
      <w:bookmarkStart w:id="497" w:name="_Toc511828722"/>
      <w:bookmarkStart w:id="498" w:name="_Toc511836861"/>
      <w:bookmarkStart w:id="499" w:name="_Toc511902567"/>
      <w:r>
        <w:lastRenderedPageBreak/>
        <w:t>2.2</w:t>
      </w:r>
      <w:r w:rsidRPr="00F743D8">
        <w:t xml:space="preserve"> </w:t>
      </w:r>
      <w:r w:rsidRPr="00F743D8">
        <w:tab/>
        <w:t xml:space="preserve">Budgeted expenses and performance for Outcome </w:t>
      </w:r>
      <w:r>
        <w:t>2</w:t>
      </w:r>
      <w:bookmarkEnd w:id="496"/>
      <w:bookmarkEnd w:id="497"/>
      <w:bookmarkEnd w:id="498"/>
      <w:bookmarkEnd w:id="499"/>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A4028C" w:rsidRPr="005E6F2B" w:rsidTr="00A4028C">
        <w:tc>
          <w:tcPr>
            <w:tcW w:w="7713" w:type="dxa"/>
            <w:shd w:val="clear" w:color="auto" w:fill="E6E6E6"/>
          </w:tcPr>
          <w:p w:rsidR="00A4028C" w:rsidRPr="005E6F2B" w:rsidRDefault="00A4028C" w:rsidP="00A4028C">
            <w:pPr>
              <w:pStyle w:val="TableColumnHeadingLeft"/>
            </w:pPr>
            <w:r w:rsidRPr="005E6F2B">
              <w:t xml:space="preserve">Outcome </w:t>
            </w:r>
            <w:r>
              <w:t>2: Effective governance and financial transparency of registered employee and employer organisations, through regulation, investigation and appropriate enforcement action.</w:t>
            </w:r>
          </w:p>
        </w:tc>
      </w:tr>
    </w:tbl>
    <w:p w:rsidR="00A4028C" w:rsidRPr="00446612" w:rsidRDefault="00A4028C" w:rsidP="00A4028C">
      <w:pPr>
        <w:pStyle w:val="Heading4"/>
      </w:pPr>
      <w:r>
        <w:t>Budgeted expenses for Outcome 2</w:t>
      </w:r>
    </w:p>
    <w:p w:rsidR="00A4028C" w:rsidRDefault="00A4028C" w:rsidP="00A4028C">
      <w:r w:rsidRPr="00950281">
        <w:t>This table shows how much the entity intends to spend (on an accrual basis) on achieving the outcome, broken down by program, as well as by Administered an</w:t>
      </w:r>
      <w:r>
        <w:t>d Departmental funding sources.</w:t>
      </w:r>
    </w:p>
    <w:p w:rsidR="00A4028C" w:rsidRDefault="00A4028C" w:rsidP="00A4028C">
      <w:pPr>
        <w:pStyle w:val="TableHeading"/>
        <w:rPr>
          <w:lang w:val="en-AU"/>
        </w:rPr>
      </w:pPr>
      <w:r>
        <w:t>Table 2.</w:t>
      </w:r>
      <w:r>
        <w:rPr>
          <w:lang w:val="en-AU"/>
        </w:rPr>
        <w:t>2</w:t>
      </w:r>
      <w:r>
        <w:t xml:space="preserve">.1: Budgeted expenses for Outcome </w:t>
      </w:r>
      <w:r>
        <w:rPr>
          <w:lang w:val="en-AU"/>
        </w:rPr>
        <w:t>2</w:t>
      </w:r>
    </w:p>
    <w:tbl>
      <w:tblPr>
        <w:tblW w:w="7740" w:type="dxa"/>
        <w:tblInd w:w="93" w:type="dxa"/>
        <w:tblLook w:val="04A0" w:firstRow="1" w:lastRow="0" w:firstColumn="1" w:lastColumn="0" w:noHBand="0" w:noVBand="1"/>
      </w:tblPr>
      <w:tblGrid>
        <w:gridCol w:w="3146"/>
        <w:gridCol w:w="964"/>
        <w:gridCol w:w="907"/>
        <w:gridCol w:w="909"/>
        <w:gridCol w:w="907"/>
        <w:gridCol w:w="907"/>
      </w:tblGrid>
      <w:tr w:rsidR="00A4028C" w:rsidRPr="00A4028C" w:rsidTr="00574951">
        <w:trPr>
          <w:trHeight w:val="454"/>
        </w:trPr>
        <w:tc>
          <w:tcPr>
            <w:tcW w:w="7740" w:type="dxa"/>
            <w:gridSpan w:val="6"/>
            <w:tcBorders>
              <w:top w:val="single" w:sz="4" w:space="0" w:color="auto"/>
              <w:left w:val="nil"/>
              <w:bottom w:val="nil"/>
              <w:right w:val="nil"/>
            </w:tcBorders>
            <w:shd w:val="clear" w:color="auto" w:fill="auto"/>
            <w:vAlign w:val="center"/>
            <w:hideMark/>
          </w:tcPr>
          <w:p w:rsidR="00A4028C" w:rsidRPr="00A4028C" w:rsidRDefault="00A4028C" w:rsidP="00494464">
            <w:pPr>
              <w:spacing w:after="0" w:line="240" w:lineRule="auto"/>
              <w:rPr>
                <w:rFonts w:ascii="Arial" w:hAnsi="Arial" w:cs="Arial"/>
                <w:b/>
                <w:bCs/>
                <w:sz w:val="16"/>
                <w:szCs w:val="16"/>
              </w:rPr>
            </w:pPr>
            <w:r w:rsidRPr="00A4028C">
              <w:rPr>
                <w:rFonts w:ascii="Arial" w:hAnsi="Arial" w:cs="Arial"/>
                <w:b/>
                <w:bCs/>
                <w:sz w:val="16"/>
                <w:szCs w:val="16"/>
              </w:rPr>
              <w:t xml:space="preserve">Outcome </w:t>
            </w:r>
            <w:r w:rsidR="00494464">
              <w:rPr>
                <w:rFonts w:ascii="Arial" w:hAnsi="Arial" w:cs="Arial"/>
                <w:b/>
                <w:bCs/>
                <w:sz w:val="16"/>
                <w:szCs w:val="16"/>
              </w:rPr>
              <w:t>2</w:t>
            </w:r>
            <w:r w:rsidRPr="00A4028C">
              <w:rPr>
                <w:rFonts w:ascii="Arial" w:hAnsi="Arial" w:cs="Arial"/>
                <w:b/>
                <w:bCs/>
                <w:sz w:val="16"/>
                <w:szCs w:val="16"/>
              </w:rPr>
              <w:t>: Effective governance and financial transparency of registered employee and employer organisations, through regulation, investigation and appropriate enforcement action.</w:t>
            </w:r>
          </w:p>
        </w:tc>
      </w:tr>
      <w:tr w:rsidR="00A4028C" w:rsidRPr="00A4028C" w:rsidTr="006366E3">
        <w:trPr>
          <w:trHeight w:val="794"/>
        </w:trPr>
        <w:tc>
          <w:tcPr>
            <w:tcW w:w="3146" w:type="dxa"/>
            <w:tcBorders>
              <w:top w:val="single" w:sz="4" w:space="0" w:color="auto"/>
              <w:left w:val="nil"/>
              <w:bottom w:val="single" w:sz="4" w:space="0" w:color="auto"/>
              <w:right w:val="nil"/>
            </w:tcBorders>
            <w:shd w:val="clear" w:color="auto" w:fill="auto"/>
            <w:vAlign w:val="center"/>
            <w:hideMark/>
          </w:tcPr>
          <w:p w:rsidR="00A4028C" w:rsidRPr="00A4028C" w:rsidRDefault="00A4028C" w:rsidP="00A4028C">
            <w:pPr>
              <w:spacing w:after="0" w:line="240" w:lineRule="auto"/>
              <w:rPr>
                <w:rFonts w:ascii="Arial" w:hAnsi="Arial" w:cs="Arial"/>
                <w:b/>
                <w:bCs/>
                <w:color w:val="000000"/>
                <w:sz w:val="16"/>
                <w:szCs w:val="16"/>
              </w:rPr>
            </w:pPr>
            <w:r w:rsidRPr="00A4028C">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2017–18 Estimated actual</w:t>
            </w:r>
            <w:r w:rsidRPr="00A402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2018–19</w:t>
            </w:r>
            <w:r w:rsidRPr="00A4028C">
              <w:rPr>
                <w:rFonts w:ascii="Arial" w:hAnsi="Arial" w:cs="Arial"/>
                <w:sz w:val="16"/>
                <w:szCs w:val="16"/>
              </w:rPr>
              <w:br/>
              <w:t>Budget</w:t>
            </w:r>
            <w:r w:rsidRPr="00A4028C">
              <w:rPr>
                <w:rFonts w:ascii="Arial" w:hAnsi="Arial" w:cs="Arial"/>
                <w:sz w:val="16"/>
                <w:szCs w:val="16"/>
              </w:rPr>
              <w:br/>
            </w:r>
            <w:r w:rsidRPr="00A4028C">
              <w:rPr>
                <w:rFonts w:ascii="Arial" w:hAnsi="Arial" w:cs="Arial"/>
                <w:sz w:val="16"/>
                <w:szCs w:val="16"/>
              </w:rPr>
              <w:br/>
              <w:t>$'000</w:t>
            </w:r>
          </w:p>
        </w:tc>
        <w:tc>
          <w:tcPr>
            <w:tcW w:w="909" w:type="dxa"/>
            <w:tcBorders>
              <w:top w:val="single" w:sz="4" w:space="0" w:color="auto"/>
              <w:left w:val="nil"/>
              <w:bottom w:val="single" w:sz="4" w:space="0" w:color="auto"/>
              <w:right w:val="nil"/>
            </w:tcBorders>
            <w:shd w:val="clear" w:color="auto" w:fill="auto"/>
            <w:vAlign w:val="center"/>
            <w:hideMark/>
          </w:tcPr>
          <w:p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2019–20 Forward estimate</w:t>
            </w:r>
            <w:r w:rsidRPr="00A402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2020–21 Forward estimate</w:t>
            </w:r>
            <w:r w:rsidRPr="00A402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2021–22</w:t>
            </w:r>
            <w:r w:rsidRPr="00A4028C">
              <w:rPr>
                <w:rFonts w:ascii="Arial" w:hAnsi="Arial" w:cs="Arial"/>
                <w:sz w:val="16"/>
                <w:szCs w:val="16"/>
              </w:rPr>
              <w:br/>
              <w:t>Forward estimate</w:t>
            </w:r>
            <w:r w:rsidRPr="00A4028C">
              <w:rPr>
                <w:rFonts w:ascii="Arial" w:hAnsi="Arial" w:cs="Arial"/>
                <w:sz w:val="16"/>
                <w:szCs w:val="16"/>
              </w:rPr>
              <w:br/>
              <w:t>$'000</w:t>
            </w:r>
          </w:p>
        </w:tc>
      </w:tr>
      <w:tr w:rsidR="00A4028C" w:rsidRPr="00A4028C" w:rsidTr="006366E3">
        <w:trPr>
          <w:trHeight w:val="225"/>
        </w:trPr>
        <w:tc>
          <w:tcPr>
            <w:tcW w:w="7740" w:type="dxa"/>
            <w:gridSpan w:val="6"/>
            <w:tcBorders>
              <w:top w:val="single" w:sz="4" w:space="0" w:color="auto"/>
              <w:left w:val="nil"/>
              <w:bottom w:val="single" w:sz="4" w:space="0" w:color="auto"/>
              <w:right w:val="nil"/>
            </w:tcBorders>
            <w:shd w:val="clear" w:color="000000" w:fill="E6E6E6"/>
            <w:vAlign w:val="center"/>
            <w:hideMark/>
          </w:tcPr>
          <w:p w:rsidR="00A4028C" w:rsidRPr="00A4028C" w:rsidRDefault="00A4028C" w:rsidP="00A4028C">
            <w:pPr>
              <w:spacing w:after="0" w:line="240" w:lineRule="auto"/>
              <w:rPr>
                <w:rFonts w:ascii="Arial" w:hAnsi="Arial" w:cs="Arial"/>
                <w:b/>
                <w:bCs/>
                <w:sz w:val="16"/>
                <w:szCs w:val="16"/>
              </w:rPr>
            </w:pPr>
            <w:r w:rsidRPr="00A4028C">
              <w:rPr>
                <w:rFonts w:ascii="Arial" w:hAnsi="Arial" w:cs="Arial"/>
                <w:b/>
                <w:bCs/>
                <w:sz w:val="16"/>
                <w:szCs w:val="16"/>
              </w:rPr>
              <w:t>Program 2.1: Registered Organisations Commission</w:t>
            </w:r>
          </w:p>
        </w:tc>
      </w:tr>
      <w:tr w:rsidR="00A4028C" w:rsidRPr="00A4028C" w:rsidTr="00133D90">
        <w:trPr>
          <w:trHeight w:val="225"/>
        </w:trPr>
        <w:tc>
          <w:tcPr>
            <w:tcW w:w="3146"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r w:rsidRPr="00A4028C">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w:t>
            </w: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r>
      <w:tr w:rsidR="00A4028C" w:rsidRPr="00A4028C" w:rsidTr="00574951">
        <w:trPr>
          <w:trHeight w:val="225"/>
        </w:trPr>
        <w:tc>
          <w:tcPr>
            <w:tcW w:w="3146"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ind w:firstLineChars="100" w:firstLine="160"/>
              <w:rPr>
                <w:rFonts w:ascii="Arial" w:hAnsi="Arial" w:cs="Arial"/>
                <w:sz w:val="16"/>
                <w:szCs w:val="16"/>
              </w:rPr>
            </w:pPr>
            <w:r w:rsidRPr="00A4028C">
              <w:rPr>
                <w:rFonts w:ascii="Arial" w:hAnsi="Arial" w:cs="Arial"/>
                <w:sz w:val="16"/>
                <w:szCs w:val="16"/>
              </w:rPr>
              <w:t>Special accounts</w:t>
            </w:r>
          </w:p>
        </w:tc>
        <w:tc>
          <w:tcPr>
            <w:tcW w:w="964"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6,509 </w:t>
            </w:r>
          </w:p>
        </w:tc>
        <w:tc>
          <w:tcPr>
            <w:tcW w:w="907" w:type="dxa"/>
            <w:tcBorders>
              <w:top w:val="nil"/>
              <w:left w:val="nil"/>
              <w:bottom w:val="nil"/>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7,752 </w:t>
            </w: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5,310 </w:t>
            </w: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5,403 </w:t>
            </w: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5,380 </w:t>
            </w:r>
          </w:p>
        </w:tc>
      </w:tr>
      <w:tr w:rsidR="00A4028C" w:rsidRPr="00A4028C" w:rsidTr="00574951">
        <w:trPr>
          <w:trHeight w:val="397"/>
        </w:trPr>
        <w:tc>
          <w:tcPr>
            <w:tcW w:w="3146" w:type="dxa"/>
            <w:tcBorders>
              <w:top w:val="nil"/>
              <w:left w:val="nil"/>
              <w:bottom w:val="nil"/>
              <w:right w:val="nil"/>
            </w:tcBorders>
            <w:shd w:val="clear" w:color="auto" w:fill="auto"/>
            <w:vAlign w:val="center"/>
            <w:hideMark/>
          </w:tcPr>
          <w:p w:rsidR="00A4028C" w:rsidRPr="00A4028C" w:rsidRDefault="00A4028C" w:rsidP="00574951">
            <w:pPr>
              <w:spacing w:after="0" w:line="240" w:lineRule="auto"/>
              <w:ind w:leftChars="80" w:left="333" w:hangingChars="108" w:hanging="173"/>
              <w:rPr>
                <w:rFonts w:ascii="Arial" w:hAnsi="Arial" w:cs="Arial"/>
                <w:sz w:val="16"/>
                <w:szCs w:val="16"/>
              </w:rPr>
            </w:pPr>
            <w:r w:rsidRPr="00A4028C">
              <w:rPr>
                <w:rFonts w:ascii="Arial" w:hAnsi="Arial" w:cs="Arial"/>
                <w:sz w:val="16"/>
                <w:szCs w:val="16"/>
              </w:rPr>
              <w:t>Expenses not requiring appropriation in the Budget</w:t>
            </w:r>
            <w:r w:rsidR="00494464">
              <w:rPr>
                <w:rFonts w:ascii="Arial" w:hAnsi="Arial" w:cs="Arial"/>
                <w:sz w:val="16"/>
                <w:szCs w:val="16"/>
              </w:rPr>
              <w:t xml:space="preserve"> year (a</w:t>
            </w:r>
            <w:r w:rsidRPr="00A4028C">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rsidR="00A4028C" w:rsidRPr="00A4028C" w:rsidRDefault="002723F9" w:rsidP="00A4028C">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166 </w:t>
            </w: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333 </w:t>
            </w: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333 </w:t>
            </w: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166 </w:t>
            </w:r>
          </w:p>
        </w:tc>
      </w:tr>
      <w:tr w:rsidR="00A4028C" w:rsidRPr="00A4028C" w:rsidTr="00574951">
        <w:trPr>
          <w:trHeight w:val="225"/>
        </w:trPr>
        <w:tc>
          <w:tcPr>
            <w:tcW w:w="3146" w:type="dxa"/>
            <w:tcBorders>
              <w:top w:val="nil"/>
              <w:left w:val="nil"/>
              <w:bottom w:val="nil"/>
              <w:right w:val="nil"/>
            </w:tcBorders>
            <w:shd w:val="clear" w:color="auto" w:fill="auto"/>
            <w:vAlign w:val="center"/>
            <w:hideMark/>
          </w:tcPr>
          <w:p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6,509 </w:t>
            </w:r>
          </w:p>
        </w:tc>
        <w:tc>
          <w:tcPr>
            <w:tcW w:w="907" w:type="dxa"/>
            <w:tcBorders>
              <w:top w:val="single" w:sz="4" w:space="0" w:color="000000"/>
              <w:left w:val="nil"/>
              <w:bottom w:val="single" w:sz="4" w:space="0" w:color="000000"/>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7,918 </w:t>
            </w:r>
          </w:p>
        </w:tc>
        <w:tc>
          <w:tcPr>
            <w:tcW w:w="909" w:type="dxa"/>
            <w:tcBorders>
              <w:top w:val="single" w:sz="4" w:space="0" w:color="000000"/>
              <w:left w:val="nil"/>
              <w:bottom w:val="single" w:sz="4" w:space="0" w:color="000000"/>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5,643 </w:t>
            </w:r>
          </w:p>
        </w:tc>
        <w:tc>
          <w:tcPr>
            <w:tcW w:w="907" w:type="dxa"/>
            <w:tcBorders>
              <w:top w:val="single" w:sz="4" w:space="0" w:color="000000"/>
              <w:left w:val="nil"/>
              <w:bottom w:val="single" w:sz="4" w:space="0" w:color="000000"/>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5,736 </w:t>
            </w:r>
          </w:p>
        </w:tc>
        <w:tc>
          <w:tcPr>
            <w:tcW w:w="907" w:type="dxa"/>
            <w:tcBorders>
              <w:top w:val="single" w:sz="4" w:space="0" w:color="000000"/>
              <w:left w:val="nil"/>
              <w:bottom w:val="single" w:sz="4" w:space="0" w:color="000000"/>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5,546 </w:t>
            </w:r>
          </w:p>
        </w:tc>
      </w:tr>
      <w:tr w:rsidR="00A4028C" w:rsidRPr="00A4028C" w:rsidTr="00574951">
        <w:trPr>
          <w:trHeight w:val="225"/>
        </w:trPr>
        <w:tc>
          <w:tcPr>
            <w:tcW w:w="3146" w:type="dxa"/>
            <w:tcBorders>
              <w:top w:val="nil"/>
              <w:left w:val="nil"/>
              <w:bottom w:val="single" w:sz="4" w:space="0" w:color="000000"/>
              <w:right w:val="nil"/>
            </w:tcBorders>
            <w:shd w:val="clear" w:color="auto" w:fill="auto"/>
            <w:vAlign w:val="center"/>
            <w:hideMark/>
          </w:tcPr>
          <w:p w:rsidR="00A4028C" w:rsidRPr="00A4028C" w:rsidRDefault="00A4028C" w:rsidP="00574951">
            <w:pPr>
              <w:spacing w:after="0" w:line="240" w:lineRule="auto"/>
              <w:rPr>
                <w:rFonts w:ascii="Arial" w:hAnsi="Arial" w:cs="Arial"/>
                <w:b/>
                <w:bCs/>
                <w:sz w:val="16"/>
                <w:szCs w:val="16"/>
              </w:rPr>
            </w:pPr>
            <w:r w:rsidRPr="00A4028C">
              <w:rPr>
                <w:rFonts w:ascii="Arial" w:hAnsi="Arial" w:cs="Arial"/>
                <w:b/>
                <w:bCs/>
                <w:sz w:val="16"/>
                <w:szCs w:val="16"/>
              </w:rPr>
              <w:t xml:space="preserve">Total expenses for </w:t>
            </w:r>
            <w:r w:rsidR="00574951">
              <w:rPr>
                <w:rFonts w:ascii="Arial" w:hAnsi="Arial" w:cs="Arial"/>
                <w:b/>
                <w:bCs/>
                <w:sz w:val="16"/>
                <w:szCs w:val="16"/>
              </w:rPr>
              <w:t>Program 2</w:t>
            </w:r>
            <w:r w:rsidRPr="00A4028C">
              <w:rPr>
                <w:rFonts w:ascii="Arial" w:hAnsi="Arial" w:cs="Arial"/>
                <w:b/>
                <w:bCs/>
                <w:sz w:val="16"/>
                <w:szCs w:val="16"/>
              </w:rPr>
              <w:t>.1</w:t>
            </w:r>
          </w:p>
        </w:tc>
        <w:tc>
          <w:tcPr>
            <w:tcW w:w="964" w:type="dxa"/>
            <w:tcBorders>
              <w:top w:val="nil"/>
              <w:left w:val="nil"/>
              <w:bottom w:val="single" w:sz="4" w:space="0" w:color="000000"/>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b/>
                <w:bCs/>
                <w:color w:val="000000"/>
                <w:sz w:val="16"/>
                <w:szCs w:val="16"/>
              </w:rPr>
            </w:pPr>
            <w:r w:rsidRPr="00A4028C">
              <w:rPr>
                <w:rFonts w:ascii="Arial" w:hAnsi="Arial" w:cs="Arial"/>
                <w:b/>
                <w:bCs/>
                <w:color w:val="000000"/>
                <w:sz w:val="16"/>
                <w:szCs w:val="16"/>
              </w:rPr>
              <w:t xml:space="preserve">6,509 </w:t>
            </w:r>
          </w:p>
        </w:tc>
        <w:tc>
          <w:tcPr>
            <w:tcW w:w="907" w:type="dxa"/>
            <w:tcBorders>
              <w:top w:val="nil"/>
              <w:left w:val="nil"/>
              <w:bottom w:val="single" w:sz="4" w:space="0" w:color="000000"/>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b/>
                <w:bCs/>
                <w:color w:val="000000"/>
                <w:sz w:val="16"/>
                <w:szCs w:val="16"/>
              </w:rPr>
            </w:pPr>
            <w:r w:rsidRPr="00A4028C">
              <w:rPr>
                <w:rFonts w:ascii="Arial" w:hAnsi="Arial" w:cs="Arial"/>
                <w:b/>
                <w:bCs/>
                <w:color w:val="000000"/>
                <w:sz w:val="16"/>
                <w:szCs w:val="16"/>
              </w:rPr>
              <w:t xml:space="preserve">7,918 </w:t>
            </w:r>
          </w:p>
        </w:tc>
        <w:tc>
          <w:tcPr>
            <w:tcW w:w="909" w:type="dxa"/>
            <w:tcBorders>
              <w:top w:val="nil"/>
              <w:left w:val="nil"/>
              <w:bottom w:val="single" w:sz="4" w:space="0" w:color="000000"/>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 xml:space="preserve">5,643 </w:t>
            </w:r>
          </w:p>
        </w:tc>
        <w:tc>
          <w:tcPr>
            <w:tcW w:w="907" w:type="dxa"/>
            <w:tcBorders>
              <w:top w:val="nil"/>
              <w:left w:val="nil"/>
              <w:bottom w:val="single" w:sz="4" w:space="0" w:color="000000"/>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 xml:space="preserve">5,736 </w:t>
            </w:r>
          </w:p>
        </w:tc>
        <w:tc>
          <w:tcPr>
            <w:tcW w:w="907" w:type="dxa"/>
            <w:tcBorders>
              <w:top w:val="nil"/>
              <w:left w:val="nil"/>
              <w:bottom w:val="single" w:sz="4" w:space="0" w:color="000000"/>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 xml:space="preserve">5,546 </w:t>
            </w:r>
          </w:p>
        </w:tc>
      </w:tr>
      <w:tr w:rsidR="00A4028C" w:rsidRPr="00A4028C" w:rsidTr="00574951">
        <w:trPr>
          <w:trHeight w:val="225"/>
        </w:trPr>
        <w:tc>
          <w:tcPr>
            <w:tcW w:w="7740" w:type="dxa"/>
            <w:gridSpan w:val="6"/>
            <w:tcBorders>
              <w:top w:val="single" w:sz="4" w:space="0" w:color="auto"/>
              <w:left w:val="nil"/>
              <w:bottom w:val="single" w:sz="4" w:space="0" w:color="auto"/>
              <w:right w:val="nil"/>
            </w:tcBorders>
            <w:shd w:val="clear" w:color="000000" w:fill="E6E6E6"/>
            <w:vAlign w:val="center"/>
            <w:hideMark/>
          </w:tcPr>
          <w:p w:rsidR="00A4028C" w:rsidRPr="00A4028C" w:rsidRDefault="00574951" w:rsidP="00A4028C">
            <w:pPr>
              <w:spacing w:after="0" w:line="240" w:lineRule="auto"/>
              <w:rPr>
                <w:rFonts w:ascii="Arial" w:hAnsi="Arial" w:cs="Arial"/>
                <w:b/>
                <w:bCs/>
                <w:sz w:val="16"/>
                <w:szCs w:val="16"/>
              </w:rPr>
            </w:pPr>
            <w:r>
              <w:rPr>
                <w:rFonts w:ascii="Arial" w:hAnsi="Arial" w:cs="Arial"/>
                <w:b/>
                <w:bCs/>
                <w:sz w:val="16"/>
                <w:szCs w:val="16"/>
              </w:rPr>
              <w:t>Outcome 2</w:t>
            </w:r>
            <w:r w:rsidR="00A4028C" w:rsidRPr="00A4028C">
              <w:rPr>
                <w:rFonts w:ascii="Arial" w:hAnsi="Arial" w:cs="Arial"/>
                <w:b/>
                <w:bCs/>
                <w:sz w:val="16"/>
                <w:szCs w:val="16"/>
              </w:rPr>
              <w:t xml:space="preserve"> Totals by appropriation type</w:t>
            </w:r>
          </w:p>
        </w:tc>
      </w:tr>
      <w:tr w:rsidR="00A4028C" w:rsidRPr="00A4028C" w:rsidTr="00574951">
        <w:trPr>
          <w:trHeight w:val="225"/>
        </w:trPr>
        <w:tc>
          <w:tcPr>
            <w:tcW w:w="3146"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r w:rsidRPr="00A4028C">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w:t>
            </w: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r>
      <w:tr w:rsidR="00A4028C" w:rsidRPr="00A4028C" w:rsidTr="00574951">
        <w:trPr>
          <w:trHeight w:val="225"/>
        </w:trPr>
        <w:tc>
          <w:tcPr>
            <w:tcW w:w="3146"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ind w:firstLineChars="100" w:firstLine="160"/>
              <w:rPr>
                <w:rFonts w:ascii="Arial" w:hAnsi="Arial" w:cs="Arial"/>
                <w:sz w:val="16"/>
                <w:szCs w:val="16"/>
              </w:rPr>
            </w:pPr>
            <w:r w:rsidRPr="00A4028C">
              <w:rPr>
                <w:rFonts w:ascii="Arial" w:hAnsi="Arial" w:cs="Arial"/>
                <w:sz w:val="16"/>
                <w:szCs w:val="16"/>
              </w:rPr>
              <w:t>Special accounts</w:t>
            </w:r>
          </w:p>
        </w:tc>
        <w:tc>
          <w:tcPr>
            <w:tcW w:w="964"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6,509 </w:t>
            </w:r>
          </w:p>
        </w:tc>
        <w:tc>
          <w:tcPr>
            <w:tcW w:w="907" w:type="dxa"/>
            <w:tcBorders>
              <w:top w:val="nil"/>
              <w:left w:val="nil"/>
              <w:bottom w:val="nil"/>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7,752 </w:t>
            </w: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5,310 </w:t>
            </w: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5,403 </w:t>
            </w: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5,380 </w:t>
            </w:r>
          </w:p>
        </w:tc>
      </w:tr>
      <w:tr w:rsidR="00A4028C" w:rsidRPr="00A4028C" w:rsidTr="00574951">
        <w:trPr>
          <w:trHeight w:val="397"/>
        </w:trPr>
        <w:tc>
          <w:tcPr>
            <w:tcW w:w="3146" w:type="dxa"/>
            <w:tcBorders>
              <w:top w:val="nil"/>
              <w:left w:val="nil"/>
              <w:bottom w:val="nil"/>
              <w:right w:val="nil"/>
            </w:tcBorders>
            <w:shd w:val="clear" w:color="auto" w:fill="auto"/>
            <w:vAlign w:val="center"/>
            <w:hideMark/>
          </w:tcPr>
          <w:p w:rsidR="00A4028C" w:rsidRPr="00A4028C" w:rsidRDefault="00A4028C" w:rsidP="00574951">
            <w:pPr>
              <w:spacing w:after="0" w:line="240" w:lineRule="auto"/>
              <w:ind w:leftChars="80" w:left="333" w:hangingChars="108" w:hanging="173"/>
              <w:rPr>
                <w:rFonts w:ascii="Arial" w:hAnsi="Arial" w:cs="Arial"/>
                <w:sz w:val="16"/>
                <w:szCs w:val="16"/>
              </w:rPr>
            </w:pPr>
            <w:r w:rsidRPr="00A4028C">
              <w:rPr>
                <w:rFonts w:ascii="Arial" w:hAnsi="Arial" w:cs="Arial"/>
                <w:sz w:val="16"/>
                <w:szCs w:val="16"/>
              </w:rPr>
              <w:t xml:space="preserve">Expenses not requiring appropriation </w:t>
            </w:r>
            <w:r w:rsidR="00494464">
              <w:rPr>
                <w:rFonts w:ascii="Arial" w:hAnsi="Arial" w:cs="Arial"/>
                <w:sz w:val="16"/>
                <w:szCs w:val="16"/>
              </w:rPr>
              <w:t>in the Budget year (a</w:t>
            </w:r>
            <w:r w:rsidRPr="00A4028C">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rsidR="00A4028C" w:rsidRPr="00A4028C" w:rsidRDefault="002723F9" w:rsidP="00A4028C">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166 </w:t>
            </w: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333 </w:t>
            </w: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333 </w:t>
            </w: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166 </w:t>
            </w:r>
          </w:p>
        </w:tc>
      </w:tr>
      <w:tr w:rsidR="00A4028C" w:rsidRPr="00A4028C" w:rsidTr="00574951">
        <w:trPr>
          <w:trHeight w:val="225"/>
        </w:trPr>
        <w:tc>
          <w:tcPr>
            <w:tcW w:w="3146" w:type="dxa"/>
            <w:tcBorders>
              <w:top w:val="nil"/>
              <w:left w:val="nil"/>
              <w:bottom w:val="nil"/>
              <w:right w:val="nil"/>
            </w:tcBorders>
            <w:shd w:val="clear" w:color="auto" w:fill="auto"/>
            <w:vAlign w:val="center"/>
            <w:hideMark/>
          </w:tcPr>
          <w:p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6,509 </w:t>
            </w:r>
          </w:p>
        </w:tc>
        <w:tc>
          <w:tcPr>
            <w:tcW w:w="907" w:type="dxa"/>
            <w:tcBorders>
              <w:top w:val="single" w:sz="4" w:space="0" w:color="auto"/>
              <w:left w:val="nil"/>
              <w:bottom w:val="single" w:sz="4" w:space="0" w:color="auto"/>
              <w:right w:val="nil"/>
            </w:tcBorders>
            <w:shd w:val="clear" w:color="000000" w:fill="E6E6E6"/>
            <w:noWrap/>
            <w:vAlign w:val="center"/>
            <w:hideMark/>
          </w:tcPr>
          <w:p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 xml:space="preserve">7,918 </w:t>
            </w:r>
          </w:p>
        </w:tc>
        <w:tc>
          <w:tcPr>
            <w:tcW w:w="909" w:type="dxa"/>
            <w:tcBorders>
              <w:top w:val="single" w:sz="4" w:space="0" w:color="auto"/>
              <w:left w:val="nil"/>
              <w:bottom w:val="single" w:sz="4" w:space="0" w:color="auto"/>
              <w:right w:val="nil"/>
            </w:tcBorders>
            <w:shd w:val="clear" w:color="auto" w:fill="auto"/>
            <w:noWrap/>
            <w:vAlign w:val="center"/>
            <w:hideMark/>
          </w:tcPr>
          <w:p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5,643 </w:t>
            </w:r>
          </w:p>
        </w:tc>
        <w:tc>
          <w:tcPr>
            <w:tcW w:w="907" w:type="dxa"/>
            <w:tcBorders>
              <w:top w:val="single" w:sz="4" w:space="0" w:color="auto"/>
              <w:left w:val="nil"/>
              <w:bottom w:val="single" w:sz="4" w:space="0" w:color="auto"/>
              <w:right w:val="nil"/>
            </w:tcBorders>
            <w:shd w:val="clear" w:color="auto" w:fill="auto"/>
            <w:noWrap/>
            <w:vAlign w:val="center"/>
            <w:hideMark/>
          </w:tcPr>
          <w:p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5,736 </w:t>
            </w:r>
          </w:p>
        </w:tc>
        <w:tc>
          <w:tcPr>
            <w:tcW w:w="907" w:type="dxa"/>
            <w:tcBorders>
              <w:top w:val="single" w:sz="4" w:space="0" w:color="auto"/>
              <w:left w:val="nil"/>
              <w:bottom w:val="single" w:sz="4" w:space="0" w:color="auto"/>
              <w:right w:val="nil"/>
            </w:tcBorders>
            <w:shd w:val="clear" w:color="auto" w:fill="auto"/>
            <w:noWrap/>
            <w:vAlign w:val="center"/>
            <w:hideMark/>
          </w:tcPr>
          <w:p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5,546 </w:t>
            </w:r>
          </w:p>
        </w:tc>
      </w:tr>
      <w:tr w:rsidR="00A4028C" w:rsidRPr="00A4028C" w:rsidTr="00574951">
        <w:trPr>
          <w:trHeight w:val="225"/>
        </w:trPr>
        <w:tc>
          <w:tcPr>
            <w:tcW w:w="3146" w:type="dxa"/>
            <w:tcBorders>
              <w:top w:val="nil"/>
              <w:left w:val="nil"/>
              <w:bottom w:val="single" w:sz="4" w:space="0" w:color="auto"/>
              <w:right w:val="nil"/>
            </w:tcBorders>
            <w:shd w:val="clear" w:color="auto" w:fill="auto"/>
            <w:noWrap/>
            <w:vAlign w:val="bottom"/>
            <w:hideMark/>
          </w:tcPr>
          <w:p w:rsidR="00A4028C" w:rsidRPr="00A4028C" w:rsidRDefault="00574951" w:rsidP="00574951">
            <w:pPr>
              <w:spacing w:after="0" w:line="240" w:lineRule="auto"/>
              <w:rPr>
                <w:rFonts w:ascii="Arial" w:hAnsi="Arial" w:cs="Arial"/>
                <w:b/>
                <w:bCs/>
                <w:color w:val="000000"/>
                <w:sz w:val="16"/>
                <w:szCs w:val="16"/>
              </w:rPr>
            </w:pPr>
            <w:r>
              <w:rPr>
                <w:rFonts w:ascii="Arial" w:hAnsi="Arial" w:cs="Arial"/>
                <w:b/>
                <w:bCs/>
                <w:color w:val="000000"/>
                <w:sz w:val="16"/>
                <w:szCs w:val="16"/>
              </w:rPr>
              <w:t>Total expenses for Outcome 2</w:t>
            </w:r>
          </w:p>
        </w:tc>
        <w:tc>
          <w:tcPr>
            <w:tcW w:w="964" w:type="dxa"/>
            <w:tcBorders>
              <w:top w:val="nil"/>
              <w:left w:val="nil"/>
              <w:bottom w:val="single" w:sz="4" w:space="0" w:color="auto"/>
              <w:right w:val="nil"/>
            </w:tcBorders>
            <w:shd w:val="clear" w:color="auto" w:fill="auto"/>
            <w:noWrap/>
            <w:vAlign w:val="bottom"/>
            <w:hideMark/>
          </w:tcPr>
          <w:p w:rsidR="00A4028C" w:rsidRPr="00A4028C" w:rsidRDefault="00A4028C" w:rsidP="00574951">
            <w:pPr>
              <w:spacing w:after="0" w:line="240" w:lineRule="auto"/>
              <w:jc w:val="right"/>
              <w:rPr>
                <w:rFonts w:ascii="Arial" w:hAnsi="Arial" w:cs="Arial"/>
                <w:b/>
                <w:bCs/>
                <w:color w:val="000000"/>
                <w:sz w:val="16"/>
                <w:szCs w:val="16"/>
              </w:rPr>
            </w:pPr>
            <w:r w:rsidRPr="00A4028C">
              <w:rPr>
                <w:rFonts w:ascii="Arial" w:hAnsi="Arial" w:cs="Arial"/>
                <w:b/>
                <w:bCs/>
                <w:color w:val="000000"/>
                <w:sz w:val="16"/>
                <w:szCs w:val="16"/>
              </w:rPr>
              <w:t xml:space="preserve">6,509 </w:t>
            </w:r>
          </w:p>
        </w:tc>
        <w:tc>
          <w:tcPr>
            <w:tcW w:w="907" w:type="dxa"/>
            <w:tcBorders>
              <w:top w:val="nil"/>
              <w:left w:val="nil"/>
              <w:bottom w:val="single" w:sz="4" w:space="0" w:color="auto"/>
              <w:right w:val="nil"/>
            </w:tcBorders>
            <w:shd w:val="clear" w:color="000000" w:fill="E6E6E6"/>
            <w:noWrap/>
            <w:vAlign w:val="bottom"/>
            <w:hideMark/>
          </w:tcPr>
          <w:p w:rsidR="00A4028C" w:rsidRPr="00A4028C" w:rsidRDefault="00A4028C" w:rsidP="00574951">
            <w:pPr>
              <w:spacing w:after="0" w:line="240" w:lineRule="auto"/>
              <w:jc w:val="right"/>
              <w:rPr>
                <w:rFonts w:ascii="Arial" w:hAnsi="Arial" w:cs="Arial"/>
                <w:b/>
                <w:bCs/>
                <w:color w:val="000000"/>
                <w:sz w:val="16"/>
                <w:szCs w:val="16"/>
              </w:rPr>
            </w:pPr>
            <w:r w:rsidRPr="00A4028C">
              <w:rPr>
                <w:rFonts w:ascii="Arial" w:hAnsi="Arial" w:cs="Arial"/>
                <w:b/>
                <w:bCs/>
                <w:color w:val="000000"/>
                <w:sz w:val="16"/>
                <w:szCs w:val="16"/>
              </w:rPr>
              <w:t xml:space="preserve">7,918 </w:t>
            </w:r>
          </w:p>
        </w:tc>
        <w:tc>
          <w:tcPr>
            <w:tcW w:w="909" w:type="dxa"/>
            <w:tcBorders>
              <w:top w:val="nil"/>
              <w:left w:val="nil"/>
              <w:bottom w:val="single" w:sz="4" w:space="0" w:color="auto"/>
              <w:right w:val="nil"/>
            </w:tcBorders>
            <w:shd w:val="clear" w:color="auto" w:fill="auto"/>
            <w:noWrap/>
            <w:vAlign w:val="bottom"/>
            <w:hideMark/>
          </w:tcPr>
          <w:p w:rsidR="00A4028C" w:rsidRPr="00A4028C" w:rsidRDefault="00A4028C" w:rsidP="00574951">
            <w:pPr>
              <w:spacing w:after="0" w:line="240" w:lineRule="auto"/>
              <w:jc w:val="right"/>
              <w:rPr>
                <w:rFonts w:ascii="Arial" w:hAnsi="Arial" w:cs="Arial"/>
                <w:b/>
                <w:bCs/>
                <w:sz w:val="16"/>
                <w:szCs w:val="16"/>
              </w:rPr>
            </w:pPr>
            <w:r w:rsidRPr="00A4028C">
              <w:rPr>
                <w:rFonts w:ascii="Arial" w:hAnsi="Arial" w:cs="Arial"/>
                <w:b/>
                <w:bCs/>
                <w:sz w:val="16"/>
                <w:szCs w:val="16"/>
              </w:rPr>
              <w:t xml:space="preserve">5,643 </w:t>
            </w:r>
          </w:p>
        </w:tc>
        <w:tc>
          <w:tcPr>
            <w:tcW w:w="907" w:type="dxa"/>
            <w:tcBorders>
              <w:top w:val="nil"/>
              <w:left w:val="nil"/>
              <w:bottom w:val="single" w:sz="4" w:space="0" w:color="auto"/>
              <w:right w:val="nil"/>
            </w:tcBorders>
            <w:shd w:val="clear" w:color="auto" w:fill="auto"/>
            <w:noWrap/>
            <w:vAlign w:val="bottom"/>
            <w:hideMark/>
          </w:tcPr>
          <w:p w:rsidR="00A4028C" w:rsidRPr="00A4028C" w:rsidRDefault="00A4028C" w:rsidP="00574951">
            <w:pPr>
              <w:spacing w:after="0" w:line="240" w:lineRule="auto"/>
              <w:jc w:val="right"/>
              <w:rPr>
                <w:rFonts w:ascii="Arial" w:hAnsi="Arial" w:cs="Arial"/>
                <w:b/>
                <w:bCs/>
                <w:sz w:val="16"/>
                <w:szCs w:val="16"/>
              </w:rPr>
            </w:pPr>
            <w:r w:rsidRPr="00A4028C">
              <w:rPr>
                <w:rFonts w:ascii="Arial" w:hAnsi="Arial" w:cs="Arial"/>
                <w:b/>
                <w:bCs/>
                <w:sz w:val="16"/>
                <w:szCs w:val="16"/>
              </w:rPr>
              <w:t xml:space="preserve">5,736 </w:t>
            </w:r>
          </w:p>
        </w:tc>
        <w:tc>
          <w:tcPr>
            <w:tcW w:w="907" w:type="dxa"/>
            <w:tcBorders>
              <w:top w:val="nil"/>
              <w:left w:val="nil"/>
              <w:bottom w:val="single" w:sz="4" w:space="0" w:color="auto"/>
              <w:right w:val="nil"/>
            </w:tcBorders>
            <w:shd w:val="clear" w:color="auto" w:fill="auto"/>
            <w:noWrap/>
            <w:vAlign w:val="bottom"/>
            <w:hideMark/>
          </w:tcPr>
          <w:p w:rsidR="00A4028C" w:rsidRPr="00A4028C" w:rsidRDefault="00A4028C" w:rsidP="00574951">
            <w:pPr>
              <w:spacing w:after="0" w:line="240" w:lineRule="auto"/>
              <w:jc w:val="right"/>
              <w:rPr>
                <w:rFonts w:ascii="Arial" w:hAnsi="Arial" w:cs="Arial"/>
                <w:b/>
                <w:bCs/>
                <w:sz w:val="16"/>
                <w:szCs w:val="16"/>
              </w:rPr>
            </w:pPr>
            <w:r w:rsidRPr="00A4028C">
              <w:rPr>
                <w:rFonts w:ascii="Arial" w:hAnsi="Arial" w:cs="Arial"/>
                <w:b/>
                <w:bCs/>
                <w:sz w:val="16"/>
                <w:szCs w:val="16"/>
              </w:rPr>
              <w:t xml:space="preserve">5,546 </w:t>
            </w:r>
          </w:p>
        </w:tc>
      </w:tr>
      <w:tr w:rsidR="00A4028C" w:rsidRPr="00A4028C" w:rsidTr="00574951">
        <w:trPr>
          <w:trHeight w:val="225"/>
        </w:trPr>
        <w:tc>
          <w:tcPr>
            <w:tcW w:w="3146"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b/>
                <w:bCs/>
                <w:color w:val="000000"/>
                <w:sz w:val="16"/>
                <w:szCs w:val="16"/>
              </w:rPr>
            </w:pPr>
          </w:p>
        </w:tc>
        <w:tc>
          <w:tcPr>
            <w:tcW w:w="964"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b/>
                <w:bCs/>
                <w:color w:val="000000"/>
                <w:sz w:val="16"/>
                <w:szCs w:val="16"/>
              </w:rPr>
            </w:pP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b/>
                <w:bCs/>
                <w:sz w:val="16"/>
                <w:szCs w:val="16"/>
              </w:rPr>
            </w:pPr>
          </w:p>
        </w:tc>
      </w:tr>
      <w:tr w:rsidR="00A4028C" w:rsidRPr="00A4028C" w:rsidTr="00574951">
        <w:trPr>
          <w:trHeight w:val="225"/>
        </w:trPr>
        <w:tc>
          <w:tcPr>
            <w:tcW w:w="3146" w:type="dxa"/>
            <w:tcBorders>
              <w:top w:val="single" w:sz="4" w:space="0" w:color="000000"/>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color w:val="000000"/>
                <w:sz w:val="16"/>
                <w:szCs w:val="16"/>
              </w:rPr>
            </w:pPr>
            <w:r w:rsidRPr="00A4028C">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2018–19</w:t>
            </w: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r>
      <w:tr w:rsidR="00A4028C" w:rsidRPr="00A4028C" w:rsidTr="00574951">
        <w:trPr>
          <w:trHeight w:val="225"/>
        </w:trPr>
        <w:tc>
          <w:tcPr>
            <w:tcW w:w="3146" w:type="dxa"/>
            <w:tcBorders>
              <w:top w:val="nil"/>
              <w:left w:val="nil"/>
              <w:bottom w:val="single" w:sz="4" w:space="0" w:color="000000"/>
              <w:right w:val="nil"/>
            </w:tcBorders>
            <w:shd w:val="clear" w:color="auto" w:fill="auto"/>
            <w:noWrap/>
            <w:vAlign w:val="bottom"/>
            <w:hideMark/>
          </w:tcPr>
          <w:p w:rsidR="00A4028C" w:rsidRPr="00A4028C" w:rsidRDefault="00A4028C" w:rsidP="00574951">
            <w:pPr>
              <w:spacing w:after="0" w:line="240" w:lineRule="auto"/>
              <w:rPr>
                <w:rFonts w:ascii="Arial" w:hAnsi="Arial" w:cs="Arial"/>
                <w:b/>
                <w:bCs/>
                <w:color w:val="000000"/>
                <w:sz w:val="16"/>
                <w:szCs w:val="16"/>
              </w:rPr>
            </w:pPr>
            <w:r w:rsidRPr="00A4028C">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19 </w:t>
            </w:r>
          </w:p>
        </w:tc>
        <w:tc>
          <w:tcPr>
            <w:tcW w:w="907" w:type="dxa"/>
            <w:tcBorders>
              <w:top w:val="nil"/>
              <w:left w:val="nil"/>
              <w:bottom w:val="single" w:sz="4" w:space="0" w:color="auto"/>
              <w:right w:val="nil"/>
            </w:tcBorders>
            <w:shd w:val="clear" w:color="000000" w:fill="E6E6E6"/>
            <w:noWrap/>
            <w:vAlign w:val="bottom"/>
            <w:hideMark/>
          </w:tcPr>
          <w:p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28 </w:t>
            </w:r>
          </w:p>
        </w:tc>
        <w:tc>
          <w:tcPr>
            <w:tcW w:w="909"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A4028C" w:rsidRPr="00A4028C" w:rsidRDefault="00A4028C" w:rsidP="00A4028C">
            <w:pPr>
              <w:spacing w:after="0" w:line="240" w:lineRule="auto"/>
              <w:rPr>
                <w:rFonts w:ascii="Arial" w:hAnsi="Arial" w:cs="Arial"/>
                <w:sz w:val="16"/>
                <w:szCs w:val="16"/>
              </w:rPr>
            </w:pPr>
          </w:p>
        </w:tc>
      </w:tr>
    </w:tbl>
    <w:p w:rsidR="00494464" w:rsidRPr="00950281" w:rsidRDefault="00494464" w:rsidP="00E01B4E">
      <w:pPr>
        <w:pStyle w:val="ChartandTableFootnoteAlpha"/>
        <w:numPr>
          <w:ilvl w:val="0"/>
          <w:numId w:val="47"/>
        </w:numPr>
      </w:pPr>
      <w:r w:rsidRPr="00950281">
        <w:t xml:space="preserve">Expenses not requiring appropriation in the Budget year are made up of depreciation expenses, amortisation expenses, make good expenses, </w:t>
      </w:r>
      <w:r>
        <w:t>and audit fees</w:t>
      </w:r>
      <w:r w:rsidRPr="00950281">
        <w:t>.</w:t>
      </w:r>
    </w:p>
    <w:p w:rsidR="00494464" w:rsidRPr="00446612" w:rsidRDefault="00494464" w:rsidP="00494464">
      <w:pPr>
        <w:pStyle w:val="ChartandTableFootnote"/>
      </w:pPr>
      <w:r w:rsidRPr="00446612">
        <w:t>Note: Departmental appropriation splits and totals are indicative estimates and may change in the course of the budget year as government priorities change.</w:t>
      </w:r>
    </w:p>
    <w:p w:rsidR="0002112D" w:rsidRDefault="0002112D" w:rsidP="0002112D">
      <w:pPr>
        <w:pStyle w:val="TableHeading"/>
        <w:rPr>
          <w:lang w:val="en-AU"/>
        </w:rPr>
      </w:pPr>
      <w:r>
        <w:br w:type="page"/>
      </w:r>
      <w:r>
        <w:lastRenderedPageBreak/>
        <w:t>Table 2.</w:t>
      </w:r>
      <w:r>
        <w:rPr>
          <w:lang w:val="en-AU"/>
        </w:rPr>
        <w:t>2.2</w:t>
      </w:r>
      <w:r>
        <w:t xml:space="preserve">: Performance criteria for Outcome </w:t>
      </w:r>
      <w:r>
        <w:rPr>
          <w:lang w:val="en-AU"/>
        </w:rPr>
        <w:t>2</w:t>
      </w:r>
    </w:p>
    <w:p w:rsidR="0002112D" w:rsidRPr="0002112D" w:rsidRDefault="0002112D" w:rsidP="0002112D">
      <w:r>
        <w:t xml:space="preserve">Table 2.2.2 below details the performance criteria for each program associated with Outcome 2. It also summarises how each program is delivered and where 2017–18 Budget measures have created new programs or materially changed existing </w:t>
      </w:r>
      <w:r w:rsidRPr="0002112D">
        <w:t xml:space="preserve">programs. </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544"/>
        <w:gridCol w:w="2921"/>
      </w:tblGrid>
      <w:tr w:rsidR="0002112D" w:rsidRPr="00254380">
        <w:trPr>
          <w:tblHeader/>
        </w:trPr>
        <w:tc>
          <w:tcPr>
            <w:tcW w:w="7741" w:type="dxa"/>
            <w:gridSpan w:val="3"/>
            <w:tcBorders>
              <w:top w:val="single" w:sz="4" w:space="0" w:color="auto"/>
              <w:left w:val="single" w:sz="4" w:space="0" w:color="auto"/>
              <w:bottom w:val="single" w:sz="4" w:space="0" w:color="auto"/>
              <w:right w:val="single" w:sz="4" w:space="0" w:color="auto"/>
            </w:tcBorders>
            <w:shd w:val="clear" w:color="auto" w:fill="F2F2F2"/>
            <w:hideMark/>
          </w:tcPr>
          <w:p w:rsidR="0002112D" w:rsidRPr="00254380" w:rsidRDefault="0002112D" w:rsidP="0002112D">
            <w:pPr>
              <w:pStyle w:val="TableColumnHeadingLeft"/>
              <w:rPr>
                <w:rFonts w:eastAsia="Calibri"/>
              </w:rPr>
            </w:pPr>
            <w:r w:rsidRPr="0002112D">
              <w:t>Outcome 2—Effective governance and financial transparency of registered employee and employer organisations, through regulation, investigation and appropriate enforcement action.</w:t>
            </w:r>
          </w:p>
        </w:tc>
      </w:tr>
      <w:tr w:rsidR="0002112D" w:rsidRPr="00254380">
        <w:trPr>
          <w:tblHeader/>
        </w:trPr>
        <w:tc>
          <w:tcPr>
            <w:tcW w:w="7741" w:type="dxa"/>
            <w:gridSpan w:val="3"/>
            <w:tcBorders>
              <w:top w:val="single" w:sz="4" w:space="0" w:color="auto"/>
              <w:left w:val="single" w:sz="4" w:space="0" w:color="auto"/>
              <w:bottom w:val="single" w:sz="4" w:space="0" w:color="auto"/>
              <w:right w:val="single" w:sz="4" w:space="0" w:color="auto"/>
            </w:tcBorders>
            <w:shd w:val="clear" w:color="auto" w:fill="F2F2F2"/>
            <w:hideMark/>
          </w:tcPr>
          <w:p w:rsidR="0002112D" w:rsidRPr="00254380" w:rsidRDefault="0002112D" w:rsidP="0002112D">
            <w:pPr>
              <w:pStyle w:val="TableTextLeft"/>
              <w:rPr>
                <w:rFonts w:eastAsia="Calibri"/>
                <w:b/>
              </w:rPr>
            </w:pPr>
            <w:r w:rsidRPr="0002112D">
              <w:rPr>
                <w:b/>
              </w:rPr>
              <w:t xml:space="preserve">Program 2.1—Registered Organisations Commission </w:t>
            </w:r>
          </w:p>
        </w:tc>
      </w:tr>
      <w:tr w:rsidR="0002112D" w:rsidRPr="0002112D" w:rsidTr="0002112D">
        <w:tc>
          <w:tcPr>
            <w:tcW w:w="1276" w:type="dxa"/>
            <w:tcBorders>
              <w:top w:val="single" w:sz="4" w:space="0" w:color="auto"/>
              <w:left w:val="single" w:sz="4" w:space="0" w:color="auto"/>
              <w:bottom w:val="single" w:sz="4" w:space="0" w:color="auto"/>
              <w:right w:val="single" w:sz="4" w:space="0" w:color="auto"/>
            </w:tcBorders>
            <w:hideMark/>
          </w:tcPr>
          <w:p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Purpose</w:t>
            </w:r>
          </w:p>
        </w:tc>
        <w:tc>
          <w:tcPr>
            <w:tcW w:w="6465" w:type="dxa"/>
            <w:gridSpan w:val="2"/>
            <w:tcBorders>
              <w:top w:val="single" w:sz="4" w:space="0" w:color="auto"/>
              <w:left w:val="single" w:sz="4" w:space="0" w:color="auto"/>
              <w:bottom w:val="single" w:sz="4" w:space="0" w:color="auto"/>
              <w:right w:val="single" w:sz="4" w:space="0" w:color="auto"/>
            </w:tcBorders>
            <w:hideMark/>
          </w:tcPr>
          <w:p w:rsidR="0002112D" w:rsidRPr="00254380" w:rsidRDefault="0002112D" w:rsidP="0002112D">
            <w:pPr>
              <w:pStyle w:val="TableTextLeft"/>
              <w:rPr>
                <w:rFonts w:eastAsia="Calibri"/>
              </w:rPr>
            </w:pPr>
            <w:r w:rsidRPr="0002112D">
              <w:t xml:space="preserve">The ROC is responsible for improving the governance and financial accountability of registered organisations by ensuring compliance with the </w:t>
            </w:r>
            <w:r w:rsidRPr="0002112D">
              <w:rPr>
                <w:i/>
              </w:rPr>
              <w:t>Fair Work (Registered Organisations) Act 2016</w:t>
            </w:r>
            <w:r w:rsidRPr="0002112D">
              <w:t xml:space="preserve"> through monitoring and regulation.</w:t>
            </w:r>
          </w:p>
        </w:tc>
      </w:tr>
      <w:tr w:rsidR="0002112D" w:rsidRPr="0002112D" w:rsidTr="0002112D">
        <w:tc>
          <w:tcPr>
            <w:tcW w:w="1276" w:type="dxa"/>
            <w:tcBorders>
              <w:top w:val="single" w:sz="4" w:space="0" w:color="auto"/>
              <w:left w:val="single" w:sz="4" w:space="0" w:color="auto"/>
              <w:bottom w:val="double" w:sz="4" w:space="0" w:color="auto"/>
              <w:right w:val="single" w:sz="4" w:space="0" w:color="auto"/>
            </w:tcBorders>
            <w:hideMark/>
          </w:tcPr>
          <w:p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Delivery</w:t>
            </w:r>
          </w:p>
        </w:tc>
        <w:tc>
          <w:tcPr>
            <w:tcW w:w="6465" w:type="dxa"/>
            <w:gridSpan w:val="2"/>
            <w:tcBorders>
              <w:top w:val="single" w:sz="4" w:space="0" w:color="auto"/>
              <w:left w:val="single" w:sz="4" w:space="0" w:color="auto"/>
              <w:bottom w:val="double" w:sz="4" w:space="0" w:color="auto"/>
              <w:right w:val="single" w:sz="4" w:space="0" w:color="auto"/>
            </w:tcBorders>
            <w:hideMark/>
          </w:tcPr>
          <w:p w:rsidR="0002112D" w:rsidRDefault="0002112D" w:rsidP="0002112D">
            <w:pPr>
              <w:pStyle w:val="TableTextBullet"/>
              <w:rPr>
                <w:lang w:eastAsia="en-US"/>
              </w:rPr>
            </w:pPr>
            <w:r>
              <w:rPr>
                <w:lang w:eastAsia="en-US"/>
              </w:rPr>
              <w:t xml:space="preserve">Conducting inquiries and investigations into breached of the </w:t>
            </w:r>
            <w:r>
              <w:rPr>
                <w:i/>
                <w:lang w:eastAsia="en-US"/>
              </w:rPr>
              <w:t xml:space="preserve">Fair </w:t>
            </w:r>
            <w:r w:rsidR="00F51E99">
              <w:rPr>
                <w:i/>
                <w:lang w:eastAsia="en-US"/>
              </w:rPr>
              <w:t xml:space="preserve">Work (Registered Organisations) </w:t>
            </w:r>
            <w:r>
              <w:rPr>
                <w:i/>
                <w:lang w:eastAsia="en-US"/>
              </w:rPr>
              <w:t xml:space="preserve">Act </w:t>
            </w:r>
            <w:r w:rsidR="00F51E99">
              <w:rPr>
                <w:i/>
                <w:lang w:eastAsia="en-US"/>
              </w:rPr>
              <w:t>2009</w:t>
            </w:r>
            <w:r>
              <w:rPr>
                <w:lang w:eastAsia="en-US"/>
              </w:rPr>
              <w:t xml:space="preserve">. </w:t>
            </w:r>
          </w:p>
          <w:p w:rsidR="0002112D" w:rsidRDefault="0002112D" w:rsidP="0002112D">
            <w:pPr>
              <w:pStyle w:val="TableTextBullet"/>
              <w:rPr>
                <w:lang w:eastAsia="en-US"/>
              </w:rPr>
            </w:pPr>
            <w:r>
              <w:rPr>
                <w:lang w:eastAsia="en-US"/>
              </w:rPr>
              <w:t>Commencing legal proceedings in respect of contraventions of the</w:t>
            </w:r>
            <w:r>
              <w:rPr>
                <w:i/>
                <w:lang w:eastAsia="en-US"/>
              </w:rPr>
              <w:t xml:space="preserve"> Fair Work (Registered Organisations) Act </w:t>
            </w:r>
            <w:r w:rsidR="00F51E99">
              <w:rPr>
                <w:i/>
                <w:lang w:eastAsia="en-US"/>
              </w:rPr>
              <w:t>2009.</w:t>
            </w:r>
            <w:r>
              <w:rPr>
                <w:lang w:eastAsia="en-US"/>
              </w:rPr>
              <w:t xml:space="preserve">  </w:t>
            </w:r>
          </w:p>
          <w:p w:rsidR="0002112D" w:rsidRDefault="0002112D" w:rsidP="0002112D">
            <w:pPr>
              <w:pStyle w:val="TableTextBullet"/>
              <w:rPr>
                <w:lang w:eastAsia="en-US"/>
              </w:rPr>
            </w:pPr>
            <w:r>
              <w:rPr>
                <w:lang w:eastAsia="en-US"/>
              </w:rPr>
              <w:t>Referring possible criminal offences to the Director of Public Prosecutions or law enforcement agencies.</w:t>
            </w:r>
          </w:p>
          <w:p w:rsidR="0002112D" w:rsidRDefault="0002112D" w:rsidP="0002112D">
            <w:pPr>
              <w:pStyle w:val="TableTextBullet"/>
              <w:rPr>
                <w:lang w:eastAsia="en-US"/>
              </w:rPr>
            </w:pPr>
            <w:r>
              <w:rPr>
                <w:lang w:eastAsia="en-US"/>
              </w:rPr>
              <w:t>Overseeing registered organisations’ internal elections.</w:t>
            </w:r>
          </w:p>
          <w:p w:rsidR="0002112D" w:rsidRDefault="0002112D" w:rsidP="0002112D">
            <w:pPr>
              <w:pStyle w:val="TableTextBullet"/>
              <w:rPr>
                <w:lang w:eastAsia="en-US"/>
              </w:rPr>
            </w:pPr>
            <w:r>
              <w:rPr>
                <w:lang w:eastAsia="en-US"/>
              </w:rPr>
              <w:t>Receiving complaints from members of registered organisations.</w:t>
            </w:r>
          </w:p>
          <w:p w:rsidR="0002112D" w:rsidRDefault="0002112D" w:rsidP="0002112D">
            <w:pPr>
              <w:pStyle w:val="TableTextBullet"/>
              <w:rPr>
                <w:lang w:eastAsia="en-US"/>
              </w:rPr>
            </w:pPr>
            <w:r>
              <w:rPr>
                <w:lang w:eastAsia="en-US"/>
              </w:rPr>
              <w:t>Providing information to members of registered organisations about their rights.</w:t>
            </w:r>
          </w:p>
          <w:p w:rsidR="0002112D" w:rsidRDefault="0002112D" w:rsidP="0002112D">
            <w:pPr>
              <w:pStyle w:val="TableTextBullet"/>
              <w:rPr>
                <w:lang w:eastAsia="en-US"/>
              </w:rPr>
            </w:pPr>
            <w:r>
              <w:rPr>
                <w:lang w:eastAsia="en-US"/>
              </w:rPr>
              <w:t xml:space="preserve">Educating registered organisations about their obligations. </w:t>
            </w:r>
          </w:p>
        </w:tc>
      </w:tr>
      <w:tr w:rsidR="0002112D" w:rsidRPr="0002112D">
        <w:tc>
          <w:tcPr>
            <w:tcW w:w="7741" w:type="dxa"/>
            <w:gridSpan w:val="3"/>
            <w:tcBorders>
              <w:top w:val="double" w:sz="4" w:space="0" w:color="auto"/>
              <w:left w:val="single" w:sz="4" w:space="0" w:color="auto"/>
              <w:bottom w:val="double" w:sz="4" w:space="0" w:color="auto"/>
              <w:right w:val="single" w:sz="4" w:space="0" w:color="auto"/>
            </w:tcBorders>
            <w:hideMark/>
          </w:tcPr>
          <w:p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Performance information</w:t>
            </w:r>
          </w:p>
        </w:tc>
      </w:tr>
      <w:tr w:rsidR="0002112D" w:rsidRPr="0002112D" w:rsidTr="0002112D">
        <w:tc>
          <w:tcPr>
            <w:tcW w:w="1276" w:type="dxa"/>
            <w:tcBorders>
              <w:top w:val="double" w:sz="4" w:space="0" w:color="auto"/>
              <w:left w:val="single" w:sz="4" w:space="0" w:color="auto"/>
              <w:bottom w:val="single" w:sz="4" w:space="0" w:color="auto"/>
              <w:right w:val="single" w:sz="4" w:space="0" w:color="auto"/>
            </w:tcBorders>
            <w:hideMark/>
          </w:tcPr>
          <w:p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Year</w:t>
            </w:r>
          </w:p>
        </w:tc>
        <w:tc>
          <w:tcPr>
            <w:tcW w:w="3544" w:type="dxa"/>
            <w:tcBorders>
              <w:top w:val="double" w:sz="4" w:space="0" w:color="auto"/>
              <w:left w:val="single" w:sz="4" w:space="0" w:color="auto"/>
              <w:bottom w:val="single" w:sz="4" w:space="0" w:color="auto"/>
              <w:right w:val="single" w:sz="4" w:space="0" w:color="auto"/>
            </w:tcBorders>
            <w:hideMark/>
          </w:tcPr>
          <w:p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Performance criteria</w:t>
            </w:r>
          </w:p>
        </w:tc>
        <w:tc>
          <w:tcPr>
            <w:tcW w:w="2921" w:type="dxa"/>
            <w:tcBorders>
              <w:top w:val="double" w:sz="4" w:space="0" w:color="auto"/>
              <w:left w:val="single" w:sz="4" w:space="0" w:color="auto"/>
              <w:bottom w:val="single" w:sz="4" w:space="0" w:color="auto"/>
              <w:right w:val="single" w:sz="4" w:space="0" w:color="auto"/>
            </w:tcBorders>
            <w:hideMark/>
          </w:tcPr>
          <w:p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Targets</w:t>
            </w:r>
          </w:p>
        </w:tc>
      </w:tr>
      <w:tr w:rsidR="0002112D" w:rsidRPr="0002112D" w:rsidTr="0002112D">
        <w:tc>
          <w:tcPr>
            <w:tcW w:w="1276" w:type="dxa"/>
            <w:tcBorders>
              <w:top w:val="dotted" w:sz="4" w:space="0" w:color="auto"/>
              <w:left w:val="single" w:sz="4" w:space="0" w:color="auto"/>
              <w:bottom w:val="dotted" w:sz="4" w:space="0" w:color="auto"/>
              <w:right w:val="single" w:sz="4" w:space="0" w:color="auto"/>
            </w:tcBorders>
            <w:hideMark/>
          </w:tcPr>
          <w:p w:rsidR="0002112D" w:rsidRDefault="0002112D" w:rsidP="0002112D">
            <w:pPr>
              <w:pStyle w:val="TableTextLeft"/>
              <w:rPr>
                <w:lang w:eastAsia="en-US"/>
              </w:rPr>
            </w:pPr>
            <w:r>
              <w:rPr>
                <w:lang w:eastAsia="en-US"/>
              </w:rPr>
              <w:t>2017–18</w:t>
            </w:r>
          </w:p>
        </w:tc>
        <w:tc>
          <w:tcPr>
            <w:tcW w:w="3544" w:type="dxa"/>
            <w:tcBorders>
              <w:top w:val="dotted" w:sz="4" w:space="0" w:color="auto"/>
              <w:left w:val="single" w:sz="4" w:space="0" w:color="auto"/>
              <w:bottom w:val="dotted" w:sz="4" w:space="0" w:color="auto"/>
              <w:right w:val="single" w:sz="4" w:space="0" w:color="auto"/>
            </w:tcBorders>
            <w:hideMark/>
          </w:tcPr>
          <w:p w:rsidR="0002112D" w:rsidRDefault="0002112D" w:rsidP="0002112D">
            <w:pPr>
              <w:pStyle w:val="TableTextLeft"/>
              <w:rPr>
                <w:i/>
                <w:color w:val="FF0000"/>
                <w:lang w:eastAsia="en-US"/>
              </w:rPr>
            </w:pPr>
            <w:r>
              <w:rPr>
                <w:lang w:eastAsia="en-US"/>
              </w:rPr>
              <w:t xml:space="preserve">95 per cent of financial reports required to be lodged under the </w:t>
            </w:r>
            <w:r>
              <w:rPr>
                <w:i/>
                <w:lang w:eastAsia="en-US"/>
              </w:rPr>
              <w:t>Fair Work (Re</w:t>
            </w:r>
            <w:r w:rsidR="00F51E99">
              <w:rPr>
                <w:i/>
                <w:lang w:eastAsia="en-US"/>
              </w:rPr>
              <w:t>gistered Organisations) Act 2009</w:t>
            </w:r>
            <w:r>
              <w:rPr>
                <w:lang w:eastAsia="en-US"/>
              </w:rPr>
              <w:t xml:space="preserve"> are assessed for compliance within 40 </w:t>
            </w:r>
            <w:r w:rsidR="00F51E99">
              <w:rPr>
                <w:lang w:eastAsia="en-US"/>
              </w:rPr>
              <w:t xml:space="preserve">working </w:t>
            </w:r>
            <w:r w:rsidR="00A9013E">
              <w:rPr>
                <w:lang w:eastAsia="en-US"/>
              </w:rPr>
              <w:t>days</w:t>
            </w:r>
          </w:p>
        </w:tc>
        <w:tc>
          <w:tcPr>
            <w:tcW w:w="2921" w:type="dxa"/>
            <w:tcBorders>
              <w:top w:val="dotted" w:sz="4" w:space="0" w:color="auto"/>
              <w:left w:val="single" w:sz="4" w:space="0" w:color="auto"/>
              <w:bottom w:val="dotted" w:sz="4" w:space="0" w:color="auto"/>
              <w:right w:val="single" w:sz="4" w:space="0" w:color="auto"/>
            </w:tcBorders>
            <w:hideMark/>
          </w:tcPr>
          <w:p w:rsidR="0002112D" w:rsidRPr="0002112D" w:rsidRDefault="0002112D" w:rsidP="0002112D">
            <w:pPr>
              <w:pStyle w:val="TableTextLeft"/>
              <w:rPr>
                <w:lang w:eastAsia="en-US"/>
              </w:rPr>
            </w:pPr>
            <w:r>
              <w:rPr>
                <w:lang w:eastAsia="en-US"/>
              </w:rPr>
              <w:t xml:space="preserve">95% within 40 </w:t>
            </w:r>
            <w:r w:rsidR="00F51E99">
              <w:rPr>
                <w:lang w:eastAsia="en-US"/>
              </w:rPr>
              <w:t xml:space="preserve">working </w:t>
            </w:r>
            <w:r>
              <w:rPr>
                <w:lang w:eastAsia="en-US"/>
              </w:rPr>
              <w:t xml:space="preserve">days </w:t>
            </w:r>
            <w:r>
              <w:rPr>
                <w:lang w:eastAsia="en-US"/>
              </w:rPr>
              <w:br/>
            </w:r>
            <w:r>
              <w:rPr>
                <w:b/>
                <w:lang w:eastAsia="en-US"/>
              </w:rPr>
              <w:t xml:space="preserve">Assessment: </w:t>
            </w:r>
            <w:r>
              <w:rPr>
                <w:lang w:eastAsia="en-US"/>
              </w:rPr>
              <w:t>On track</w:t>
            </w:r>
          </w:p>
        </w:tc>
      </w:tr>
      <w:tr w:rsidR="0002112D" w:rsidRPr="0002112D" w:rsidTr="0002112D">
        <w:tc>
          <w:tcPr>
            <w:tcW w:w="1276" w:type="dxa"/>
            <w:tcBorders>
              <w:top w:val="dotted" w:sz="4" w:space="0" w:color="auto"/>
              <w:left w:val="single" w:sz="4" w:space="0" w:color="auto"/>
              <w:bottom w:val="dotted" w:sz="4" w:space="0" w:color="auto"/>
              <w:right w:val="single" w:sz="4" w:space="0" w:color="auto"/>
            </w:tcBorders>
          </w:tcPr>
          <w:p w:rsidR="0002112D" w:rsidRDefault="0002112D" w:rsidP="0002112D">
            <w:pPr>
              <w:pStyle w:val="TableTextLeft"/>
              <w:rPr>
                <w:lang w:eastAsia="en-US"/>
              </w:rPr>
            </w:pPr>
            <w:r>
              <w:rPr>
                <w:lang w:eastAsia="en-US"/>
              </w:rPr>
              <w:t>2018–19</w:t>
            </w:r>
          </w:p>
        </w:tc>
        <w:tc>
          <w:tcPr>
            <w:tcW w:w="3544" w:type="dxa"/>
            <w:tcBorders>
              <w:top w:val="dotted" w:sz="4" w:space="0" w:color="auto"/>
              <w:left w:val="single" w:sz="4" w:space="0" w:color="auto"/>
              <w:bottom w:val="dotted" w:sz="4" w:space="0" w:color="auto"/>
              <w:right w:val="single" w:sz="4" w:space="0" w:color="auto"/>
            </w:tcBorders>
          </w:tcPr>
          <w:p w:rsidR="0002112D" w:rsidRDefault="0002112D" w:rsidP="0002112D">
            <w:pPr>
              <w:pStyle w:val="TableTextLeft"/>
              <w:rPr>
                <w:lang w:eastAsia="en-US"/>
              </w:rPr>
            </w:pPr>
            <w:r>
              <w:rPr>
                <w:lang w:eastAsia="en-US"/>
              </w:rPr>
              <w:t xml:space="preserve">95 per cent of financial reports required to be lodged under the </w:t>
            </w:r>
            <w:r>
              <w:rPr>
                <w:i/>
                <w:lang w:eastAsia="en-US"/>
              </w:rPr>
              <w:t>Fair Work (Registered Organisations) Act 2016</w:t>
            </w:r>
            <w:r>
              <w:rPr>
                <w:lang w:eastAsia="en-US"/>
              </w:rPr>
              <w:t xml:space="preserve"> are assessed for compliance within 40 </w:t>
            </w:r>
            <w:r w:rsidR="00F51E99">
              <w:rPr>
                <w:lang w:eastAsia="en-US"/>
              </w:rPr>
              <w:t xml:space="preserve">working </w:t>
            </w:r>
            <w:r w:rsidR="00A9013E">
              <w:rPr>
                <w:lang w:eastAsia="en-US"/>
              </w:rPr>
              <w:t>days</w:t>
            </w:r>
          </w:p>
        </w:tc>
        <w:tc>
          <w:tcPr>
            <w:tcW w:w="2921" w:type="dxa"/>
            <w:tcBorders>
              <w:top w:val="dotted" w:sz="4" w:space="0" w:color="auto"/>
              <w:left w:val="single" w:sz="4" w:space="0" w:color="auto"/>
              <w:bottom w:val="dotted" w:sz="4" w:space="0" w:color="auto"/>
              <w:right w:val="single" w:sz="4" w:space="0" w:color="auto"/>
            </w:tcBorders>
          </w:tcPr>
          <w:p w:rsidR="0002112D" w:rsidRDefault="0002112D" w:rsidP="0002112D">
            <w:pPr>
              <w:pStyle w:val="TableTextLeft"/>
              <w:rPr>
                <w:lang w:eastAsia="en-US"/>
              </w:rPr>
            </w:pPr>
            <w:r>
              <w:rPr>
                <w:lang w:eastAsia="en-US"/>
              </w:rPr>
              <w:t xml:space="preserve">95% within 40 </w:t>
            </w:r>
            <w:r w:rsidR="00F51E99">
              <w:rPr>
                <w:lang w:eastAsia="en-US"/>
              </w:rPr>
              <w:t xml:space="preserve">working </w:t>
            </w:r>
            <w:r>
              <w:rPr>
                <w:lang w:eastAsia="en-US"/>
              </w:rPr>
              <w:t>days</w:t>
            </w:r>
          </w:p>
        </w:tc>
      </w:tr>
      <w:tr w:rsidR="0002112D" w:rsidRPr="0002112D" w:rsidTr="0002112D">
        <w:tc>
          <w:tcPr>
            <w:tcW w:w="1276" w:type="dxa"/>
            <w:tcBorders>
              <w:top w:val="dotted" w:sz="4" w:space="0" w:color="auto"/>
              <w:left w:val="single" w:sz="4" w:space="0" w:color="auto"/>
              <w:bottom w:val="single" w:sz="4" w:space="0" w:color="auto"/>
              <w:right w:val="single" w:sz="4" w:space="0" w:color="auto"/>
            </w:tcBorders>
            <w:hideMark/>
          </w:tcPr>
          <w:p w:rsidR="0002112D" w:rsidRDefault="0002112D" w:rsidP="0002112D">
            <w:pPr>
              <w:pStyle w:val="TableTextLeft"/>
              <w:rPr>
                <w:lang w:eastAsia="en-US"/>
              </w:rPr>
            </w:pPr>
            <w:r>
              <w:rPr>
                <w:lang w:eastAsia="en-US"/>
              </w:rPr>
              <w:t>2019–20 and beyond</w:t>
            </w:r>
          </w:p>
        </w:tc>
        <w:tc>
          <w:tcPr>
            <w:tcW w:w="3544" w:type="dxa"/>
            <w:tcBorders>
              <w:top w:val="dotted" w:sz="4" w:space="0" w:color="auto"/>
              <w:left w:val="single" w:sz="4" w:space="0" w:color="auto"/>
              <w:bottom w:val="single" w:sz="4" w:space="0" w:color="auto"/>
              <w:right w:val="single" w:sz="4" w:space="0" w:color="auto"/>
            </w:tcBorders>
            <w:hideMark/>
          </w:tcPr>
          <w:p w:rsidR="0002112D" w:rsidRDefault="0002112D" w:rsidP="0002112D">
            <w:pPr>
              <w:pStyle w:val="TableTextLeft"/>
              <w:rPr>
                <w:lang w:eastAsia="en-US"/>
              </w:rPr>
            </w:pPr>
            <w:r>
              <w:rPr>
                <w:lang w:eastAsia="en-US"/>
              </w:rPr>
              <w:t>As per 2018–19</w:t>
            </w:r>
          </w:p>
        </w:tc>
        <w:tc>
          <w:tcPr>
            <w:tcW w:w="2921" w:type="dxa"/>
            <w:tcBorders>
              <w:top w:val="dotted" w:sz="4" w:space="0" w:color="auto"/>
              <w:left w:val="single" w:sz="4" w:space="0" w:color="auto"/>
              <w:bottom w:val="single" w:sz="4" w:space="0" w:color="auto"/>
              <w:right w:val="single" w:sz="4" w:space="0" w:color="auto"/>
            </w:tcBorders>
            <w:hideMark/>
          </w:tcPr>
          <w:p w:rsidR="0002112D" w:rsidRDefault="0002112D" w:rsidP="0002112D">
            <w:pPr>
              <w:pStyle w:val="TableTextLeft"/>
              <w:rPr>
                <w:lang w:eastAsia="en-US"/>
              </w:rPr>
            </w:pPr>
            <w:r>
              <w:rPr>
                <w:lang w:eastAsia="en-US"/>
              </w:rPr>
              <w:t>As per 2018–19</w:t>
            </w:r>
          </w:p>
        </w:tc>
      </w:tr>
      <w:tr w:rsidR="0002112D" w:rsidRPr="0002112D">
        <w:trPr>
          <w:trHeight w:val="529"/>
        </w:trPr>
        <w:tc>
          <w:tcPr>
            <w:tcW w:w="7741" w:type="dxa"/>
            <w:gridSpan w:val="3"/>
            <w:tcBorders>
              <w:top w:val="single" w:sz="4" w:space="0" w:color="auto"/>
              <w:left w:val="single" w:sz="4" w:space="0" w:color="auto"/>
              <w:bottom w:val="single" w:sz="4" w:space="0" w:color="auto"/>
              <w:right w:val="single" w:sz="4" w:space="0" w:color="auto"/>
            </w:tcBorders>
            <w:hideMark/>
          </w:tcPr>
          <w:p w:rsidR="0002112D" w:rsidRPr="00254380" w:rsidRDefault="0002112D" w:rsidP="0002112D">
            <w:pPr>
              <w:pStyle w:val="TableTextLeft"/>
              <w:rPr>
                <w:rStyle w:val="BodyTextChar"/>
                <w:rFonts w:ascii="Arial" w:eastAsia="Calibri" w:hAnsi="Arial"/>
                <w:b/>
                <w:sz w:val="17"/>
                <w:szCs w:val="20"/>
                <w:lang w:eastAsia="en-AU"/>
              </w:rPr>
            </w:pPr>
            <w:r w:rsidRPr="0002112D">
              <w:rPr>
                <w:rStyle w:val="BodyTextChar"/>
                <w:rFonts w:ascii="Arial" w:hAnsi="Arial"/>
                <w:b/>
                <w:sz w:val="17"/>
                <w:szCs w:val="20"/>
                <w:lang w:eastAsia="en-AU"/>
              </w:rPr>
              <w:t>Material changes to Program 2.1 resulting from the following measures:</w:t>
            </w:r>
          </w:p>
          <w:p w:rsidR="0002112D" w:rsidRDefault="0002112D" w:rsidP="0002112D">
            <w:pPr>
              <w:pStyle w:val="TableTextLeft"/>
              <w:rPr>
                <w:rFonts w:ascii="Book Antiqua" w:eastAsia="Cambria" w:hAnsi="Book Antiqua"/>
              </w:rPr>
            </w:pPr>
            <w:r w:rsidRPr="0002112D">
              <w:rPr>
                <w:rStyle w:val="BodyTextChar"/>
                <w:rFonts w:ascii="Arial" w:hAnsi="Arial"/>
                <w:sz w:val="17"/>
                <w:szCs w:val="20"/>
                <w:lang w:eastAsia="en-AU"/>
              </w:rPr>
              <w:t>Nil</w:t>
            </w:r>
          </w:p>
        </w:tc>
      </w:tr>
    </w:tbl>
    <w:p w:rsidR="003721B7" w:rsidRPr="00AD42E2" w:rsidRDefault="00F71E7F" w:rsidP="003721B7">
      <w:pPr>
        <w:pStyle w:val="Heading2"/>
      </w:pPr>
      <w:r>
        <w:br w:type="page"/>
      </w:r>
      <w:bookmarkStart w:id="500" w:name="_Toc511656296"/>
      <w:bookmarkStart w:id="501" w:name="_Toc511722669"/>
      <w:bookmarkStart w:id="502" w:name="_Toc511737001"/>
      <w:bookmarkStart w:id="503" w:name="_Toc511747263"/>
      <w:bookmarkStart w:id="504" w:name="_Toc511765667"/>
      <w:bookmarkStart w:id="505" w:name="_Toc511828723"/>
      <w:bookmarkStart w:id="506" w:name="_Toc511836862"/>
      <w:bookmarkStart w:id="507" w:name="_Toc511902568"/>
      <w:r w:rsidR="003721B7" w:rsidRPr="00AD42E2">
        <w:lastRenderedPageBreak/>
        <w:t>Section 3: Budgeted financial statements</w:t>
      </w:r>
      <w:bookmarkEnd w:id="500"/>
      <w:bookmarkEnd w:id="501"/>
      <w:bookmarkEnd w:id="502"/>
      <w:bookmarkEnd w:id="503"/>
      <w:bookmarkEnd w:id="504"/>
      <w:bookmarkEnd w:id="505"/>
      <w:bookmarkEnd w:id="506"/>
      <w:bookmarkEnd w:id="507"/>
    </w:p>
    <w:p w:rsidR="003721B7" w:rsidRDefault="003721B7" w:rsidP="003721B7">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rsidR="003721B7" w:rsidRDefault="003721B7" w:rsidP="003721B7">
      <w:pPr>
        <w:pStyle w:val="Heading3"/>
      </w:pPr>
      <w:bookmarkStart w:id="508" w:name="_Toc511656297"/>
      <w:bookmarkStart w:id="509" w:name="_Toc511722670"/>
      <w:bookmarkStart w:id="510" w:name="_Toc511737002"/>
      <w:bookmarkStart w:id="511" w:name="_Toc511747264"/>
      <w:bookmarkStart w:id="512" w:name="_Toc511765668"/>
      <w:bookmarkStart w:id="513" w:name="_Toc511828724"/>
      <w:bookmarkStart w:id="514" w:name="_Toc511836863"/>
      <w:bookmarkStart w:id="515" w:name="_Toc511902569"/>
      <w:r>
        <w:t>3.1</w:t>
      </w:r>
      <w:r>
        <w:tab/>
        <w:t>Budgeted financial statements</w:t>
      </w:r>
      <w:bookmarkEnd w:id="508"/>
      <w:bookmarkEnd w:id="509"/>
      <w:bookmarkEnd w:id="510"/>
      <w:bookmarkEnd w:id="511"/>
      <w:bookmarkEnd w:id="512"/>
      <w:bookmarkEnd w:id="513"/>
      <w:bookmarkEnd w:id="514"/>
      <w:bookmarkEnd w:id="515"/>
    </w:p>
    <w:p w:rsidR="003721B7" w:rsidRDefault="003721B7" w:rsidP="003721B7">
      <w:pPr>
        <w:pStyle w:val="Heading4"/>
      </w:pPr>
      <w:r>
        <w:t>3.1.1</w:t>
      </w:r>
      <w:r>
        <w:tab/>
        <w:t>Differences between entity resourcing and financial statements</w:t>
      </w:r>
    </w:p>
    <w:p w:rsidR="00875CE3" w:rsidRDefault="00875CE3" w:rsidP="00875CE3">
      <w:r>
        <w:t>The Agency Resource Statement (Table 1.1) details the total appropriation available to an agency from all sources. For departmental operating appropriations (outputs) this includes carry-forward amounts as well as amounts appropriated at Budget. The difference between the agency resource statement and the sum of all payments made at the departmental outputs level is the expected carry-forward amount of resources for the 2018–19 Budget year, including amounts related to meeting future employee entitlement obligations.</w:t>
      </w:r>
    </w:p>
    <w:p w:rsidR="003721B7" w:rsidRDefault="003721B7" w:rsidP="00875CE3">
      <w:pPr>
        <w:pStyle w:val="Heading4"/>
      </w:pPr>
      <w:r>
        <w:t>3.1.2</w:t>
      </w:r>
      <w:r>
        <w:tab/>
        <w:t>Explanatory notes and analysis of budgeted financial statements</w:t>
      </w:r>
    </w:p>
    <w:p w:rsidR="00875CE3" w:rsidRDefault="00875CE3" w:rsidP="00875CE3">
      <w:r>
        <w:t>The Fair Work Ombudsman and the Registered Organisations Commission are budgeting for an operating loss equal to the unappropriated depreciation and amortisation expense of $8.1 million for the 2018–19 financial year.</w:t>
      </w:r>
    </w:p>
    <w:p w:rsidR="00875CE3" w:rsidRDefault="00875CE3" w:rsidP="00875CE3">
      <w:r>
        <w:t>Total revenues are estimated to be $11</w:t>
      </w:r>
      <w:r w:rsidR="00D44EA4">
        <w:t>8</w:t>
      </w:r>
      <w:r>
        <w:t>.8 million and total expenses $126.9 million.</w:t>
      </w:r>
    </w:p>
    <w:p w:rsidR="00875CE3" w:rsidRDefault="00875CE3" w:rsidP="00875CE3">
      <w:pPr>
        <w:rPr>
          <w:highlight w:val="yellow"/>
        </w:rPr>
      </w:pPr>
      <w:r>
        <w:t>Total assets at the end of the 2018–19 financial year are estimated to be $88.2 million. The majority of the assets represent receivables (appropriations receivable) and property fit outs. Asset acquisitions are planned in Information Technology equipment and systems and on office accommodation fit outs.</w:t>
      </w:r>
      <w:r>
        <w:rPr>
          <w:highlight w:val="yellow"/>
        </w:rPr>
        <w:t xml:space="preserve"> </w:t>
      </w:r>
    </w:p>
    <w:p w:rsidR="00875CE3" w:rsidRDefault="00875CE3" w:rsidP="00875CE3">
      <w:pPr>
        <w:rPr>
          <w:highlight w:val="yellow"/>
        </w:rPr>
      </w:pPr>
      <w:r>
        <w:t>Total liabilities for 2018–19 are estimated at $43.0 million. The largest liability item is accrued employee entitlements.</w:t>
      </w:r>
    </w:p>
    <w:p w:rsidR="00875CE3" w:rsidRDefault="00875CE3" w:rsidP="00875CE3">
      <w:pPr>
        <w:pStyle w:val="Heading3"/>
      </w:pPr>
      <w:r>
        <w:t xml:space="preserve"> </w:t>
      </w:r>
      <w:r w:rsidR="003721B7">
        <w:br w:type="page"/>
      </w:r>
      <w:bookmarkStart w:id="516" w:name="_Toc511656298"/>
      <w:bookmarkStart w:id="517" w:name="_Toc511722671"/>
      <w:bookmarkStart w:id="518" w:name="_Toc511737003"/>
      <w:bookmarkStart w:id="519" w:name="_Toc511747265"/>
      <w:bookmarkStart w:id="520" w:name="_Toc511765669"/>
      <w:bookmarkStart w:id="521" w:name="_Toc511828725"/>
      <w:bookmarkStart w:id="522" w:name="_Toc511836864"/>
      <w:bookmarkStart w:id="523" w:name="_Toc511902570"/>
      <w:r>
        <w:lastRenderedPageBreak/>
        <w:t>3.2.</w:t>
      </w:r>
      <w:r>
        <w:tab/>
        <w:t>Budgeted financial statements tables</w:t>
      </w:r>
      <w:bookmarkEnd w:id="516"/>
      <w:bookmarkEnd w:id="517"/>
      <w:bookmarkEnd w:id="518"/>
      <w:bookmarkEnd w:id="519"/>
      <w:bookmarkEnd w:id="520"/>
      <w:bookmarkEnd w:id="521"/>
      <w:bookmarkEnd w:id="522"/>
      <w:bookmarkEnd w:id="523"/>
    </w:p>
    <w:p w:rsidR="00875CE3" w:rsidRDefault="00875CE3" w:rsidP="00875CE3">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37" w:type="dxa"/>
        <w:tblInd w:w="93" w:type="dxa"/>
        <w:tblLook w:val="04A0" w:firstRow="1" w:lastRow="0" w:firstColumn="1" w:lastColumn="0" w:noHBand="0" w:noVBand="1"/>
      </w:tblPr>
      <w:tblGrid>
        <w:gridCol w:w="3160"/>
        <w:gridCol w:w="43"/>
        <w:gridCol w:w="885"/>
        <w:gridCol w:w="43"/>
        <w:gridCol w:w="858"/>
        <w:gridCol w:w="45"/>
        <w:gridCol w:w="856"/>
        <w:gridCol w:w="45"/>
        <w:gridCol w:w="856"/>
        <w:gridCol w:w="45"/>
        <w:gridCol w:w="856"/>
        <w:gridCol w:w="45"/>
      </w:tblGrid>
      <w:tr w:rsidR="00875CE3" w:rsidRPr="00875CE3" w:rsidTr="006E79B2">
        <w:trPr>
          <w:trHeight w:val="794"/>
        </w:trPr>
        <w:tc>
          <w:tcPr>
            <w:tcW w:w="3203" w:type="dxa"/>
            <w:gridSpan w:val="2"/>
            <w:tcBorders>
              <w:top w:val="single" w:sz="4" w:space="0" w:color="auto"/>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 </w:t>
            </w:r>
          </w:p>
        </w:tc>
        <w:tc>
          <w:tcPr>
            <w:tcW w:w="928" w:type="dxa"/>
            <w:gridSpan w:val="2"/>
            <w:tcBorders>
              <w:top w:val="single" w:sz="4" w:space="0" w:color="auto"/>
              <w:left w:val="nil"/>
              <w:bottom w:val="single" w:sz="4" w:space="0" w:color="auto"/>
              <w:right w:val="nil"/>
            </w:tcBorders>
            <w:shd w:val="clear" w:color="auto" w:fill="auto"/>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2017–18 Estimated actual</w:t>
            </w:r>
            <w:r w:rsidRPr="00875CE3">
              <w:rPr>
                <w:rFonts w:ascii="Arial" w:hAnsi="Arial" w:cs="Arial"/>
                <w:sz w:val="16"/>
                <w:szCs w:val="16"/>
              </w:rPr>
              <w:br/>
              <w:t>$'000</w:t>
            </w:r>
          </w:p>
        </w:tc>
        <w:tc>
          <w:tcPr>
            <w:tcW w:w="903" w:type="dxa"/>
            <w:gridSpan w:val="2"/>
            <w:tcBorders>
              <w:top w:val="single" w:sz="4" w:space="0" w:color="auto"/>
              <w:left w:val="nil"/>
              <w:bottom w:val="single" w:sz="4" w:space="0" w:color="auto"/>
              <w:right w:val="nil"/>
            </w:tcBorders>
            <w:shd w:val="clear" w:color="000000" w:fill="E6E6E6"/>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Budget</w:t>
            </w:r>
            <w:r w:rsidRPr="00875CE3">
              <w:rPr>
                <w:rFonts w:ascii="Arial" w:hAnsi="Arial" w:cs="Arial"/>
                <w:sz w:val="16"/>
                <w:szCs w:val="16"/>
              </w:rPr>
              <w:br/>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2019–20 Forward estimate</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2020–21 Forward estimate</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2021–22</w:t>
            </w:r>
            <w:r w:rsidRPr="00875CE3">
              <w:rPr>
                <w:rFonts w:ascii="Arial" w:hAnsi="Arial" w:cs="Arial"/>
                <w:sz w:val="16"/>
                <w:szCs w:val="16"/>
              </w:rPr>
              <w:br/>
              <w:t>Forward estimate</w:t>
            </w:r>
            <w:r w:rsidRPr="00875CE3">
              <w:rPr>
                <w:rFonts w:ascii="Arial" w:hAnsi="Arial" w:cs="Arial"/>
                <w:sz w:val="16"/>
                <w:szCs w:val="16"/>
              </w:rPr>
              <w:br/>
              <w:t>$'000</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EXPENSES</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Employee benefits</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80,763 </w:t>
            </w:r>
          </w:p>
        </w:tc>
        <w:tc>
          <w:tcPr>
            <w:tcW w:w="903" w:type="dxa"/>
            <w:gridSpan w:val="2"/>
            <w:tcBorders>
              <w:top w:val="nil"/>
              <w:left w:val="nil"/>
              <w:bottom w:val="nil"/>
              <w:right w:val="nil"/>
            </w:tcBorders>
            <w:shd w:val="clear" w:color="000000" w:fill="E6E6E6"/>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81,770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82,200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82,314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84,517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Suppliers</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37,500 </w:t>
            </w:r>
          </w:p>
        </w:tc>
        <w:tc>
          <w:tcPr>
            <w:tcW w:w="903" w:type="dxa"/>
            <w:gridSpan w:val="2"/>
            <w:tcBorders>
              <w:top w:val="nil"/>
              <w:left w:val="nil"/>
              <w:bottom w:val="nil"/>
              <w:right w:val="nil"/>
            </w:tcBorders>
            <w:shd w:val="clear" w:color="000000" w:fill="E6E6E6"/>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37,091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33,731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37,340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38,818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Depreciation and amortisation (a)</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11,080 </w:t>
            </w:r>
          </w:p>
        </w:tc>
        <w:tc>
          <w:tcPr>
            <w:tcW w:w="903" w:type="dxa"/>
            <w:gridSpan w:val="2"/>
            <w:tcBorders>
              <w:top w:val="nil"/>
              <w:left w:val="nil"/>
              <w:bottom w:val="nil"/>
              <w:right w:val="nil"/>
            </w:tcBorders>
            <w:shd w:val="clear" w:color="000000" w:fill="E6E6E6"/>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8,085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7,230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8,274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8,017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Total expenses</w:t>
            </w:r>
          </w:p>
        </w:tc>
        <w:tc>
          <w:tcPr>
            <w:tcW w:w="928"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129,343 </w:t>
            </w:r>
          </w:p>
        </w:tc>
        <w:tc>
          <w:tcPr>
            <w:tcW w:w="903" w:type="dxa"/>
            <w:gridSpan w:val="2"/>
            <w:tcBorders>
              <w:top w:val="single" w:sz="4" w:space="0" w:color="auto"/>
              <w:left w:val="nil"/>
              <w:bottom w:val="single" w:sz="4" w:space="0" w:color="auto"/>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126,946 </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123,161 </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127,928 </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131,352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 xml:space="preserve">LESS: </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OWN-SOURCE INCOME</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Own-source revenue</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Rental income</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690 </w:t>
            </w:r>
          </w:p>
        </w:tc>
        <w:tc>
          <w:tcPr>
            <w:tcW w:w="903" w:type="dxa"/>
            <w:gridSpan w:val="2"/>
            <w:tcBorders>
              <w:top w:val="nil"/>
              <w:left w:val="nil"/>
              <w:bottom w:val="nil"/>
              <w:right w:val="nil"/>
            </w:tcBorders>
            <w:shd w:val="clear" w:color="000000" w:fill="E6E6E6"/>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500 </w:t>
            </w:r>
          </w:p>
        </w:tc>
        <w:tc>
          <w:tcPr>
            <w:tcW w:w="901" w:type="dxa"/>
            <w:gridSpan w:val="2"/>
            <w:tcBorders>
              <w:top w:val="nil"/>
              <w:left w:val="nil"/>
              <w:bottom w:val="nil"/>
              <w:right w:val="nil"/>
            </w:tcBorders>
            <w:shd w:val="clear" w:color="auto" w:fill="auto"/>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 </w:t>
            </w:r>
          </w:p>
        </w:tc>
        <w:tc>
          <w:tcPr>
            <w:tcW w:w="901" w:type="dxa"/>
            <w:gridSpan w:val="2"/>
            <w:tcBorders>
              <w:top w:val="nil"/>
              <w:left w:val="nil"/>
              <w:bottom w:val="nil"/>
              <w:right w:val="nil"/>
            </w:tcBorders>
            <w:shd w:val="clear" w:color="auto" w:fill="auto"/>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 </w:t>
            </w:r>
          </w:p>
        </w:tc>
        <w:tc>
          <w:tcPr>
            <w:tcW w:w="901" w:type="dxa"/>
            <w:gridSpan w:val="2"/>
            <w:tcBorders>
              <w:top w:val="nil"/>
              <w:left w:val="nil"/>
              <w:bottom w:val="nil"/>
              <w:right w:val="nil"/>
            </w:tcBorders>
            <w:shd w:val="clear" w:color="auto" w:fill="auto"/>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Other</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600 </w:t>
            </w:r>
          </w:p>
        </w:tc>
        <w:tc>
          <w:tcPr>
            <w:tcW w:w="903" w:type="dxa"/>
            <w:gridSpan w:val="2"/>
            <w:tcBorders>
              <w:top w:val="nil"/>
              <w:left w:val="nil"/>
              <w:bottom w:val="nil"/>
              <w:right w:val="nil"/>
            </w:tcBorders>
            <w:shd w:val="clear" w:color="000000" w:fill="E6E6E6"/>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600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600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600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600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Total own-source revenue</w:t>
            </w:r>
          </w:p>
        </w:tc>
        <w:tc>
          <w:tcPr>
            <w:tcW w:w="928"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1,290 </w:t>
            </w:r>
          </w:p>
        </w:tc>
        <w:tc>
          <w:tcPr>
            <w:tcW w:w="903" w:type="dxa"/>
            <w:gridSpan w:val="2"/>
            <w:tcBorders>
              <w:top w:val="single" w:sz="4" w:space="0" w:color="auto"/>
              <w:left w:val="nil"/>
              <w:bottom w:val="single" w:sz="4" w:space="0" w:color="auto"/>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1,100 </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Total own-source income</w:t>
            </w:r>
          </w:p>
        </w:tc>
        <w:tc>
          <w:tcPr>
            <w:tcW w:w="928"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1,290 </w:t>
            </w:r>
          </w:p>
        </w:tc>
        <w:tc>
          <w:tcPr>
            <w:tcW w:w="903" w:type="dxa"/>
            <w:gridSpan w:val="2"/>
            <w:tcBorders>
              <w:top w:val="nil"/>
              <w:left w:val="nil"/>
              <w:bottom w:val="single" w:sz="4" w:space="0" w:color="auto"/>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1,100 </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r>
      <w:tr w:rsidR="00875CE3" w:rsidRPr="00875CE3" w:rsidTr="00FF5A80">
        <w:trPr>
          <w:trHeight w:val="227"/>
        </w:trPr>
        <w:tc>
          <w:tcPr>
            <w:tcW w:w="3203" w:type="dxa"/>
            <w:gridSpan w:val="2"/>
            <w:tcBorders>
              <w:top w:val="nil"/>
              <w:left w:val="nil"/>
              <w:bottom w:val="nil"/>
              <w:right w:val="nil"/>
            </w:tcBorders>
            <w:shd w:val="clear" w:color="auto" w:fill="auto"/>
            <w:vAlign w:val="center"/>
            <w:hideMark/>
          </w:tcPr>
          <w:p w:rsidR="00875CE3" w:rsidRPr="00875CE3" w:rsidRDefault="00875CE3" w:rsidP="006E79B2">
            <w:pPr>
              <w:spacing w:after="0" w:line="240" w:lineRule="auto"/>
              <w:rPr>
                <w:rFonts w:ascii="Arial" w:hAnsi="Arial" w:cs="Arial"/>
                <w:b/>
                <w:bCs/>
                <w:color w:val="000000"/>
                <w:sz w:val="16"/>
                <w:szCs w:val="16"/>
              </w:rPr>
            </w:pPr>
            <w:r w:rsidRPr="00875CE3">
              <w:rPr>
                <w:rFonts w:ascii="Arial" w:hAnsi="Arial" w:cs="Arial"/>
                <w:b/>
                <w:bCs/>
                <w:color w:val="000000"/>
                <w:sz w:val="16"/>
                <w:szCs w:val="16"/>
              </w:rPr>
              <w:t>Net (cost of)/contribution by services</w:t>
            </w:r>
          </w:p>
        </w:tc>
        <w:tc>
          <w:tcPr>
            <w:tcW w:w="928"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(128,053)</w:t>
            </w:r>
          </w:p>
        </w:tc>
        <w:tc>
          <w:tcPr>
            <w:tcW w:w="903" w:type="dxa"/>
            <w:gridSpan w:val="2"/>
            <w:tcBorders>
              <w:top w:val="nil"/>
              <w:left w:val="nil"/>
              <w:bottom w:val="single" w:sz="4" w:space="0" w:color="auto"/>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(125,846)</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(122,481)</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(127,248)</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(130,672)</w:t>
            </w:r>
          </w:p>
        </w:tc>
      </w:tr>
      <w:tr w:rsidR="00875CE3" w:rsidRPr="00875CE3" w:rsidTr="00625B6A">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Revenue from Government</w:t>
            </w:r>
          </w:p>
        </w:tc>
        <w:tc>
          <w:tcPr>
            <w:tcW w:w="928" w:type="dxa"/>
            <w:gridSpan w:val="2"/>
            <w:tcBorders>
              <w:top w:val="nil"/>
              <w:left w:val="nil"/>
              <w:bottom w:val="single" w:sz="4" w:space="0" w:color="auto"/>
              <w:right w:val="nil"/>
            </w:tcBorders>
            <w:shd w:val="clear" w:color="auto" w:fill="auto"/>
            <w:noWrap/>
            <w:vAlign w:val="center"/>
            <w:hideMark/>
          </w:tcPr>
          <w:p w:rsidR="00875CE3" w:rsidRPr="00875CE3" w:rsidRDefault="00875CE3" w:rsidP="00625B6A">
            <w:pPr>
              <w:spacing w:after="0" w:line="240" w:lineRule="auto"/>
              <w:jc w:val="right"/>
              <w:rPr>
                <w:rFonts w:ascii="Arial" w:hAnsi="Arial" w:cs="Arial"/>
                <w:sz w:val="16"/>
                <w:szCs w:val="16"/>
              </w:rPr>
            </w:pPr>
            <w:r w:rsidRPr="00875CE3">
              <w:rPr>
                <w:rFonts w:ascii="Arial" w:hAnsi="Arial" w:cs="Arial"/>
                <w:sz w:val="16"/>
                <w:szCs w:val="16"/>
              </w:rPr>
              <w:t xml:space="preserve">116,973 </w:t>
            </w:r>
          </w:p>
        </w:tc>
        <w:tc>
          <w:tcPr>
            <w:tcW w:w="903" w:type="dxa"/>
            <w:gridSpan w:val="2"/>
            <w:tcBorders>
              <w:top w:val="nil"/>
              <w:left w:val="nil"/>
              <w:bottom w:val="single" w:sz="4" w:space="0" w:color="auto"/>
              <w:right w:val="nil"/>
            </w:tcBorders>
            <w:shd w:val="clear" w:color="000000" w:fill="E6E6E6"/>
            <w:noWrap/>
            <w:vAlign w:val="center"/>
            <w:hideMark/>
          </w:tcPr>
          <w:p w:rsidR="00875CE3" w:rsidRPr="001C66B0" w:rsidRDefault="00875CE3" w:rsidP="00625B6A">
            <w:pPr>
              <w:spacing w:after="0" w:line="240" w:lineRule="auto"/>
              <w:jc w:val="right"/>
              <w:rPr>
                <w:rFonts w:ascii="Arial" w:hAnsi="Arial" w:cs="Arial"/>
                <w:bCs/>
                <w:sz w:val="16"/>
                <w:szCs w:val="16"/>
              </w:rPr>
            </w:pPr>
            <w:r w:rsidRPr="001C66B0">
              <w:rPr>
                <w:rFonts w:ascii="Arial" w:hAnsi="Arial" w:cs="Arial"/>
                <w:bCs/>
                <w:sz w:val="16"/>
                <w:szCs w:val="16"/>
              </w:rPr>
              <w:t xml:space="preserve">117,761 </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25B6A">
            <w:pPr>
              <w:spacing w:after="0" w:line="240" w:lineRule="auto"/>
              <w:jc w:val="right"/>
              <w:rPr>
                <w:rFonts w:ascii="Arial" w:hAnsi="Arial" w:cs="Arial"/>
                <w:sz w:val="16"/>
                <w:szCs w:val="16"/>
              </w:rPr>
            </w:pPr>
            <w:r w:rsidRPr="00875CE3">
              <w:rPr>
                <w:rFonts w:ascii="Arial" w:hAnsi="Arial" w:cs="Arial"/>
                <w:sz w:val="16"/>
                <w:szCs w:val="16"/>
              </w:rPr>
              <w:t xml:space="preserve">115,251 </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25B6A">
            <w:pPr>
              <w:spacing w:after="0" w:line="240" w:lineRule="auto"/>
              <w:jc w:val="right"/>
              <w:rPr>
                <w:rFonts w:ascii="Arial" w:hAnsi="Arial" w:cs="Arial"/>
                <w:sz w:val="16"/>
                <w:szCs w:val="16"/>
              </w:rPr>
            </w:pPr>
            <w:r w:rsidRPr="00875CE3">
              <w:rPr>
                <w:rFonts w:ascii="Arial" w:hAnsi="Arial" w:cs="Arial"/>
                <w:sz w:val="16"/>
                <w:szCs w:val="16"/>
              </w:rPr>
              <w:t xml:space="preserve">118,974 </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25B6A">
            <w:pPr>
              <w:spacing w:after="0" w:line="240" w:lineRule="auto"/>
              <w:jc w:val="right"/>
              <w:rPr>
                <w:rFonts w:ascii="Arial" w:hAnsi="Arial" w:cs="Arial"/>
                <w:sz w:val="16"/>
                <w:szCs w:val="16"/>
              </w:rPr>
            </w:pPr>
            <w:r w:rsidRPr="00875CE3">
              <w:rPr>
                <w:rFonts w:ascii="Arial" w:hAnsi="Arial" w:cs="Arial"/>
                <w:sz w:val="16"/>
                <w:szCs w:val="16"/>
              </w:rPr>
              <w:t xml:space="preserve">122,655 </w:t>
            </w:r>
          </w:p>
        </w:tc>
      </w:tr>
      <w:tr w:rsidR="00875CE3" w:rsidRPr="00875CE3" w:rsidTr="006E79B2">
        <w:trPr>
          <w:trHeight w:val="450"/>
        </w:trPr>
        <w:tc>
          <w:tcPr>
            <w:tcW w:w="3203" w:type="dxa"/>
            <w:gridSpan w:val="2"/>
            <w:tcBorders>
              <w:top w:val="nil"/>
              <w:left w:val="nil"/>
              <w:bottom w:val="nil"/>
              <w:right w:val="nil"/>
            </w:tcBorders>
            <w:shd w:val="clear" w:color="auto" w:fill="auto"/>
            <w:vAlign w:val="center"/>
            <w:hideMark/>
          </w:tcPr>
          <w:p w:rsidR="00875CE3" w:rsidRPr="00875CE3" w:rsidRDefault="00875CE3" w:rsidP="00FF5A80">
            <w:pPr>
              <w:spacing w:after="0" w:line="240" w:lineRule="auto"/>
              <w:ind w:left="191" w:hanging="191"/>
              <w:rPr>
                <w:rFonts w:ascii="Arial" w:hAnsi="Arial" w:cs="Arial"/>
                <w:b/>
                <w:bCs/>
                <w:sz w:val="16"/>
                <w:szCs w:val="16"/>
              </w:rPr>
            </w:pPr>
            <w:r w:rsidRPr="00875CE3">
              <w:rPr>
                <w:rFonts w:ascii="Arial" w:hAnsi="Arial" w:cs="Arial"/>
                <w:b/>
                <w:bCs/>
                <w:sz w:val="16"/>
                <w:szCs w:val="16"/>
              </w:rPr>
              <w:t>Surplus/(deficit) attributable to the Australian Government</w:t>
            </w:r>
          </w:p>
        </w:tc>
        <w:tc>
          <w:tcPr>
            <w:tcW w:w="928"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(11,080)</w:t>
            </w:r>
          </w:p>
        </w:tc>
        <w:tc>
          <w:tcPr>
            <w:tcW w:w="903" w:type="dxa"/>
            <w:gridSpan w:val="2"/>
            <w:tcBorders>
              <w:top w:val="nil"/>
              <w:left w:val="nil"/>
              <w:bottom w:val="single" w:sz="4" w:space="0" w:color="auto"/>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(8,085)</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(7,230)</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(8,274)</w:t>
            </w:r>
          </w:p>
        </w:tc>
        <w:tc>
          <w:tcPr>
            <w:tcW w:w="901"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(8,017)</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OTHER COMPREHENSIVE INCOME</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Changes in asset revaluation surplus</w:t>
            </w:r>
          </w:p>
        </w:tc>
        <w:tc>
          <w:tcPr>
            <w:tcW w:w="928" w:type="dxa"/>
            <w:gridSpan w:val="2"/>
            <w:tcBorders>
              <w:top w:val="nil"/>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 </w:t>
            </w:r>
          </w:p>
        </w:tc>
        <w:tc>
          <w:tcPr>
            <w:tcW w:w="903" w:type="dxa"/>
            <w:gridSpan w:val="2"/>
            <w:tcBorders>
              <w:top w:val="nil"/>
              <w:left w:val="nil"/>
              <w:bottom w:val="single" w:sz="4" w:space="0" w:color="auto"/>
              <w:right w:val="nil"/>
            </w:tcBorders>
            <w:shd w:val="clear" w:color="000000" w:fill="E6E6E6"/>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 </w:t>
            </w:r>
          </w:p>
        </w:tc>
        <w:tc>
          <w:tcPr>
            <w:tcW w:w="901" w:type="dxa"/>
            <w:gridSpan w:val="2"/>
            <w:tcBorders>
              <w:top w:val="nil"/>
              <w:left w:val="nil"/>
              <w:bottom w:val="single" w:sz="4" w:space="0" w:color="auto"/>
              <w:right w:val="nil"/>
            </w:tcBorders>
            <w:shd w:val="clear" w:color="auto" w:fill="auto"/>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 </w:t>
            </w:r>
          </w:p>
        </w:tc>
        <w:tc>
          <w:tcPr>
            <w:tcW w:w="901" w:type="dxa"/>
            <w:gridSpan w:val="2"/>
            <w:tcBorders>
              <w:top w:val="nil"/>
              <w:left w:val="nil"/>
              <w:bottom w:val="single" w:sz="4" w:space="0" w:color="auto"/>
              <w:right w:val="nil"/>
            </w:tcBorders>
            <w:shd w:val="clear" w:color="auto" w:fill="auto"/>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 </w:t>
            </w:r>
          </w:p>
        </w:tc>
        <w:tc>
          <w:tcPr>
            <w:tcW w:w="901" w:type="dxa"/>
            <w:gridSpan w:val="2"/>
            <w:tcBorders>
              <w:top w:val="nil"/>
              <w:left w:val="nil"/>
              <w:bottom w:val="single" w:sz="4" w:space="0" w:color="auto"/>
              <w:right w:val="nil"/>
            </w:tcBorders>
            <w:shd w:val="clear" w:color="auto" w:fill="auto"/>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 xml:space="preserve">Total other comprehensive income </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c>
          <w:tcPr>
            <w:tcW w:w="903" w:type="dxa"/>
            <w:gridSpan w:val="2"/>
            <w:tcBorders>
              <w:top w:val="nil"/>
              <w:left w:val="nil"/>
              <w:bottom w:val="nil"/>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r>
      <w:tr w:rsidR="00875CE3" w:rsidRPr="00875CE3" w:rsidTr="006E79B2">
        <w:trPr>
          <w:trHeight w:val="225"/>
        </w:trPr>
        <w:tc>
          <w:tcPr>
            <w:tcW w:w="3203"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Total comprehensive income/(loss)</w:t>
            </w:r>
          </w:p>
        </w:tc>
        <w:tc>
          <w:tcPr>
            <w:tcW w:w="928"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(11,080)</w:t>
            </w:r>
          </w:p>
        </w:tc>
        <w:tc>
          <w:tcPr>
            <w:tcW w:w="903" w:type="dxa"/>
            <w:gridSpan w:val="2"/>
            <w:tcBorders>
              <w:top w:val="single" w:sz="4" w:space="0" w:color="auto"/>
              <w:left w:val="nil"/>
              <w:bottom w:val="single" w:sz="4" w:space="0" w:color="auto"/>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(8,085)</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(7,230)</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(8,274)</w:t>
            </w:r>
          </w:p>
        </w:tc>
        <w:tc>
          <w:tcPr>
            <w:tcW w:w="901" w:type="dxa"/>
            <w:gridSpan w:val="2"/>
            <w:tcBorders>
              <w:top w:val="single" w:sz="4" w:space="0" w:color="auto"/>
              <w:left w:val="nil"/>
              <w:bottom w:val="single" w:sz="4" w:space="0" w:color="auto"/>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(8,017)</w:t>
            </w:r>
          </w:p>
        </w:tc>
      </w:tr>
      <w:tr w:rsidR="00875CE3" w:rsidRPr="00875CE3" w:rsidTr="00FF5A80">
        <w:trPr>
          <w:trHeight w:val="567"/>
        </w:trPr>
        <w:tc>
          <w:tcPr>
            <w:tcW w:w="3203" w:type="dxa"/>
            <w:gridSpan w:val="2"/>
            <w:tcBorders>
              <w:top w:val="nil"/>
              <w:left w:val="nil"/>
              <w:bottom w:val="single" w:sz="4" w:space="0" w:color="auto"/>
              <w:right w:val="nil"/>
            </w:tcBorders>
            <w:shd w:val="clear" w:color="auto" w:fill="auto"/>
            <w:vAlign w:val="bottom"/>
            <w:hideMark/>
          </w:tcPr>
          <w:p w:rsidR="00875CE3" w:rsidRPr="00875CE3" w:rsidRDefault="00875CE3" w:rsidP="00FF5A80">
            <w:pPr>
              <w:spacing w:after="0" w:line="240" w:lineRule="auto"/>
              <w:ind w:left="191" w:hanging="191"/>
              <w:rPr>
                <w:rFonts w:ascii="Arial" w:hAnsi="Arial" w:cs="Arial"/>
                <w:b/>
                <w:bCs/>
                <w:sz w:val="16"/>
                <w:szCs w:val="16"/>
              </w:rPr>
            </w:pPr>
            <w:r w:rsidRPr="00875CE3">
              <w:rPr>
                <w:rFonts w:ascii="Arial" w:hAnsi="Arial" w:cs="Arial"/>
                <w:b/>
                <w:bCs/>
                <w:sz w:val="16"/>
                <w:szCs w:val="16"/>
              </w:rPr>
              <w:t>Total comprehensive income/(loss)</w:t>
            </w:r>
            <w:r w:rsidR="00FF5A80">
              <w:rPr>
                <w:rFonts w:ascii="Arial" w:hAnsi="Arial" w:cs="Arial"/>
                <w:b/>
                <w:bCs/>
                <w:sz w:val="16"/>
                <w:szCs w:val="16"/>
              </w:rPr>
              <w:t xml:space="preserve"> attributable to the Australian </w:t>
            </w:r>
            <w:r w:rsidRPr="00875CE3">
              <w:rPr>
                <w:rFonts w:ascii="Arial" w:hAnsi="Arial" w:cs="Arial"/>
                <w:b/>
                <w:bCs/>
                <w:sz w:val="16"/>
                <w:szCs w:val="16"/>
              </w:rPr>
              <w:t>Government</w:t>
            </w:r>
          </w:p>
        </w:tc>
        <w:tc>
          <w:tcPr>
            <w:tcW w:w="928" w:type="dxa"/>
            <w:gridSpan w:val="2"/>
            <w:tcBorders>
              <w:top w:val="nil"/>
              <w:left w:val="nil"/>
              <w:bottom w:val="single" w:sz="4" w:space="0" w:color="auto"/>
              <w:right w:val="nil"/>
            </w:tcBorders>
            <w:shd w:val="clear" w:color="auto" w:fill="auto"/>
            <w:noWrap/>
            <w:vAlign w:val="bottom"/>
            <w:hideMark/>
          </w:tcPr>
          <w:p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(11,080)</w:t>
            </w:r>
          </w:p>
        </w:tc>
        <w:tc>
          <w:tcPr>
            <w:tcW w:w="903" w:type="dxa"/>
            <w:gridSpan w:val="2"/>
            <w:tcBorders>
              <w:top w:val="nil"/>
              <w:left w:val="nil"/>
              <w:bottom w:val="single" w:sz="4" w:space="0" w:color="auto"/>
              <w:right w:val="nil"/>
            </w:tcBorders>
            <w:shd w:val="clear" w:color="000000" w:fill="E6E6E6"/>
            <w:noWrap/>
            <w:vAlign w:val="bottom"/>
            <w:hideMark/>
          </w:tcPr>
          <w:p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(8,085)</w:t>
            </w:r>
          </w:p>
        </w:tc>
        <w:tc>
          <w:tcPr>
            <w:tcW w:w="901" w:type="dxa"/>
            <w:gridSpan w:val="2"/>
            <w:tcBorders>
              <w:top w:val="nil"/>
              <w:left w:val="nil"/>
              <w:bottom w:val="single" w:sz="4" w:space="0" w:color="auto"/>
              <w:right w:val="nil"/>
            </w:tcBorders>
            <w:shd w:val="clear" w:color="auto" w:fill="auto"/>
            <w:noWrap/>
            <w:vAlign w:val="bottom"/>
            <w:hideMark/>
          </w:tcPr>
          <w:p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(7,230)</w:t>
            </w:r>
          </w:p>
        </w:tc>
        <w:tc>
          <w:tcPr>
            <w:tcW w:w="901" w:type="dxa"/>
            <w:gridSpan w:val="2"/>
            <w:tcBorders>
              <w:top w:val="nil"/>
              <w:left w:val="nil"/>
              <w:bottom w:val="single" w:sz="4" w:space="0" w:color="auto"/>
              <w:right w:val="nil"/>
            </w:tcBorders>
            <w:shd w:val="clear" w:color="auto" w:fill="auto"/>
            <w:noWrap/>
            <w:vAlign w:val="bottom"/>
            <w:hideMark/>
          </w:tcPr>
          <w:p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(8,274)</w:t>
            </w:r>
          </w:p>
        </w:tc>
        <w:tc>
          <w:tcPr>
            <w:tcW w:w="901" w:type="dxa"/>
            <w:gridSpan w:val="2"/>
            <w:tcBorders>
              <w:top w:val="nil"/>
              <w:left w:val="nil"/>
              <w:bottom w:val="single" w:sz="4" w:space="0" w:color="auto"/>
              <w:right w:val="nil"/>
            </w:tcBorders>
            <w:shd w:val="clear" w:color="auto" w:fill="auto"/>
            <w:noWrap/>
            <w:vAlign w:val="bottom"/>
            <w:hideMark/>
          </w:tcPr>
          <w:p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(8,017)</w:t>
            </w:r>
          </w:p>
        </w:tc>
      </w:tr>
      <w:tr w:rsidR="00875CE3" w:rsidRPr="00875CE3" w:rsidTr="006E79B2">
        <w:trPr>
          <w:gridAfter w:val="1"/>
          <w:wAfter w:w="45" w:type="dxa"/>
          <w:trHeight w:val="225"/>
        </w:trPr>
        <w:tc>
          <w:tcPr>
            <w:tcW w:w="3160" w:type="dxa"/>
            <w:tcBorders>
              <w:top w:val="nil"/>
              <w:left w:val="nil"/>
              <w:bottom w:val="nil"/>
              <w:right w:val="nil"/>
            </w:tcBorders>
            <w:shd w:val="clear" w:color="auto" w:fill="auto"/>
            <w:vAlign w:val="bottom"/>
            <w:hideMark/>
          </w:tcPr>
          <w:p w:rsidR="00875CE3" w:rsidRPr="00875CE3" w:rsidRDefault="00875CE3" w:rsidP="00875CE3">
            <w:pPr>
              <w:spacing w:after="0" w:line="240" w:lineRule="auto"/>
              <w:rPr>
                <w:rFonts w:ascii="Arial" w:hAnsi="Arial" w:cs="Arial"/>
                <w:sz w:val="16"/>
                <w:szCs w:val="16"/>
              </w:rPr>
            </w:pPr>
          </w:p>
        </w:tc>
        <w:tc>
          <w:tcPr>
            <w:tcW w:w="928" w:type="dxa"/>
            <w:gridSpan w:val="2"/>
            <w:tcBorders>
              <w:top w:val="nil"/>
              <w:left w:val="nil"/>
              <w:bottom w:val="nil"/>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sz w:val="16"/>
                <w:szCs w:val="16"/>
              </w:rPr>
            </w:pPr>
          </w:p>
        </w:tc>
      </w:tr>
      <w:tr w:rsidR="00875CE3" w:rsidRPr="00875CE3" w:rsidTr="006E79B2">
        <w:trPr>
          <w:trHeight w:val="225"/>
        </w:trPr>
        <w:tc>
          <w:tcPr>
            <w:tcW w:w="5034" w:type="dxa"/>
            <w:gridSpan w:val="6"/>
            <w:tcBorders>
              <w:top w:val="nil"/>
              <w:left w:val="nil"/>
              <w:bottom w:val="single" w:sz="4" w:space="0" w:color="auto"/>
              <w:right w:val="nil"/>
            </w:tcBorders>
            <w:shd w:val="clear" w:color="auto" w:fill="auto"/>
            <w:noWrap/>
            <w:vAlign w:val="center"/>
            <w:hideMark/>
          </w:tcPr>
          <w:p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Note: Impact of net cash appropriation arrangements</w:t>
            </w:r>
          </w:p>
        </w:tc>
        <w:tc>
          <w:tcPr>
            <w:tcW w:w="901" w:type="dxa"/>
            <w:gridSpan w:val="2"/>
            <w:tcBorders>
              <w:top w:val="nil"/>
              <w:left w:val="nil"/>
              <w:bottom w:val="single" w:sz="4" w:space="0" w:color="auto"/>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sz w:val="16"/>
                <w:szCs w:val="16"/>
              </w:rPr>
            </w:pPr>
            <w:r w:rsidRPr="00875CE3">
              <w:rPr>
                <w:rFonts w:ascii="Arial" w:hAnsi="Arial" w:cs="Arial"/>
                <w:sz w:val="16"/>
                <w:szCs w:val="16"/>
              </w:rPr>
              <w:t> </w:t>
            </w:r>
          </w:p>
        </w:tc>
        <w:tc>
          <w:tcPr>
            <w:tcW w:w="901" w:type="dxa"/>
            <w:gridSpan w:val="2"/>
            <w:tcBorders>
              <w:top w:val="nil"/>
              <w:left w:val="nil"/>
              <w:bottom w:val="single" w:sz="4" w:space="0" w:color="auto"/>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sz w:val="16"/>
                <w:szCs w:val="16"/>
              </w:rPr>
            </w:pPr>
            <w:r w:rsidRPr="00875CE3">
              <w:rPr>
                <w:rFonts w:ascii="Arial" w:hAnsi="Arial" w:cs="Arial"/>
                <w:sz w:val="16"/>
                <w:szCs w:val="16"/>
              </w:rPr>
              <w:t> </w:t>
            </w:r>
          </w:p>
        </w:tc>
        <w:tc>
          <w:tcPr>
            <w:tcW w:w="901" w:type="dxa"/>
            <w:gridSpan w:val="2"/>
            <w:tcBorders>
              <w:top w:val="nil"/>
              <w:left w:val="nil"/>
              <w:bottom w:val="single" w:sz="4" w:space="0" w:color="auto"/>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sz w:val="16"/>
                <w:szCs w:val="16"/>
              </w:rPr>
            </w:pPr>
            <w:r w:rsidRPr="00875CE3">
              <w:rPr>
                <w:rFonts w:ascii="Arial" w:hAnsi="Arial" w:cs="Arial"/>
                <w:sz w:val="16"/>
                <w:szCs w:val="16"/>
              </w:rPr>
              <w:t> </w:t>
            </w:r>
          </w:p>
        </w:tc>
      </w:tr>
      <w:tr w:rsidR="00EB04DE" w:rsidRPr="00875CE3" w:rsidTr="00EB04DE">
        <w:trPr>
          <w:trHeight w:val="454"/>
        </w:trPr>
        <w:tc>
          <w:tcPr>
            <w:tcW w:w="3203" w:type="dxa"/>
            <w:gridSpan w:val="2"/>
            <w:tcBorders>
              <w:top w:val="single" w:sz="4" w:space="0" w:color="auto"/>
              <w:left w:val="nil"/>
              <w:bottom w:val="nil"/>
              <w:right w:val="nil"/>
            </w:tcBorders>
            <w:shd w:val="clear" w:color="auto" w:fill="auto"/>
            <w:noWrap/>
            <w:vAlign w:val="center"/>
            <w:hideMark/>
          </w:tcPr>
          <w:p w:rsidR="00EB04DE" w:rsidRPr="00875CE3" w:rsidRDefault="00EB04DE" w:rsidP="00EB04DE">
            <w:pPr>
              <w:spacing w:after="0" w:line="240" w:lineRule="auto"/>
              <w:rPr>
                <w:rFonts w:ascii="Arial" w:hAnsi="Arial" w:cs="Arial"/>
                <w:b/>
                <w:bCs/>
                <w:sz w:val="16"/>
                <w:szCs w:val="16"/>
              </w:rPr>
            </w:pPr>
            <w:r w:rsidRPr="00875CE3">
              <w:rPr>
                <w:rFonts w:ascii="Arial" w:hAnsi="Arial" w:cs="Arial"/>
                <w:b/>
                <w:bCs/>
                <w:sz w:val="16"/>
                <w:szCs w:val="16"/>
              </w:rPr>
              <w:t> </w:t>
            </w:r>
          </w:p>
        </w:tc>
        <w:tc>
          <w:tcPr>
            <w:tcW w:w="928" w:type="dxa"/>
            <w:gridSpan w:val="2"/>
            <w:tcBorders>
              <w:top w:val="single" w:sz="4" w:space="0" w:color="auto"/>
              <w:left w:val="nil"/>
              <w:bottom w:val="single" w:sz="4" w:space="0" w:color="auto"/>
              <w:right w:val="nil"/>
            </w:tcBorders>
            <w:shd w:val="clear" w:color="auto" w:fill="auto"/>
            <w:vAlign w:val="center"/>
            <w:hideMark/>
          </w:tcPr>
          <w:p w:rsidR="00EB04DE" w:rsidRPr="00875CE3" w:rsidRDefault="00EB04DE" w:rsidP="00EB04DE">
            <w:pPr>
              <w:spacing w:after="0" w:line="240" w:lineRule="auto"/>
              <w:jc w:val="right"/>
              <w:rPr>
                <w:rFonts w:ascii="Arial" w:hAnsi="Arial" w:cs="Arial"/>
                <w:sz w:val="16"/>
                <w:szCs w:val="16"/>
              </w:rPr>
            </w:pPr>
            <w:r>
              <w:rPr>
                <w:rFonts w:ascii="Arial" w:hAnsi="Arial" w:cs="Arial"/>
                <w:sz w:val="16"/>
                <w:szCs w:val="16"/>
              </w:rPr>
              <w:t>2017–18</w:t>
            </w:r>
            <w:r w:rsidRPr="00875CE3">
              <w:rPr>
                <w:rFonts w:ascii="Arial" w:hAnsi="Arial" w:cs="Arial"/>
                <w:sz w:val="16"/>
                <w:szCs w:val="16"/>
              </w:rPr>
              <w:br/>
              <w:t>$'000</w:t>
            </w:r>
          </w:p>
        </w:tc>
        <w:tc>
          <w:tcPr>
            <w:tcW w:w="903" w:type="dxa"/>
            <w:gridSpan w:val="2"/>
            <w:tcBorders>
              <w:top w:val="single" w:sz="4" w:space="0" w:color="auto"/>
              <w:left w:val="nil"/>
              <w:bottom w:val="single" w:sz="4" w:space="0" w:color="auto"/>
              <w:right w:val="nil"/>
            </w:tcBorders>
            <w:shd w:val="clear" w:color="000000" w:fill="E6E6E6"/>
            <w:vAlign w:val="center"/>
            <w:hideMark/>
          </w:tcPr>
          <w:p w:rsidR="00EB04DE" w:rsidRPr="00875CE3" w:rsidRDefault="00EB04DE" w:rsidP="00EB04DE">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rsidR="00EB04DE" w:rsidRPr="00875CE3" w:rsidRDefault="00EB04DE" w:rsidP="00EB04DE">
            <w:pPr>
              <w:spacing w:after="0" w:line="240" w:lineRule="auto"/>
              <w:jc w:val="right"/>
              <w:rPr>
                <w:rFonts w:ascii="Arial" w:hAnsi="Arial" w:cs="Arial"/>
                <w:sz w:val="16"/>
                <w:szCs w:val="16"/>
              </w:rPr>
            </w:pPr>
            <w:r>
              <w:rPr>
                <w:rFonts w:ascii="Arial" w:hAnsi="Arial" w:cs="Arial"/>
                <w:sz w:val="16"/>
                <w:szCs w:val="16"/>
              </w:rPr>
              <w:t>2019–20</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rsidR="00EB04DE" w:rsidRPr="00875CE3" w:rsidRDefault="00EB04DE" w:rsidP="00EB04DE">
            <w:pPr>
              <w:spacing w:after="0" w:line="240" w:lineRule="auto"/>
              <w:jc w:val="right"/>
              <w:rPr>
                <w:rFonts w:ascii="Arial" w:hAnsi="Arial" w:cs="Arial"/>
                <w:sz w:val="16"/>
                <w:szCs w:val="16"/>
              </w:rPr>
            </w:pPr>
            <w:r>
              <w:rPr>
                <w:rFonts w:ascii="Arial" w:hAnsi="Arial" w:cs="Arial"/>
                <w:sz w:val="16"/>
                <w:szCs w:val="16"/>
              </w:rPr>
              <w:t>2020–21</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rsidR="00EB04DE" w:rsidRPr="00875CE3" w:rsidRDefault="00EB04DE" w:rsidP="00EB04DE">
            <w:pPr>
              <w:spacing w:after="0" w:line="240" w:lineRule="auto"/>
              <w:jc w:val="right"/>
              <w:rPr>
                <w:rFonts w:ascii="Arial" w:hAnsi="Arial" w:cs="Arial"/>
                <w:sz w:val="16"/>
                <w:szCs w:val="16"/>
              </w:rPr>
            </w:pPr>
            <w:r>
              <w:rPr>
                <w:rFonts w:ascii="Arial" w:hAnsi="Arial" w:cs="Arial"/>
                <w:sz w:val="16"/>
                <w:szCs w:val="16"/>
              </w:rPr>
              <w:t>2021–22</w:t>
            </w:r>
            <w:r w:rsidRPr="00875CE3">
              <w:rPr>
                <w:rFonts w:ascii="Arial" w:hAnsi="Arial" w:cs="Arial"/>
                <w:sz w:val="16"/>
                <w:szCs w:val="16"/>
              </w:rPr>
              <w:br/>
              <w:t>$'000</w:t>
            </w:r>
          </w:p>
        </w:tc>
      </w:tr>
      <w:tr w:rsidR="00875CE3" w:rsidRPr="00875CE3" w:rsidTr="00EB04DE">
        <w:trPr>
          <w:trHeight w:val="794"/>
        </w:trPr>
        <w:tc>
          <w:tcPr>
            <w:tcW w:w="3203" w:type="dxa"/>
            <w:gridSpan w:val="2"/>
            <w:tcBorders>
              <w:top w:val="nil"/>
              <w:left w:val="nil"/>
              <w:bottom w:val="nil"/>
              <w:right w:val="nil"/>
            </w:tcBorders>
            <w:shd w:val="clear" w:color="auto" w:fill="auto"/>
            <w:vAlign w:val="center"/>
            <w:hideMark/>
          </w:tcPr>
          <w:p w:rsidR="00875CE3" w:rsidRPr="00875CE3" w:rsidRDefault="00875CE3" w:rsidP="00FF5A80">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Total comprehensive income/(loss) excluding depreciation/amortisation expenses previously funded through  revenue appropriations</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903" w:type="dxa"/>
            <w:gridSpan w:val="2"/>
            <w:tcBorders>
              <w:top w:val="nil"/>
              <w:left w:val="nil"/>
              <w:bottom w:val="nil"/>
              <w:right w:val="nil"/>
            </w:tcBorders>
            <w:shd w:val="clear" w:color="000000" w:fill="E6E6E6"/>
            <w:noWrap/>
            <w:vAlign w:val="center"/>
            <w:hideMark/>
          </w:tcPr>
          <w:p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r>
      <w:tr w:rsidR="00875CE3" w:rsidRPr="00875CE3" w:rsidTr="00EB04DE">
        <w:trPr>
          <w:trHeight w:val="567"/>
        </w:trPr>
        <w:tc>
          <w:tcPr>
            <w:tcW w:w="3203" w:type="dxa"/>
            <w:gridSpan w:val="2"/>
            <w:tcBorders>
              <w:top w:val="nil"/>
              <w:left w:val="nil"/>
              <w:bottom w:val="nil"/>
              <w:right w:val="nil"/>
            </w:tcBorders>
            <w:shd w:val="clear" w:color="auto" w:fill="auto"/>
            <w:vAlign w:val="center"/>
            <w:hideMark/>
          </w:tcPr>
          <w:p w:rsidR="00875CE3" w:rsidRPr="00875CE3" w:rsidRDefault="00875CE3" w:rsidP="00FF5A80">
            <w:pPr>
              <w:spacing w:after="0" w:line="240" w:lineRule="auto"/>
              <w:ind w:leftChars="80" w:left="333" w:hangingChars="108" w:hanging="173"/>
              <w:rPr>
                <w:rFonts w:ascii="Arial" w:hAnsi="Arial" w:cs="Arial"/>
                <w:color w:val="000000"/>
                <w:sz w:val="16"/>
                <w:szCs w:val="16"/>
              </w:rPr>
            </w:pPr>
            <w:r w:rsidRPr="00875CE3">
              <w:rPr>
                <w:rFonts w:ascii="Arial" w:hAnsi="Arial" w:cs="Arial"/>
                <w:color w:val="000000"/>
                <w:sz w:val="16"/>
                <w:szCs w:val="16"/>
              </w:rPr>
              <w:t>less depreciation/amortisation expenses previously funded through revenue appropriations (a)</w:t>
            </w:r>
          </w:p>
        </w:tc>
        <w:tc>
          <w:tcPr>
            <w:tcW w:w="928"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11,080 </w:t>
            </w:r>
          </w:p>
        </w:tc>
        <w:tc>
          <w:tcPr>
            <w:tcW w:w="903" w:type="dxa"/>
            <w:gridSpan w:val="2"/>
            <w:tcBorders>
              <w:top w:val="nil"/>
              <w:left w:val="nil"/>
              <w:bottom w:val="nil"/>
              <w:right w:val="nil"/>
            </w:tcBorders>
            <w:shd w:val="clear" w:color="000000" w:fill="E6E6E6"/>
            <w:noWrap/>
            <w:vAlign w:val="center"/>
            <w:hideMark/>
          </w:tcPr>
          <w:p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8,085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7,230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8,274 </w:t>
            </w:r>
          </w:p>
        </w:tc>
        <w:tc>
          <w:tcPr>
            <w:tcW w:w="901" w:type="dxa"/>
            <w:gridSpan w:val="2"/>
            <w:tcBorders>
              <w:top w:val="nil"/>
              <w:left w:val="nil"/>
              <w:bottom w:val="nil"/>
              <w:right w:val="nil"/>
            </w:tcBorders>
            <w:shd w:val="clear" w:color="auto" w:fill="auto"/>
            <w:noWrap/>
            <w:vAlign w:val="center"/>
            <w:hideMark/>
          </w:tcPr>
          <w:p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8,017 </w:t>
            </w:r>
          </w:p>
        </w:tc>
      </w:tr>
      <w:tr w:rsidR="00875CE3" w:rsidRPr="00875CE3" w:rsidTr="00EB04DE">
        <w:trPr>
          <w:trHeight w:val="567"/>
        </w:trPr>
        <w:tc>
          <w:tcPr>
            <w:tcW w:w="3203" w:type="dxa"/>
            <w:gridSpan w:val="2"/>
            <w:tcBorders>
              <w:top w:val="nil"/>
              <w:left w:val="nil"/>
              <w:bottom w:val="single" w:sz="4" w:space="0" w:color="auto"/>
              <w:right w:val="nil"/>
            </w:tcBorders>
            <w:shd w:val="clear" w:color="auto" w:fill="auto"/>
            <w:vAlign w:val="bottom"/>
            <w:hideMark/>
          </w:tcPr>
          <w:p w:rsidR="00875CE3" w:rsidRPr="00875CE3" w:rsidRDefault="00875CE3" w:rsidP="00FF5A80">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Total comprehensive income/(loss)—as per the statement of comprehensive income</w:t>
            </w:r>
          </w:p>
        </w:tc>
        <w:tc>
          <w:tcPr>
            <w:tcW w:w="928" w:type="dxa"/>
            <w:gridSpan w:val="2"/>
            <w:tcBorders>
              <w:top w:val="single" w:sz="4" w:space="0" w:color="auto"/>
              <w:left w:val="nil"/>
              <w:bottom w:val="single" w:sz="4" w:space="0" w:color="auto"/>
              <w:right w:val="nil"/>
            </w:tcBorders>
            <w:shd w:val="clear" w:color="auto" w:fill="auto"/>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(11,080)</w:t>
            </w:r>
          </w:p>
        </w:tc>
        <w:tc>
          <w:tcPr>
            <w:tcW w:w="903" w:type="dxa"/>
            <w:gridSpan w:val="2"/>
            <w:tcBorders>
              <w:top w:val="single" w:sz="4" w:space="0" w:color="auto"/>
              <w:left w:val="nil"/>
              <w:bottom w:val="single" w:sz="4" w:space="0" w:color="auto"/>
              <w:right w:val="nil"/>
            </w:tcBorders>
            <w:shd w:val="clear" w:color="000000" w:fill="E6E6E6"/>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(8,085)</w:t>
            </w:r>
          </w:p>
        </w:tc>
        <w:tc>
          <w:tcPr>
            <w:tcW w:w="901" w:type="dxa"/>
            <w:gridSpan w:val="2"/>
            <w:tcBorders>
              <w:top w:val="single" w:sz="4" w:space="0" w:color="auto"/>
              <w:left w:val="nil"/>
              <w:bottom w:val="single" w:sz="4" w:space="0" w:color="auto"/>
              <w:right w:val="nil"/>
            </w:tcBorders>
            <w:shd w:val="clear" w:color="auto" w:fill="auto"/>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(7,230)</w:t>
            </w:r>
          </w:p>
        </w:tc>
        <w:tc>
          <w:tcPr>
            <w:tcW w:w="901" w:type="dxa"/>
            <w:gridSpan w:val="2"/>
            <w:tcBorders>
              <w:top w:val="single" w:sz="4" w:space="0" w:color="auto"/>
              <w:left w:val="nil"/>
              <w:bottom w:val="single" w:sz="4" w:space="0" w:color="auto"/>
              <w:right w:val="nil"/>
            </w:tcBorders>
            <w:shd w:val="clear" w:color="auto" w:fill="auto"/>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(8,274)</w:t>
            </w:r>
          </w:p>
        </w:tc>
        <w:tc>
          <w:tcPr>
            <w:tcW w:w="901" w:type="dxa"/>
            <w:gridSpan w:val="2"/>
            <w:tcBorders>
              <w:top w:val="single" w:sz="4" w:space="0" w:color="auto"/>
              <w:left w:val="nil"/>
              <w:bottom w:val="single" w:sz="4" w:space="0" w:color="auto"/>
              <w:right w:val="nil"/>
            </w:tcBorders>
            <w:shd w:val="clear" w:color="auto" w:fill="auto"/>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(8,017)</w:t>
            </w:r>
          </w:p>
        </w:tc>
      </w:tr>
    </w:tbl>
    <w:p w:rsidR="00875CE3" w:rsidRPr="00875CE3" w:rsidRDefault="00875CE3" w:rsidP="00E01B4E">
      <w:pPr>
        <w:pStyle w:val="ChartandTableFootnoteAlpha"/>
        <w:numPr>
          <w:ilvl w:val="0"/>
          <w:numId w:val="48"/>
        </w:numPr>
        <w:rPr>
          <w:rFonts w:cs="Arial"/>
        </w:rPr>
      </w:pPr>
      <w:r w:rsidRPr="00875CE3">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875CE3" w:rsidRPr="009D54F3" w:rsidRDefault="00875CE3" w:rsidP="00875CE3">
      <w:pPr>
        <w:pStyle w:val="ChartandTableFootnote"/>
      </w:pPr>
      <w:r w:rsidRPr="009D54F3">
        <w:t>Prepared on Australian Accounting Standards basis.</w:t>
      </w:r>
    </w:p>
    <w:p w:rsidR="00875CE3" w:rsidRDefault="00875CE3" w:rsidP="00875CE3">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875CE3" w:rsidRPr="00875CE3" w:rsidTr="00FF5A80">
        <w:trPr>
          <w:trHeight w:val="794"/>
        </w:trPr>
        <w:tc>
          <w:tcPr>
            <w:tcW w:w="3146" w:type="dxa"/>
            <w:tcBorders>
              <w:top w:val="single" w:sz="4" w:space="0" w:color="auto"/>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sz w:val="16"/>
                <w:szCs w:val="16"/>
              </w:rPr>
            </w:pPr>
            <w:r w:rsidRPr="00875CE3">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2017–18 Estimated actual</w:t>
            </w:r>
            <w:r w:rsidRPr="00875CE3">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Budget</w:t>
            </w:r>
            <w:r w:rsidRPr="00875CE3">
              <w:rPr>
                <w:rFonts w:ascii="Arial" w:hAnsi="Arial" w:cs="Arial"/>
                <w:sz w:val="16"/>
                <w:szCs w:val="16"/>
              </w:rPr>
              <w:br/>
            </w:r>
            <w:r w:rsidRPr="00875CE3">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2019–20 Forward estimate</w:t>
            </w:r>
            <w:r w:rsidRPr="00875CE3">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2020–21 Forward estimate</w:t>
            </w:r>
            <w:r w:rsidRPr="00875CE3">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2021–22</w:t>
            </w:r>
            <w:r w:rsidRPr="00875CE3">
              <w:rPr>
                <w:rFonts w:ascii="Arial" w:hAnsi="Arial" w:cs="Arial"/>
                <w:sz w:val="16"/>
                <w:szCs w:val="16"/>
              </w:rPr>
              <w:br/>
              <w:t>Forward estimate</w:t>
            </w:r>
            <w:r w:rsidRPr="00875CE3">
              <w:rPr>
                <w:rFonts w:ascii="Arial" w:hAnsi="Arial" w:cs="Arial"/>
                <w:sz w:val="16"/>
                <w:szCs w:val="16"/>
              </w:rPr>
              <w:br/>
              <w:t>$'000</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 xml:space="preserve">Cash </w:t>
            </w:r>
            <w:r w:rsidRPr="00875CE3">
              <w:rPr>
                <w:rFonts w:ascii="Arial" w:hAnsi="Arial" w:cs="Arial"/>
                <w:sz w:val="16"/>
                <w:szCs w:val="16"/>
              </w:rPr>
              <w:t>and cash equivalents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sz w:val="16"/>
                <w:szCs w:val="16"/>
              </w:rPr>
            </w:pPr>
            <w:r w:rsidRPr="00875CE3">
              <w:rPr>
                <w:rFonts w:ascii="Arial" w:hAnsi="Arial" w:cs="Arial"/>
                <w:sz w:val="16"/>
                <w:szCs w:val="16"/>
              </w:rPr>
              <w:t>Trade and other receivables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62,282</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59,852</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59,422</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58,992</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58,562</w:t>
            </w:r>
          </w:p>
        </w:tc>
      </w:tr>
      <w:tr w:rsidR="00875CE3" w:rsidRPr="00875CE3" w:rsidTr="00FF5A80">
        <w:trPr>
          <w:trHeight w:val="227"/>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64,150 </w:t>
            </w:r>
          </w:p>
        </w:tc>
        <w:tc>
          <w:tcPr>
            <w:tcW w:w="907"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61,720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61,290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60,860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60,430 </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Land and buildings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14,507</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16,586</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16,330</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15,733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14,436</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Property, plant and equipment</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1,618</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495</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2,029</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2,561</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2,246</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Intangibles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8,120</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8,294</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6,008</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4,063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3,958</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r>
      <w:tr w:rsidR="00875CE3" w:rsidRPr="00875CE3" w:rsidTr="00FF5A80">
        <w:trPr>
          <w:trHeight w:val="227"/>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25,326 </w:t>
            </w:r>
          </w:p>
        </w:tc>
        <w:tc>
          <w:tcPr>
            <w:tcW w:w="907"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26,456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25,448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23,438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21,721 </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Total assets</w:t>
            </w:r>
          </w:p>
        </w:tc>
        <w:tc>
          <w:tcPr>
            <w:tcW w:w="964"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89,476 </w:t>
            </w:r>
          </w:p>
        </w:tc>
        <w:tc>
          <w:tcPr>
            <w:tcW w:w="907" w:type="dxa"/>
            <w:tcBorders>
              <w:top w:val="nil"/>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88,176 </w:t>
            </w:r>
          </w:p>
        </w:tc>
        <w:tc>
          <w:tcPr>
            <w:tcW w:w="907"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86,738 </w:t>
            </w:r>
          </w:p>
        </w:tc>
        <w:tc>
          <w:tcPr>
            <w:tcW w:w="907"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84,298 </w:t>
            </w:r>
          </w:p>
        </w:tc>
        <w:tc>
          <w:tcPr>
            <w:tcW w:w="907"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82,151 </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r>
      <w:tr w:rsidR="00875CE3" w:rsidRPr="00875CE3" w:rsidTr="00FF5A80">
        <w:trPr>
          <w:trHeight w:val="227"/>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c>
          <w:tcPr>
            <w:tcW w:w="907"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Employee provisions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 provisions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6,293</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5,863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5,433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5,003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4,573</w:t>
            </w:r>
          </w:p>
        </w:tc>
      </w:tr>
      <w:tr w:rsidR="00875CE3" w:rsidRPr="00875CE3" w:rsidTr="00FF5A80">
        <w:trPr>
          <w:trHeight w:val="227"/>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27,764 </w:t>
            </w:r>
          </w:p>
        </w:tc>
        <w:tc>
          <w:tcPr>
            <w:tcW w:w="907"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27,334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26,904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26,474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26,044 </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Total liabilities</w:t>
            </w:r>
          </w:p>
        </w:tc>
        <w:tc>
          <w:tcPr>
            <w:tcW w:w="96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43,387 </w:t>
            </w:r>
          </w:p>
        </w:tc>
        <w:tc>
          <w:tcPr>
            <w:tcW w:w="907" w:type="dxa"/>
            <w:tcBorders>
              <w:top w:val="single" w:sz="4" w:space="0" w:color="auto"/>
              <w:left w:val="nil"/>
              <w:bottom w:val="single" w:sz="4" w:space="0" w:color="auto"/>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42,957 </w:t>
            </w:r>
          </w:p>
        </w:tc>
        <w:tc>
          <w:tcPr>
            <w:tcW w:w="907"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42,527 </w:t>
            </w:r>
          </w:p>
        </w:tc>
        <w:tc>
          <w:tcPr>
            <w:tcW w:w="907"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42,097 </w:t>
            </w:r>
          </w:p>
        </w:tc>
        <w:tc>
          <w:tcPr>
            <w:tcW w:w="907"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41,667 </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sz w:val="16"/>
                <w:szCs w:val="16"/>
              </w:rPr>
            </w:pPr>
            <w:r w:rsidRPr="00875CE3">
              <w:rPr>
                <w:rFonts w:ascii="Arial" w:hAnsi="Arial" w:cs="Arial"/>
                <w:b/>
                <w:bCs/>
                <w:sz w:val="16"/>
                <w:szCs w:val="16"/>
              </w:rPr>
              <w:t>Net assets</w:t>
            </w:r>
          </w:p>
        </w:tc>
        <w:tc>
          <w:tcPr>
            <w:tcW w:w="964" w:type="dxa"/>
            <w:tcBorders>
              <w:top w:val="nil"/>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46,089 </w:t>
            </w:r>
          </w:p>
        </w:tc>
        <w:tc>
          <w:tcPr>
            <w:tcW w:w="907" w:type="dxa"/>
            <w:tcBorders>
              <w:top w:val="nil"/>
              <w:left w:val="nil"/>
              <w:bottom w:val="single" w:sz="4" w:space="0" w:color="auto"/>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45,219 </w:t>
            </w:r>
          </w:p>
        </w:tc>
        <w:tc>
          <w:tcPr>
            <w:tcW w:w="907" w:type="dxa"/>
            <w:tcBorders>
              <w:top w:val="nil"/>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44,211 </w:t>
            </w:r>
          </w:p>
        </w:tc>
        <w:tc>
          <w:tcPr>
            <w:tcW w:w="907" w:type="dxa"/>
            <w:tcBorders>
              <w:top w:val="nil"/>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42,201 </w:t>
            </w:r>
          </w:p>
        </w:tc>
        <w:tc>
          <w:tcPr>
            <w:tcW w:w="907" w:type="dxa"/>
            <w:tcBorders>
              <w:top w:val="nil"/>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40,484 </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EQUITY*</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Parent entity interest</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Contributed equity</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103,667 </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110,882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117,104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123,368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129,668 </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Reserves</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r>
      <w:tr w:rsidR="00875CE3" w:rsidRPr="00875CE3" w:rsidTr="00FF5A80">
        <w:trPr>
          <w:trHeight w:val="227"/>
        </w:trPr>
        <w:tc>
          <w:tcPr>
            <w:tcW w:w="3146" w:type="dxa"/>
            <w:tcBorders>
              <w:top w:val="nil"/>
              <w:left w:val="nil"/>
              <w:bottom w:val="nil"/>
              <w:right w:val="nil"/>
            </w:tcBorders>
            <w:shd w:val="clear" w:color="auto" w:fill="auto"/>
            <w:vAlign w:val="center"/>
            <w:hideMark/>
          </w:tcPr>
          <w:p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Retained surplus (accumulated deficit)</w:t>
            </w:r>
          </w:p>
        </w:tc>
        <w:tc>
          <w:tcPr>
            <w:tcW w:w="96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(63,354)</w:t>
            </w:r>
          </w:p>
        </w:tc>
        <w:tc>
          <w:tcPr>
            <w:tcW w:w="907"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(71,439)</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(78,669)</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(86,943)</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(94,960)</w:t>
            </w:r>
          </w:p>
        </w:tc>
      </w:tr>
      <w:tr w:rsidR="00875CE3" w:rsidRPr="00875CE3" w:rsidTr="00FF5A80">
        <w:trPr>
          <w:trHeight w:val="225"/>
        </w:trPr>
        <w:tc>
          <w:tcPr>
            <w:tcW w:w="3146" w:type="dxa"/>
            <w:tcBorders>
              <w:top w:val="nil"/>
              <w:left w:val="nil"/>
              <w:bottom w:val="nil"/>
              <w:right w:val="nil"/>
            </w:tcBorders>
            <w:shd w:val="clear" w:color="auto" w:fill="auto"/>
            <w:noWrap/>
            <w:vAlign w:val="center"/>
            <w:hideMark/>
          </w:tcPr>
          <w:p w:rsidR="00875CE3" w:rsidRPr="00875CE3" w:rsidRDefault="00875CE3" w:rsidP="00875CE3">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parent entity interest</w:t>
            </w:r>
          </w:p>
        </w:tc>
        <w:tc>
          <w:tcPr>
            <w:tcW w:w="964"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46,089 </w:t>
            </w:r>
          </w:p>
        </w:tc>
        <w:tc>
          <w:tcPr>
            <w:tcW w:w="907"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45,219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44,211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42,201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40,484 </w:t>
            </w:r>
          </w:p>
        </w:tc>
      </w:tr>
      <w:tr w:rsidR="00875CE3" w:rsidRPr="00875CE3" w:rsidTr="00FF5A80">
        <w:trPr>
          <w:trHeight w:val="225"/>
        </w:trPr>
        <w:tc>
          <w:tcPr>
            <w:tcW w:w="3146" w:type="dxa"/>
            <w:tcBorders>
              <w:top w:val="nil"/>
              <w:left w:val="nil"/>
              <w:bottom w:val="single" w:sz="4" w:space="0" w:color="000000"/>
              <w:right w:val="nil"/>
            </w:tcBorders>
            <w:shd w:val="clear" w:color="auto" w:fill="auto"/>
            <w:noWrap/>
            <w:vAlign w:val="bottom"/>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Total equity</w:t>
            </w:r>
          </w:p>
        </w:tc>
        <w:tc>
          <w:tcPr>
            <w:tcW w:w="964" w:type="dxa"/>
            <w:tcBorders>
              <w:top w:val="nil"/>
              <w:left w:val="nil"/>
              <w:bottom w:val="single" w:sz="4" w:space="0" w:color="000000"/>
              <w:right w:val="nil"/>
            </w:tcBorders>
            <w:shd w:val="clear" w:color="auto" w:fill="auto"/>
            <w:noWrap/>
            <w:vAlign w:val="bottom"/>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46,089 </w:t>
            </w:r>
          </w:p>
        </w:tc>
        <w:tc>
          <w:tcPr>
            <w:tcW w:w="907" w:type="dxa"/>
            <w:tcBorders>
              <w:top w:val="nil"/>
              <w:left w:val="nil"/>
              <w:bottom w:val="single" w:sz="4" w:space="0" w:color="000000"/>
              <w:right w:val="nil"/>
            </w:tcBorders>
            <w:shd w:val="clear" w:color="000000" w:fill="E6E6E6"/>
            <w:noWrap/>
            <w:vAlign w:val="bottom"/>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45,219 </w:t>
            </w:r>
          </w:p>
        </w:tc>
        <w:tc>
          <w:tcPr>
            <w:tcW w:w="907" w:type="dxa"/>
            <w:tcBorders>
              <w:top w:val="nil"/>
              <w:left w:val="nil"/>
              <w:bottom w:val="single" w:sz="4" w:space="0" w:color="000000"/>
              <w:right w:val="nil"/>
            </w:tcBorders>
            <w:shd w:val="clear" w:color="auto" w:fill="auto"/>
            <w:noWrap/>
            <w:vAlign w:val="bottom"/>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44,211 </w:t>
            </w:r>
          </w:p>
        </w:tc>
        <w:tc>
          <w:tcPr>
            <w:tcW w:w="907" w:type="dxa"/>
            <w:tcBorders>
              <w:top w:val="nil"/>
              <w:left w:val="nil"/>
              <w:bottom w:val="single" w:sz="4" w:space="0" w:color="000000"/>
              <w:right w:val="nil"/>
            </w:tcBorders>
            <w:shd w:val="clear" w:color="auto" w:fill="auto"/>
            <w:noWrap/>
            <w:vAlign w:val="bottom"/>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42,201 </w:t>
            </w:r>
          </w:p>
        </w:tc>
        <w:tc>
          <w:tcPr>
            <w:tcW w:w="907" w:type="dxa"/>
            <w:tcBorders>
              <w:top w:val="nil"/>
              <w:left w:val="nil"/>
              <w:bottom w:val="single" w:sz="4" w:space="0" w:color="000000"/>
              <w:right w:val="nil"/>
            </w:tcBorders>
            <w:shd w:val="clear" w:color="auto" w:fill="auto"/>
            <w:noWrap/>
            <w:vAlign w:val="bottom"/>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40,484 </w:t>
            </w:r>
          </w:p>
        </w:tc>
      </w:tr>
    </w:tbl>
    <w:p w:rsidR="00875CE3" w:rsidRPr="00132F9E" w:rsidRDefault="00875CE3" w:rsidP="00875CE3">
      <w:pPr>
        <w:pStyle w:val="ChartandTableFootnote"/>
      </w:pPr>
      <w:r w:rsidRPr="00132F9E">
        <w:t>*Equity is the residual interest in assets after deduction of liabilities.</w:t>
      </w:r>
    </w:p>
    <w:p w:rsidR="00875CE3" w:rsidRPr="00875CE3" w:rsidRDefault="00875CE3" w:rsidP="00875CE3">
      <w:pPr>
        <w:pStyle w:val="ChartandTableFootnote"/>
        <w:rPr>
          <w:lang w:val="en-AU"/>
        </w:rPr>
      </w:pPr>
      <w:r w:rsidRPr="00132F9E">
        <w:t>Prepared on Australian Accounting Standards basis.</w:t>
      </w:r>
    </w:p>
    <w:p w:rsidR="00875CE3" w:rsidRDefault="00875CE3" w:rsidP="00875CE3">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38" w:type="dxa"/>
        <w:tblInd w:w="93" w:type="dxa"/>
        <w:tblLook w:val="04A0" w:firstRow="1" w:lastRow="0" w:firstColumn="1" w:lastColumn="0" w:noHBand="0" w:noVBand="1"/>
      </w:tblPr>
      <w:tblGrid>
        <w:gridCol w:w="3543"/>
        <w:gridCol w:w="1020"/>
        <w:gridCol w:w="1134"/>
        <w:gridCol w:w="1134"/>
        <w:gridCol w:w="907"/>
      </w:tblGrid>
      <w:tr w:rsidR="00875CE3" w:rsidRPr="00875CE3" w:rsidTr="00FF5A80">
        <w:trPr>
          <w:trHeight w:val="794"/>
        </w:trPr>
        <w:tc>
          <w:tcPr>
            <w:tcW w:w="3543" w:type="dxa"/>
            <w:tcBorders>
              <w:top w:val="single" w:sz="4" w:space="0" w:color="auto"/>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color w:val="000000"/>
                <w:sz w:val="16"/>
                <w:szCs w:val="16"/>
              </w:rPr>
            </w:pPr>
            <w:r w:rsidRPr="00875CE3">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Retained</w:t>
            </w:r>
            <w:r w:rsidRPr="00875CE3">
              <w:rPr>
                <w:rFonts w:ascii="Arial" w:hAnsi="Arial" w:cs="Arial"/>
                <w:color w:val="000000"/>
                <w:sz w:val="16"/>
                <w:szCs w:val="16"/>
              </w:rPr>
              <w:br/>
              <w:t>earnings</w:t>
            </w:r>
            <w:r w:rsidRPr="00875CE3">
              <w:rPr>
                <w:rFonts w:ascii="Arial" w:hAnsi="Arial" w:cs="Arial"/>
                <w:color w:val="000000"/>
                <w:sz w:val="16"/>
                <w:szCs w:val="16"/>
              </w:rPr>
              <w:br/>
            </w:r>
            <w:r w:rsidRPr="00875CE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Asset</w:t>
            </w:r>
            <w:r w:rsidRPr="00875CE3">
              <w:rPr>
                <w:rFonts w:ascii="Arial" w:hAnsi="Arial" w:cs="Arial"/>
                <w:color w:val="000000"/>
                <w:sz w:val="16"/>
                <w:szCs w:val="16"/>
              </w:rPr>
              <w:br/>
              <w:t>revaluation</w:t>
            </w:r>
            <w:r w:rsidRPr="00875CE3">
              <w:rPr>
                <w:rFonts w:ascii="Arial" w:hAnsi="Arial" w:cs="Arial"/>
                <w:color w:val="000000"/>
                <w:sz w:val="16"/>
                <w:szCs w:val="16"/>
              </w:rPr>
              <w:br/>
              <w:t>reserve</w:t>
            </w:r>
            <w:r w:rsidRPr="00875CE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Contributed</w:t>
            </w:r>
            <w:r w:rsidRPr="00875CE3">
              <w:rPr>
                <w:rFonts w:ascii="Arial" w:hAnsi="Arial" w:cs="Arial"/>
                <w:color w:val="000000"/>
                <w:sz w:val="16"/>
                <w:szCs w:val="16"/>
              </w:rPr>
              <w:br/>
              <w:t>equity/</w:t>
            </w:r>
            <w:r w:rsidRPr="00875CE3">
              <w:rPr>
                <w:rFonts w:ascii="Arial" w:hAnsi="Arial" w:cs="Arial"/>
                <w:color w:val="000000"/>
                <w:sz w:val="16"/>
                <w:szCs w:val="16"/>
              </w:rPr>
              <w:br/>
              <w:t>capital</w:t>
            </w:r>
            <w:r w:rsidRPr="00875CE3">
              <w:rPr>
                <w:rFonts w:ascii="Arial" w:hAnsi="Arial" w:cs="Arial"/>
                <w:color w:val="000000"/>
                <w:sz w:val="16"/>
                <w:szCs w:val="16"/>
              </w:rPr>
              <w:br/>
              <w:t>$'000</w:t>
            </w:r>
          </w:p>
        </w:tc>
        <w:tc>
          <w:tcPr>
            <w:tcW w:w="907" w:type="dxa"/>
            <w:tcBorders>
              <w:top w:val="single" w:sz="4" w:space="0" w:color="auto"/>
              <w:left w:val="nil"/>
              <w:bottom w:val="single" w:sz="4" w:space="0" w:color="000000"/>
              <w:right w:val="nil"/>
            </w:tcBorders>
            <w:shd w:val="clear" w:color="auto" w:fill="auto"/>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Total</w:t>
            </w:r>
            <w:r w:rsidRPr="00875CE3">
              <w:rPr>
                <w:rFonts w:ascii="Arial" w:hAnsi="Arial" w:cs="Arial"/>
                <w:color w:val="000000"/>
                <w:sz w:val="16"/>
                <w:szCs w:val="16"/>
              </w:rPr>
              <w:br/>
              <w:t xml:space="preserve">equity </w:t>
            </w:r>
            <w:r w:rsidRPr="00875CE3">
              <w:rPr>
                <w:rFonts w:ascii="Arial" w:hAnsi="Arial" w:cs="Arial"/>
                <w:color w:val="000000"/>
                <w:sz w:val="16"/>
                <w:szCs w:val="16"/>
              </w:rPr>
              <w:br/>
            </w:r>
            <w:r w:rsidRPr="00875CE3">
              <w:rPr>
                <w:rFonts w:ascii="Arial" w:hAnsi="Arial" w:cs="Arial"/>
                <w:color w:val="000000"/>
                <w:sz w:val="16"/>
                <w:szCs w:val="16"/>
              </w:rPr>
              <w:br/>
              <w:t>$'000</w:t>
            </w:r>
          </w:p>
        </w:tc>
      </w:tr>
      <w:tr w:rsidR="00875CE3" w:rsidRPr="00875CE3" w:rsidTr="00FF5A80">
        <w:trPr>
          <w:trHeight w:val="225"/>
        </w:trPr>
        <w:tc>
          <w:tcPr>
            <w:tcW w:w="3543" w:type="dxa"/>
            <w:tcBorders>
              <w:top w:val="nil"/>
              <w:left w:val="nil"/>
              <w:bottom w:val="nil"/>
              <w:right w:val="nil"/>
            </w:tcBorders>
            <w:shd w:val="clear" w:color="auto" w:fill="auto"/>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397"/>
        </w:trPr>
        <w:tc>
          <w:tcPr>
            <w:tcW w:w="3543" w:type="dxa"/>
            <w:tcBorders>
              <w:top w:val="nil"/>
              <w:left w:val="nil"/>
              <w:bottom w:val="nil"/>
              <w:right w:val="nil"/>
            </w:tcBorders>
            <w:shd w:val="clear" w:color="auto" w:fill="auto"/>
            <w:vAlign w:val="center"/>
            <w:hideMark/>
          </w:tcPr>
          <w:p w:rsidR="00875CE3" w:rsidRPr="00875CE3" w:rsidRDefault="00875CE3" w:rsidP="00FF5A80">
            <w:pPr>
              <w:spacing w:after="0" w:line="240" w:lineRule="auto"/>
              <w:ind w:leftChars="80" w:left="333" w:hangingChars="108" w:hanging="173"/>
              <w:rPr>
                <w:rFonts w:ascii="Arial" w:hAnsi="Arial" w:cs="Arial"/>
                <w:color w:val="000000"/>
                <w:sz w:val="16"/>
                <w:szCs w:val="16"/>
              </w:rPr>
            </w:pPr>
            <w:r w:rsidRPr="00875CE3">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(63,354)</w:t>
            </w:r>
          </w:p>
        </w:tc>
        <w:tc>
          <w:tcPr>
            <w:tcW w:w="113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113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103,667 </w:t>
            </w: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46,089 </w:t>
            </w:r>
          </w:p>
        </w:tc>
      </w:tr>
      <w:tr w:rsidR="00875CE3" w:rsidRPr="00875CE3" w:rsidTr="00FF5A80">
        <w:trPr>
          <w:trHeight w:val="227"/>
        </w:trPr>
        <w:tc>
          <w:tcPr>
            <w:tcW w:w="3543" w:type="dxa"/>
            <w:tcBorders>
              <w:top w:val="nil"/>
              <w:left w:val="nil"/>
              <w:bottom w:val="nil"/>
              <w:right w:val="nil"/>
            </w:tcBorders>
            <w:shd w:val="clear" w:color="auto" w:fill="auto"/>
            <w:vAlign w:val="center"/>
            <w:hideMark/>
          </w:tcPr>
          <w:p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(63,354)</w:t>
            </w:r>
          </w:p>
        </w:tc>
        <w:tc>
          <w:tcPr>
            <w:tcW w:w="1134"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5,776 </w:t>
            </w:r>
          </w:p>
        </w:tc>
        <w:tc>
          <w:tcPr>
            <w:tcW w:w="1134"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103,667 </w:t>
            </w:r>
          </w:p>
        </w:tc>
        <w:tc>
          <w:tcPr>
            <w:tcW w:w="907"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46,089 </w:t>
            </w:r>
          </w:p>
        </w:tc>
      </w:tr>
      <w:tr w:rsidR="00875CE3" w:rsidRPr="00875CE3" w:rsidTr="00FF5A80">
        <w:trPr>
          <w:trHeight w:val="225"/>
        </w:trPr>
        <w:tc>
          <w:tcPr>
            <w:tcW w:w="3543"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AB5AE6" w:rsidRPr="00875CE3" w:rsidTr="00FF5A80">
        <w:trPr>
          <w:trHeight w:val="225"/>
        </w:trPr>
        <w:tc>
          <w:tcPr>
            <w:tcW w:w="3543"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ind w:firstLineChars="100" w:firstLine="160"/>
              <w:rPr>
                <w:rFonts w:ascii="Arial" w:hAnsi="Arial" w:cs="Arial"/>
                <w:sz w:val="16"/>
                <w:szCs w:val="16"/>
              </w:rPr>
            </w:pPr>
            <w:r w:rsidRPr="00875CE3">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(8,085)</w:t>
            </w:r>
          </w:p>
        </w:tc>
        <w:tc>
          <w:tcPr>
            <w:tcW w:w="1134" w:type="dxa"/>
            <w:tcBorders>
              <w:top w:val="nil"/>
              <w:left w:val="nil"/>
              <w:bottom w:val="nil"/>
              <w:right w:val="nil"/>
            </w:tcBorders>
            <w:shd w:val="clear" w:color="auto" w:fill="auto"/>
            <w:noWrap/>
            <w:vAlign w:val="center"/>
            <w:hideMark/>
          </w:tcPr>
          <w:p w:rsidR="00AB5AE6" w:rsidRPr="00875CE3" w:rsidRDefault="00AB5AE6" w:rsidP="00AB5AE6">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AB5AE6" w:rsidRPr="00875CE3" w:rsidRDefault="00AB5AE6" w:rsidP="00AB5AE6">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(8,085)</w:t>
            </w:r>
          </w:p>
        </w:tc>
      </w:tr>
      <w:tr w:rsidR="00AB5AE6" w:rsidRPr="00875CE3" w:rsidTr="00FF5A80">
        <w:trPr>
          <w:trHeight w:val="227"/>
        </w:trPr>
        <w:tc>
          <w:tcPr>
            <w:tcW w:w="3543" w:type="dxa"/>
            <w:tcBorders>
              <w:top w:val="nil"/>
              <w:left w:val="nil"/>
              <w:bottom w:val="nil"/>
              <w:right w:val="nil"/>
            </w:tcBorders>
            <w:shd w:val="clear" w:color="auto" w:fill="auto"/>
            <w:vAlign w:val="center"/>
            <w:hideMark/>
          </w:tcPr>
          <w:p w:rsidR="00AB5AE6" w:rsidRPr="00875CE3" w:rsidRDefault="00AB5AE6"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(8,085)</w:t>
            </w:r>
          </w:p>
        </w:tc>
        <w:tc>
          <w:tcPr>
            <w:tcW w:w="1134" w:type="dxa"/>
            <w:tcBorders>
              <w:top w:val="single" w:sz="4" w:space="0" w:color="000000"/>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1134" w:type="dxa"/>
            <w:tcBorders>
              <w:top w:val="single" w:sz="4" w:space="0" w:color="000000"/>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907" w:type="dxa"/>
            <w:tcBorders>
              <w:top w:val="single" w:sz="4" w:space="0" w:color="000000"/>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(8,085)</w:t>
            </w:r>
          </w:p>
        </w:tc>
      </w:tr>
      <w:tr w:rsidR="00AB5AE6" w:rsidRPr="00875CE3" w:rsidTr="00FF5A80">
        <w:trPr>
          <w:trHeight w:val="225"/>
        </w:trPr>
        <w:tc>
          <w:tcPr>
            <w:tcW w:w="3543"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single" w:sz="4" w:space="0" w:color="000000"/>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r>
      <w:tr w:rsidR="00AB5AE6" w:rsidRPr="00875CE3" w:rsidTr="00FF5A80">
        <w:trPr>
          <w:trHeight w:val="227"/>
        </w:trPr>
        <w:tc>
          <w:tcPr>
            <w:tcW w:w="3543" w:type="dxa"/>
            <w:tcBorders>
              <w:top w:val="nil"/>
              <w:left w:val="nil"/>
              <w:bottom w:val="nil"/>
              <w:right w:val="nil"/>
            </w:tcBorders>
            <w:shd w:val="clear" w:color="auto" w:fill="auto"/>
            <w:vAlign w:val="center"/>
            <w:hideMark/>
          </w:tcPr>
          <w:p w:rsidR="00AB5AE6" w:rsidRPr="00875CE3" w:rsidRDefault="00AB5AE6" w:rsidP="00FF5A80">
            <w:pPr>
              <w:spacing w:after="0" w:line="240" w:lineRule="auto"/>
              <w:ind w:firstLineChars="200" w:firstLine="320"/>
              <w:rPr>
                <w:rFonts w:ascii="Arial" w:hAnsi="Arial" w:cs="Arial"/>
                <w:color w:val="000000"/>
                <w:sz w:val="16"/>
                <w:szCs w:val="16"/>
              </w:rPr>
            </w:pPr>
            <w:r w:rsidRPr="00875CE3">
              <w:rPr>
                <w:rFonts w:ascii="Arial" w:hAnsi="Arial" w:cs="Arial"/>
                <w:color w:val="000000"/>
                <w:sz w:val="16"/>
                <w:szCs w:val="16"/>
              </w:rPr>
              <w:t>Attributable to the Australian Government</w:t>
            </w:r>
          </w:p>
        </w:tc>
        <w:tc>
          <w:tcPr>
            <w:tcW w:w="1020"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(8,085)</w:t>
            </w:r>
          </w:p>
        </w:tc>
        <w:tc>
          <w:tcPr>
            <w:tcW w:w="1134"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(8,085)</w:t>
            </w:r>
          </w:p>
        </w:tc>
      </w:tr>
      <w:tr w:rsidR="00AB5AE6" w:rsidRPr="00875CE3" w:rsidTr="00FF5A80">
        <w:trPr>
          <w:trHeight w:val="225"/>
        </w:trPr>
        <w:tc>
          <w:tcPr>
            <w:tcW w:w="3543"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Transactions with owners</w:t>
            </w:r>
          </w:p>
        </w:tc>
        <w:tc>
          <w:tcPr>
            <w:tcW w:w="1020"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p>
        </w:tc>
      </w:tr>
      <w:tr w:rsidR="00AB5AE6" w:rsidRPr="00875CE3" w:rsidTr="00FF5A80">
        <w:trPr>
          <w:trHeight w:val="225"/>
        </w:trPr>
        <w:tc>
          <w:tcPr>
            <w:tcW w:w="3543"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p>
        </w:tc>
      </w:tr>
      <w:tr w:rsidR="00AB5AE6" w:rsidRPr="00875CE3" w:rsidTr="00FF5A80">
        <w:trPr>
          <w:trHeight w:val="225"/>
        </w:trPr>
        <w:tc>
          <w:tcPr>
            <w:tcW w:w="3543"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ind w:firstLineChars="200" w:firstLine="320"/>
              <w:rPr>
                <w:rFonts w:ascii="Arial" w:hAnsi="Arial" w:cs="Arial"/>
                <w:color w:val="000000"/>
                <w:sz w:val="16"/>
                <w:szCs w:val="16"/>
              </w:rPr>
            </w:pPr>
            <w:r w:rsidRPr="00875CE3">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7,215 </w:t>
            </w:r>
          </w:p>
        </w:tc>
        <w:tc>
          <w:tcPr>
            <w:tcW w:w="907"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7,215 </w:t>
            </w:r>
          </w:p>
        </w:tc>
      </w:tr>
      <w:tr w:rsidR="00AB5AE6" w:rsidRPr="00875CE3" w:rsidTr="00FF5A80">
        <w:trPr>
          <w:trHeight w:val="227"/>
        </w:trPr>
        <w:tc>
          <w:tcPr>
            <w:tcW w:w="3543" w:type="dxa"/>
            <w:tcBorders>
              <w:top w:val="nil"/>
              <w:left w:val="nil"/>
              <w:bottom w:val="nil"/>
              <w:right w:val="nil"/>
            </w:tcBorders>
            <w:shd w:val="clear" w:color="auto" w:fill="auto"/>
            <w:vAlign w:val="center"/>
            <w:hideMark/>
          </w:tcPr>
          <w:p w:rsidR="00AB5AE6" w:rsidRPr="00875CE3" w:rsidRDefault="00AB5AE6"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7,215 </w:t>
            </w:r>
          </w:p>
        </w:tc>
        <w:tc>
          <w:tcPr>
            <w:tcW w:w="907" w:type="dxa"/>
            <w:tcBorders>
              <w:top w:val="single" w:sz="4" w:space="0" w:color="000000"/>
              <w:left w:val="nil"/>
              <w:bottom w:val="single" w:sz="4" w:space="0" w:color="000000"/>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7,215 </w:t>
            </w:r>
          </w:p>
        </w:tc>
      </w:tr>
      <w:tr w:rsidR="00AB5AE6" w:rsidRPr="00875CE3" w:rsidTr="00FF5A80">
        <w:trPr>
          <w:trHeight w:val="397"/>
        </w:trPr>
        <w:tc>
          <w:tcPr>
            <w:tcW w:w="3543" w:type="dxa"/>
            <w:tcBorders>
              <w:top w:val="nil"/>
              <w:left w:val="nil"/>
              <w:bottom w:val="nil"/>
              <w:right w:val="nil"/>
            </w:tcBorders>
            <w:shd w:val="clear" w:color="auto" w:fill="auto"/>
            <w:vAlign w:val="center"/>
            <w:hideMark/>
          </w:tcPr>
          <w:p w:rsidR="00AB5AE6" w:rsidRPr="00875CE3" w:rsidRDefault="00AB5AE6" w:rsidP="00FF5A80">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Estimated closing balance as at</w:t>
            </w:r>
            <w:r>
              <w:rPr>
                <w:rFonts w:ascii="Arial" w:hAnsi="Arial" w:cs="Arial"/>
                <w:b/>
                <w:bCs/>
                <w:color w:val="000000"/>
                <w:sz w:val="16"/>
                <w:szCs w:val="16"/>
              </w:rPr>
              <w:t xml:space="preserve"> 30 June </w:t>
            </w:r>
            <w:r w:rsidRPr="00875CE3">
              <w:rPr>
                <w:rFonts w:ascii="Arial" w:hAnsi="Arial" w:cs="Arial"/>
                <w:b/>
                <w:bCs/>
                <w:color w:val="000000"/>
                <w:sz w:val="16"/>
                <w:szCs w:val="16"/>
              </w:rPr>
              <w:t>2019</w:t>
            </w:r>
          </w:p>
        </w:tc>
        <w:tc>
          <w:tcPr>
            <w:tcW w:w="1020" w:type="dxa"/>
            <w:tcBorders>
              <w:top w:val="single" w:sz="4" w:space="0" w:color="auto"/>
              <w:left w:val="nil"/>
              <w:bottom w:val="single" w:sz="4" w:space="0" w:color="auto"/>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(71,439)</w:t>
            </w:r>
          </w:p>
        </w:tc>
        <w:tc>
          <w:tcPr>
            <w:tcW w:w="1134" w:type="dxa"/>
            <w:tcBorders>
              <w:top w:val="single" w:sz="4" w:space="0" w:color="auto"/>
              <w:left w:val="nil"/>
              <w:bottom w:val="single" w:sz="4" w:space="0" w:color="auto"/>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5,776 </w:t>
            </w:r>
          </w:p>
        </w:tc>
        <w:tc>
          <w:tcPr>
            <w:tcW w:w="1134" w:type="dxa"/>
            <w:tcBorders>
              <w:top w:val="single" w:sz="4" w:space="0" w:color="auto"/>
              <w:left w:val="nil"/>
              <w:bottom w:val="single" w:sz="4" w:space="0" w:color="auto"/>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110,882 </w:t>
            </w:r>
          </w:p>
        </w:tc>
        <w:tc>
          <w:tcPr>
            <w:tcW w:w="907" w:type="dxa"/>
            <w:tcBorders>
              <w:top w:val="single" w:sz="4" w:space="0" w:color="auto"/>
              <w:left w:val="nil"/>
              <w:bottom w:val="single" w:sz="4" w:space="0" w:color="auto"/>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45,219 </w:t>
            </w:r>
          </w:p>
        </w:tc>
      </w:tr>
      <w:tr w:rsidR="00AB5AE6" w:rsidRPr="00875CE3" w:rsidTr="00FF5A80">
        <w:trPr>
          <w:trHeight w:val="225"/>
        </w:trPr>
        <w:tc>
          <w:tcPr>
            <w:tcW w:w="3543" w:type="dxa"/>
            <w:tcBorders>
              <w:top w:val="nil"/>
              <w:left w:val="nil"/>
              <w:bottom w:val="nil"/>
              <w:right w:val="nil"/>
            </w:tcBorders>
            <w:shd w:val="clear" w:color="auto" w:fill="auto"/>
            <w:noWrap/>
            <w:vAlign w:val="center"/>
            <w:hideMark/>
          </w:tcPr>
          <w:p w:rsidR="00AB5AE6" w:rsidRPr="00875CE3" w:rsidRDefault="00AB5AE6"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Less: non-controlling interests</w:t>
            </w:r>
          </w:p>
        </w:tc>
        <w:tc>
          <w:tcPr>
            <w:tcW w:w="1020" w:type="dxa"/>
            <w:tcBorders>
              <w:top w:val="nil"/>
              <w:left w:val="nil"/>
              <w:bottom w:val="single" w:sz="4" w:space="0" w:color="auto"/>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34" w:type="dxa"/>
            <w:tcBorders>
              <w:top w:val="nil"/>
              <w:left w:val="nil"/>
              <w:bottom w:val="single" w:sz="4" w:space="0" w:color="auto"/>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34" w:type="dxa"/>
            <w:tcBorders>
              <w:top w:val="nil"/>
              <w:left w:val="nil"/>
              <w:bottom w:val="single" w:sz="4" w:space="0" w:color="auto"/>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single" w:sz="4" w:space="0" w:color="auto"/>
              <w:right w:val="nil"/>
            </w:tcBorders>
            <w:shd w:val="clear" w:color="auto" w:fill="auto"/>
            <w:noWrap/>
            <w:vAlign w:val="center"/>
            <w:hideMark/>
          </w:tcPr>
          <w:p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r>
      <w:tr w:rsidR="00AB5AE6" w:rsidRPr="00875CE3" w:rsidTr="00FF5A80">
        <w:trPr>
          <w:trHeight w:val="397"/>
        </w:trPr>
        <w:tc>
          <w:tcPr>
            <w:tcW w:w="3543" w:type="dxa"/>
            <w:tcBorders>
              <w:top w:val="nil"/>
              <w:left w:val="nil"/>
              <w:bottom w:val="single" w:sz="4" w:space="0" w:color="000000"/>
              <w:right w:val="nil"/>
            </w:tcBorders>
            <w:shd w:val="clear" w:color="auto" w:fill="auto"/>
            <w:vAlign w:val="bottom"/>
            <w:hideMark/>
          </w:tcPr>
          <w:p w:rsidR="00AB5AE6" w:rsidRPr="00875CE3" w:rsidRDefault="00AB5AE6" w:rsidP="00FF5A80">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Closing balance attributable to the Australian Government</w:t>
            </w:r>
          </w:p>
        </w:tc>
        <w:tc>
          <w:tcPr>
            <w:tcW w:w="1020" w:type="dxa"/>
            <w:tcBorders>
              <w:top w:val="nil"/>
              <w:left w:val="nil"/>
              <w:bottom w:val="single" w:sz="4" w:space="0" w:color="auto"/>
              <w:right w:val="nil"/>
            </w:tcBorders>
            <w:shd w:val="clear" w:color="auto" w:fill="auto"/>
            <w:noWrap/>
            <w:vAlign w:val="bottom"/>
            <w:hideMark/>
          </w:tcPr>
          <w:p w:rsidR="00AB5AE6" w:rsidRPr="00875CE3" w:rsidRDefault="00AB5AE6" w:rsidP="00875CE3">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(71,439)</w:t>
            </w:r>
          </w:p>
        </w:tc>
        <w:tc>
          <w:tcPr>
            <w:tcW w:w="1134" w:type="dxa"/>
            <w:tcBorders>
              <w:top w:val="nil"/>
              <w:left w:val="nil"/>
              <w:bottom w:val="single" w:sz="4" w:space="0" w:color="auto"/>
              <w:right w:val="nil"/>
            </w:tcBorders>
            <w:shd w:val="clear" w:color="auto" w:fill="auto"/>
            <w:noWrap/>
            <w:vAlign w:val="bottom"/>
            <w:hideMark/>
          </w:tcPr>
          <w:p w:rsidR="00AB5AE6" w:rsidRPr="00875CE3" w:rsidRDefault="00AB5AE6" w:rsidP="00875CE3">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5,776 </w:t>
            </w:r>
          </w:p>
        </w:tc>
        <w:tc>
          <w:tcPr>
            <w:tcW w:w="1134" w:type="dxa"/>
            <w:tcBorders>
              <w:top w:val="nil"/>
              <w:left w:val="nil"/>
              <w:bottom w:val="single" w:sz="4" w:space="0" w:color="auto"/>
              <w:right w:val="nil"/>
            </w:tcBorders>
            <w:shd w:val="clear" w:color="auto" w:fill="auto"/>
            <w:noWrap/>
            <w:vAlign w:val="bottom"/>
            <w:hideMark/>
          </w:tcPr>
          <w:p w:rsidR="00AB5AE6" w:rsidRPr="00875CE3" w:rsidRDefault="00AB5AE6" w:rsidP="00875CE3">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110,882 </w:t>
            </w:r>
          </w:p>
        </w:tc>
        <w:tc>
          <w:tcPr>
            <w:tcW w:w="907" w:type="dxa"/>
            <w:tcBorders>
              <w:top w:val="nil"/>
              <w:left w:val="nil"/>
              <w:bottom w:val="single" w:sz="4" w:space="0" w:color="auto"/>
              <w:right w:val="nil"/>
            </w:tcBorders>
            <w:shd w:val="clear" w:color="auto" w:fill="auto"/>
            <w:noWrap/>
            <w:vAlign w:val="bottom"/>
            <w:hideMark/>
          </w:tcPr>
          <w:p w:rsidR="00AB5AE6" w:rsidRPr="00875CE3" w:rsidRDefault="00AB5AE6" w:rsidP="00875CE3">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45,219 </w:t>
            </w:r>
          </w:p>
        </w:tc>
      </w:tr>
    </w:tbl>
    <w:p w:rsidR="00875CE3" w:rsidRDefault="00875CE3" w:rsidP="00875CE3">
      <w:pPr>
        <w:pStyle w:val="ChartandTableFootnote"/>
      </w:pPr>
      <w:r>
        <w:t>Prepared on Australian Accounting Standards basis.</w:t>
      </w:r>
    </w:p>
    <w:p w:rsidR="00875CE3" w:rsidRDefault="00875CE3" w:rsidP="00875CE3">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43" w:type="dxa"/>
        <w:tblInd w:w="93" w:type="dxa"/>
        <w:tblLook w:val="04A0" w:firstRow="1" w:lastRow="0" w:firstColumn="1" w:lastColumn="0" w:noHBand="0" w:noVBand="1"/>
      </w:tblPr>
      <w:tblGrid>
        <w:gridCol w:w="3288"/>
        <w:gridCol w:w="935"/>
        <w:gridCol w:w="880"/>
        <w:gridCol w:w="880"/>
        <w:gridCol w:w="880"/>
        <w:gridCol w:w="880"/>
      </w:tblGrid>
      <w:tr w:rsidR="00875CE3" w:rsidRPr="00875CE3" w:rsidTr="00FF5A80">
        <w:trPr>
          <w:trHeight w:val="794"/>
        </w:trPr>
        <w:tc>
          <w:tcPr>
            <w:tcW w:w="3288" w:type="dxa"/>
            <w:tcBorders>
              <w:top w:val="single" w:sz="4" w:space="0" w:color="auto"/>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sz w:val="16"/>
                <w:szCs w:val="16"/>
              </w:rPr>
            </w:pPr>
            <w:r w:rsidRPr="00875CE3">
              <w:rPr>
                <w:rFonts w:ascii="Arial" w:hAnsi="Arial" w:cs="Arial"/>
                <w:b/>
                <w:bCs/>
                <w:sz w:val="16"/>
                <w:szCs w:val="16"/>
              </w:rPr>
              <w:t> </w:t>
            </w:r>
          </w:p>
        </w:tc>
        <w:tc>
          <w:tcPr>
            <w:tcW w:w="935"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2017–18 Estimated actual</w:t>
            </w:r>
            <w:r w:rsidRPr="00875CE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Budget</w:t>
            </w:r>
            <w:r w:rsidRPr="00875CE3">
              <w:rPr>
                <w:rFonts w:ascii="Arial" w:hAnsi="Arial" w:cs="Arial"/>
                <w:sz w:val="16"/>
                <w:szCs w:val="16"/>
              </w:rPr>
              <w:br/>
            </w:r>
            <w:r w:rsidRPr="00875CE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2019–20 Forward estimate</w:t>
            </w:r>
            <w:r w:rsidRPr="00875CE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2020–21 Forward estimate</w:t>
            </w:r>
            <w:r w:rsidRPr="00875CE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2021–22</w:t>
            </w:r>
            <w:r w:rsidRPr="00875CE3">
              <w:rPr>
                <w:rFonts w:ascii="Arial" w:hAnsi="Arial" w:cs="Arial"/>
                <w:sz w:val="16"/>
                <w:szCs w:val="16"/>
              </w:rPr>
              <w:br/>
              <w:t>Forward estimate</w:t>
            </w:r>
            <w:r w:rsidRPr="00875CE3">
              <w:rPr>
                <w:rFonts w:ascii="Arial" w:hAnsi="Arial" w:cs="Arial"/>
                <w:sz w:val="16"/>
                <w:szCs w:val="16"/>
              </w:rPr>
              <w:br/>
              <w:t>$'000</w:t>
            </w: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OPERATING ACTIVITIES</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received</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Appropriations</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119,458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118,798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114,288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119,404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123,085 </w:t>
            </w:r>
          </w:p>
        </w:tc>
      </w:tr>
      <w:tr w:rsidR="00875CE3" w:rsidRPr="00875CE3" w:rsidTr="00FF5A80">
        <w:trPr>
          <w:trHeight w:val="227"/>
        </w:trPr>
        <w:tc>
          <w:tcPr>
            <w:tcW w:w="3288" w:type="dxa"/>
            <w:tcBorders>
              <w:top w:val="nil"/>
              <w:left w:val="nil"/>
              <w:bottom w:val="nil"/>
              <w:right w:val="nil"/>
            </w:tcBorders>
            <w:shd w:val="clear" w:color="auto" w:fill="auto"/>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Sale of goods and rendering of services</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(2,095)</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1,893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1,473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80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80 </w:t>
            </w: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 xml:space="preserve">Other </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r>
      <w:tr w:rsidR="00875CE3" w:rsidRPr="00875CE3" w:rsidTr="00FF5A80">
        <w:trPr>
          <w:trHeight w:val="227"/>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received</w:t>
            </w:r>
          </w:p>
        </w:tc>
        <w:tc>
          <w:tcPr>
            <w:tcW w:w="935"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117,863 </w:t>
            </w:r>
          </w:p>
        </w:tc>
        <w:tc>
          <w:tcPr>
            <w:tcW w:w="880"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121,191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116,261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119,984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123,665 </w:t>
            </w: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used</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Employees</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80,638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81,770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82,200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82,314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84,517 </w:t>
            </w: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Suppliers</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33,725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37,421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34,061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37,670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39,148 </w:t>
            </w:r>
          </w:p>
        </w:tc>
      </w:tr>
      <w:tr w:rsidR="00875CE3" w:rsidRPr="00875CE3" w:rsidTr="00FF5A80">
        <w:trPr>
          <w:trHeight w:val="227"/>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used</w:t>
            </w:r>
          </w:p>
        </w:tc>
        <w:tc>
          <w:tcPr>
            <w:tcW w:w="935" w:type="dxa"/>
            <w:tcBorders>
              <w:top w:val="single" w:sz="4" w:space="0" w:color="000000"/>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114,363 </w:t>
            </w:r>
          </w:p>
        </w:tc>
        <w:tc>
          <w:tcPr>
            <w:tcW w:w="880" w:type="dxa"/>
            <w:tcBorders>
              <w:top w:val="single" w:sz="4" w:space="0" w:color="000000"/>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119,191 </w:t>
            </w:r>
          </w:p>
        </w:tc>
        <w:tc>
          <w:tcPr>
            <w:tcW w:w="880" w:type="dxa"/>
            <w:tcBorders>
              <w:top w:val="single" w:sz="4" w:space="0" w:color="000000"/>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116,261 </w:t>
            </w:r>
          </w:p>
        </w:tc>
        <w:tc>
          <w:tcPr>
            <w:tcW w:w="880" w:type="dxa"/>
            <w:tcBorders>
              <w:top w:val="single" w:sz="4" w:space="0" w:color="000000"/>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119,984 </w:t>
            </w:r>
          </w:p>
        </w:tc>
        <w:tc>
          <w:tcPr>
            <w:tcW w:w="880" w:type="dxa"/>
            <w:tcBorders>
              <w:top w:val="single" w:sz="4" w:space="0" w:color="000000"/>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123,665 </w:t>
            </w:r>
          </w:p>
        </w:tc>
      </w:tr>
      <w:tr w:rsidR="00875CE3" w:rsidRPr="00875CE3" w:rsidTr="00FB3E15">
        <w:trPr>
          <w:trHeight w:val="397"/>
        </w:trPr>
        <w:tc>
          <w:tcPr>
            <w:tcW w:w="3288"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Net cash from/(used by) operating activities</w:t>
            </w:r>
          </w:p>
        </w:tc>
        <w:tc>
          <w:tcPr>
            <w:tcW w:w="935"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3,500 </w:t>
            </w:r>
          </w:p>
        </w:tc>
        <w:tc>
          <w:tcPr>
            <w:tcW w:w="880" w:type="dxa"/>
            <w:tcBorders>
              <w:top w:val="single" w:sz="4" w:space="0" w:color="auto"/>
              <w:left w:val="nil"/>
              <w:bottom w:val="single" w:sz="4" w:space="0" w:color="auto"/>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2,000 </w:t>
            </w:r>
          </w:p>
        </w:tc>
        <w:tc>
          <w:tcPr>
            <w:tcW w:w="88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INVESTING ACTIVITIES</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received</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r>
      <w:tr w:rsidR="00875CE3" w:rsidRPr="00875CE3" w:rsidTr="00FB3E15">
        <w:trPr>
          <w:trHeight w:val="227"/>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received</w:t>
            </w:r>
          </w:p>
        </w:tc>
        <w:tc>
          <w:tcPr>
            <w:tcW w:w="935"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used</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B3E15">
        <w:trPr>
          <w:trHeight w:val="397"/>
        </w:trPr>
        <w:tc>
          <w:tcPr>
            <w:tcW w:w="3288"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Chars="80" w:left="333" w:hangingChars="108" w:hanging="173"/>
              <w:rPr>
                <w:rFonts w:ascii="Arial" w:hAnsi="Arial" w:cs="Arial"/>
                <w:color w:val="000000"/>
                <w:sz w:val="16"/>
                <w:szCs w:val="16"/>
              </w:rPr>
            </w:pPr>
            <w:r w:rsidRPr="00875CE3">
              <w:rPr>
                <w:rFonts w:ascii="Arial" w:hAnsi="Arial" w:cs="Arial"/>
                <w:color w:val="000000"/>
                <w:sz w:val="16"/>
                <w:szCs w:val="16"/>
              </w:rPr>
              <w:t>Purchase of property, plant and equipment and intangibles</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8,783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9,215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6,222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6,264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6,300 </w:t>
            </w:r>
          </w:p>
        </w:tc>
      </w:tr>
      <w:tr w:rsidR="00875CE3" w:rsidRPr="00875CE3" w:rsidTr="00FB3E15">
        <w:trPr>
          <w:trHeight w:val="227"/>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used</w:t>
            </w:r>
          </w:p>
        </w:tc>
        <w:tc>
          <w:tcPr>
            <w:tcW w:w="935"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8,783 </w:t>
            </w:r>
          </w:p>
        </w:tc>
        <w:tc>
          <w:tcPr>
            <w:tcW w:w="880"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9,215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6,222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6,264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6,300 </w:t>
            </w:r>
          </w:p>
        </w:tc>
      </w:tr>
      <w:tr w:rsidR="00875CE3" w:rsidRPr="00875CE3" w:rsidTr="00FB3E15">
        <w:trPr>
          <w:trHeight w:val="397"/>
        </w:trPr>
        <w:tc>
          <w:tcPr>
            <w:tcW w:w="3288"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Net cash from/(used by) investing activities</w:t>
            </w:r>
          </w:p>
        </w:tc>
        <w:tc>
          <w:tcPr>
            <w:tcW w:w="935" w:type="dxa"/>
            <w:tcBorders>
              <w:top w:val="nil"/>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(8,783)</w:t>
            </w:r>
          </w:p>
        </w:tc>
        <w:tc>
          <w:tcPr>
            <w:tcW w:w="880" w:type="dxa"/>
            <w:tcBorders>
              <w:top w:val="nil"/>
              <w:left w:val="nil"/>
              <w:bottom w:val="single" w:sz="4" w:space="0" w:color="auto"/>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(9,215)</w:t>
            </w:r>
          </w:p>
        </w:tc>
        <w:tc>
          <w:tcPr>
            <w:tcW w:w="880" w:type="dxa"/>
            <w:tcBorders>
              <w:top w:val="nil"/>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(6,222)</w:t>
            </w:r>
          </w:p>
        </w:tc>
        <w:tc>
          <w:tcPr>
            <w:tcW w:w="880" w:type="dxa"/>
            <w:tcBorders>
              <w:top w:val="nil"/>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(6,264)</w:t>
            </w:r>
          </w:p>
        </w:tc>
        <w:tc>
          <w:tcPr>
            <w:tcW w:w="880" w:type="dxa"/>
            <w:tcBorders>
              <w:top w:val="nil"/>
              <w:left w:val="nil"/>
              <w:bottom w:val="single" w:sz="4" w:space="0" w:color="auto"/>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(6,300)</w:t>
            </w: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FINANCING ACTIVITIES</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received</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Contributed equity</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5,283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7,215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6,222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6,264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6,300 </w:t>
            </w:r>
          </w:p>
        </w:tc>
      </w:tr>
      <w:tr w:rsidR="00875CE3" w:rsidRPr="00875CE3" w:rsidTr="00FB3E15">
        <w:trPr>
          <w:trHeight w:val="227"/>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received</w:t>
            </w:r>
          </w:p>
        </w:tc>
        <w:tc>
          <w:tcPr>
            <w:tcW w:w="935"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5,283 </w:t>
            </w:r>
          </w:p>
        </w:tc>
        <w:tc>
          <w:tcPr>
            <w:tcW w:w="880"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7,215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6,222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6,264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6,300 </w:t>
            </w: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used</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p>
        </w:tc>
      </w:tr>
      <w:tr w:rsidR="00875CE3" w:rsidRPr="00875CE3" w:rsidTr="00FF5A80">
        <w:trPr>
          <w:trHeight w:val="225"/>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r>
      <w:tr w:rsidR="00875CE3" w:rsidRPr="00875CE3" w:rsidTr="00FB3E15">
        <w:trPr>
          <w:trHeight w:val="227"/>
        </w:trPr>
        <w:tc>
          <w:tcPr>
            <w:tcW w:w="3288"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used</w:t>
            </w:r>
          </w:p>
        </w:tc>
        <w:tc>
          <w:tcPr>
            <w:tcW w:w="935"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r>
      <w:tr w:rsidR="00875CE3" w:rsidRPr="00875CE3" w:rsidTr="00FB3E15">
        <w:trPr>
          <w:trHeight w:val="397"/>
        </w:trPr>
        <w:tc>
          <w:tcPr>
            <w:tcW w:w="3288"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Net cash from/(used by) financing activities</w:t>
            </w:r>
          </w:p>
        </w:tc>
        <w:tc>
          <w:tcPr>
            <w:tcW w:w="935"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5,283 </w:t>
            </w:r>
          </w:p>
        </w:tc>
        <w:tc>
          <w:tcPr>
            <w:tcW w:w="880" w:type="dxa"/>
            <w:tcBorders>
              <w:top w:val="nil"/>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7,215 </w:t>
            </w:r>
          </w:p>
        </w:tc>
        <w:tc>
          <w:tcPr>
            <w:tcW w:w="880"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6,222 </w:t>
            </w:r>
          </w:p>
        </w:tc>
        <w:tc>
          <w:tcPr>
            <w:tcW w:w="880"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6,264 </w:t>
            </w:r>
          </w:p>
        </w:tc>
        <w:tc>
          <w:tcPr>
            <w:tcW w:w="880"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6,300 </w:t>
            </w:r>
          </w:p>
        </w:tc>
      </w:tr>
      <w:tr w:rsidR="00875CE3" w:rsidRPr="00875CE3" w:rsidTr="00FB3E15">
        <w:trPr>
          <w:trHeight w:val="227"/>
        </w:trPr>
        <w:tc>
          <w:tcPr>
            <w:tcW w:w="3288" w:type="dxa"/>
            <w:tcBorders>
              <w:top w:val="nil"/>
              <w:left w:val="nil"/>
              <w:bottom w:val="nil"/>
              <w:right w:val="nil"/>
            </w:tcBorders>
            <w:shd w:val="clear" w:color="auto" w:fill="auto"/>
            <w:vAlign w:val="center"/>
            <w:hideMark/>
          </w:tcPr>
          <w:p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Net increase/(decrease) in cash held</w:t>
            </w:r>
          </w:p>
        </w:tc>
        <w:tc>
          <w:tcPr>
            <w:tcW w:w="935"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r>
      <w:tr w:rsidR="00875CE3" w:rsidRPr="00875CE3" w:rsidTr="00FB3E15">
        <w:trPr>
          <w:trHeight w:val="397"/>
        </w:trPr>
        <w:tc>
          <w:tcPr>
            <w:tcW w:w="3288"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Chars="80" w:left="333" w:hangingChars="108" w:hanging="173"/>
              <w:rPr>
                <w:rFonts w:ascii="Arial" w:hAnsi="Arial" w:cs="Arial"/>
                <w:color w:val="000000"/>
                <w:sz w:val="16"/>
                <w:szCs w:val="16"/>
              </w:rPr>
            </w:pPr>
            <w:r w:rsidRPr="00875CE3">
              <w:rPr>
                <w:rFonts w:ascii="Arial" w:hAnsi="Arial" w:cs="Arial"/>
                <w:color w:val="000000"/>
                <w:sz w:val="16"/>
                <w:szCs w:val="16"/>
              </w:rPr>
              <w:t>Cash and cash equivalents at the beginning of the reporting period</w:t>
            </w:r>
          </w:p>
        </w:tc>
        <w:tc>
          <w:tcPr>
            <w:tcW w:w="935"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c>
          <w:tcPr>
            <w:tcW w:w="880" w:type="dxa"/>
            <w:tcBorders>
              <w:top w:val="nil"/>
              <w:left w:val="nil"/>
              <w:bottom w:val="nil"/>
              <w:right w:val="nil"/>
            </w:tcBorders>
            <w:shd w:val="clear" w:color="000000" w:fill="E6E6E6"/>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r>
      <w:tr w:rsidR="00875CE3" w:rsidRPr="00875CE3" w:rsidTr="00FB3E15">
        <w:trPr>
          <w:trHeight w:val="397"/>
        </w:trPr>
        <w:tc>
          <w:tcPr>
            <w:tcW w:w="3288" w:type="dxa"/>
            <w:tcBorders>
              <w:top w:val="nil"/>
              <w:left w:val="nil"/>
              <w:bottom w:val="single" w:sz="4" w:space="0" w:color="auto"/>
              <w:right w:val="nil"/>
            </w:tcBorders>
            <w:shd w:val="clear" w:color="auto" w:fill="auto"/>
            <w:vAlign w:val="bottom"/>
            <w:hideMark/>
          </w:tcPr>
          <w:p w:rsidR="00875CE3" w:rsidRPr="00875CE3" w:rsidRDefault="00875CE3" w:rsidP="00FB3E15">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Cash and cash equivalents at the end of the reporting period</w:t>
            </w:r>
          </w:p>
        </w:tc>
        <w:tc>
          <w:tcPr>
            <w:tcW w:w="935" w:type="dxa"/>
            <w:tcBorders>
              <w:top w:val="single" w:sz="4" w:space="0" w:color="000000"/>
              <w:left w:val="nil"/>
              <w:bottom w:val="single" w:sz="4" w:space="0" w:color="auto"/>
              <w:right w:val="nil"/>
            </w:tcBorders>
            <w:shd w:val="clear" w:color="auto" w:fill="auto"/>
            <w:noWrap/>
            <w:vAlign w:val="bottom"/>
            <w:hideMark/>
          </w:tcPr>
          <w:p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c>
          <w:tcPr>
            <w:tcW w:w="880" w:type="dxa"/>
            <w:tcBorders>
              <w:top w:val="single" w:sz="4" w:space="0" w:color="000000"/>
              <w:left w:val="nil"/>
              <w:bottom w:val="single" w:sz="4" w:space="0" w:color="auto"/>
              <w:right w:val="nil"/>
            </w:tcBorders>
            <w:shd w:val="clear" w:color="000000" w:fill="E6E6E6"/>
            <w:noWrap/>
            <w:vAlign w:val="bottom"/>
            <w:hideMark/>
          </w:tcPr>
          <w:p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c>
          <w:tcPr>
            <w:tcW w:w="880" w:type="dxa"/>
            <w:tcBorders>
              <w:top w:val="single" w:sz="4" w:space="0" w:color="000000"/>
              <w:left w:val="nil"/>
              <w:bottom w:val="single" w:sz="4" w:space="0" w:color="auto"/>
              <w:right w:val="nil"/>
            </w:tcBorders>
            <w:shd w:val="clear" w:color="auto" w:fill="auto"/>
            <w:noWrap/>
            <w:vAlign w:val="bottom"/>
            <w:hideMark/>
          </w:tcPr>
          <w:p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c>
          <w:tcPr>
            <w:tcW w:w="880" w:type="dxa"/>
            <w:tcBorders>
              <w:top w:val="single" w:sz="4" w:space="0" w:color="000000"/>
              <w:left w:val="nil"/>
              <w:bottom w:val="single" w:sz="4" w:space="0" w:color="auto"/>
              <w:right w:val="nil"/>
            </w:tcBorders>
            <w:shd w:val="clear" w:color="auto" w:fill="auto"/>
            <w:noWrap/>
            <w:vAlign w:val="bottom"/>
            <w:hideMark/>
          </w:tcPr>
          <w:p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c>
          <w:tcPr>
            <w:tcW w:w="880" w:type="dxa"/>
            <w:tcBorders>
              <w:top w:val="single" w:sz="4" w:space="0" w:color="000000"/>
              <w:left w:val="nil"/>
              <w:bottom w:val="single" w:sz="4" w:space="0" w:color="auto"/>
              <w:right w:val="nil"/>
            </w:tcBorders>
            <w:shd w:val="clear" w:color="auto" w:fill="auto"/>
            <w:noWrap/>
            <w:vAlign w:val="bottom"/>
            <w:hideMark/>
          </w:tcPr>
          <w:p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r>
    </w:tbl>
    <w:p w:rsidR="00875CE3" w:rsidRPr="00FB3E15" w:rsidRDefault="00875CE3" w:rsidP="00FB3E15">
      <w:pPr>
        <w:pStyle w:val="ChartandTableFootnote"/>
        <w:rPr>
          <w:lang w:val="en-AU"/>
        </w:rPr>
      </w:pPr>
      <w:r w:rsidRPr="00132F9E">
        <w:t>Prepared on Australian Accounting Standards basis.</w:t>
      </w:r>
    </w:p>
    <w:p w:rsidR="00875CE3" w:rsidRPr="0041404E" w:rsidRDefault="00875CE3" w:rsidP="00875CE3">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730" w:type="dxa"/>
        <w:tblInd w:w="93" w:type="dxa"/>
        <w:tblLook w:val="04A0" w:firstRow="1" w:lastRow="0" w:firstColumn="1" w:lastColumn="0" w:noHBand="0" w:noVBand="1"/>
      </w:tblPr>
      <w:tblGrid>
        <w:gridCol w:w="3402"/>
        <w:gridCol w:w="928"/>
        <w:gridCol w:w="850"/>
        <w:gridCol w:w="850"/>
        <w:gridCol w:w="850"/>
        <w:gridCol w:w="850"/>
      </w:tblGrid>
      <w:tr w:rsidR="00875CE3" w:rsidRPr="00875CE3" w:rsidTr="00342D9E">
        <w:trPr>
          <w:trHeight w:val="794"/>
        </w:trPr>
        <w:tc>
          <w:tcPr>
            <w:tcW w:w="3402"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2017–18 Estimated actual</w:t>
            </w:r>
            <w:r w:rsidRPr="00875CE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Budget</w:t>
            </w:r>
            <w:r w:rsidRPr="00875CE3">
              <w:rPr>
                <w:rFonts w:ascii="Arial" w:hAnsi="Arial" w:cs="Arial"/>
                <w:sz w:val="16"/>
                <w:szCs w:val="16"/>
              </w:rPr>
              <w:br/>
            </w:r>
            <w:r w:rsidRPr="00875CE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2019–20 Forward estimate</w:t>
            </w:r>
            <w:r w:rsidRPr="00875CE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2020–21 Forward estimate</w:t>
            </w:r>
            <w:r w:rsidRPr="00875CE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2021–22</w:t>
            </w:r>
            <w:r w:rsidRPr="00875CE3">
              <w:rPr>
                <w:rFonts w:ascii="Arial" w:hAnsi="Arial" w:cs="Arial"/>
                <w:sz w:val="16"/>
                <w:szCs w:val="16"/>
              </w:rPr>
              <w:br/>
              <w:t>Forward estimate</w:t>
            </w:r>
            <w:r w:rsidRPr="00875CE3">
              <w:rPr>
                <w:rFonts w:ascii="Arial" w:hAnsi="Arial" w:cs="Arial"/>
                <w:sz w:val="16"/>
                <w:szCs w:val="16"/>
              </w:rPr>
              <w:br/>
              <w:t>$'000</w:t>
            </w:r>
          </w:p>
        </w:tc>
      </w:tr>
      <w:tr w:rsidR="00875CE3" w:rsidRPr="00875CE3" w:rsidTr="00342D9E">
        <w:trPr>
          <w:trHeight w:val="225"/>
        </w:trPr>
        <w:tc>
          <w:tcPr>
            <w:tcW w:w="3402"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NEW CAPITAL APPROPRIATIONS</w:t>
            </w:r>
          </w:p>
        </w:tc>
        <w:tc>
          <w:tcPr>
            <w:tcW w:w="928"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r>
      <w:tr w:rsidR="00875CE3" w:rsidRPr="00875CE3" w:rsidTr="00342D9E">
        <w:trPr>
          <w:trHeight w:val="225"/>
        </w:trPr>
        <w:tc>
          <w:tcPr>
            <w:tcW w:w="3402"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Capital budget—Bill 1 (DCB)</w:t>
            </w:r>
          </w:p>
        </w:tc>
        <w:tc>
          <w:tcPr>
            <w:tcW w:w="928"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5,283 </w:t>
            </w:r>
          </w:p>
        </w:tc>
        <w:tc>
          <w:tcPr>
            <w:tcW w:w="850" w:type="dxa"/>
            <w:tcBorders>
              <w:top w:val="nil"/>
              <w:left w:val="nil"/>
              <w:bottom w:val="nil"/>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7,215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6,300 </w:t>
            </w:r>
          </w:p>
        </w:tc>
      </w:tr>
      <w:tr w:rsidR="00875CE3" w:rsidRPr="00875CE3" w:rsidTr="00342D9E">
        <w:trPr>
          <w:trHeight w:val="225"/>
        </w:trPr>
        <w:tc>
          <w:tcPr>
            <w:tcW w:w="3402"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Total new capital appropriations</w:t>
            </w:r>
          </w:p>
        </w:tc>
        <w:tc>
          <w:tcPr>
            <w:tcW w:w="928"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5,283 </w:t>
            </w:r>
          </w:p>
        </w:tc>
        <w:tc>
          <w:tcPr>
            <w:tcW w:w="850" w:type="dxa"/>
            <w:tcBorders>
              <w:top w:val="single" w:sz="4" w:space="0" w:color="auto"/>
              <w:left w:val="nil"/>
              <w:bottom w:val="single" w:sz="4" w:space="0" w:color="auto"/>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7,215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6,300 </w:t>
            </w:r>
          </w:p>
        </w:tc>
      </w:tr>
      <w:tr w:rsidR="00875CE3" w:rsidRPr="00875CE3" w:rsidTr="00342D9E">
        <w:trPr>
          <w:trHeight w:val="225"/>
        </w:trPr>
        <w:tc>
          <w:tcPr>
            <w:tcW w:w="3402"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rPr>
                <w:rFonts w:ascii="Arial" w:hAnsi="Arial" w:cs="Arial"/>
                <w:b/>
                <w:bCs/>
                <w:i/>
                <w:iCs/>
                <w:sz w:val="16"/>
                <w:szCs w:val="16"/>
              </w:rPr>
            </w:pPr>
            <w:r w:rsidRPr="00875CE3">
              <w:rPr>
                <w:rFonts w:ascii="Arial" w:hAnsi="Arial" w:cs="Arial"/>
                <w:b/>
                <w:bCs/>
                <w:i/>
                <w:iCs/>
                <w:sz w:val="16"/>
                <w:szCs w:val="16"/>
              </w:rPr>
              <w:t>Provided for:</w:t>
            </w:r>
          </w:p>
        </w:tc>
        <w:tc>
          <w:tcPr>
            <w:tcW w:w="928"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i/>
                <w:iCs/>
                <w:sz w:val="16"/>
                <w:szCs w:val="16"/>
              </w:rPr>
            </w:pPr>
          </w:p>
        </w:tc>
        <w:tc>
          <w:tcPr>
            <w:tcW w:w="850" w:type="dxa"/>
            <w:tcBorders>
              <w:top w:val="nil"/>
              <w:left w:val="nil"/>
              <w:bottom w:val="nil"/>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i/>
                <w:iCs/>
                <w:sz w:val="16"/>
                <w:szCs w:val="16"/>
              </w:rPr>
            </w:pP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i/>
                <w:iCs/>
                <w:sz w:val="16"/>
                <w:szCs w:val="16"/>
              </w:rPr>
            </w:pP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i/>
                <w:iCs/>
                <w:sz w:val="16"/>
                <w:szCs w:val="16"/>
              </w:rPr>
            </w:pPr>
          </w:p>
        </w:tc>
      </w:tr>
      <w:tr w:rsidR="00875CE3" w:rsidRPr="00875CE3" w:rsidTr="00342D9E">
        <w:trPr>
          <w:trHeight w:val="225"/>
        </w:trPr>
        <w:tc>
          <w:tcPr>
            <w:tcW w:w="3402"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ind w:firstLineChars="100" w:firstLine="160"/>
              <w:rPr>
                <w:rFonts w:ascii="Arial" w:hAnsi="Arial" w:cs="Arial"/>
                <w:i/>
                <w:iCs/>
                <w:sz w:val="16"/>
                <w:szCs w:val="16"/>
              </w:rPr>
            </w:pPr>
            <w:r w:rsidRPr="00875CE3">
              <w:rPr>
                <w:rFonts w:ascii="Arial" w:hAnsi="Arial" w:cs="Arial"/>
                <w:i/>
                <w:iCs/>
                <w:sz w:val="16"/>
                <w:szCs w:val="16"/>
              </w:rPr>
              <w:t>Purchase of non-financial assets</w:t>
            </w:r>
          </w:p>
        </w:tc>
        <w:tc>
          <w:tcPr>
            <w:tcW w:w="928"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xml:space="preserve">5,283 </w:t>
            </w:r>
          </w:p>
        </w:tc>
        <w:tc>
          <w:tcPr>
            <w:tcW w:w="850" w:type="dxa"/>
            <w:tcBorders>
              <w:top w:val="nil"/>
              <w:left w:val="nil"/>
              <w:bottom w:val="nil"/>
              <w:right w:val="nil"/>
            </w:tcBorders>
            <w:shd w:val="clear" w:color="000000" w:fill="E6E6E6"/>
            <w:noWrap/>
            <w:vAlign w:val="center"/>
            <w:hideMark/>
          </w:tcPr>
          <w:p w:rsidR="00875CE3" w:rsidRPr="00875CE3" w:rsidRDefault="003B4548" w:rsidP="00FB3E15">
            <w:pPr>
              <w:spacing w:after="0" w:line="240" w:lineRule="auto"/>
              <w:jc w:val="right"/>
              <w:rPr>
                <w:rFonts w:ascii="Arial" w:hAnsi="Arial" w:cs="Arial"/>
                <w:i/>
                <w:iCs/>
                <w:sz w:val="16"/>
                <w:szCs w:val="16"/>
              </w:rPr>
            </w:pPr>
            <w:r>
              <w:rPr>
                <w:rFonts w:ascii="Arial" w:hAnsi="Arial" w:cs="Arial"/>
                <w:i/>
                <w:iCs/>
                <w:sz w:val="16"/>
                <w:szCs w:val="16"/>
              </w:rPr>
              <w:t>7,215</w:t>
            </w:r>
            <w:r w:rsidR="00875CE3" w:rsidRPr="00875CE3">
              <w:rPr>
                <w:rFonts w:ascii="Arial" w:hAnsi="Arial" w:cs="Arial"/>
                <w:i/>
                <w:iCs/>
                <w:sz w:val="16"/>
                <w:szCs w:val="16"/>
              </w:rPr>
              <w:t xml:space="preserve">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xml:space="preserve">6,222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xml:space="preserve">6,264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xml:space="preserve">6,300 </w:t>
            </w:r>
          </w:p>
        </w:tc>
      </w:tr>
      <w:tr w:rsidR="00875CE3" w:rsidRPr="00875CE3" w:rsidTr="00342D9E">
        <w:trPr>
          <w:trHeight w:val="225"/>
        </w:trPr>
        <w:tc>
          <w:tcPr>
            <w:tcW w:w="3402"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rPr>
                <w:rFonts w:ascii="Arial" w:hAnsi="Arial" w:cs="Arial"/>
                <w:b/>
                <w:bCs/>
                <w:i/>
                <w:iCs/>
                <w:sz w:val="16"/>
                <w:szCs w:val="16"/>
              </w:rPr>
            </w:pPr>
            <w:r w:rsidRPr="00875CE3">
              <w:rPr>
                <w:rFonts w:ascii="Arial" w:hAnsi="Arial" w:cs="Arial"/>
                <w:b/>
                <w:bCs/>
                <w:i/>
                <w:iCs/>
                <w:sz w:val="16"/>
                <w:szCs w:val="16"/>
              </w:rPr>
              <w:t>Total items</w:t>
            </w:r>
          </w:p>
        </w:tc>
        <w:tc>
          <w:tcPr>
            <w:tcW w:w="928"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i/>
                <w:iCs/>
                <w:sz w:val="16"/>
                <w:szCs w:val="16"/>
              </w:rPr>
            </w:pPr>
            <w:r w:rsidRPr="00875CE3">
              <w:rPr>
                <w:rFonts w:ascii="Arial" w:hAnsi="Arial" w:cs="Arial"/>
                <w:b/>
                <w:bCs/>
                <w:i/>
                <w:iCs/>
                <w:sz w:val="16"/>
                <w:szCs w:val="16"/>
              </w:rPr>
              <w:t xml:space="preserve">5,283 </w:t>
            </w:r>
          </w:p>
        </w:tc>
        <w:tc>
          <w:tcPr>
            <w:tcW w:w="850" w:type="dxa"/>
            <w:tcBorders>
              <w:top w:val="single" w:sz="4" w:space="0" w:color="auto"/>
              <w:left w:val="nil"/>
              <w:bottom w:val="single" w:sz="4" w:space="0" w:color="auto"/>
              <w:right w:val="nil"/>
            </w:tcBorders>
            <w:shd w:val="clear" w:color="000000" w:fill="E6E6E6"/>
            <w:noWrap/>
            <w:vAlign w:val="center"/>
            <w:hideMark/>
          </w:tcPr>
          <w:p w:rsidR="00875CE3" w:rsidRPr="00875CE3" w:rsidRDefault="003B4548" w:rsidP="00FB3E15">
            <w:pPr>
              <w:spacing w:after="0" w:line="240" w:lineRule="auto"/>
              <w:jc w:val="right"/>
              <w:rPr>
                <w:rFonts w:ascii="Arial" w:hAnsi="Arial" w:cs="Arial"/>
                <w:b/>
                <w:bCs/>
                <w:i/>
                <w:iCs/>
                <w:sz w:val="16"/>
                <w:szCs w:val="16"/>
              </w:rPr>
            </w:pPr>
            <w:r>
              <w:rPr>
                <w:rFonts w:ascii="Arial" w:hAnsi="Arial" w:cs="Arial"/>
                <w:b/>
                <w:bCs/>
                <w:i/>
                <w:iCs/>
                <w:sz w:val="16"/>
                <w:szCs w:val="16"/>
              </w:rPr>
              <w:t>7,215</w:t>
            </w:r>
            <w:r w:rsidR="00875CE3" w:rsidRPr="00875CE3">
              <w:rPr>
                <w:rFonts w:ascii="Arial" w:hAnsi="Arial" w:cs="Arial"/>
                <w:b/>
                <w:bCs/>
                <w:i/>
                <w:i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i/>
                <w:iCs/>
                <w:sz w:val="16"/>
                <w:szCs w:val="16"/>
              </w:rPr>
            </w:pPr>
            <w:r w:rsidRPr="00875CE3">
              <w:rPr>
                <w:rFonts w:ascii="Arial" w:hAnsi="Arial" w:cs="Arial"/>
                <w:b/>
                <w:bCs/>
                <w:i/>
                <w:i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i/>
                <w:iCs/>
                <w:sz w:val="16"/>
                <w:szCs w:val="16"/>
              </w:rPr>
            </w:pPr>
            <w:r w:rsidRPr="00875CE3">
              <w:rPr>
                <w:rFonts w:ascii="Arial" w:hAnsi="Arial" w:cs="Arial"/>
                <w:b/>
                <w:bCs/>
                <w:i/>
                <w:i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i/>
                <w:iCs/>
                <w:sz w:val="16"/>
                <w:szCs w:val="16"/>
              </w:rPr>
            </w:pPr>
            <w:r w:rsidRPr="00875CE3">
              <w:rPr>
                <w:rFonts w:ascii="Arial" w:hAnsi="Arial" w:cs="Arial"/>
                <w:b/>
                <w:bCs/>
                <w:i/>
                <w:iCs/>
                <w:sz w:val="16"/>
                <w:szCs w:val="16"/>
              </w:rPr>
              <w:t xml:space="preserve">6,300 </w:t>
            </w:r>
          </w:p>
        </w:tc>
      </w:tr>
      <w:tr w:rsidR="00875CE3" w:rsidRPr="00875CE3" w:rsidTr="00342D9E">
        <w:trPr>
          <w:trHeight w:val="227"/>
        </w:trPr>
        <w:tc>
          <w:tcPr>
            <w:tcW w:w="3402" w:type="dxa"/>
            <w:tcBorders>
              <w:top w:val="nil"/>
              <w:left w:val="nil"/>
              <w:bottom w:val="nil"/>
              <w:right w:val="nil"/>
            </w:tcBorders>
            <w:shd w:val="clear" w:color="auto" w:fill="auto"/>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PURCHASE OF NON-FINANCIAL ASSETS</w:t>
            </w:r>
          </w:p>
        </w:tc>
        <w:tc>
          <w:tcPr>
            <w:tcW w:w="928" w:type="dxa"/>
            <w:tcBorders>
              <w:top w:val="nil"/>
              <w:left w:val="nil"/>
              <w:bottom w:val="nil"/>
              <w:right w:val="nil"/>
            </w:tcBorders>
            <w:shd w:val="clear" w:color="auto" w:fill="auto"/>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w:t>
            </w:r>
          </w:p>
        </w:tc>
        <w:tc>
          <w:tcPr>
            <w:tcW w:w="850" w:type="dxa"/>
            <w:tcBorders>
              <w:top w:val="nil"/>
              <w:left w:val="nil"/>
              <w:bottom w:val="nil"/>
              <w:right w:val="nil"/>
            </w:tcBorders>
            <w:shd w:val="clear" w:color="auto" w:fill="auto"/>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vAlign w:val="center"/>
            <w:hideMark/>
          </w:tcPr>
          <w:p w:rsidR="00875CE3" w:rsidRPr="00875CE3" w:rsidRDefault="00875CE3" w:rsidP="00FB3E15">
            <w:pPr>
              <w:spacing w:after="0" w:line="240" w:lineRule="auto"/>
              <w:jc w:val="right"/>
              <w:rPr>
                <w:rFonts w:ascii="Arial" w:hAnsi="Arial" w:cs="Arial"/>
                <w:sz w:val="16"/>
                <w:szCs w:val="16"/>
              </w:rPr>
            </w:pPr>
          </w:p>
        </w:tc>
      </w:tr>
      <w:tr w:rsidR="00875CE3" w:rsidRPr="00875CE3" w:rsidTr="00342D9E">
        <w:trPr>
          <w:trHeight w:val="227"/>
        </w:trPr>
        <w:tc>
          <w:tcPr>
            <w:tcW w:w="3402"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Funded by capital appropriation—DCB (a)</w:t>
            </w:r>
          </w:p>
        </w:tc>
        <w:tc>
          <w:tcPr>
            <w:tcW w:w="928"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5,283 </w:t>
            </w:r>
          </w:p>
        </w:tc>
        <w:tc>
          <w:tcPr>
            <w:tcW w:w="850" w:type="dxa"/>
            <w:tcBorders>
              <w:top w:val="nil"/>
              <w:left w:val="nil"/>
              <w:bottom w:val="nil"/>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7,215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6,300 </w:t>
            </w:r>
          </w:p>
        </w:tc>
      </w:tr>
      <w:tr w:rsidR="00875CE3" w:rsidRPr="00875CE3" w:rsidTr="00342D9E">
        <w:trPr>
          <w:trHeight w:val="397"/>
        </w:trPr>
        <w:tc>
          <w:tcPr>
            <w:tcW w:w="3402"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Chars="80" w:left="333" w:hangingChars="108" w:hanging="173"/>
              <w:rPr>
                <w:rFonts w:ascii="Arial" w:hAnsi="Arial" w:cs="Arial"/>
                <w:sz w:val="16"/>
                <w:szCs w:val="16"/>
              </w:rPr>
            </w:pPr>
            <w:r w:rsidRPr="00875CE3">
              <w:rPr>
                <w:rFonts w:ascii="Arial" w:hAnsi="Arial" w:cs="Arial"/>
                <w:sz w:val="16"/>
                <w:szCs w:val="16"/>
              </w:rPr>
              <w:t>Funded internally from departmental resources (b)</w:t>
            </w:r>
          </w:p>
        </w:tc>
        <w:tc>
          <w:tcPr>
            <w:tcW w:w="928"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3,500 </w:t>
            </w:r>
          </w:p>
        </w:tc>
        <w:tc>
          <w:tcPr>
            <w:tcW w:w="850" w:type="dxa"/>
            <w:tcBorders>
              <w:top w:val="nil"/>
              <w:left w:val="nil"/>
              <w:bottom w:val="nil"/>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2,000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 </w:t>
            </w:r>
          </w:p>
        </w:tc>
      </w:tr>
      <w:tr w:rsidR="00875CE3" w:rsidRPr="00875CE3" w:rsidTr="00342D9E">
        <w:trPr>
          <w:trHeight w:val="225"/>
        </w:trPr>
        <w:tc>
          <w:tcPr>
            <w:tcW w:w="3402"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TOTAL</w:t>
            </w:r>
          </w:p>
        </w:tc>
        <w:tc>
          <w:tcPr>
            <w:tcW w:w="928"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8,783 </w:t>
            </w:r>
          </w:p>
        </w:tc>
        <w:tc>
          <w:tcPr>
            <w:tcW w:w="850" w:type="dxa"/>
            <w:tcBorders>
              <w:top w:val="single" w:sz="4" w:space="0" w:color="auto"/>
              <w:left w:val="nil"/>
              <w:bottom w:val="single" w:sz="4" w:space="0" w:color="auto"/>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9,215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6,300 </w:t>
            </w:r>
          </w:p>
        </w:tc>
      </w:tr>
      <w:tr w:rsidR="00875CE3" w:rsidRPr="00875CE3" w:rsidTr="00342D9E">
        <w:trPr>
          <w:trHeight w:val="567"/>
        </w:trPr>
        <w:tc>
          <w:tcPr>
            <w:tcW w:w="3402"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191" w:hanging="191"/>
              <w:rPr>
                <w:rFonts w:ascii="Arial" w:hAnsi="Arial" w:cs="Arial"/>
                <w:b/>
                <w:bCs/>
                <w:sz w:val="16"/>
                <w:szCs w:val="16"/>
              </w:rPr>
            </w:pPr>
            <w:r w:rsidRPr="00875CE3">
              <w:rPr>
                <w:rFonts w:ascii="Arial" w:hAnsi="Arial" w:cs="Arial"/>
                <w:b/>
                <w:bCs/>
                <w:sz w:val="16"/>
                <w:szCs w:val="16"/>
              </w:rPr>
              <w:t>RECONCILIATION OF CASH USED TO ACQUIRE ASSETS TO ASSET MOVEMENT TABLE</w:t>
            </w:r>
          </w:p>
        </w:tc>
        <w:tc>
          <w:tcPr>
            <w:tcW w:w="928"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r>
      <w:tr w:rsidR="00875CE3" w:rsidRPr="00875CE3" w:rsidTr="00342D9E">
        <w:trPr>
          <w:trHeight w:val="225"/>
        </w:trPr>
        <w:tc>
          <w:tcPr>
            <w:tcW w:w="3402"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Total purchases</w:t>
            </w:r>
          </w:p>
        </w:tc>
        <w:tc>
          <w:tcPr>
            <w:tcW w:w="928"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8,783 </w:t>
            </w:r>
          </w:p>
        </w:tc>
        <w:tc>
          <w:tcPr>
            <w:tcW w:w="850" w:type="dxa"/>
            <w:tcBorders>
              <w:top w:val="nil"/>
              <w:left w:val="nil"/>
              <w:bottom w:val="nil"/>
              <w:right w:val="nil"/>
            </w:tcBorders>
            <w:shd w:val="clear" w:color="000000" w:fill="E6E6E6"/>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9,215 </w:t>
            </w:r>
          </w:p>
        </w:tc>
        <w:tc>
          <w:tcPr>
            <w:tcW w:w="850" w:type="dxa"/>
            <w:tcBorders>
              <w:top w:val="nil"/>
              <w:left w:val="nil"/>
              <w:bottom w:val="nil"/>
              <w:right w:val="nil"/>
            </w:tcBorders>
            <w:shd w:val="clear" w:color="auto" w:fill="auto"/>
            <w:noWrap/>
            <w:vAlign w:val="center"/>
            <w:hideMark/>
          </w:tcPr>
          <w:p w:rsidR="00875CE3" w:rsidRPr="00875CE3" w:rsidRDefault="00875CE3" w:rsidP="002723F9">
            <w:pPr>
              <w:spacing w:after="0" w:line="240" w:lineRule="auto"/>
              <w:jc w:val="right"/>
              <w:rPr>
                <w:rFonts w:ascii="Arial" w:hAnsi="Arial" w:cs="Arial"/>
                <w:sz w:val="16"/>
                <w:szCs w:val="16"/>
              </w:rPr>
            </w:pPr>
            <w:r w:rsidRPr="00875CE3">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rsidR="00875CE3" w:rsidRPr="00875CE3" w:rsidRDefault="00875CE3" w:rsidP="002723F9">
            <w:pPr>
              <w:spacing w:after="0" w:line="240" w:lineRule="auto"/>
              <w:jc w:val="right"/>
              <w:rPr>
                <w:rFonts w:ascii="Arial" w:hAnsi="Arial" w:cs="Arial"/>
                <w:sz w:val="16"/>
                <w:szCs w:val="16"/>
              </w:rPr>
            </w:pPr>
            <w:r w:rsidRPr="00875CE3">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rsidR="00875CE3" w:rsidRPr="00875CE3" w:rsidRDefault="00875CE3" w:rsidP="002723F9">
            <w:pPr>
              <w:spacing w:after="0" w:line="240" w:lineRule="auto"/>
              <w:jc w:val="right"/>
              <w:rPr>
                <w:rFonts w:ascii="Arial" w:hAnsi="Arial" w:cs="Arial"/>
                <w:sz w:val="16"/>
                <w:szCs w:val="16"/>
              </w:rPr>
            </w:pPr>
            <w:r w:rsidRPr="00875CE3">
              <w:rPr>
                <w:rFonts w:ascii="Arial" w:hAnsi="Arial" w:cs="Arial"/>
                <w:sz w:val="16"/>
                <w:szCs w:val="16"/>
              </w:rPr>
              <w:t xml:space="preserve">6,300 </w:t>
            </w:r>
          </w:p>
        </w:tc>
      </w:tr>
      <w:tr w:rsidR="00875CE3" w:rsidRPr="00875CE3" w:rsidTr="00342D9E">
        <w:trPr>
          <w:trHeight w:val="225"/>
        </w:trPr>
        <w:tc>
          <w:tcPr>
            <w:tcW w:w="3402" w:type="dxa"/>
            <w:tcBorders>
              <w:top w:val="nil"/>
              <w:left w:val="nil"/>
              <w:bottom w:val="single" w:sz="4" w:space="0" w:color="auto"/>
              <w:right w:val="nil"/>
            </w:tcBorders>
            <w:shd w:val="clear" w:color="auto" w:fill="auto"/>
            <w:vAlign w:val="bottom"/>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Total cash used to acquire assets</w:t>
            </w:r>
          </w:p>
        </w:tc>
        <w:tc>
          <w:tcPr>
            <w:tcW w:w="928" w:type="dxa"/>
            <w:tcBorders>
              <w:top w:val="single" w:sz="4" w:space="0" w:color="auto"/>
              <w:left w:val="nil"/>
              <w:bottom w:val="single" w:sz="4" w:space="0" w:color="auto"/>
              <w:right w:val="nil"/>
            </w:tcBorders>
            <w:shd w:val="clear" w:color="auto" w:fill="auto"/>
            <w:noWrap/>
            <w:vAlign w:val="bottom"/>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8,783 </w:t>
            </w:r>
          </w:p>
        </w:tc>
        <w:tc>
          <w:tcPr>
            <w:tcW w:w="850" w:type="dxa"/>
            <w:tcBorders>
              <w:top w:val="single" w:sz="4" w:space="0" w:color="auto"/>
              <w:left w:val="nil"/>
              <w:bottom w:val="single" w:sz="4" w:space="0" w:color="auto"/>
              <w:right w:val="nil"/>
            </w:tcBorders>
            <w:shd w:val="clear" w:color="000000" w:fill="E6E6E6"/>
            <w:noWrap/>
            <w:vAlign w:val="bottom"/>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9,215 </w:t>
            </w:r>
          </w:p>
        </w:tc>
        <w:tc>
          <w:tcPr>
            <w:tcW w:w="850" w:type="dxa"/>
            <w:tcBorders>
              <w:top w:val="single" w:sz="4" w:space="0" w:color="auto"/>
              <w:left w:val="nil"/>
              <w:bottom w:val="single" w:sz="4" w:space="0" w:color="auto"/>
              <w:right w:val="nil"/>
            </w:tcBorders>
            <w:shd w:val="clear" w:color="auto" w:fill="auto"/>
            <w:noWrap/>
            <w:vAlign w:val="bottom"/>
            <w:hideMark/>
          </w:tcPr>
          <w:p w:rsidR="00875CE3" w:rsidRPr="00875CE3" w:rsidRDefault="00875CE3" w:rsidP="002723F9">
            <w:pPr>
              <w:spacing w:after="0" w:line="240" w:lineRule="auto"/>
              <w:jc w:val="right"/>
              <w:rPr>
                <w:rFonts w:ascii="Arial" w:hAnsi="Arial" w:cs="Arial"/>
                <w:b/>
                <w:bCs/>
                <w:sz w:val="16"/>
                <w:szCs w:val="16"/>
              </w:rPr>
            </w:pPr>
            <w:r w:rsidRPr="00875CE3">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bottom"/>
            <w:hideMark/>
          </w:tcPr>
          <w:p w:rsidR="00875CE3" w:rsidRPr="00875CE3" w:rsidRDefault="00875CE3" w:rsidP="002723F9">
            <w:pPr>
              <w:spacing w:after="0" w:line="240" w:lineRule="auto"/>
              <w:jc w:val="right"/>
              <w:rPr>
                <w:rFonts w:ascii="Arial" w:hAnsi="Arial" w:cs="Arial"/>
                <w:b/>
                <w:bCs/>
                <w:sz w:val="16"/>
                <w:szCs w:val="16"/>
              </w:rPr>
            </w:pPr>
            <w:r w:rsidRPr="00875CE3">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bottom"/>
            <w:hideMark/>
          </w:tcPr>
          <w:p w:rsidR="00875CE3" w:rsidRPr="00875CE3" w:rsidRDefault="00875CE3" w:rsidP="002723F9">
            <w:pPr>
              <w:spacing w:after="0" w:line="240" w:lineRule="auto"/>
              <w:jc w:val="right"/>
              <w:rPr>
                <w:rFonts w:ascii="Arial" w:hAnsi="Arial" w:cs="Arial"/>
                <w:b/>
                <w:bCs/>
                <w:sz w:val="16"/>
                <w:szCs w:val="16"/>
              </w:rPr>
            </w:pPr>
            <w:r w:rsidRPr="00875CE3">
              <w:rPr>
                <w:rFonts w:ascii="Arial" w:hAnsi="Arial" w:cs="Arial"/>
                <w:b/>
                <w:bCs/>
                <w:sz w:val="16"/>
                <w:szCs w:val="16"/>
              </w:rPr>
              <w:t xml:space="preserve">6,300 </w:t>
            </w:r>
          </w:p>
        </w:tc>
      </w:tr>
    </w:tbl>
    <w:p w:rsidR="00875CE3" w:rsidRPr="00875CE3" w:rsidRDefault="00875CE3" w:rsidP="00E01B4E">
      <w:pPr>
        <w:pStyle w:val="ChartandTableFootnoteAlpha"/>
        <w:numPr>
          <w:ilvl w:val="0"/>
          <w:numId w:val="49"/>
        </w:numPr>
        <w:rPr>
          <w:rFonts w:cs="Arial"/>
          <w:szCs w:val="16"/>
        </w:rPr>
      </w:pPr>
      <w:r w:rsidRPr="00875CE3">
        <w:rPr>
          <w:rFonts w:cs="Arial"/>
          <w:szCs w:val="16"/>
        </w:rPr>
        <w:t xml:space="preserve">Does not include annual finance lease costs. Includes purchases from current and previous years’ Departmental </w:t>
      </w:r>
      <w:r w:rsidR="00672459">
        <w:rPr>
          <w:rFonts w:cs="Arial"/>
          <w:szCs w:val="16"/>
          <w:lang w:val="en-AU"/>
        </w:rPr>
        <w:t>Capital</w:t>
      </w:r>
      <w:r w:rsidRPr="00875CE3">
        <w:rPr>
          <w:rFonts w:cs="Arial"/>
          <w:szCs w:val="16"/>
        </w:rPr>
        <w:t xml:space="preserve"> </w:t>
      </w:r>
      <w:r w:rsidR="00672459">
        <w:rPr>
          <w:rFonts w:cs="Arial"/>
          <w:szCs w:val="16"/>
          <w:lang w:val="en-AU"/>
        </w:rPr>
        <w:t>Budgets</w:t>
      </w:r>
      <w:r w:rsidRPr="00875CE3">
        <w:rPr>
          <w:rFonts w:cs="Arial"/>
          <w:szCs w:val="16"/>
        </w:rPr>
        <w:t xml:space="preserve"> (DCBs).</w:t>
      </w:r>
    </w:p>
    <w:p w:rsidR="00875CE3" w:rsidRDefault="00875CE3" w:rsidP="00875CE3">
      <w:pPr>
        <w:pStyle w:val="ChartandTableFootnoteAlpha"/>
        <w:numPr>
          <w:ilvl w:val="0"/>
          <w:numId w:val="8"/>
        </w:numPr>
        <w:rPr>
          <w:rFonts w:cs="Arial"/>
          <w:szCs w:val="16"/>
        </w:rPr>
      </w:pPr>
      <w:r w:rsidRPr="00132F9E">
        <w:rPr>
          <w:rFonts w:cs="Arial"/>
          <w:szCs w:val="16"/>
        </w:rPr>
        <w:t xml:space="preserve">Includes the following sources of funding: </w:t>
      </w:r>
    </w:p>
    <w:p w:rsidR="00875CE3" w:rsidRDefault="00875CE3" w:rsidP="00E01B4E">
      <w:pPr>
        <w:pStyle w:val="ChartandTableFootnoteAlpha"/>
        <w:numPr>
          <w:ilvl w:val="0"/>
          <w:numId w:val="14"/>
        </w:numPr>
        <w:rPr>
          <w:rFonts w:cs="Arial"/>
          <w:szCs w:val="16"/>
        </w:rPr>
      </w:pPr>
      <w:r w:rsidRPr="00132F9E">
        <w:rPr>
          <w:rFonts w:cs="Arial"/>
          <w:szCs w:val="16"/>
        </w:rPr>
        <w:t>current Bill 1 and prior year Act 1/3/5 appropriations (</w:t>
      </w:r>
      <w:r w:rsidR="00543F53">
        <w:rPr>
          <w:rFonts w:cs="Arial"/>
          <w:szCs w:val="16"/>
        </w:rPr>
        <w:t>excluding amounts from the DCB)</w:t>
      </w:r>
      <w:r w:rsidRPr="00132F9E">
        <w:rPr>
          <w:rFonts w:cs="Arial"/>
          <w:szCs w:val="16"/>
        </w:rPr>
        <w:t xml:space="preserve"> </w:t>
      </w:r>
    </w:p>
    <w:p w:rsidR="00875CE3" w:rsidRDefault="00543F53" w:rsidP="00E01B4E">
      <w:pPr>
        <w:pStyle w:val="ChartandTableFootnoteAlpha"/>
        <w:numPr>
          <w:ilvl w:val="0"/>
          <w:numId w:val="14"/>
        </w:numPr>
        <w:rPr>
          <w:rFonts w:cs="Arial"/>
          <w:szCs w:val="16"/>
        </w:rPr>
      </w:pPr>
      <w:r>
        <w:rPr>
          <w:rFonts w:cs="Arial"/>
          <w:szCs w:val="16"/>
        </w:rPr>
        <w:t>s74 Retained revenue receipts,</w:t>
      </w:r>
      <w:r w:rsidR="00875CE3" w:rsidRPr="00132F9E">
        <w:rPr>
          <w:rFonts w:cs="Arial"/>
          <w:szCs w:val="16"/>
        </w:rPr>
        <w:t xml:space="preserve"> and </w:t>
      </w:r>
    </w:p>
    <w:p w:rsidR="00875CE3" w:rsidRPr="00132F9E" w:rsidRDefault="00875CE3" w:rsidP="00CF5D6B">
      <w:pPr>
        <w:pStyle w:val="ChartandTableFootnoteAlpha"/>
        <w:numPr>
          <w:ilvl w:val="0"/>
          <w:numId w:val="14"/>
        </w:numPr>
        <w:spacing w:before="60" w:after="60"/>
        <w:ind w:left="641" w:hanging="357"/>
        <w:rPr>
          <w:rFonts w:cs="Arial"/>
          <w:szCs w:val="16"/>
        </w:rPr>
      </w:pPr>
      <w:r w:rsidRPr="00132F9E">
        <w:rPr>
          <w:rFonts w:cs="Arial"/>
          <w:szCs w:val="16"/>
        </w:rPr>
        <w:t>proceeds from the sale of assets.</w:t>
      </w:r>
    </w:p>
    <w:p w:rsidR="00875CE3" w:rsidRDefault="00875CE3" w:rsidP="00EB77C1">
      <w:pPr>
        <w:pStyle w:val="ChartandTableFootnote"/>
        <w:spacing w:before="0" w:after="360"/>
      </w:pPr>
      <w:r w:rsidRPr="00132F9E">
        <w:t>Prepared on Australian Accounting Standards basis.</w:t>
      </w:r>
    </w:p>
    <w:p w:rsidR="00875CE3" w:rsidRDefault="00875CE3" w:rsidP="00875CE3">
      <w:pPr>
        <w:pStyle w:val="TableHeading"/>
      </w:pPr>
      <w:r w:rsidRPr="00D30CBA">
        <w:t>Table</w:t>
      </w:r>
      <w:r>
        <w:t xml:space="preserve"> 3.6</w:t>
      </w:r>
      <w:r w:rsidRPr="00D30CBA">
        <w:t xml:space="preserve">: </w:t>
      </w:r>
      <w:r>
        <w:t>Statement of asset movements (Budget year 2018</w:t>
      </w:r>
      <w:r>
        <w:rPr>
          <w:lang w:val="en-AU"/>
        </w:rPr>
        <w:t>–</w:t>
      </w:r>
      <w:r>
        <w:t>19)</w:t>
      </w:r>
    </w:p>
    <w:tbl>
      <w:tblPr>
        <w:tblW w:w="7739" w:type="dxa"/>
        <w:tblInd w:w="93" w:type="dxa"/>
        <w:tblLook w:val="04A0" w:firstRow="1" w:lastRow="0" w:firstColumn="1" w:lastColumn="0" w:noHBand="0" w:noVBand="1"/>
      </w:tblPr>
      <w:tblGrid>
        <w:gridCol w:w="3203"/>
        <w:gridCol w:w="1134"/>
        <w:gridCol w:w="1304"/>
        <w:gridCol w:w="1134"/>
        <w:gridCol w:w="964"/>
      </w:tblGrid>
      <w:tr w:rsidR="00875CE3" w:rsidRPr="00875CE3" w:rsidTr="00FB3E15">
        <w:trPr>
          <w:trHeight w:val="794"/>
        </w:trPr>
        <w:tc>
          <w:tcPr>
            <w:tcW w:w="3203"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rPr>
                <w:rFonts w:ascii="Arial" w:hAnsi="Arial" w:cs="Arial"/>
                <w:sz w:val="16"/>
                <w:szCs w:val="16"/>
              </w:rPr>
            </w:pPr>
            <w:r w:rsidRPr="00875CE3">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E247DD">
            <w:pPr>
              <w:spacing w:after="0" w:line="240" w:lineRule="auto"/>
              <w:jc w:val="right"/>
              <w:rPr>
                <w:rFonts w:ascii="Arial" w:hAnsi="Arial" w:cs="Arial"/>
                <w:sz w:val="16"/>
                <w:szCs w:val="16"/>
              </w:rPr>
            </w:pPr>
            <w:r w:rsidRPr="00875CE3">
              <w:rPr>
                <w:rFonts w:ascii="Arial" w:hAnsi="Arial" w:cs="Arial"/>
                <w:sz w:val="16"/>
                <w:szCs w:val="16"/>
              </w:rPr>
              <w:t>Buildings</w:t>
            </w:r>
            <w:r w:rsidRPr="00875CE3">
              <w:rPr>
                <w:rFonts w:ascii="Arial" w:hAnsi="Arial" w:cs="Arial"/>
                <w:sz w:val="16"/>
                <w:szCs w:val="16"/>
              </w:rPr>
              <w:br/>
            </w:r>
            <w:r w:rsidRPr="00875CE3">
              <w:rPr>
                <w:rFonts w:ascii="Arial" w:hAnsi="Arial" w:cs="Arial"/>
                <w:sz w:val="16"/>
                <w:szCs w:val="16"/>
              </w:rPr>
              <w:br/>
            </w:r>
            <w:r w:rsidRPr="00875CE3">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E247DD">
            <w:pPr>
              <w:spacing w:after="0" w:line="240" w:lineRule="auto"/>
              <w:jc w:val="right"/>
              <w:rPr>
                <w:rFonts w:ascii="Arial" w:hAnsi="Arial" w:cs="Arial"/>
                <w:sz w:val="16"/>
                <w:szCs w:val="16"/>
              </w:rPr>
            </w:pPr>
            <w:r w:rsidRPr="00875CE3">
              <w:rPr>
                <w:rFonts w:ascii="Arial" w:hAnsi="Arial" w:cs="Arial"/>
                <w:sz w:val="16"/>
                <w:szCs w:val="16"/>
              </w:rPr>
              <w:t>Other</w:t>
            </w:r>
            <w:r w:rsidR="00E247DD">
              <w:rPr>
                <w:rFonts w:ascii="Arial" w:hAnsi="Arial" w:cs="Arial"/>
                <w:sz w:val="16"/>
                <w:szCs w:val="16"/>
              </w:rPr>
              <w:t xml:space="preserve"> </w:t>
            </w:r>
            <w:r w:rsidRPr="00875CE3">
              <w:rPr>
                <w:rFonts w:ascii="Arial" w:hAnsi="Arial" w:cs="Arial"/>
                <w:sz w:val="16"/>
                <w:szCs w:val="16"/>
              </w:rPr>
              <w:t>property,</w:t>
            </w:r>
            <w:r w:rsidRPr="00875CE3">
              <w:rPr>
                <w:rFonts w:ascii="Arial" w:hAnsi="Arial" w:cs="Arial"/>
                <w:sz w:val="16"/>
                <w:szCs w:val="16"/>
              </w:rPr>
              <w:br/>
              <w:t>plant and</w:t>
            </w:r>
            <w:r w:rsidRPr="00875CE3">
              <w:rPr>
                <w:rFonts w:ascii="Arial" w:hAnsi="Arial" w:cs="Arial"/>
                <w:sz w:val="16"/>
                <w:szCs w:val="16"/>
              </w:rPr>
              <w:br/>
              <w:t>equipment</w:t>
            </w:r>
            <w:r w:rsidRPr="00875CE3">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875CE3">
            <w:pPr>
              <w:spacing w:after="0" w:line="240" w:lineRule="auto"/>
              <w:jc w:val="right"/>
              <w:rPr>
                <w:rFonts w:ascii="Arial" w:hAnsi="Arial" w:cs="Arial"/>
                <w:sz w:val="16"/>
                <w:szCs w:val="16"/>
              </w:rPr>
            </w:pPr>
            <w:r w:rsidRPr="00875CE3">
              <w:rPr>
                <w:rFonts w:ascii="Arial" w:hAnsi="Arial" w:cs="Arial"/>
                <w:sz w:val="16"/>
                <w:szCs w:val="16"/>
              </w:rPr>
              <w:t>Computer</w:t>
            </w:r>
            <w:r w:rsidRPr="00875CE3">
              <w:rPr>
                <w:rFonts w:ascii="Arial" w:hAnsi="Arial" w:cs="Arial"/>
                <w:sz w:val="16"/>
                <w:szCs w:val="16"/>
              </w:rPr>
              <w:br/>
              <w:t>software and</w:t>
            </w:r>
            <w:r w:rsidRPr="00875CE3">
              <w:rPr>
                <w:rFonts w:ascii="Arial" w:hAnsi="Arial" w:cs="Arial"/>
                <w:sz w:val="16"/>
                <w:szCs w:val="16"/>
              </w:rPr>
              <w:br/>
              <w:t>intangibles</w:t>
            </w:r>
            <w:r w:rsidRPr="00875CE3">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875CE3" w:rsidRPr="00875CE3" w:rsidRDefault="00875CE3" w:rsidP="00E247DD">
            <w:pPr>
              <w:spacing w:after="0" w:line="240" w:lineRule="auto"/>
              <w:jc w:val="right"/>
              <w:rPr>
                <w:rFonts w:ascii="Arial" w:hAnsi="Arial" w:cs="Arial"/>
                <w:sz w:val="16"/>
                <w:szCs w:val="16"/>
              </w:rPr>
            </w:pPr>
            <w:r w:rsidRPr="00875CE3">
              <w:rPr>
                <w:rFonts w:ascii="Arial" w:hAnsi="Arial" w:cs="Arial"/>
                <w:sz w:val="16"/>
                <w:szCs w:val="16"/>
              </w:rPr>
              <w:t>Total</w:t>
            </w:r>
            <w:r w:rsidRPr="00875CE3">
              <w:rPr>
                <w:rFonts w:ascii="Arial" w:hAnsi="Arial" w:cs="Arial"/>
                <w:sz w:val="16"/>
                <w:szCs w:val="16"/>
              </w:rPr>
              <w:br/>
            </w:r>
            <w:r w:rsidRPr="00875CE3">
              <w:rPr>
                <w:rFonts w:ascii="Arial" w:hAnsi="Arial" w:cs="Arial"/>
                <w:sz w:val="16"/>
                <w:szCs w:val="16"/>
              </w:rPr>
              <w:br/>
            </w:r>
            <w:r w:rsidRPr="00875CE3">
              <w:rPr>
                <w:rFonts w:ascii="Arial" w:hAnsi="Arial" w:cs="Arial"/>
                <w:sz w:val="16"/>
                <w:szCs w:val="16"/>
              </w:rPr>
              <w:br/>
              <w:t>$'000</w:t>
            </w: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As at 1 July 2018</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 xml:space="preserve">Gross book value </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29,933 </w:t>
            </w: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5,286 </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36,100 </w:t>
            </w: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71,319 </w:t>
            </w:r>
          </w:p>
        </w:tc>
      </w:tr>
      <w:tr w:rsidR="00875CE3" w:rsidRPr="00875CE3" w:rsidTr="00CF5D6B">
        <w:trPr>
          <w:trHeight w:val="340"/>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Chars="80" w:left="333" w:hangingChars="108" w:hanging="173"/>
              <w:rPr>
                <w:rFonts w:ascii="Arial" w:hAnsi="Arial" w:cs="Arial"/>
                <w:sz w:val="16"/>
                <w:szCs w:val="16"/>
              </w:rPr>
            </w:pPr>
            <w:r w:rsidRPr="00875CE3">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(15,426)</w:t>
            </w: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(3,668)</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(27,980)</w:t>
            </w: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(47,074)</w:t>
            </w: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Opening net book balance</w:t>
            </w:r>
          </w:p>
        </w:tc>
        <w:tc>
          <w:tcPr>
            <w:tcW w:w="113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14,507 </w:t>
            </w:r>
          </w:p>
        </w:tc>
        <w:tc>
          <w:tcPr>
            <w:tcW w:w="130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1,618 </w:t>
            </w:r>
          </w:p>
        </w:tc>
        <w:tc>
          <w:tcPr>
            <w:tcW w:w="113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8,120 </w:t>
            </w:r>
          </w:p>
        </w:tc>
        <w:tc>
          <w:tcPr>
            <w:tcW w:w="96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24,245 </w:t>
            </w: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Capital asset additions</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r>
      <w:tr w:rsidR="00875CE3" w:rsidRPr="00875CE3" w:rsidTr="00FB3E15">
        <w:trPr>
          <w:trHeight w:val="397"/>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Chars="81" w:left="332" w:hangingChars="106" w:hanging="170"/>
              <w:rPr>
                <w:rFonts w:ascii="Arial" w:hAnsi="Arial" w:cs="Arial"/>
                <w:b/>
                <w:bCs/>
                <w:sz w:val="16"/>
                <w:szCs w:val="16"/>
              </w:rPr>
            </w:pPr>
            <w:r w:rsidRPr="00875CE3">
              <w:rPr>
                <w:rFonts w:ascii="Arial" w:hAnsi="Arial" w:cs="Arial"/>
                <w:b/>
                <w:bCs/>
                <w:sz w:val="16"/>
                <w:szCs w:val="16"/>
              </w:rPr>
              <w:t>Estimated expenditure on new or replacement assets</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By purchase—appropriation equity (a)</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5,491 </w:t>
            </w: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400 </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3,324 </w:t>
            </w: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9,215 </w:t>
            </w: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firstLineChars="100" w:firstLine="160"/>
              <w:rPr>
                <w:rFonts w:ascii="Arial" w:hAnsi="Arial" w:cs="Arial"/>
                <w:b/>
                <w:bCs/>
                <w:sz w:val="16"/>
                <w:szCs w:val="16"/>
              </w:rPr>
            </w:pPr>
            <w:r w:rsidRPr="00875CE3">
              <w:rPr>
                <w:rFonts w:ascii="Arial" w:hAnsi="Arial" w:cs="Arial"/>
                <w:b/>
                <w:bCs/>
                <w:sz w:val="16"/>
                <w:szCs w:val="16"/>
              </w:rPr>
              <w:t>Total additions</w:t>
            </w:r>
          </w:p>
        </w:tc>
        <w:tc>
          <w:tcPr>
            <w:tcW w:w="1134"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5,491 </w:t>
            </w:r>
          </w:p>
        </w:tc>
        <w:tc>
          <w:tcPr>
            <w:tcW w:w="1304"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400 </w:t>
            </w:r>
          </w:p>
        </w:tc>
        <w:tc>
          <w:tcPr>
            <w:tcW w:w="1134"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3,324 </w:t>
            </w:r>
          </w:p>
        </w:tc>
        <w:tc>
          <w:tcPr>
            <w:tcW w:w="964"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9,215 </w:t>
            </w: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firstLineChars="100" w:firstLine="160"/>
              <w:rPr>
                <w:rFonts w:ascii="Arial" w:hAnsi="Arial" w:cs="Arial"/>
                <w:b/>
                <w:bCs/>
                <w:sz w:val="16"/>
                <w:szCs w:val="16"/>
              </w:rPr>
            </w:pPr>
            <w:r w:rsidRPr="00875CE3">
              <w:rPr>
                <w:rFonts w:ascii="Arial" w:hAnsi="Arial" w:cs="Arial"/>
                <w:b/>
                <w:bCs/>
                <w:sz w:val="16"/>
                <w:szCs w:val="16"/>
              </w:rPr>
              <w:t>Other movements</w:t>
            </w:r>
          </w:p>
        </w:tc>
        <w:tc>
          <w:tcPr>
            <w:tcW w:w="1134"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64" w:type="dxa"/>
            <w:tcBorders>
              <w:top w:val="single" w:sz="4" w:space="0" w:color="auto"/>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w:t>
            </w: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Depreciation/amortisation expense</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(3,412)</w:t>
            </w: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(1,523)</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(3,150)</w:t>
            </w: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(8,085)</w:t>
            </w: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firstLineChars="100" w:firstLine="160"/>
              <w:rPr>
                <w:rFonts w:ascii="Arial" w:hAnsi="Arial" w:cs="Arial"/>
                <w:b/>
                <w:bCs/>
                <w:sz w:val="16"/>
                <w:szCs w:val="16"/>
              </w:rPr>
            </w:pPr>
            <w:r w:rsidRPr="00875CE3">
              <w:rPr>
                <w:rFonts w:ascii="Arial" w:hAnsi="Arial" w:cs="Arial"/>
                <w:b/>
                <w:bCs/>
                <w:sz w:val="16"/>
                <w:szCs w:val="16"/>
              </w:rPr>
              <w:t>Total other movements</w:t>
            </w:r>
          </w:p>
        </w:tc>
        <w:tc>
          <w:tcPr>
            <w:tcW w:w="113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(3,412)</w:t>
            </w:r>
          </w:p>
        </w:tc>
        <w:tc>
          <w:tcPr>
            <w:tcW w:w="130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(1,523)</w:t>
            </w:r>
          </w:p>
        </w:tc>
        <w:tc>
          <w:tcPr>
            <w:tcW w:w="113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(3,150)</w:t>
            </w:r>
          </w:p>
        </w:tc>
        <w:tc>
          <w:tcPr>
            <w:tcW w:w="964" w:type="dxa"/>
            <w:tcBorders>
              <w:top w:val="single" w:sz="4" w:space="0" w:color="auto"/>
              <w:left w:val="nil"/>
              <w:bottom w:val="single" w:sz="4" w:space="0" w:color="auto"/>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(8,085)</w:t>
            </w: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As at 30 June 2019</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p>
        </w:tc>
      </w:tr>
      <w:tr w:rsidR="00875CE3" w:rsidRPr="00875CE3" w:rsidTr="00FB3E15">
        <w:trPr>
          <w:trHeight w:val="225"/>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Gross book value</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35,424 </w:t>
            </w: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5,686 </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39,424 </w:t>
            </w: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80,534 </w:t>
            </w:r>
          </w:p>
        </w:tc>
      </w:tr>
      <w:tr w:rsidR="00875CE3" w:rsidRPr="00875CE3" w:rsidTr="00CF5D6B">
        <w:trPr>
          <w:trHeight w:val="340"/>
        </w:trPr>
        <w:tc>
          <w:tcPr>
            <w:tcW w:w="3203" w:type="dxa"/>
            <w:tcBorders>
              <w:top w:val="nil"/>
              <w:left w:val="nil"/>
              <w:bottom w:val="nil"/>
              <w:right w:val="nil"/>
            </w:tcBorders>
            <w:shd w:val="clear" w:color="auto" w:fill="auto"/>
            <w:vAlign w:val="center"/>
            <w:hideMark/>
          </w:tcPr>
          <w:p w:rsidR="00875CE3" w:rsidRPr="00875CE3" w:rsidRDefault="00875CE3" w:rsidP="00FB3E15">
            <w:pPr>
              <w:spacing w:after="0" w:line="240" w:lineRule="auto"/>
              <w:ind w:leftChars="80" w:left="333" w:hangingChars="108" w:hanging="173"/>
              <w:rPr>
                <w:rFonts w:ascii="Arial" w:hAnsi="Arial" w:cs="Arial"/>
                <w:sz w:val="16"/>
                <w:szCs w:val="16"/>
              </w:rPr>
            </w:pPr>
            <w:r w:rsidRPr="00875CE3">
              <w:rPr>
                <w:rFonts w:ascii="Arial" w:hAnsi="Arial" w:cs="Arial"/>
                <w:sz w:val="16"/>
                <w:szCs w:val="16"/>
              </w:rPr>
              <w:t>Accumulated depreciation/ amortisation and impairment</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(18,838)</w:t>
            </w:r>
          </w:p>
        </w:tc>
        <w:tc>
          <w:tcPr>
            <w:tcW w:w="130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(5,191)</w:t>
            </w:r>
          </w:p>
        </w:tc>
        <w:tc>
          <w:tcPr>
            <w:tcW w:w="113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(31,130)</w:t>
            </w:r>
          </w:p>
        </w:tc>
        <w:tc>
          <w:tcPr>
            <w:tcW w:w="964" w:type="dxa"/>
            <w:tcBorders>
              <w:top w:val="nil"/>
              <w:left w:val="nil"/>
              <w:bottom w:val="nil"/>
              <w:right w:val="nil"/>
            </w:tcBorders>
            <w:shd w:val="clear" w:color="auto" w:fill="auto"/>
            <w:noWrap/>
            <w:vAlign w:val="center"/>
            <w:hideMark/>
          </w:tcPr>
          <w:p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(55,159)</w:t>
            </w:r>
          </w:p>
        </w:tc>
      </w:tr>
      <w:tr w:rsidR="00875CE3" w:rsidRPr="00875CE3" w:rsidTr="00E247DD">
        <w:trPr>
          <w:trHeight w:val="225"/>
        </w:trPr>
        <w:tc>
          <w:tcPr>
            <w:tcW w:w="3203" w:type="dxa"/>
            <w:tcBorders>
              <w:top w:val="nil"/>
              <w:left w:val="nil"/>
              <w:bottom w:val="single" w:sz="4" w:space="0" w:color="auto"/>
              <w:right w:val="nil"/>
            </w:tcBorders>
            <w:shd w:val="clear" w:color="auto" w:fill="auto"/>
            <w:noWrap/>
            <w:vAlign w:val="bottom"/>
            <w:hideMark/>
          </w:tcPr>
          <w:p w:rsidR="00875CE3" w:rsidRPr="00875CE3" w:rsidRDefault="00875CE3" w:rsidP="00875CE3">
            <w:pPr>
              <w:spacing w:after="0" w:line="240" w:lineRule="auto"/>
              <w:rPr>
                <w:rFonts w:ascii="Arial" w:hAnsi="Arial" w:cs="Arial"/>
                <w:b/>
                <w:bCs/>
                <w:sz w:val="16"/>
                <w:szCs w:val="16"/>
              </w:rPr>
            </w:pPr>
            <w:r w:rsidRPr="00875CE3">
              <w:rPr>
                <w:rFonts w:ascii="Arial" w:hAnsi="Arial" w:cs="Arial"/>
                <w:b/>
                <w:bCs/>
                <w:sz w:val="16"/>
                <w:szCs w:val="16"/>
              </w:rPr>
              <w:t>Closing net book balance</w:t>
            </w:r>
          </w:p>
        </w:tc>
        <w:tc>
          <w:tcPr>
            <w:tcW w:w="1134" w:type="dxa"/>
            <w:tcBorders>
              <w:top w:val="single" w:sz="4" w:space="0" w:color="auto"/>
              <w:left w:val="nil"/>
              <w:bottom w:val="single" w:sz="4" w:space="0" w:color="auto"/>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 xml:space="preserve">16,586 </w:t>
            </w:r>
          </w:p>
        </w:tc>
        <w:tc>
          <w:tcPr>
            <w:tcW w:w="1304" w:type="dxa"/>
            <w:tcBorders>
              <w:top w:val="single" w:sz="4" w:space="0" w:color="auto"/>
              <w:left w:val="nil"/>
              <w:bottom w:val="single" w:sz="4" w:space="0" w:color="auto"/>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 xml:space="preserve">495 </w:t>
            </w:r>
          </w:p>
        </w:tc>
        <w:tc>
          <w:tcPr>
            <w:tcW w:w="1134" w:type="dxa"/>
            <w:tcBorders>
              <w:top w:val="single" w:sz="4" w:space="0" w:color="auto"/>
              <w:left w:val="nil"/>
              <w:bottom w:val="single" w:sz="4" w:space="0" w:color="auto"/>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 xml:space="preserve">8,294 </w:t>
            </w:r>
          </w:p>
        </w:tc>
        <w:tc>
          <w:tcPr>
            <w:tcW w:w="964" w:type="dxa"/>
            <w:tcBorders>
              <w:top w:val="single" w:sz="4" w:space="0" w:color="auto"/>
              <w:left w:val="nil"/>
              <w:bottom w:val="single" w:sz="4" w:space="0" w:color="auto"/>
              <w:right w:val="nil"/>
            </w:tcBorders>
            <w:shd w:val="clear" w:color="auto" w:fill="auto"/>
            <w:noWrap/>
            <w:vAlign w:val="bottom"/>
            <w:hideMark/>
          </w:tcPr>
          <w:p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 xml:space="preserve">25,375 </w:t>
            </w:r>
          </w:p>
        </w:tc>
      </w:tr>
    </w:tbl>
    <w:p w:rsidR="00875CE3" w:rsidRPr="00D37097" w:rsidRDefault="00875CE3" w:rsidP="00CF5D6B">
      <w:pPr>
        <w:pStyle w:val="ChartandTableFootnoteAlpha"/>
        <w:numPr>
          <w:ilvl w:val="0"/>
          <w:numId w:val="50"/>
        </w:numPr>
        <w:spacing w:after="60"/>
        <w:rPr>
          <w:rFonts w:cs="Arial"/>
          <w:szCs w:val="16"/>
        </w:rPr>
      </w:pPr>
      <w:r w:rsidRPr="00D37097">
        <w:rPr>
          <w:rFonts w:cs="Arial"/>
          <w:szCs w:val="16"/>
        </w:rPr>
        <w:t>‘Appropriation equity’ refers to equity injections appropriations provided through Appropriation Bill (No. 2) 2018</w:t>
      </w:r>
      <w:r w:rsidR="00D37097">
        <w:rPr>
          <w:rFonts w:cs="Arial"/>
          <w:szCs w:val="16"/>
        </w:rPr>
        <w:t>–</w:t>
      </w:r>
      <w:r w:rsidR="009A4CA7">
        <w:rPr>
          <w:rFonts w:cs="Arial"/>
          <w:szCs w:val="16"/>
        </w:rPr>
        <w:t>19</w:t>
      </w:r>
      <w:r w:rsidRPr="00D37097">
        <w:rPr>
          <w:rFonts w:cs="Arial"/>
          <w:szCs w:val="16"/>
        </w:rPr>
        <w:t>.</w:t>
      </w:r>
    </w:p>
    <w:p w:rsidR="00875CE3" w:rsidRDefault="00875CE3" w:rsidP="00CF5D6B">
      <w:pPr>
        <w:pStyle w:val="ChartandTableFootnote"/>
        <w:spacing w:before="60"/>
      </w:pPr>
      <w:r w:rsidRPr="00132F9E">
        <w:t>Prepared on Australian Accounting Standards basis.</w:t>
      </w:r>
    </w:p>
    <w:p w:rsidR="00875CE3" w:rsidRDefault="00875CE3" w:rsidP="00326665">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751" w:type="dxa"/>
        <w:tblInd w:w="93" w:type="dxa"/>
        <w:tblLook w:val="04A0" w:firstRow="1" w:lastRow="0" w:firstColumn="1" w:lastColumn="0" w:noHBand="0" w:noVBand="1"/>
      </w:tblPr>
      <w:tblGrid>
        <w:gridCol w:w="3288"/>
        <w:gridCol w:w="928"/>
        <w:gridCol w:w="19"/>
        <w:gridCol w:w="860"/>
        <w:gridCol w:w="19"/>
        <w:gridCol w:w="860"/>
        <w:gridCol w:w="19"/>
        <w:gridCol w:w="860"/>
        <w:gridCol w:w="19"/>
        <w:gridCol w:w="860"/>
        <w:gridCol w:w="19"/>
      </w:tblGrid>
      <w:tr w:rsidR="00D37097" w:rsidRPr="00D37097" w:rsidTr="00416801">
        <w:trPr>
          <w:gridAfter w:val="1"/>
          <w:wAfter w:w="19" w:type="dxa"/>
          <w:trHeight w:val="794"/>
        </w:trPr>
        <w:tc>
          <w:tcPr>
            <w:tcW w:w="3288" w:type="dxa"/>
            <w:tcBorders>
              <w:top w:val="single" w:sz="4" w:space="0" w:color="auto"/>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sz w:val="16"/>
                <w:szCs w:val="16"/>
              </w:rPr>
            </w:pPr>
            <w:r w:rsidRPr="00D3709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2017–18 Estimated actual</w:t>
            </w:r>
            <w:r w:rsidRPr="00D37097">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000000" w:fill="E6E6E6"/>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2018–19</w:t>
            </w:r>
            <w:r w:rsidRPr="00D37097">
              <w:rPr>
                <w:rFonts w:ascii="Arial" w:hAnsi="Arial" w:cs="Arial"/>
                <w:sz w:val="16"/>
                <w:szCs w:val="16"/>
              </w:rPr>
              <w:br/>
              <w:t>Budget</w:t>
            </w:r>
            <w:r w:rsidRPr="00D37097">
              <w:rPr>
                <w:rFonts w:ascii="Arial" w:hAnsi="Arial" w:cs="Arial"/>
                <w:sz w:val="16"/>
                <w:szCs w:val="16"/>
              </w:rPr>
              <w:br/>
            </w:r>
            <w:r w:rsidRPr="00D37097">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2019–20 Forward estimate</w:t>
            </w:r>
            <w:r w:rsidRPr="00D37097">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2020–21 Forward estimate</w:t>
            </w:r>
            <w:r w:rsidRPr="00D37097">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2021–22</w:t>
            </w:r>
            <w:r w:rsidRPr="00D37097">
              <w:rPr>
                <w:rFonts w:ascii="Arial" w:hAnsi="Arial" w:cs="Arial"/>
                <w:sz w:val="16"/>
                <w:szCs w:val="16"/>
              </w:rPr>
              <w:br/>
              <w:t>Forward estimate</w:t>
            </w:r>
            <w:r w:rsidRPr="00D37097">
              <w:rPr>
                <w:rFonts w:ascii="Arial" w:hAnsi="Arial" w:cs="Arial"/>
                <w:sz w:val="16"/>
                <w:szCs w:val="16"/>
              </w:rPr>
              <w:br/>
              <w:t>$'000</w:t>
            </w:r>
          </w:p>
        </w:tc>
      </w:tr>
      <w:tr w:rsidR="00D37097" w:rsidRPr="00D3709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EXPENSES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 expenses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c>
          <w:tcPr>
            <w:tcW w:w="879" w:type="dxa"/>
            <w:gridSpan w:val="2"/>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r>
      <w:tr w:rsidR="00D37097" w:rsidRPr="00D37097" w:rsidTr="00416801">
        <w:trPr>
          <w:gridAfter w:val="1"/>
          <w:wAfter w:w="19" w:type="dxa"/>
          <w:trHeight w:val="397"/>
        </w:trPr>
        <w:tc>
          <w:tcPr>
            <w:tcW w:w="3288" w:type="dxa"/>
            <w:tcBorders>
              <w:top w:val="nil"/>
              <w:left w:val="nil"/>
              <w:bottom w:val="nil"/>
              <w:right w:val="nil"/>
            </w:tcBorders>
            <w:shd w:val="clear" w:color="auto" w:fill="auto"/>
            <w:vAlign w:val="center"/>
            <w:hideMark/>
          </w:tcPr>
          <w:p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gains administered on behalf of Government</w:t>
            </w:r>
          </w:p>
        </w:tc>
        <w:tc>
          <w:tcPr>
            <w:tcW w:w="928" w:type="dxa"/>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r>
      <w:tr w:rsidR="00D37097" w:rsidRPr="00D3709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LESS: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OWN-SOURCE INCOME</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Own-source revenue</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 revenue</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c>
          <w:tcPr>
            <w:tcW w:w="879" w:type="dxa"/>
            <w:gridSpan w:val="2"/>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c>
          <w:tcPr>
            <w:tcW w:w="879" w:type="dxa"/>
            <w:gridSpan w:val="2"/>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r>
      <w:tr w:rsidR="00D37097" w:rsidRPr="00D37097" w:rsidTr="00416801">
        <w:trPr>
          <w:gridAfter w:val="1"/>
          <w:wAfter w:w="19" w:type="dxa"/>
          <w:trHeight w:val="227"/>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non-taxation revenue</w:t>
            </w:r>
          </w:p>
        </w:tc>
        <w:tc>
          <w:tcPr>
            <w:tcW w:w="928" w:type="dxa"/>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r>
      <w:tr w:rsidR="00D37097" w:rsidRPr="00D37097" w:rsidTr="00416801">
        <w:trPr>
          <w:gridAfter w:val="1"/>
          <w:wAfter w:w="19" w:type="dxa"/>
          <w:trHeight w:val="397"/>
        </w:trPr>
        <w:tc>
          <w:tcPr>
            <w:tcW w:w="3288" w:type="dxa"/>
            <w:tcBorders>
              <w:top w:val="nil"/>
              <w:left w:val="nil"/>
              <w:bottom w:val="nil"/>
              <w:right w:val="nil"/>
            </w:tcBorders>
            <w:shd w:val="clear" w:color="auto" w:fill="auto"/>
            <w:vAlign w:val="center"/>
            <w:hideMark/>
          </w:tcPr>
          <w:p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own-source revenue administered on behalf of Government</w:t>
            </w:r>
          </w:p>
        </w:tc>
        <w:tc>
          <w:tcPr>
            <w:tcW w:w="928" w:type="dxa"/>
            <w:tcBorders>
              <w:top w:val="nil"/>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D37097" w:rsidRPr="00D37097" w:rsidTr="00416801">
        <w:trPr>
          <w:gridAfter w:val="1"/>
          <w:wAfter w:w="19" w:type="dxa"/>
          <w:trHeight w:val="397"/>
        </w:trPr>
        <w:tc>
          <w:tcPr>
            <w:tcW w:w="3288" w:type="dxa"/>
            <w:tcBorders>
              <w:top w:val="nil"/>
              <w:left w:val="nil"/>
              <w:bottom w:val="nil"/>
              <w:right w:val="nil"/>
            </w:tcBorders>
            <w:shd w:val="clear" w:color="auto" w:fill="auto"/>
            <w:vAlign w:val="center"/>
            <w:hideMark/>
          </w:tcPr>
          <w:p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own-sourced income administered on behalf of Government</w:t>
            </w:r>
          </w:p>
        </w:tc>
        <w:tc>
          <w:tcPr>
            <w:tcW w:w="928" w:type="dxa"/>
            <w:tcBorders>
              <w:top w:val="nil"/>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416801" w:rsidRPr="00C6076D" w:rsidTr="00416801">
        <w:trPr>
          <w:trHeight w:val="227"/>
        </w:trPr>
        <w:tc>
          <w:tcPr>
            <w:tcW w:w="3288" w:type="dxa"/>
            <w:tcBorders>
              <w:top w:val="nil"/>
              <w:left w:val="nil"/>
              <w:right w:val="nil"/>
            </w:tcBorders>
            <w:shd w:val="clear" w:color="auto" w:fill="auto"/>
            <w:vAlign w:val="center"/>
            <w:hideMark/>
          </w:tcPr>
          <w:p w:rsidR="00416801" w:rsidRPr="00C6076D" w:rsidRDefault="00416801" w:rsidP="00B05F34">
            <w:pPr>
              <w:spacing w:after="0" w:line="240" w:lineRule="auto"/>
              <w:rPr>
                <w:rFonts w:ascii="Arial" w:hAnsi="Arial" w:cs="Arial"/>
                <w:b/>
                <w:bCs/>
                <w:color w:val="000000"/>
                <w:sz w:val="16"/>
                <w:szCs w:val="16"/>
              </w:rPr>
            </w:pPr>
            <w:r w:rsidRPr="00C6076D">
              <w:rPr>
                <w:rFonts w:ascii="Arial" w:hAnsi="Arial" w:cs="Arial"/>
                <w:b/>
                <w:bCs/>
                <w:color w:val="000000"/>
                <w:sz w:val="16"/>
                <w:szCs w:val="16"/>
              </w:rPr>
              <w:t>Net (cost of)/contribution by services</w:t>
            </w:r>
          </w:p>
        </w:tc>
        <w:tc>
          <w:tcPr>
            <w:tcW w:w="947" w:type="dxa"/>
            <w:gridSpan w:val="2"/>
            <w:tcBorders>
              <w:top w:val="nil"/>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000000" w:fill="E6E6E6"/>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416801" w:rsidRPr="00C6076D" w:rsidTr="00416801">
        <w:trPr>
          <w:trHeight w:val="225"/>
        </w:trPr>
        <w:tc>
          <w:tcPr>
            <w:tcW w:w="3288" w:type="dxa"/>
            <w:tcBorders>
              <w:left w:val="nil"/>
              <w:bottom w:val="nil"/>
              <w:right w:val="nil"/>
            </w:tcBorders>
            <w:shd w:val="clear" w:color="auto" w:fill="auto"/>
            <w:noWrap/>
            <w:vAlign w:val="center"/>
            <w:hideMark/>
          </w:tcPr>
          <w:p w:rsidR="00416801" w:rsidRPr="00C6076D" w:rsidRDefault="00416801" w:rsidP="00B05F34">
            <w:pPr>
              <w:spacing w:after="0" w:line="240" w:lineRule="auto"/>
              <w:rPr>
                <w:rFonts w:ascii="Arial" w:hAnsi="Arial" w:cs="Arial"/>
                <w:b/>
                <w:bCs/>
                <w:color w:val="000000"/>
                <w:sz w:val="16"/>
                <w:szCs w:val="16"/>
              </w:rPr>
            </w:pPr>
            <w:r w:rsidRPr="00C6076D">
              <w:rPr>
                <w:rFonts w:ascii="Arial" w:hAnsi="Arial" w:cs="Arial"/>
                <w:b/>
                <w:bCs/>
                <w:color w:val="000000"/>
                <w:sz w:val="16"/>
                <w:szCs w:val="16"/>
              </w:rPr>
              <w:t>Surplus/(deficit) before income tax</w:t>
            </w:r>
          </w:p>
        </w:tc>
        <w:tc>
          <w:tcPr>
            <w:tcW w:w="947" w:type="dxa"/>
            <w:gridSpan w:val="2"/>
            <w:tcBorders>
              <w:top w:val="nil"/>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000000" w:fill="E6E6E6"/>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416801" w:rsidRPr="00C6076D" w:rsidTr="00416801">
        <w:trPr>
          <w:trHeight w:val="225"/>
        </w:trPr>
        <w:tc>
          <w:tcPr>
            <w:tcW w:w="3288" w:type="dxa"/>
            <w:tcBorders>
              <w:top w:val="nil"/>
              <w:left w:val="nil"/>
              <w:bottom w:val="nil"/>
              <w:right w:val="nil"/>
            </w:tcBorders>
            <w:shd w:val="clear" w:color="auto" w:fill="auto"/>
            <w:noWrap/>
            <w:vAlign w:val="center"/>
            <w:hideMark/>
          </w:tcPr>
          <w:p w:rsidR="00416801" w:rsidRPr="00C6076D" w:rsidRDefault="00416801" w:rsidP="00B05F34">
            <w:pPr>
              <w:spacing w:after="0" w:line="240" w:lineRule="auto"/>
              <w:rPr>
                <w:rFonts w:ascii="Arial" w:hAnsi="Arial" w:cs="Arial"/>
                <w:b/>
                <w:bCs/>
                <w:color w:val="000000"/>
                <w:sz w:val="16"/>
                <w:szCs w:val="16"/>
              </w:rPr>
            </w:pPr>
            <w:r w:rsidRPr="00C6076D">
              <w:rPr>
                <w:rFonts w:ascii="Arial" w:hAnsi="Arial" w:cs="Arial"/>
                <w:b/>
                <w:bCs/>
                <w:color w:val="000000"/>
                <w:sz w:val="16"/>
                <w:szCs w:val="16"/>
              </w:rPr>
              <w:t>Surplus/(deficit) after income tax</w:t>
            </w:r>
          </w:p>
        </w:tc>
        <w:tc>
          <w:tcPr>
            <w:tcW w:w="947" w:type="dxa"/>
            <w:gridSpan w:val="2"/>
            <w:tcBorders>
              <w:top w:val="single" w:sz="4" w:space="0" w:color="auto"/>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416801" w:rsidRPr="00D37097" w:rsidTr="00416801">
        <w:trPr>
          <w:gridAfter w:val="1"/>
          <w:wAfter w:w="19" w:type="dxa"/>
          <w:trHeight w:val="567"/>
        </w:trPr>
        <w:tc>
          <w:tcPr>
            <w:tcW w:w="3288" w:type="dxa"/>
            <w:tcBorders>
              <w:top w:val="nil"/>
              <w:left w:val="nil"/>
              <w:bottom w:val="single" w:sz="4" w:space="0" w:color="000000"/>
              <w:right w:val="nil"/>
            </w:tcBorders>
            <w:shd w:val="clear" w:color="auto" w:fill="auto"/>
            <w:vAlign w:val="bottom"/>
            <w:hideMark/>
          </w:tcPr>
          <w:p w:rsidR="00416801" w:rsidRPr="00D37097" w:rsidRDefault="00416801"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comprehensive income/(loss)</w:t>
            </w:r>
            <w:r>
              <w:rPr>
                <w:rFonts w:ascii="Arial" w:hAnsi="Arial" w:cs="Arial"/>
                <w:b/>
                <w:bCs/>
                <w:color w:val="000000"/>
                <w:sz w:val="16"/>
                <w:szCs w:val="16"/>
              </w:rPr>
              <w:t xml:space="preserve"> attributable to the Australian </w:t>
            </w:r>
            <w:r w:rsidRPr="00D37097">
              <w:rPr>
                <w:rFonts w:ascii="Arial" w:hAnsi="Arial" w:cs="Arial"/>
                <w:b/>
                <w:bCs/>
                <w:color w:val="000000"/>
                <w:sz w:val="16"/>
                <w:szCs w:val="16"/>
              </w:rPr>
              <w:t>Government</w:t>
            </w:r>
          </w:p>
        </w:tc>
        <w:tc>
          <w:tcPr>
            <w:tcW w:w="928" w:type="dxa"/>
            <w:tcBorders>
              <w:top w:val="nil"/>
              <w:left w:val="nil"/>
              <w:bottom w:val="single" w:sz="4" w:space="0" w:color="000000"/>
              <w:right w:val="nil"/>
            </w:tcBorders>
            <w:shd w:val="clear" w:color="auto" w:fill="auto"/>
            <w:noWrap/>
            <w:vAlign w:val="bottom"/>
            <w:hideMark/>
          </w:tcPr>
          <w:p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000000"/>
              <w:right w:val="nil"/>
            </w:tcBorders>
            <w:shd w:val="clear" w:color="000000" w:fill="E6E6E6"/>
            <w:noWrap/>
            <w:vAlign w:val="bottom"/>
            <w:hideMark/>
          </w:tcPr>
          <w:p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000000"/>
              <w:right w:val="nil"/>
            </w:tcBorders>
            <w:shd w:val="clear" w:color="auto" w:fill="auto"/>
            <w:noWrap/>
            <w:vAlign w:val="bottom"/>
            <w:hideMark/>
          </w:tcPr>
          <w:p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000000"/>
              <w:right w:val="nil"/>
            </w:tcBorders>
            <w:shd w:val="clear" w:color="auto" w:fill="auto"/>
            <w:noWrap/>
            <w:vAlign w:val="bottom"/>
            <w:hideMark/>
          </w:tcPr>
          <w:p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000000"/>
              <w:right w:val="nil"/>
            </w:tcBorders>
            <w:shd w:val="clear" w:color="auto" w:fill="auto"/>
            <w:noWrap/>
            <w:vAlign w:val="bottom"/>
            <w:hideMark/>
          </w:tcPr>
          <w:p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bl>
    <w:p w:rsidR="00875CE3" w:rsidRPr="00D37097" w:rsidRDefault="00875CE3" w:rsidP="00EB77C1">
      <w:pPr>
        <w:pStyle w:val="ChartandTableFootnote"/>
        <w:spacing w:after="480"/>
        <w:rPr>
          <w:lang w:val="en-AU"/>
        </w:rPr>
      </w:pPr>
      <w:r w:rsidRPr="00E4582E">
        <w:t>Prepared on Australian Accounting Standards basis</w:t>
      </w:r>
      <w:r>
        <w:t>.</w:t>
      </w:r>
    </w:p>
    <w:p w:rsidR="00875CE3" w:rsidRDefault="00875CE3" w:rsidP="00875CE3">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736" w:type="dxa"/>
        <w:tblInd w:w="93" w:type="dxa"/>
        <w:tblLook w:val="04A0" w:firstRow="1" w:lastRow="0" w:firstColumn="1" w:lastColumn="0" w:noHBand="0" w:noVBand="1"/>
      </w:tblPr>
      <w:tblGrid>
        <w:gridCol w:w="3288"/>
        <w:gridCol w:w="928"/>
        <w:gridCol w:w="880"/>
        <w:gridCol w:w="880"/>
        <w:gridCol w:w="880"/>
        <w:gridCol w:w="880"/>
      </w:tblGrid>
      <w:tr w:rsidR="00D37097" w:rsidRPr="00D37097" w:rsidTr="00FB3E15">
        <w:trPr>
          <w:trHeight w:val="794"/>
        </w:trPr>
        <w:tc>
          <w:tcPr>
            <w:tcW w:w="3288" w:type="dxa"/>
            <w:tcBorders>
              <w:top w:val="single" w:sz="4" w:space="0" w:color="auto"/>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sz w:val="16"/>
                <w:szCs w:val="16"/>
              </w:rPr>
            </w:pPr>
            <w:r w:rsidRPr="00D3709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2017–18 Estimated actual</w:t>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2018–19</w:t>
            </w:r>
            <w:r w:rsidRPr="00D37097">
              <w:rPr>
                <w:rFonts w:ascii="Arial" w:hAnsi="Arial" w:cs="Arial"/>
                <w:sz w:val="16"/>
                <w:szCs w:val="16"/>
              </w:rPr>
              <w:br/>
              <w:t>Budget</w:t>
            </w:r>
            <w:r w:rsidRPr="00D37097">
              <w:rPr>
                <w:rFonts w:ascii="Arial" w:hAnsi="Arial" w:cs="Arial"/>
                <w:sz w:val="16"/>
                <w:szCs w:val="16"/>
              </w:rPr>
              <w:br/>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2019–20 Forward estimate</w:t>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2020–21 Forward estimate</w:t>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2021–22</w:t>
            </w:r>
            <w:r w:rsidRPr="00D37097">
              <w:rPr>
                <w:rFonts w:ascii="Arial" w:hAnsi="Arial" w:cs="Arial"/>
                <w:sz w:val="16"/>
                <w:szCs w:val="16"/>
              </w:rPr>
              <w:br/>
              <w:t>Forward estimate</w:t>
            </w:r>
            <w:r w:rsidRPr="00D37097">
              <w:rPr>
                <w:rFonts w:ascii="Arial" w:hAnsi="Arial" w:cs="Arial"/>
                <w:sz w:val="16"/>
                <w:szCs w:val="16"/>
              </w:rPr>
              <w:br/>
              <w:t>$'000</w:t>
            </w: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 xml:space="preserve">ASSETS </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Financial assets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Trade and other receivables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 financial assets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r>
      <w:tr w:rsidR="00D37097" w:rsidRPr="00D37097" w:rsidTr="00FB3E15">
        <w:trPr>
          <w:trHeight w:val="227"/>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financial assets</w:t>
            </w:r>
          </w:p>
        </w:tc>
        <w:tc>
          <w:tcPr>
            <w:tcW w:w="928"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c>
          <w:tcPr>
            <w:tcW w:w="880" w:type="dxa"/>
            <w:tcBorders>
              <w:top w:val="single" w:sz="4" w:space="0" w:color="000000"/>
              <w:left w:val="nil"/>
              <w:bottom w:val="single" w:sz="4" w:space="0" w:color="000000"/>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r>
      <w:tr w:rsidR="00D37097" w:rsidRPr="00D37097" w:rsidTr="00FB3E15">
        <w:trPr>
          <w:trHeight w:val="397"/>
        </w:trPr>
        <w:tc>
          <w:tcPr>
            <w:tcW w:w="3288" w:type="dxa"/>
            <w:tcBorders>
              <w:top w:val="nil"/>
              <w:left w:val="nil"/>
              <w:bottom w:val="nil"/>
              <w:right w:val="nil"/>
            </w:tcBorders>
            <w:shd w:val="clear" w:color="auto" w:fill="auto"/>
            <w:vAlign w:val="center"/>
            <w:hideMark/>
          </w:tcPr>
          <w:p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assets administered on behalf of Government</w:t>
            </w:r>
          </w:p>
        </w:tc>
        <w:tc>
          <w:tcPr>
            <w:tcW w:w="928" w:type="dxa"/>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auto"/>
              <w:left w:val="nil"/>
              <w:bottom w:val="single" w:sz="4" w:space="0" w:color="auto"/>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auto"/>
              <w:left w:val="nil"/>
              <w:bottom w:val="single" w:sz="4" w:space="0" w:color="auto"/>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LIABILITIES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Payables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center"/>
            <w:hideMark/>
          </w:tcPr>
          <w:p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000000" w:fill="E6E6E6"/>
            <w:noWrap/>
            <w:vAlign w:val="center"/>
            <w:hideMark/>
          </w:tcPr>
          <w:p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D37097" w:rsidRPr="00D37097" w:rsidTr="00FB3E15">
        <w:trPr>
          <w:trHeight w:val="227"/>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payables</w:t>
            </w:r>
          </w:p>
        </w:tc>
        <w:tc>
          <w:tcPr>
            <w:tcW w:w="928"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r>
      <w:tr w:rsidR="00D37097" w:rsidRPr="00D37097" w:rsidTr="00FB3E15">
        <w:trPr>
          <w:trHeight w:val="397"/>
        </w:trPr>
        <w:tc>
          <w:tcPr>
            <w:tcW w:w="3288" w:type="dxa"/>
            <w:tcBorders>
              <w:top w:val="nil"/>
              <w:left w:val="nil"/>
              <w:bottom w:val="nil"/>
              <w:right w:val="nil"/>
            </w:tcBorders>
            <w:shd w:val="clear" w:color="auto" w:fill="auto"/>
            <w:vAlign w:val="center"/>
            <w:hideMark/>
          </w:tcPr>
          <w:p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liabilities administered on behalf of Government</w:t>
            </w:r>
          </w:p>
        </w:tc>
        <w:tc>
          <w:tcPr>
            <w:tcW w:w="928" w:type="dxa"/>
            <w:tcBorders>
              <w:top w:val="single" w:sz="4" w:space="0" w:color="000000"/>
              <w:left w:val="nil"/>
              <w:bottom w:val="single" w:sz="4" w:space="0" w:color="000000"/>
              <w:right w:val="nil"/>
            </w:tcBorders>
            <w:shd w:val="clear" w:color="auto" w:fill="auto"/>
            <w:noWrap/>
            <w:vAlign w:val="center"/>
            <w:hideMark/>
          </w:tcPr>
          <w:p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r>
      <w:tr w:rsidR="00D37097" w:rsidRPr="00D37097" w:rsidTr="00FB3E15">
        <w:trPr>
          <w:trHeight w:val="225"/>
        </w:trPr>
        <w:tc>
          <w:tcPr>
            <w:tcW w:w="3288" w:type="dxa"/>
            <w:tcBorders>
              <w:top w:val="nil"/>
              <w:left w:val="nil"/>
              <w:bottom w:val="single" w:sz="4" w:space="0" w:color="000000"/>
              <w:right w:val="nil"/>
            </w:tcBorders>
            <w:shd w:val="clear" w:color="auto" w:fill="auto"/>
            <w:noWrap/>
            <w:vAlign w:val="bottom"/>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Net assets/(liabilities)</w:t>
            </w:r>
          </w:p>
        </w:tc>
        <w:tc>
          <w:tcPr>
            <w:tcW w:w="928" w:type="dxa"/>
            <w:tcBorders>
              <w:top w:val="nil"/>
              <w:left w:val="nil"/>
              <w:bottom w:val="single" w:sz="4" w:space="0" w:color="000000"/>
              <w:right w:val="nil"/>
            </w:tcBorders>
            <w:shd w:val="clear" w:color="auto" w:fill="auto"/>
            <w:noWrap/>
            <w:vAlign w:val="bottom"/>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000000"/>
              <w:left w:val="nil"/>
              <w:bottom w:val="single" w:sz="4" w:space="0" w:color="auto"/>
              <w:right w:val="nil"/>
            </w:tcBorders>
            <w:shd w:val="clear" w:color="000000" w:fill="E6E6E6"/>
            <w:noWrap/>
            <w:vAlign w:val="bottom"/>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nil"/>
              <w:left w:val="nil"/>
              <w:bottom w:val="single" w:sz="4" w:space="0" w:color="000000"/>
              <w:right w:val="nil"/>
            </w:tcBorders>
            <w:shd w:val="clear" w:color="auto" w:fill="auto"/>
            <w:noWrap/>
            <w:vAlign w:val="bottom"/>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nil"/>
              <w:left w:val="nil"/>
              <w:bottom w:val="single" w:sz="4" w:space="0" w:color="000000"/>
              <w:right w:val="nil"/>
            </w:tcBorders>
            <w:shd w:val="clear" w:color="auto" w:fill="auto"/>
            <w:noWrap/>
            <w:vAlign w:val="bottom"/>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nil"/>
              <w:left w:val="nil"/>
              <w:bottom w:val="single" w:sz="4" w:space="0" w:color="000000"/>
              <w:right w:val="nil"/>
            </w:tcBorders>
            <w:shd w:val="clear" w:color="auto" w:fill="auto"/>
            <w:noWrap/>
            <w:vAlign w:val="bottom"/>
            <w:hideMark/>
          </w:tcPr>
          <w:p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r>
    </w:tbl>
    <w:p w:rsidR="00875CE3" w:rsidRPr="00B7521F" w:rsidRDefault="00875CE3" w:rsidP="00875CE3">
      <w:pPr>
        <w:pStyle w:val="ChartandTableFootnote"/>
      </w:pPr>
      <w:r w:rsidRPr="00B7521F">
        <w:t>Prepared on Australian Accounting Standards basis.</w:t>
      </w:r>
    </w:p>
    <w:p w:rsidR="00875CE3" w:rsidRDefault="00894726" w:rsidP="00326665">
      <w:pPr>
        <w:pStyle w:val="TableHeading"/>
      </w:pPr>
      <w:r>
        <w:br w:type="page"/>
      </w:r>
      <w:r w:rsidR="00875CE3">
        <w:lastRenderedPageBreak/>
        <w:t xml:space="preserve">Table 3.9: </w:t>
      </w:r>
      <w:r w:rsidR="00875CE3" w:rsidRPr="00C41D55">
        <w:t xml:space="preserve">Schedule of </w:t>
      </w:r>
      <w:r w:rsidR="00875CE3">
        <w:t xml:space="preserve">budgeted administered cash flows </w:t>
      </w:r>
      <w:r w:rsidR="00875CE3" w:rsidRPr="00C41D55">
        <w:t>(for</w:t>
      </w:r>
      <w:r w:rsidR="00875CE3">
        <w:t> the </w:t>
      </w:r>
      <w:r w:rsidR="00875CE3" w:rsidRPr="00C41D55">
        <w:t>period ended 30 June)</w:t>
      </w:r>
    </w:p>
    <w:tbl>
      <w:tblPr>
        <w:tblW w:w="7734" w:type="dxa"/>
        <w:tblInd w:w="93" w:type="dxa"/>
        <w:tblLook w:val="04A0" w:firstRow="1" w:lastRow="0" w:firstColumn="1" w:lastColumn="0" w:noHBand="0" w:noVBand="1"/>
      </w:tblPr>
      <w:tblGrid>
        <w:gridCol w:w="3288"/>
        <w:gridCol w:w="928"/>
        <w:gridCol w:w="880"/>
        <w:gridCol w:w="880"/>
        <w:gridCol w:w="879"/>
        <w:gridCol w:w="879"/>
      </w:tblGrid>
      <w:tr w:rsidR="00D37097" w:rsidRPr="00D37097" w:rsidTr="00FB3E15">
        <w:trPr>
          <w:trHeight w:val="794"/>
        </w:trPr>
        <w:tc>
          <w:tcPr>
            <w:tcW w:w="3288" w:type="dxa"/>
            <w:tcBorders>
              <w:top w:val="single" w:sz="4" w:space="0" w:color="auto"/>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sz w:val="16"/>
                <w:szCs w:val="16"/>
              </w:rPr>
            </w:pPr>
            <w:r w:rsidRPr="00D3709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2017–18 Estimated actual</w:t>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2018–19</w:t>
            </w:r>
            <w:r w:rsidRPr="00D37097">
              <w:rPr>
                <w:rFonts w:ascii="Arial" w:hAnsi="Arial" w:cs="Arial"/>
                <w:sz w:val="16"/>
                <w:szCs w:val="16"/>
              </w:rPr>
              <w:br/>
              <w:t>Budget</w:t>
            </w:r>
            <w:r w:rsidRPr="00D37097">
              <w:rPr>
                <w:rFonts w:ascii="Arial" w:hAnsi="Arial" w:cs="Arial"/>
                <w:sz w:val="16"/>
                <w:szCs w:val="16"/>
              </w:rPr>
              <w:br/>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2019–20 Forward estimate</w:t>
            </w:r>
            <w:r w:rsidRPr="00D3709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2020–21 Forward estimate</w:t>
            </w:r>
            <w:r w:rsidRPr="00D3709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2021–22</w:t>
            </w:r>
            <w:r w:rsidRPr="00D37097">
              <w:rPr>
                <w:rFonts w:ascii="Arial" w:hAnsi="Arial" w:cs="Arial"/>
                <w:sz w:val="16"/>
                <w:szCs w:val="16"/>
              </w:rPr>
              <w:br/>
              <w:t>Forward estimate</w:t>
            </w:r>
            <w:r w:rsidRPr="00D37097">
              <w:rPr>
                <w:rFonts w:ascii="Arial" w:hAnsi="Arial" w:cs="Arial"/>
                <w:sz w:val="16"/>
                <w:szCs w:val="16"/>
              </w:rPr>
              <w:br/>
              <w:t>$'000</w:t>
            </w: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 xml:space="preserve">575 </w:t>
            </w: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 xml:space="preserve">550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550 </w:t>
            </w:r>
          </w:p>
        </w:tc>
        <w:tc>
          <w:tcPr>
            <w:tcW w:w="879"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550 </w:t>
            </w:r>
          </w:p>
        </w:tc>
        <w:tc>
          <w:tcPr>
            <w:tcW w:w="879"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r>
      <w:tr w:rsidR="00D37097" w:rsidRPr="00D37097" w:rsidTr="00FB3E15">
        <w:trPr>
          <w:trHeight w:val="227"/>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575 </w:t>
            </w:r>
          </w:p>
        </w:tc>
        <w:tc>
          <w:tcPr>
            <w:tcW w:w="880" w:type="dxa"/>
            <w:tcBorders>
              <w:top w:val="single" w:sz="4" w:space="0" w:color="000000"/>
              <w:left w:val="nil"/>
              <w:bottom w:val="single" w:sz="4" w:space="0" w:color="000000"/>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80"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79"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79" w:type="dxa"/>
            <w:tcBorders>
              <w:top w:val="single" w:sz="4" w:space="0" w:color="000000"/>
              <w:left w:val="nil"/>
              <w:bottom w:val="single" w:sz="4" w:space="0" w:color="000000"/>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r>
      <w:tr w:rsidR="00D37097" w:rsidRPr="00D37097" w:rsidTr="00FB3E15">
        <w:trPr>
          <w:trHeight w:val="225"/>
        </w:trPr>
        <w:tc>
          <w:tcPr>
            <w:tcW w:w="328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rsidR="00D37097" w:rsidRPr="00D37097" w:rsidRDefault="00D37097" w:rsidP="00FB3E15">
            <w:pPr>
              <w:spacing w:after="0" w:line="240" w:lineRule="auto"/>
              <w:jc w:val="right"/>
              <w:rPr>
                <w:rFonts w:ascii="Arial" w:hAnsi="Arial" w:cs="Arial"/>
                <w:color w:val="000000"/>
                <w:sz w:val="16"/>
                <w:szCs w:val="16"/>
              </w:rPr>
            </w:pPr>
          </w:p>
        </w:tc>
      </w:tr>
      <w:tr w:rsidR="00894726" w:rsidRPr="00D37097" w:rsidTr="00FB3E15">
        <w:trPr>
          <w:trHeight w:val="225"/>
        </w:trPr>
        <w:tc>
          <w:tcPr>
            <w:tcW w:w="3288" w:type="dxa"/>
            <w:tcBorders>
              <w:top w:val="nil"/>
              <w:left w:val="nil"/>
              <w:bottom w:val="nil"/>
              <w:right w:val="nil"/>
            </w:tcBorders>
            <w:shd w:val="clear" w:color="auto" w:fill="auto"/>
            <w:noWrap/>
            <w:vAlign w:val="center"/>
            <w:hideMark/>
          </w:tcPr>
          <w:p w:rsidR="00894726" w:rsidRPr="00D37097" w:rsidRDefault="00894726"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c>
          <w:tcPr>
            <w:tcW w:w="879" w:type="dxa"/>
            <w:tcBorders>
              <w:top w:val="nil"/>
              <w:left w:val="nil"/>
              <w:bottom w:val="nil"/>
              <w:right w:val="nil"/>
            </w:tcBorders>
            <w:shd w:val="clear" w:color="auto" w:fill="auto"/>
            <w:noWrap/>
            <w:vAlign w:val="center"/>
            <w:hideMark/>
          </w:tcPr>
          <w:p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c>
          <w:tcPr>
            <w:tcW w:w="879" w:type="dxa"/>
            <w:tcBorders>
              <w:top w:val="nil"/>
              <w:left w:val="nil"/>
              <w:bottom w:val="nil"/>
              <w:right w:val="nil"/>
            </w:tcBorders>
            <w:shd w:val="clear" w:color="auto" w:fill="auto"/>
            <w:noWrap/>
            <w:vAlign w:val="center"/>
            <w:hideMark/>
          </w:tcPr>
          <w:p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r>
      <w:tr w:rsidR="00894726" w:rsidRPr="00D37097" w:rsidTr="00894726">
        <w:trPr>
          <w:trHeight w:val="227"/>
        </w:trPr>
        <w:tc>
          <w:tcPr>
            <w:tcW w:w="3288" w:type="dxa"/>
            <w:tcBorders>
              <w:top w:val="nil"/>
              <w:left w:val="nil"/>
              <w:bottom w:val="nil"/>
              <w:right w:val="nil"/>
            </w:tcBorders>
            <w:shd w:val="clear" w:color="auto" w:fill="auto"/>
            <w:noWrap/>
            <w:vAlign w:val="center"/>
            <w:hideMark/>
          </w:tcPr>
          <w:p w:rsidR="00894726" w:rsidRPr="00D37097" w:rsidRDefault="00894726"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79" w:type="dxa"/>
            <w:tcBorders>
              <w:top w:val="single" w:sz="4" w:space="0" w:color="000000"/>
              <w:left w:val="nil"/>
              <w:bottom w:val="single" w:sz="4" w:space="0" w:color="000000"/>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79" w:type="dxa"/>
            <w:tcBorders>
              <w:top w:val="single" w:sz="4" w:space="0" w:color="000000"/>
              <w:left w:val="nil"/>
              <w:bottom w:val="single" w:sz="4" w:space="0" w:color="000000"/>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r>
      <w:tr w:rsidR="00894726" w:rsidRPr="00D37097" w:rsidTr="00894726">
        <w:trPr>
          <w:trHeight w:val="397"/>
        </w:trPr>
        <w:tc>
          <w:tcPr>
            <w:tcW w:w="3288" w:type="dxa"/>
            <w:tcBorders>
              <w:top w:val="nil"/>
              <w:left w:val="nil"/>
              <w:bottom w:val="nil"/>
              <w:right w:val="nil"/>
            </w:tcBorders>
            <w:shd w:val="clear" w:color="auto" w:fill="auto"/>
            <w:vAlign w:val="center"/>
            <w:hideMark/>
          </w:tcPr>
          <w:p w:rsidR="00894726" w:rsidRPr="00D37097" w:rsidRDefault="00894726" w:rsidP="00894726">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Net cash from/(used by) operating activities</w:t>
            </w:r>
          </w:p>
        </w:tc>
        <w:tc>
          <w:tcPr>
            <w:tcW w:w="928" w:type="dxa"/>
            <w:tcBorders>
              <w:top w:val="nil"/>
              <w:left w:val="nil"/>
              <w:bottom w:val="single" w:sz="4" w:space="0" w:color="000000"/>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575 </w:t>
            </w:r>
          </w:p>
        </w:tc>
        <w:tc>
          <w:tcPr>
            <w:tcW w:w="880" w:type="dxa"/>
            <w:tcBorders>
              <w:top w:val="nil"/>
              <w:left w:val="nil"/>
              <w:bottom w:val="single" w:sz="4" w:space="0" w:color="000000"/>
              <w:right w:val="nil"/>
            </w:tcBorders>
            <w:shd w:val="clear" w:color="000000" w:fill="E6E6E6"/>
            <w:noWrap/>
            <w:vAlign w:val="center"/>
            <w:hideMark/>
          </w:tcPr>
          <w:p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550 </w:t>
            </w:r>
          </w:p>
        </w:tc>
        <w:tc>
          <w:tcPr>
            <w:tcW w:w="880" w:type="dxa"/>
            <w:tcBorders>
              <w:top w:val="nil"/>
              <w:left w:val="nil"/>
              <w:bottom w:val="single" w:sz="4" w:space="0" w:color="000000"/>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550 </w:t>
            </w:r>
          </w:p>
        </w:tc>
        <w:tc>
          <w:tcPr>
            <w:tcW w:w="879" w:type="dxa"/>
            <w:tcBorders>
              <w:top w:val="nil"/>
              <w:left w:val="nil"/>
              <w:bottom w:val="single" w:sz="4" w:space="0" w:color="000000"/>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550 </w:t>
            </w:r>
          </w:p>
        </w:tc>
        <w:tc>
          <w:tcPr>
            <w:tcW w:w="879" w:type="dxa"/>
            <w:tcBorders>
              <w:top w:val="nil"/>
              <w:left w:val="nil"/>
              <w:bottom w:val="single" w:sz="4" w:space="0" w:color="000000"/>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894726" w:rsidRPr="00D37097" w:rsidTr="00894726">
        <w:trPr>
          <w:trHeight w:val="227"/>
        </w:trPr>
        <w:tc>
          <w:tcPr>
            <w:tcW w:w="3288" w:type="dxa"/>
            <w:tcBorders>
              <w:top w:val="nil"/>
              <w:left w:val="nil"/>
              <w:bottom w:val="nil"/>
              <w:right w:val="nil"/>
            </w:tcBorders>
            <w:shd w:val="clear" w:color="auto" w:fill="auto"/>
            <w:vAlign w:val="center"/>
            <w:hideMark/>
          </w:tcPr>
          <w:p w:rsidR="00894726" w:rsidRPr="00D37097" w:rsidRDefault="00894726"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Net increase/(decrease) in cash held</w:t>
            </w:r>
          </w:p>
        </w:tc>
        <w:tc>
          <w:tcPr>
            <w:tcW w:w="928" w:type="dxa"/>
            <w:tcBorders>
              <w:top w:val="nil"/>
              <w:left w:val="nil"/>
              <w:bottom w:val="single" w:sz="4" w:space="0" w:color="auto"/>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575 </w:t>
            </w:r>
          </w:p>
        </w:tc>
        <w:tc>
          <w:tcPr>
            <w:tcW w:w="880" w:type="dxa"/>
            <w:tcBorders>
              <w:top w:val="nil"/>
              <w:left w:val="nil"/>
              <w:bottom w:val="single" w:sz="4" w:space="0" w:color="auto"/>
              <w:right w:val="nil"/>
            </w:tcBorders>
            <w:shd w:val="clear" w:color="000000" w:fill="E6E6E6"/>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80" w:type="dxa"/>
            <w:tcBorders>
              <w:top w:val="nil"/>
              <w:left w:val="nil"/>
              <w:bottom w:val="single" w:sz="4" w:space="0" w:color="auto"/>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79" w:type="dxa"/>
            <w:tcBorders>
              <w:top w:val="nil"/>
              <w:left w:val="nil"/>
              <w:bottom w:val="single" w:sz="4" w:space="0" w:color="auto"/>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79" w:type="dxa"/>
            <w:tcBorders>
              <w:top w:val="nil"/>
              <w:left w:val="nil"/>
              <w:bottom w:val="single" w:sz="4" w:space="0" w:color="auto"/>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r>
      <w:tr w:rsidR="00894726" w:rsidRPr="00D37097" w:rsidTr="00FB3E15">
        <w:trPr>
          <w:trHeight w:val="225"/>
        </w:trPr>
        <w:tc>
          <w:tcPr>
            <w:tcW w:w="3288" w:type="dxa"/>
            <w:tcBorders>
              <w:top w:val="nil"/>
              <w:left w:val="nil"/>
              <w:bottom w:val="nil"/>
              <w:right w:val="nil"/>
            </w:tcBorders>
            <w:shd w:val="clear" w:color="auto" w:fill="auto"/>
            <w:noWrap/>
            <w:vAlign w:val="center"/>
            <w:hideMark/>
          </w:tcPr>
          <w:p w:rsidR="00894726" w:rsidRPr="00D37097" w:rsidRDefault="00894726" w:rsidP="00D37097">
            <w:pPr>
              <w:spacing w:after="0" w:line="240" w:lineRule="auto"/>
              <w:ind w:firstLineChars="200" w:firstLine="320"/>
              <w:rPr>
                <w:rFonts w:ascii="Arial" w:hAnsi="Arial" w:cs="Arial"/>
                <w:color w:val="000000"/>
                <w:sz w:val="16"/>
                <w:szCs w:val="16"/>
              </w:rPr>
            </w:pPr>
            <w:r w:rsidRPr="00D37097">
              <w:rPr>
                <w:rFonts w:ascii="Arial" w:hAnsi="Arial" w:cs="Arial"/>
                <w:color w:val="000000"/>
                <w:sz w:val="16"/>
                <w:szCs w:val="16"/>
              </w:rPr>
              <w:t>Cash to Official Public Account for:</w:t>
            </w:r>
          </w:p>
        </w:tc>
        <w:tc>
          <w:tcPr>
            <w:tcW w:w="928" w:type="dxa"/>
            <w:tcBorders>
              <w:top w:val="single" w:sz="4" w:space="0" w:color="auto"/>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single" w:sz="4" w:space="0" w:color="auto"/>
              <w:left w:val="nil"/>
              <w:bottom w:val="nil"/>
              <w:right w:val="nil"/>
            </w:tcBorders>
            <w:shd w:val="clear" w:color="000000" w:fill="E6E6E6"/>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single" w:sz="4" w:space="0" w:color="auto"/>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tcBorders>
              <w:top w:val="single" w:sz="4" w:space="0" w:color="auto"/>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tcBorders>
              <w:top w:val="single" w:sz="4" w:space="0" w:color="auto"/>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r>
      <w:tr w:rsidR="00894726" w:rsidRPr="00D37097" w:rsidTr="00894726">
        <w:trPr>
          <w:trHeight w:val="397"/>
        </w:trPr>
        <w:tc>
          <w:tcPr>
            <w:tcW w:w="3288" w:type="dxa"/>
            <w:tcBorders>
              <w:top w:val="nil"/>
              <w:left w:val="nil"/>
              <w:bottom w:val="nil"/>
              <w:right w:val="nil"/>
            </w:tcBorders>
            <w:shd w:val="clear" w:color="auto" w:fill="auto"/>
            <w:vAlign w:val="center"/>
            <w:hideMark/>
          </w:tcPr>
          <w:p w:rsidR="00894726" w:rsidRPr="00D37097" w:rsidRDefault="00894726" w:rsidP="00894726">
            <w:pPr>
              <w:spacing w:after="0" w:line="240" w:lineRule="auto"/>
              <w:ind w:leftChars="237" w:left="474" w:firstLineChars="3" w:firstLine="5"/>
              <w:rPr>
                <w:rFonts w:ascii="Arial" w:hAnsi="Arial" w:cs="Arial"/>
                <w:color w:val="000000"/>
                <w:sz w:val="16"/>
                <w:szCs w:val="16"/>
              </w:rPr>
            </w:pPr>
            <w:r w:rsidRPr="00D37097">
              <w:rPr>
                <w:rFonts w:ascii="Arial" w:hAnsi="Arial" w:cs="Arial"/>
                <w:color w:val="000000"/>
                <w:sz w:val="16"/>
                <w:szCs w:val="16"/>
              </w:rPr>
              <w:t>– Transfers to other entities (Finance—Whole of Government)</w:t>
            </w:r>
          </w:p>
        </w:tc>
        <w:tc>
          <w:tcPr>
            <w:tcW w:w="928" w:type="dxa"/>
            <w:tcBorders>
              <w:top w:val="nil"/>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sz w:val="16"/>
                <w:szCs w:val="16"/>
              </w:rPr>
            </w:pPr>
            <w:r w:rsidRPr="00D37097">
              <w:rPr>
                <w:rFonts w:ascii="Arial" w:hAnsi="Arial" w:cs="Arial"/>
                <w:sz w:val="16"/>
                <w:szCs w:val="16"/>
              </w:rPr>
              <w:t>(575)</w:t>
            </w:r>
          </w:p>
        </w:tc>
        <w:tc>
          <w:tcPr>
            <w:tcW w:w="880" w:type="dxa"/>
            <w:tcBorders>
              <w:top w:val="nil"/>
              <w:left w:val="nil"/>
              <w:bottom w:val="nil"/>
              <w:right w:val="nil"/>
            </w:tcBorders>
            <w:shd w:val="clear" w:color="000000" w:fill="E6E6E6"/>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(550)</w:t>
            </w:r>
          </w:p>
        </w:tc>
        <w:tc>
          <w:tcPr>
            <w:tcW w:w="880" w:type="dxa"/>
            <w:tcBorders>
              <w:top w:val="nil"/>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(550)</w:t>
            </w:r>
          </w:p>
        </w:tc>
        <w:tc>
          <w:tcPr>
            <w:tcW w:w="879" w:type="dxa"/>
            <w:tcBorders>
              <w:top w:val="nil"/>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(550)</w:t>
            </w:r>
          </w:p>
        </w:tc>
        <w:tc>
          <w:tcPr>
            <w:tcW w:w="879" w:type="dxa"/>
            <w:tcBorders>
              <w:top w:val="nil"/>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(300)</w:t>
            </w:r>
          </w:p>
        </w:tc>
      </w:tr>
      <w:tr w:rsidR="00894726" w:rsidRPr="00D37097" w:rsidTr="00894726">
        <w:trPr>
          <w:trHeight w:val="227"/>
        </w:trPr>
        <w:tc>
          <w:tcPr>
            <w:tcW w:w="3288" w:type="dxa"/>
            <w:tcBorders>
              <w:top w:val="nil"/>
              <w:left w:val="nil"/>
              <w:bottom w:val="nil"/>
              <w:right w:val="nil"/>
            </w:tcBorders>
            <w:shd w:val="clear" w:color="auto" w:fill="auto"/>
            <w:vAlign w:val="center"/>
            <w:hideMark/>
          </w:tcPr>
          <w:p w:rsidR="00894726" w:rsidRPr="00D37097" w:rsidRDefault="00894726" w:rsidP="00D37097">
            <w:pPr>
              <w:spacing w:after="0" w:line="240" w:lineRule="auto"/>
              <w:ind w:firstLineChars="100" w:firstLine="160"/>
              <w:rPr>
                <w:rFonts w:ascii="Arial" w:hAnsi="Arial" w:cs="Arial"/>
                <w:i/>
                <w:iCs/>
                <w:color w:val="000000"/>
                <w:sz w:val="16"/>
                <w:szCs w:val="16"/>
              </w:rPr>
            </w:pPr>
            <w:r w:rsidRPr="00D37097">
              <w:rPr>
                <w:rFonts w:ascii="Arial" w:hAnsi="Arial" w:cs="Arial"/>
                <w:i/>
                <w:iCs/>
                <w:color w:val="000000"/>
                <w:sz w:val="16"/>
                <w:szCs w:val="16"/>
              </w:rPr>
              <w:t>Total cash to Official Public Account</w:t>
            </w:r>
          </w:p>
        </w:tc>
        <w:tc>
          <w:tcPr>
            <w:tcW w:w="928" w:type="dxa"/>
            <w:tcBorders>
              <w:top w:val="single" w:sz="4" w:space="0" w:color="000000"/>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(575)</w:t>
            </w:r>
          </w:p>
        </w:tc>
        <w:tc>
          <w:tcPr>
            <w:tcW w:w="880" w:type="dxa"/>
            <w:tcBorders>
              <w:top w:val="single" w:sz="4" w:space="0" w:color="000000"/>
              <w:left w:val="nil"/>
              <w:bottom w:val="nil"/>
              <w:right w:val="nil"/>
            </w:tcBorders>
            <w:shd w:val="clear" w:color="000000" w:fill="E6E6E6"/>
            <w:noWrap/>
            <w:vAlign w:val="center"/>
            <w:hideMark/>
          </w:tcPr>
          <w:p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(550)</w:t>
            </w:r>
          </w:p>
        </w:tc>
        <w:tc>
          <w:tcPr>
            <w:tcW w:w="880" w:type="dxa"/>
            <w:tcBorders>
              <w:top w:val="single" w:sz="4" w:space="0" w:color="000000"/>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(550)</w:t>
            </w:r>
          </w:p>
        </w:tc>
        <w:tc>
          <w:tcPr>
            <w:tcW w:w="879" w:type="dxa"/>
            <w:tcBorders>
              <w:top w:val="single" w:sz="4" w:space="0" w:color="000000"/>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(550)</w:t>
            </w:r>
          </w:p>
        </w:tc>
        <w:tc>
          <w:tcPr>
            <w:tcW w:w="879" w:type="dxa"/>
            <w:tcBorders>
              <w:top w:val="single" w:sz="4" w:space="0" w:color="000000"/>
              <w:left w:val="nil"/>
              <w:bottom w:val="nil"/>
              <w:right w:val="nil"/>
            </w:tcBorders>
            <w:shd w:val="clear" w:color="auto" w:fill="auto"/>
            <w:noWrap/>
            <w:vAlign w:val="center"/>
            <w:hideMark/>
          </w:tcPr>
          <w:p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(300)</w:t>
            </w:r>
          </w:p>
        </w:tc>
      </w:tr>
      <w:tr w:rsidR="00894726" w:rsidRPr="00D37097" w:rsidTr="00894726">
        <w:trPr>
          <w:trHeight w:val="340"/>
        </w:trPr>
        <w:tc>
          <w:tcPr>
            <w:tcW w:w="3288" w:type="dxa"/>
            <w:tcBorders>
              <w:top w:val="nil"/>
              <w:left w:val="nil"/>
              <w:bottom w:val="single" w:sz="4" w:space="0" w:color="auto"/>
              <w:right w:val="nil"/>
            </w:tcBorders>
            <w:shd w:val="clear" w:color="auto" w:fill="auto"/>
            <w:vAlign w:val="bottom"/>
            <w:hideMark/>
          </w:tcPr>
          <w:p w:rsidR="00894726" w:rsidRPr="00D37097" w:rsidRDefault="00894726" w:rsidP="00894726">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Cash and cash equivalents at end of reporting period</w:t>
            </w:r>
          </w:p>
        </w:tc>
        <w:tc>
          <w:tcPr>
            <w:tcW w:w="928" w:type="dxa"/>
            <w:tcBorders>
              <w:top w:val="single" w:sz="4" w:space="0" w:color="000000"/>
              <w:left w:val="nil"/>
              <w:bottom w:val="single" w:sz="4" w:space="0" w:color="auto"/>
              <w:right w:val="nil"/>
            </w:tcBorders>
            <w:shd w:val="clear" w:color="auto" w:fill="auto"/>
            <w:noWrap/>
            <w:vAlign w:val="bottom"/>
            <w:hideMark/>
          </w:tcPr>
          <w:p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80" w:type="dxa"/>
            <w:tcBorders>
              <w:top w:val="single" w:sz="4" w:space="0" w:color="000000"/>
              <w:left w:val="nil"/>
              <w:bottom w:val="single" w:sz="4" w:space="0" w:color="auto"/>
              <w:right w:val="nil"/>
            </w:tcBorders>
            <w:shd w:val="clear" w:color="000000" w:fill="E6E6E6"/>
            <w:noWrap/>
            <w:vAlign w:val="bottom"/>
            <w:hideMark/>
          </w:tcPr>
          <w:p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80" w:type="dxa"/>
            <w:tcBorders>
              <w:top w:val="single" w:sz="4" w:space="0" w:color="000000"/>
              <w:left w:val="nil"/>
              <w:bottom w:val="single" w:sz="4" w:space="0" w:color="auto"/>
              <w:right w:val="nil"/>
            </w:tcBorders>
            <w:shd w:val="clear" w:color="auto" w:fill="auto"/>
            <w:noWrap/>
            <w:vAlign w:val="bottom"/>
            <w:hideMark/>
          </w:tcPr>
          <w:p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tcBorders>
              <w:top w:val="single" w:sz="4" w:space="0" w:color="000000"/>
              <w:left w:val="nil"/>
              <w:bottom w:val="single" w:sz="4" w:space="0" w:color="auto"/>
              <w:right w:val="nil"/>
            </w:tcBorders>
            <w:shd w:val="clear" w:color="auto" w:fill="auto"/>
            <w:noWrap/>
            <w:vAlign w:val="bottom"/>
            <w:hideMark/>
          </w:tcPr>
          <w:p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tcBorders>
              <w:top w:val="single" w:sz="4" w:space="0" w:color="000000"/>
              <w:left w:val="nil"/>
              <w:bottom w:val="single" w:sz="4" w:space="0" w:color="auto"/>
              <w:right w:val="nil"/>
            </w:tcBorders>
            <w:shd w:val="clear" w:color="auto" w:fill="auto"/>
            <w:noWrap/>
            <w:vAlign w:val="bottom"/>
            <w:hideMark/>
          </w:tcPr>
          <w:p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r>
    </w:tbl>
    <w:p w:rsidR="00D37097" w:rsidRDefault="00D37097" w:rsidP="00EB77C1">
      <w:pPr>
        <w:pStyle w:val="ChartandTableFootnote"/>
        <w:spacing w:after="480"/>
      </w:pPr>
      <w:r>
        <w:t>Prepared on Australian Accounting Standards basis.</w:t>
      </w:r>
    </w:p>
    <w:p w:rsidR="00D37097" w:rsidRDefault="00D37097" w:rsidP="00D37097">
      <w:pPr>
        <w:pStyle w:val="TableHeading"/>
      </w:pPr>
      <w:r w:rsidRPr="00D30CBA">
        <w:t>Table</w:t>
      </w:r>
      <w:r>
        <w:t xml:space="preserve"> 3.10</w:t>
      </w:r>
      <w:r w:rsidRPr="00D30CBA">
        <w:t xml:space="preserve">: </w:t>
      </w:r>
      <w:r>
        <w:t>Administered capital budget statement (for the period ended 30 June)</w:t>
      </w:r>
    </w:p>
    <w:p w:rsidR="00D37097" w:rsidRDefault="00894726" w:rsidP="00894726">
      <w:r>
        <w:t xml:space="preserve">The Fair Work Ombudsman and the Registered Organisations Commission have no administered capital budget. For this reason, Table 3.10 is not presented. </w:t>
      </w:r>
    </w:p>
    <w:p w:rsidR="00D37097" w:rsidRPr="00273D98" w:rsidRDefault="00D37097" w:rsidP="00300D89">
      <w:pPr>
        <w:pStyle w:val="TableHeading"/>
        <w:spacing w:before="360" w:after="0"/>
        <w:rPr>
          <w:lang w:val="en-AU"/>
        </w:rPr>
      </w:pPr>
      <w:r>
        <w:t>Table 3.11: Statement of administered asset movements (Budget year 2018</w:t>
      </w:r>
      <w:r>
        <w:rPr>
          <w:lang w:val="en-AU"/>
        </w:rPr>
        <w:t>–</w:t>
      </w:r>
      <w:r>
        <w:t>19)</w:t>
      </w:r>
    </w:p>
    <w:p w:rsidR="00891DC5" w:rsidRPr="008B5AFD" w:rsidRDefault="00894726" w:rsidP="00B77D3D">
      <w:r>
        <w:t xml:space="preserve">The Fair Work Ombudsman and the Registered Organisations Commission have no administered non-financial assets. For this reason, Table 3.10 is not presented. </w:t>
      </w:r>
    </w:p>
    <w:p w:rsidR="003F3839" w:rsidRDefault="003F3839" w:rsidP="003F3839"/>
    <w:p w:rsidR="00891DC5" w:rsidRDefault="00891DC5" w:rsidP="003F3839">
      <w:pPr>
        <w:sectPr w:rsidR="00891DC5" w:rsidSect="00CF5D6B">
          <w:headerReference w:type="even" r:id="rId130"/>
          <w:headerReference w:type="default" r:id="rId131"/>
          <w:headerReference w:type="first" r:id="rId132"/>
          <w:footnotePr>
            <w:numRestart w:val="eachPage"/>
          </w:footnotePr>
          <w:type w:val="oddPage"/>
          <w:pgSz w:w="11906" w:h="16838" w:code="9"/>
          <w:pgMar w:top="2466" w:right="2098" w:bottom="2127" w:left="2098" w:header="1899" w:footer="1899" w:gutter="0"/>
          <w:cols w:space="708"/>
          <w:titlePg/>
          <w:docGrid w:linePitch="360"/>
        </w:sectPr>
      </w:pPr>
    </w:p>
    <w:p w:rsidR="003F3839" w:rsidRPr="005A7C0B" w:rsidRDefault="003D6968" w:rsidP="00EB77C1">
      <w:pPr>
        <w:pStyle w:val="PartHeading"/>
        <w:spacing w:after="2040"/>
      </w:pPr>
      <w:r>
        <w:lastRenderedPageBreak/>
        <w:t>Safe Work Australia</w:t>
      </w:r>
    </w:p>
    <w:p w:rsidR="003F3839" w:rsidRDefault="003F3839" w:rsidP="00EB77C1">
      <w:pPr>
        <w:pStyle w:val="PartHeading-TOC"/>
        <w:spacing w:after="1200"/>
      </w:pPr>
      <w:bookmarkStart w:id="524" w:name="_Toc511634923"/>
      <w:bookmarkStart w:id="525" w:name="_Toc511635318"/>
      <w:bookmarkStart w:id="526" w:name="_Toc511651067"/>
      <w:r>
        <w:t>Entity resources and planned performance</w:t>
      </w:r>
      <w:bookmarkEnd w:id="524"/>
      <w:bookmarkEnd w:id="525"/>
      <w:bookmarkEnd w:id="526"/>
    </w:p>
    <w:p w:rsidR="00AF5C37" w:rsidRPr="00AF5C37" w:rsidRDefault="00AF5C37" w:rsidP="00AF5C37">
      <w:pPr>
        <w:sectPr w:rsidR="00AF5C37" w:rsidRPr="00AF5C37" w:rsidSect="005A7C0B">
          <w:headerReference w:type="even" r:id="rId133"/>
          <w:headerReference w:type="default" r:id="rId134"/>
          <w:headerReference w:type="first" r:id="rId135"/>
          <w:footerReference w:type="first" r:id="rId136"/>
          <w:footnotePr>
            <w:numRestart w:val="eachPage"/>
          </w:footnotePr>
          <w:type w:val="oddPage"/>
          <w:pgSz w:w="11906" w:h="16838" w:code="9"/>
          <w:pgMar w:top="2466" w:right="2098" w:bottom="2466" w:left="2098" w:header="1899" w:footer="1899" w:gutter="0"/>
          <w:cols w:space="708"/>
          <w:vAlign w:val="center"/>
          <w:titlePg/>
          <w:docGrid w:linePitch="360"/>
        </w:sectPr>
      </w:pPr>
    </w:p>
    <w:p w:rsidR="003F3839" w:rsidRPr="002A32FD" w:rsidRDefault="003D6968" w:rsidP="003F3839">
      <w:pPr>
        <w:pStyle w:val="ContentsHeading"/>
      </w:pPr>
      <w:r>
        <w:lastRenderedPageBreak/>
        <w:t>Safe Work Australia</w:t>
      </w:r>
    </w:p>
    <w:p w:rsidR="00F56B36" w:rsidRPr="00E01B4E" w:rsidRDefault="003F3839">
      <w:pPr>
        <w:pStyle w:val="TOC1"/>
        <w:rPr>
          <w:rFonts w:ascii="Calibri" w:hAnsi="Calibri"/>
          <w:noProof/>
          <w:sz w:val="22"/>
          <w:szCs w:val="22"/>
        </w:rPr>
      </w:pPr>
      <w:r w:rsidRPr="00BF51E9">
        <w:fldChar w:fldCharType="begin"/>
      </w:r>
      <w:r w:rsidRPr="00BF51E9">
        <w:instrText xml:space="preserve"> TOC \h \z \t "Heading 2,1,Heading 3,2" </w:instrText>
      </w:r>
      <w:r w:rsidRPr="00BF51E9">
        <w:fldChar w:fldCharType="separate"/>
      </w:r>
      <w:hyperlink w:anchor="_Toc511828726" w:history="1">
        <w:r w:rsidR="00F56B36" w:rsidRPr="00B05988">
          <w:rPr>
            <w:rStyle w:val="Hyperlink"/>
            <w:noProof/>
          </w:rPr>
          <w:t>Section 1: Entity overview and resources</w:t>
        </w:r>
        <w:r w:rsidR="00F56B36">
          <w:rPr>
            <w:noProof/>
            <w:webHidden/>
          </w:rPr>
          <w:tab/>
        </w:r>
        <w:r w:rsidR="00F56B36">
          <w:rPr>
            <w:noProof/>
            <w:webHidden/>
          </w:rPr>
          <w:fldChar w:fldCharType="begin"/>
        </w:r>
        <w:r w:rsidR="00F56B36">
          <w:rPr>
            <w:noProof/>
            <w:webHidden/>
          </w:rPr>
          <w:instrText xml:space="preserve"> PAGEREF _Toc511828726 \h </w:instrText>
        </w:r>
        <w:r w:rsidR="00F56B36">
          <w:rPr>
            <w:noProof/>
            <w:webHidden/>
          </w:rPr>
        </w:r>
        <w:r w:rsidR="00F56B36">
          <w:rPr>
            <w:noProof/>
            <w:webHidden/>
          </w:rPr>
          <w:fldChar w:fldCharType="separate"/>
        </w:r>
        <w:r w:rsidR="007212DF">
          <w:rPr>
            <w:noProof/>
            <w:webHidden/>
          </w:rPr>
          <w:t>155</w:t>
        </w:r>
        <w:r w:rsidR="00F56B36">
          <w:rPr>
            <w:noProof/>
            <w:webHidden/>
          </w:rPr>
          <w:fldChar w:fldCharType="end"/>
        </w:r>
      </w:hyperlink>
    </w:p>
    <w:p w:rsidR="00F56B36" w:rsidRPr="00E01B4E" w:rsidRDefault="00F56B36">
      <w:pPr>
        <w:pStyle w:val="TOC2"/>
        <w:tabs>
          <w:tab w:val="left" w:pos="800"/>
        </w:tabs>
        <w:rPr>
          <w:rFonts w:ascii="Calibri" w:hAnsi="Calibri"/>
          <w:noProof/>
          <w:sz w:val="22"/>
          <w:szCs w:val="22"/>
        </w:rPr>
      </w:pPr>
      <w:hyperlink w:anchor="_Toc511828727" w:history="1">
        <w:r w:rsidRPr="00B05988">
          <w:rPr>
            <w:rStyle w:val="Hyperlink"/>
            <w:noProof/>
          </w:rPr>
          <w:t>1.1</w:t>
        </w:r>
        <w:r w:rsidRPr="00E01B4E">
          <w:rPr>
            <w:rFonts w:ascii="Calibri" w:hAnsi="Calibri"/>
            <w:noProof/>
            <w:sz w:val="22"/>
            <w:szCs w:val="22"/>
          </w:rPr>
          <w:tab/>
        </w:r>
        <w:r w:rsidRPr="00B05988">
          <w:rPr>
            <w:rStyle w:val="Hyperlink"/>
            <w:noProof/>
          </w:rPr>
          <w:t>Strategic direction statement</w:t>
        </w:r>
        <w:r>
          <w:rPr>
            <w:noProof/>
            <w:webHidden/>
          </w:rPr>
          <w:tab/>
        </w:r>
        <w:r>
          <w:rPr>
            <w:noProof/>
            <w:webHidden/>
          </w:rPr>
          <w:fldChar w:fldCharType="begin"/>
        </w:r>
        <w:r>
          <w:rPr>
            <w:noProof/>
            <w:webHidden/>
          </w:rPr>
          <w:instrText xml:space="preserve"> PAGEREF _Toc511828727 \h </w:instrText>
        </w:r>
        <w:r>
          <w:rPr>
            <w:noProof/>
            <w:webHidden/>
          </w:rPr>
        </w:r>
        <w:r>
          <w:rPr>
            <w:noProof/>
            <w:webHidden/>
          </w:rPr>
          <w:fldChar w:fldCharType="separate"/>
        </w:r>
        <w:r w:rsidR="007212DF">
          <w:rPr>
            <w:noProof/>
            <w:webHidden/>
          </w:rPr>
          <w:t>155</w:t>
        </w:r>
        <w:r>
          <w:rPr>
            <w:noProof/>
            <w:webHidden/>
          </w:rPr>
          <w:fldChar w:fldCharType="end"/>
        </w:r>
      </w:hyperlink>
    </w:p>
    <w:p w:rsidR="00F56B36" w:rsidRPr="00E01B4E" w:rsidRDefault="00F56B36">
      <w:pPr>
        <w:pStyle w:val="TOC2"/>
        <w:tabs>
          <w:tab w:val="left" w:pos="800"/>
        </w:tabs>
        <w:rPr>
          <w:rFonts w:ascii="Calibri" w:hAnsi="Calibri"/>
          <w:noProof/>
          <w:sz w:val="22"/>
          <w:szCs w:val="22"/>
        </w:rPr>
      </w:pPr>
      <w:hyperlink w:anchor="_Toc511828728" w:history="1">
        <w:r w:rsidRPr="00B05988">
          <w:rPr>
            <w:rStyle w:val="Hyperlink"/>
            <w:noProof/>
          </w:rPr>
          <w:t>1.2</w:t>
        </w:r>
        <w:r w:rsidRPr="00E01B4E">
          <w:rPr>
            <w:rFonts w:ascii="Calibri" w:hAnsi="Calibri"/>
            <w:noProof/>
            <w:sz w:val="22"/>
            <w:szCs w:val="22"/>
          </w:rPr>
          <w:tab/>
        </w:r>
        <w:r w:rsidRPr="00B05988">
          <w:rPr>
            <w:rStyle w:val="Hyperlink"/>
            <w:noProof/>
          </w:rPr>
          <w:t>Entity resource statement</w:t>
        </w:r>
        <w:r>
          <w:rPr>
            <w:noProof/>
            <w:webHidden/>
          </w:rPr>
          <w:tab/>
        </w:r>
        <w:r>
          <w:rPr>
            <w:noProof/>
            <w:webHidden/>
          </w:rPr>
          <w:fldChar w:fldCharType="begin"/>
        </w:r>
        <w:r>
          <w:rPr>
            <w:noProof/>
            <w:webHidden/>
          </w:rPr>
          <w:instrText xml:space="preserve"> PAGEREF _Toc511828728 \h </w:instrText>
        </w:r>
        <w:r>
          <w:rPr>
            <w:noProof/>
            <w:webHidden/>
          </w:rPr>
        </w:r>
        <w:r>
          <w:rPr>
            <w:noProof/>
            <w:webHidden/>
          </w:rPr>
          <w:fldChar w:fldCharType="separate"/>
        </w:r>
        <w:r w:rsidR="007212DF">
          <w:rPr>
            <w:noProof/>
            <w:webHidden/>
          </w:rPr>
          <w:t>156</w:t>
        </w:r>
        <w:r>
          <w:rPr>
            <w:noProof/>
            <w:webHidden/>
          </w:rPr>
          <w:fldChar w:fldCharType="end"/>
        </w:r>
      </w:hyperlink>
    </w:p>
    <w:p w:rsidR="00F56B36" w:rsidRPr="00E01B4E" w:rsidRDefault="00F56B36">
      <w:pPr>
        <w:pStyle w:val="TOC2"/>
        <w:tabs>
          <w:tab w:val="left" w:pos="800"/>
        </w:tabs>
        <w:rPr>
          <w:rFonts w:ascii="Calibri" w:hAnsi="Calibri"/>
          <w:noProof/>
          <w:sz w:val="22"/>
          <w:szCs w:val="22"/>
        </w:rPr>
      </w:pPr>
      <w:hyperlink w:anchor="_Toc511828729" w:history="1">
        <w:r w:rsidRPr="00B05988">
          <w:rPr>
            <w:rStyle w:val="Hyperlink"/>
            <w:noProof/>
          </w:rPr>
          <w:t>1.3</w:t>
        </w:r>
        <w:r w:rsidRPr="00E01B4E">
          <w:rPr>
            <w:rFonts w:ascii="Calibri" w:hAnsi="Calibri"/>
            <w:noProof/>
            <w:sz w:val="22"/>
            <w:szCs w:val="22"/>
          </w:rPr>
          <w:tab/>
        </w:r>
        <w:r w:rsidRPr="00B05988">
          <w:rPr>
            <w:rStyle w:val="Hyperlink"/>
            <w:noProof/>
          </w:rPr>
          <w:t>Budget measures</w:t>
        </w:r>
        <w:r>
          <w:rPr>
            <w:noProof/>
            <w:webHidden/>
          </w:rPr>
          <w:tab/>
        </w:r>
        <w:r>
          <w:rPr>
            <w:noProof/>
            <w:webHidden/>
          </w:rPr>
          <w:fldChar w:fldCharType="begin"/>
        </w:r>
        <w:r>
          <w:rPr>
            <w:noProof/>
            <w:webHidden/>
          </w:rPr>
          <w:instrText xml:space="preserve"> PAGEREF _Toc511828729 \h </w:instrText>
        </w:r>
        <w:r>
          <w:rPr>
            <w:noProof/>
            <w:webHidden/>
          </w:rPr>
        </w:r>
        <w:r>
          <w:rPr>
            <w:noProof/>
            <w:webHidden/>
          </w:rPr>
          <w:fldChar w:fldCharType="separate"/>
        </w:r>
        <w:r w:rsidR="007212DF">
          <w:rPr>
            <w:noProof/>
            <w:webHidden/>
          </w:rPr>
          <w:t>157</w:t>
        </w:r>
        <w:r>
          <w:rPr>
            <w:noProof/>
            <w:webHidden/>
          </w:rPr>
          <w:fldChar w:fldCharType="end"/>
        </w:r>
      </w:hyperlink>
    </w:p>
    <w:p w:rsidR="00F56B36" w:rsidRPr="00E01B4E" w:rsidRDefault="00F56B36">
      <w:pPr>
        <w:pStyle w:val="TOC1"/>
        <w:rPr>
          <w:rFonts w:ascii="Calibri" w:hAnsi="Calibri"/>
          <w:b w:val="0"/>
          <w:caps w:val="0"/>
          <w:noProof/>
          <w:sz w:val="22"/>
          <w:szCs w:val="22"/>
        </w:rPr>
      </w:pPr>
      <w:hyperlink w:anchor="_Toc511828730" w:history="1">
        <w:r w:rsidRPr="00B05988">
          <w:rPr>
            <w:rStyle w:val="Hyperlink"/>
            <w:noProof/>
          </w:rPr>
          <w:t>Section 2: Outcomes and planned performance</w:t>
        </w:r>
        <w:r>
          <w:rPr>
            <w:noProof/>
            <w:webHidden/>
          </w:rPr>
          <w:tab/>
        </w:r>
        <w:r>
          <w:rPr>
            <w:noProof/>
            <w:webHidden/>
          </w:rPr>
          <w:fldChar w:fldCharType="begin"/>
        </w:r>
        <w:r>
          <w:rPr>
            <w:noProof/>
            <w:webHidden/>
          </w:rPr>
          <w:instrText xml:space="preserve"> PAGEREF _Toc511828730 \h </w:instrText>
        </w:r>
        <w:r>
          <w:rPr>
            <w:noProof/>
            <w:webHidden/>
          </w:rPr>
        </w:r>
        <w:r>
          <w:rPr>
            <w:noProof/>
            <w:webHidden/>
          </w:rPr>
          <w:fldChar w:fldCharType="separate"/>
        </w:r>
        <w:r w:rsidR="007212DF">
          <w:rPr>
            <w:noProof/>
            <w:webHidden/>
          </w:rPr>
          <w:t>158</w:t>
        </w:r>
        <w:r>
          <w:rPr>
            <w:noProof/>
            <w:webHidden/>
          </w:rPr>
          <w:fldChar w:fldCharType="end"/>
        </w:r>
      </w:hyperlink>
    </w:p>
    <w:p w:rsidR="00F56B36" w:rsidRPr="00E01B4E" w:rsidRDefault="00F56B36">
      <w:pPr>
        <w:pStyle w:val="TOC2"/>
        <w:tabs>
          <w:tab w:val="left" w:pos="800"/>
        </w:tabs>
        <w:rPr>
          <w:rFonts w:ascii="Calibri" w:hAnsi="Calibri"/>
          <w:noProof/>
          <w:sz w:val="22"/>
          <w:szCs w:val="22"/>
        </w:rPr>
      </w:pPr>
      <w:hyperlink w:anchor="_Toc511828731" w:history="1">
        <w:r w:rsidRPr="00B05988">
          <w:rPr>
            <w:rStyle w:val="Hyperlink"/>
            <w:noProof/>
          </w:rPr>
          <w:t xml:space="preserve">2.1 </w:t>
        </w:r>
        <w:r w:rsidRPr="00E01B4E">
          <w:rPr>
            <w:rFonts w:ascii="Calibri" w:hAnsi="Calibri"/>
            <w:noProof/>
            <w:sz w:val="22"/>
            <w:szCs w:val="22"/>
          </w:rPr>
          <w:tab/>
        </w:r>
        <w:r w:rsidRPr="00B05988">
          <w:rPr>
            <w:rStyle w:val="Hyperlink"/>
            <w:noProof/>
          </w:rPr>
          <w:t xml:space="preserve">Budgeted expenses and performance for Outcome </w:t>
        </w:r>
        <w:r>
          <w:rPr>
            <w:rStyle w:val="Hyperlink"/>
            <w:noProof/>
          </w:rPr>
          <w:t>1</w:t>
        </w:r>
        <w:r>
          <w:rPr>
            <w:noProof/>
            <w:webHidden/>
          </w:rPr>
          <w:tab/>
        </w:r>
        <w:r>
          <w:rPr>
            <w:noProof/>
            <w:webHidden/>
          </w:rPr>
          <w:fldChar w:fldCharType="begin"/>
        </w:r>
        <w:r>
          <w:rPr>
            <w:noProof/>
            <w:webHidden/>
          </w:rPr>
          <w:instrText xml:space="preserve"> PAGEREF _Toc511828731 \h </w:instrText>
        </w:r>
        <w:r>
          <w:rPr>
            <w:noProof/>
            <w:webHidden/>
          </w:rPr>
        </w:r>
        <w:r>
          <w:rPr>
            <w:noProof/>
            <w:webHidden/>
          </w:rPr>
          <w:fldChar w:fldCharType="separate"/>
        </w:r>
        <w:r w:rsidR="007212DF">
          <w:rPr>
            <w:noProof/>
            <w:webHidden/>
          </w:rPr>
          <w:t>159</w:t>
        </w:r>
        <w:r>
          <w:rPr>
            <w:noProof/>
            <w:webHidden/>
          </w:rPr>
          <w:fldChar w:fldCharType="end"/>
        </w:r>
      </w:hyperlink>
    </w:p>
    <w:p w:rsidR="00F56B36" w:rsidRPr="00E01B4E" w:rsidRDefault="00F56B36">
      <w:pPr>
        <w:pStyle w:val="TOC1"/>
        <w:rPr>
          <w:rFonts w:ascii="Calibri" w:hAnsi="Calibri"/>
          <w:b w:val="0"/>
          <w:caps w:val="0"/>
          <w:noProof/>
          <w:sz w:val="22"/>
          <w:szCs w:val="22"/>
        </w:rPr>
      </w:pPr>
      <w:hyperlink w:anchor="_Toc511828732" w:history="1">
        <w:r w:rsidRPr="00B05988">
          <w:rPr>
            <w:rStyle w:val="Hyperlink"/>
            <w:noProof/>
          </w:rPr>
          <w:t>Section 3: Budgeted financial statements</w:t>
        </w:r>
        <w:r>
          <w:rPr>
            <w:noProof/>
            <w:webHidden/>
          </w:rPr>
          <w:tab/>
        </w:r>
        <w:r>
          <w:rPr>
            <w:noProof/>
            <w:webHidden/>
          </w:rPr>
          <w:fldChar w:fldCharType="begin"/>
        </w:r>
        <w:r>
          <w:rPr>
            <w:noProof/>
            <w:webHidden/>
          </w:rPr>
          <w:instrText xml:space="preserve"> PAGEREF _Toc511828732 \h </w:instrText>
        </w:r>
        <w:r>
          <w:rPr>
            <w:noProof/>
            <w:webHidden/>
          </w:rPr>
        </w:r>
        <w:r>
          <w:rPr>
            <w:noProof/>
            <w:webHidden/>
          </w:rPr>
          <w:fldChar w:fldCharType="separate"/>
        </w:r>
        <w:r w:rsidR="007212DF">
          <w:rPr>
            <w:noProof/>
            <w:webHidden/>
          </w:rPr>
          <w:t>162</w:t>
        </w:r>
        <w:r>
          <w:rPr>
            <w:noProof/>
            <w:webHidden/>
          </w:rPr>
          <w:fldChar w:fldCharType="end"/>
        </w:r>
      </w:hyperlink>
    </w:p>
    <w:p w:rsidR="00F56B36" w:rsidRPr="00E01B4E" w:rsidRDefault="00F56B36">
      <w:pPr>
        <w:pStyle w:val="TOC2"/>
        <w:tabs>
          <w:tab w:val="left" w:pos="800"/>
        </w:tabs>
        <w:rPr>
          <w:rFonts w:ascii="Calibri" w:hAnsi="Calibri"/>
          <w:noProof/>
          <w:sz w:val="22"/>
          <w:szCs w:val="22"/>
        </w:rPr>
      </w:pPr>
      <w:hyperlink w:anchor="_Toc511828733" w:history="1">
        <w:r w:rsidRPr="00B05988">
          <w:rPr>
            <w:rStyle w:val="Hyperlink"/>
            <w:noProof/>
          </w:rPr>
          <w:t>3.1</w:t>
        </w:r>
        <w:r w:rsidRPr="00E01B4E">
          <w:rPr>
            <w:rFonts w:ascii="Calibri" w:hAnsi="Calibri"/>
            <w:noProof/>
            <w:sz w:val="22"/>
            <w:szCs w:val="22"/>
          </w:rPr>
          <w:tab/>
        </w:r>
        <w:r w:rsidRPr="00B05988">
          <w:rPr>
            <w:rStyle w:val="Hyperlink"/>
            <w:noProof/>
          </w:rPr>
          <w:t>Budgeted financial statements</w:t>
        </w:r>
        <w:r>
          <w:rPr>
            <w:noProof/>
            <w:webHidden/>
          </w:rPr>
          <w:tab/>
        </w:r>
        <w:r>
          <w:rPr>
            <w:noProof/>
            <w:webHidden/>
          </w:rPr>
          <w:fldChar w:fldCharType="begin"/>
        </w:r>
        <w:r>
          <w:rPr>
            <w:noProof/>
            <w:webHidden/>
          </w:rPr>
          <w:instrText xml:space="preserve"> PAGEREF _Toc511828733 \h </w:instrText>
        </w:r>
        <w:r>
          <w:rPr>
            <w:noProof/>
            <w:webHidden/>
          </w:rPr>
        </w:r>
        <w:r>
          <w:rPr>
            <w:noProof/>
            <w:webHidden/>
          </w:rPr>
          <w:fldChar w:fldCharType="separate"/>
        </w:r>
        <w:r w:rsidR="007212DF">
          <w:rPr>
            <w:noProof/>
            <w:webHidden/>
          </w:rPr>
          <w:t>162</w:t>
        </w:r>
        <w:r>
          <w:rPr>
            <w:noProof/>
            <w:webHidden/>
          </w:rPr>
          <w:fldChar w:fldCharType="end"/>
        </w:r>
      </w:hyperlink>
    </w:p>
    <w:p w:rsidR="00F56B36" w:rsidRPr="00E01B4E" w:rsidRDefault="00F56B36">
      <w:pPr>
        <w:pStyle w:val="TOC2"/>
        <w:tabs>
          <w:tab w:val="left" w:pos="800"/>
        </w:tabs>
        <w:rPr>
          <w:rFonts w:ascii="Calibri" w:hAnsi="Calibri"/>
          <w:noProof/>
          <w:sz w:val="22"/>
          <w:szCs w:val="22"/>
        </w:rPr>
      </w:pPr>
      <w:hyperlink w:anchor="_Toc511828734" w:history="1">
        <w:r w:rsidRPr="00B05988">
          <w:rPr>
            <w:rStyle w:val="Hyperlink"/>
            <w:noProof/>
          </w:rPr>
          <w:t>3.2.</w:t>
        </w:r>
        <w:r w:rsidRPr="00E01B4E">
          <w:rPr>
            <w:rFonts w:ascii="Calibri" w:hAnsi="Calibri"/>
            <w:noProof/>
            <w:sz w:val="22"/>
            <w:szCs w:val="22"/>
          </w:rPr>
          <w:tab/>
        </w:r>
        <w:r w:rsidRPr="00B05988">
          <w:rPr>
            <w:rStyle w:val="Hyperlink"/>
            <w:noProof/>
          </w:rPr>
          <w:t>Budgeted financial statements tables</w:t>
        </w:r>
        <w:r>
          <w:rPr>
            <w:noProof/>
            <w:webHidden/>
          </w:rPr>
          <w:tab/>
        </w:r>
        <w:r>
          <w:rPr>
            <w:noProof/>
            <w:webHidden/>
          </w:rPr>
          <w:fldChar w:fldCharType="begin"/>
        </w:r>
        <w:r>
          <w:rPr>
            <w:noProof/>
            <w:webHidden/>
          </w:rPr>
          <w:instrText xml:space="preserve"> PAGEREF _Toc511828734 \h </w:instrText>
        </w:r>
        <w:r>
          <w:rPr>
            <w:noProof/>
            <w:webHidden/>
          </w:rPr>
        </w:r>
        <w:r>
          <w:rPr>
            <w:noProof/>
            <w:webHidden/>
          </w:rPr>
          <w:fldChar w:fldCharType="separate"/>
        </w:r>
        <w:r w:rsidR="007212DF">
          <w:rPr>
            <w:noProof/>
            <w:webHidden/>
          </w:rPr>
          <w:t>163</w:t>
        </w:r>
        <w:r>
          <w:rPr>
            <w:noProof/>
            <w:webHidden/>
          </w:rPr>
          <w:fldChar w:fldCharType="end"/>
        </w:r>
      </w:hyperlink>
    </w:p>
    <w:p w:rsidR="003F3839" w:rsidRPr="00BF51E9" w:rsidRDefault="003F3839" w:rsidP="003F3839">
      <w:pPr>
        <w:pStyle w:val="TOC1"/>
      </w:pPr>
      <w:r w:rsidRPr="00BF51E9">
        <w:fldChar w:fldCharType="end"/>
      </w:r>
    </w:p>
    <w:p w:rsidR="00AF5C37" w:rsidRDefault="00AF5C37" w:rsidP="003F3839">
      <w:pPr>
        <w:sectPr w:rsidR="00AF5C37" w:rsidSect="0050346A">
          <w:headerReference w:type="even" r:id="rId137"/>
          <w:headerReference w:type="default" r:id="rId138"/>
          <w:headerReference w:type="first" r:id="rId139"/>
          <w:footerReference w:type="first" r:id="rId140"/>
          <w:footnotePr>
            <w:numRestart w:val="eachPage"/>
          </w:footnotePr>
          <w:type w:val="oddPage"/>
          <w:pgSz w:w="11906" w:h="16838" w:code="9"/>
          <w:pgMar w:top="2466" w:right="2098" w:bottom="2466" w:left="2098" w:header="1899" w:footer="1899" w:gutter="0"/>
          <w:cols w:space="708"/>
          <w:titlePg/>
          <w:docGrid w:linePitch="360"/>
        </w:sectPr>
      </w:pPr>
    </w:p>
    <w:p w:rsidR="00AF5C37" w:rsidRDefault="00AF5C37" w:rsidP="00AF5C37">
      <w:pPr>
        <w:pStyle w:val="Heading1"/>
      </w:pPr>
      <w:bookmarkStart w:id="527" w:name="_Toc511635319"/>
      <w:bookmarkStart w:id="528" w:name="_Toc511651068"/>
      <w:r>
        <w:lastRenderedPageBreak/>
        <w:t>Safe Work Australia</w:t>
      </w:r>
      <w:bookmarkEnd w:id="527"/>
      <w:bookmarkEnd w:id="528"/>
    </w:p>
    <w:p w:rsidR="00AF5C37" w:rsidRPr="002C4D41" w:rsidRDefault="00AF5C37" w:rsidP="00342D9E">
      <w:pPr>
        <w:pStyle w:val="Heading2"/>
        <w:spacing w:after="400"/>
      </w:pPr>
      <w:bookmarkStart w:id="529" w:name="_Toc511656299"/>
      <w:bookmarkStart w:id="530" w:name="_Toc511722672"/>
      <w:bookmarkStart w:id="531" w:name="_Toc511737004"/>
      <w:bookmarkStart w:id="532" w:name="_Toc511747266"/>
      <w:bookmarkStart w:id="533" w:name="_Toc511765670"/>
      <w:bookmarkStart w:id="534" w:name="_Toc511828726"/>
      <w:bookmarkStart w:id="535" w:name="_Toc511836865"/>
      <w:bookmarkStart w:id="536" w:name="_Toc511902571"/>
      <w:r w:rsidRPr="002C4D41">
        <w:t>Section 1: Entity overview and resources</w:t>
      </w:r>
      <w:bookmarkEnd w:id="529"/>
      <w:bookmarkEnd w:id="530"/>
      <w:bookmarkEnd w:id="531"/>
      <w:bookmarkEnd w:id="532"/>
      <w:bookmarkEnd w:id="533"/>
      <w:bookmarkEnd w:id="534"/>
      <w:bookmarkEnd w:id="535"/>
      <w:bookmarkEnd w:id="536"/>
    </w:p>
    <w:p w:rsidR="00AF5C37" w:rsidRDefault="00AF5C37" w:rsidP="00342D9E">
      <w:pPr>
        <w:pStyle w:val="Heading3"/>
        <w:spacing w:before="200" w:after="200"/>
      </w:pPr>
      <w:bookmarkStart w:id="537" w:name="_Toc511656300"/>
      <w:bookmarkStart w:id="538" w:name="_Toc511722673"/>
      <w:bookmarkStart w:id="539" w:name="_Toc511737005"/>
      <w:bookmarkStart w:id="540" w:name="_Toc511747267"/>
      <w:bookmarkStart w:id="541" w:name="_Toc511765671"/>
      <w:bookmarkStart w:id="542" w:name="_Toc511828727"/>
      <w:bookmarkStart w:id="543" w:name="_Toc511836866"/>
      <w:bookmarkStart w:id="544" w:name="_Toc511902572"/>
      <w:r>
        <w:t>1.1</w:t>
      </w:r>
      <w:r>
        <w:tab/>
        <w:t>Strategic direction statement</w:t>
      </w:r>
      <w:bookmarkEnd w:id="537"/>
      <w:bookmarkEnd w:id="538"/>
      <w:bookmarkEnd w:id="539"/>
      <w:bookmarkEnd w:id="540"/>
      <w:bookmarkEnd w:id="541"/>
      <w:bookmarkEnd w:id="542"/>
      <w:bookmarkEnd w:id="543"/>
      <w:bookmarkEnd w:id="544"/>
    </w:p>
    <w:p w:rsidR="00BB47F0" w:rsidRDefault="00BB47F0" w:rsidP="00342D9E">
      <w:pPr>
        <w:spacing w:after="200"/>
      </w:pPr>
      <w:r>
        <w:t xml:space="preserve">Safe Work Australia was established as a statutory agency on 1 November 2009 under the </w:t>
      </w:r>
      <w:r>
        <w:rPr>
          <w:i/>
        </w:rPr>
        <w:t>Safe Work Australia Act 2008</w:t>
      </w:r>
      <w:r>
        <w:t xml:space="preserve"> (the Act). The agency operates under the Public Governance, Performance and Accountability Act framework. </w:t>
      </w:r>
    </w:p>
    <w:p w:rsidR="00BB47F0" w:rsidRDefault="00BB47F0" w:rsidP="00342D9E">
      <w:pPr>
        <w:spacing w:after="200"/>
      </w:pPr>
      <w:r>
        <w:t xml:space="preserve">Safe Work Australia leads the development of national policy to improve work health and safety (WHS) and workers’ compensation across Australia. The establishment of Safe Work Australia was provided for in the </w:t>
      </w:r>
      <w:r>
        <w:rPr>
          <w:i/>
        </w:rPr>
        <w:t>Intergovernmental Agreement for Regulatory and Operational Reform in Occupational Health and Safety (IGA)</w:t>
      </w:r>
      <w:r>
        <w:t xml:space="preserve">, agreed by the Council of Australian Governments (COAG) on 3 July 2008. </w:t>
      </w:r>
    </w:p>
    <w:p w:rsidR="00BB47F0" w:rsidRDefault="00BB47F0" w:rsidP="00342D9E">
      <w:pPr>
        <w:spacing w:after="200"/>
      </w:pPr>
      <w:r>
        <w:t>The agency is jointly funded by the Commonwealth, state and territory governments. This funding arrangement promotes collaboration with jurisdictions on evidence collection and distribution, policy and strategy development and communication and education initiatives.</w:t>
      </w:r>
    </w:p>
    <w:p w:rsidR="00BB47F0" w:rsidRDefault="00BB47F0" w:rsidP="00342D9E">
      <w:pPr>
        <w:spacing w:after="200"/>
      </w:pPr>
      <w:r>
        <w:t>Safe Work Australia has 15 Members, including an independent Chair, nine Members representing the Commonwealth and each state and territory, two Members representing the interests of employers, two representing the interests of employees, and the Chief Executive Officer (CEO) of Safe Work Australia.</w:t>
      </w:r>
    </w:p>
    <w:p w:rsidR="00BB47F0" w:rsidRDefault="00BB47F0" w:rsidP="00342D9E">
      <w:pPr>
        <w:spacing w:after="200"/>
      </w:pPr>
      <w:r>
        <w:t xml:space="preserve">The CEO manages the agency under section 45 of the Act and is the Accountable Authority in accordance with the </w:t>
      </w:r>
      <w:r>
        <w:rPr>
          <w:i/>
        </w:rPr>
        <w:t>Public Governance, Performance and Accountability Act 2013</w:t>
      </w:r>
      <w:r>
        <w:t>.</w:t>
      </w:r>
    </w:p>
    <w:p w:rsidR="00BB47F0" w:rsidRDefault="00BB47F0" w:rsidP="00BB47F0">
      <w:pPr>
        <w:spacing w:after="80"/>
      </w:pPr>
      <w:r>
        <w:t>During 2018–19, Safe Work Australia will continue to be an inclusive tripartite forum for the innovative development of evidence based national policy and supporting strategies. We will do this by:</w:t>
      </w:r>
    </w:p>
    <w:p w:rsidR="00BB47F0" w:rsidRDefault="00BB47F0" w:rsidP="00342D9E">
      <w:pPr>
        <w:pStyle w:val="Bullet"/>
        <w:spacing w:after="60"/>
        <w:ind w:left="284" w:hanging="284"/>
      </w:pPr>
      <w:r>
        <w:t>bringing together and recognising varying views and interests to ensure effective national policy which improves WHS and workers’ compensation outcomes</w:t>
      </w:r>
    </w:p>
    <w:p w:rsidR="00BB47F0" w:rsidRDefault="00BB47F0" w:rsidP="00342D9E">
      <w:pPr>
        <w:pStyle w:val="Bullet"/>
        <w:spacing w:after="60"/>
        <w:ind w:left="284" w:hanging="284"/>
      </w:pPr>
      <w:r>
        <w:t xml:space="preserve">supporting the review of the model WHS laws </w:t>
      </w:r>
    </w:p>
    <w:p w:rsidR="00BB47F0" w:rsidRDefault="00BB47F0" w:rsidP="00342D9E">
      <w:pPr>
        <w:pStyle w:val="Bullet"/>
        <w:spacing w:after="60"/>
        <w:ind w:left="284" w:hanging="284"/>
      </w:pPr>
      <w:r>
        <w:t>using our influence and innovative technologies to increase knowledge and awareness of health and safety and workers’ compensation</w:t>
      </w:r>
    </w:p>
    <w:p w:rsidR="00BB47F0" w:rsidRDefault="00BB47F0" w:rsidP="00342D9E">
      <w:pPr>
        <w:pStyle w:val="Bullet"/>
        <w:spacing w:after="60"/>
        <w:ind w:left="284" w:hanging="284"/>
      </w:pPr>
      <w:r>
        <w:t>being a key source of WHS and workers’ compensation research, evaluation and data</w:t>
      </w:r>
    </w:p>
    <w:p w:rsidR="00BB47F0" w:rsidRDefault="00BB47F0" w:rsidP="00342D9E">
      <w:pPr>
        <w:pStyle w:val="Bullet"/>
        <w:spacing w:after="60"/>
      </w:pPr>
      <w:r>
        <w:t>developing policy proposals and supporting strategies to improve workers’ compensation arrangements, with a particular focus on return to work, and</w:t>
      </w:r>
    </w:p>
    <w:p w:rsidR="00BB47F0" w:rsidRDefault="00BB47F0" w:rsidP="00BB47F0">
      <w:pPr>
        <w:pStyle w:val="Bullet"/>
      </w:pPr>
      <w:r>
        <w:t xml:space="preserve">working with other national and international bodies to share data, information and/or knowledge on </w:t>
      </w:r>
      <w:r w:rsidR="003E7035">
        <w:rPr>
          <w:lang w:val="en-AU"/>
        </w:rPr>
        <w:t>WHS</w:t>
      </w:r>
      <w:r>
        <w:t xml:space="preserve"> and workers’ compensation matters to improve Australian outcomes.</w:t>
      </w:r>
    </w:p>
    <w:p w:rsidR="00BB47F0" w:rsidRDefault="00AF5C37" w:rsidP="00BB47F0">
      <w:pPr>
        <w:pStyle w:val="Heading3"/>
      </w:pPr>
      <w:r w:rsidRPr="0079797F">
        <w:br w:type="page"/>
      </w:r>
      <w:bookmarkStart w:id="545" w:name="_Toc511656301"/>
      <w:bookmarkStart w:id="546" w:name="_Toc511722674"/>
      <w:bookmarkStart w:id="547" w:name="_Toc511737006"/>
      <w:bookmarkStart w:id="548" w:name="_Toc511747268"/>
      <w:bookmarkStart w:id="549" w:name="_Toc511765672"/>
      <w:bookmarkStart w:id="550" w:name="_Toc511828728"/>
      <w:bookmarkStart w:id="551" w:name="_Toc511836867"/>
      <w:bookmarkStart w:id="552" w:name="_Toc511902573"/>
      <w:r w:rsidR="00BB47F0">
        <w:lastRenderedPageBreak/>
        <w:t>1.2</w:t>
      </w:r>
      <w:r w:rsidR="00BB47F0">
        <w:tab/>
        <w:t>Entity resource statement</w:t>
      </w:r>
      <w:bookmarkEnd w:id="545"/>
      <w:bookmarkEnd w:id="546"/>
      <w:bookmarkEnd w:id="547"/>
      <w:bookmarkEnd w:id="548"/>
      <w:bookmarkEnd w:id="549"/>
      <w:bookmarkEnd w:id="550"/>
      <w:bookmarkEnd w:id="551"/>
      <w:bookmarkEnd w:id="552"/>
    </w:p>
    <w:p w:rsidR="00BB47F0" w:rsidRDefault="00BB47F0" w:rsidP="00953A2D">
      <w:pPr>
        <w:spacing w:after="200"/>
      </w:pPr>
      <w:r>
        <w:t>Table 1.1 shows the total funding from all sources available to the entity for its operations and to deliver programs and services on behalf of the Government.</w:t>
      </w:r>
    </w:p>
    <w:p w:rsidR="00BB47F0" w:rsidRDefault="00BB47F0" w:rsidP="00953A2D">
      <w:pPr>
        <w:spacing w:after="200"/>
      </w:pPr>
      <w:r>
        <w:t>The table summarises how resources will be applied by outcome (government strategic policy objectives) and by administered (on behalf of the Government or the public) and departmental (for the entity’s operations) classification.</w:t>
      </w:r>
    </w:p>
    <w:p w:rsidR="00BB47F0" w:rsidRDefault="00BB47F0" w:rsidP="00953A2D">
      <w:pPr>
        <w:spacing w:after="200"/>
      </w:pPr>
      <w:r>
        <w:t xml:space="preserve">For more detailed information on special accounts and special appropriations, please refer to </w:t>
      </w:r>
      <w:r>
        <w:rPr>
          <w:i/>
        </w:rPr>
        <w:t>Budget Paper No. 4—</w:t>
      </w:r>
      <w:r w:rsidRPr="00412C0B">
        <w:rPr>
          <w:i/>
        </w:rPr>
        <w:t>Agency Resourcing</w:t>
      </w:r>
      <w:r>
        <w:t>.</w:t>
      </w:r>
    </w:p>
    <w:p w:rsidR="00BB47F0" w:rsidRDefault="00BB47F0" w:rsidP="00BB47F0">
      <w:r>
        <w:t>Information in this table is presented on a resourcing (that is, appropriations/cash available) basis, whilst the ‘Budgeted expenses by Outcome’ tables in Section 2 and the financial statements in Section 3 are presented on an accrual basis.</w:t>
      </w:r>
    </w:p>
    <w:p w:rsidR="00BB47F0" w:rsidRPr="005731D3" w:rsidRDefault="00BB47F0" w:rsidP="00BB47F0">
      <w:pPr>
        <w:pStyle w:val="TableHeading"/>
      </w:pPr>
      <w:r w:rsidRPr="005731D3">
        <w:t xml:space="preserve">Table 1.1: </w:t>
      </w:r>
      <w:r>
        <w:rPr>
          <w:lang w:val="en-AU"/>
        </w:rPr>
        <w:t xml:space="preserve">Safe Work Australia </w:t>
      </w:r>
      <w:r>
        <w:t>resource statement</w:t>
      </w:r>
      <w:r>
        <w:rPr>
          <w:lang w:val="en-AU"/>
        </w:rPr>
        <w:t>—</w:t>
      </w:r>
      <w:r w:rsidRPr="005731D3">
        <w:t xml:space="preserve">Budget estimates for </w:t>
      </w:r>
      <w:r>
        <w:rPr>
          <w:lang w:val="en-AU"/>
        </w:rPr>
        <w:br/>
      </w:r>
      <w:r w:rsidRPr="003F3C77">
        <w:t>201</w:t>
      </w:r>
      <w:r>
        <w:t>8</w:t>
      </w:r>
      <w:r>
        <w:rPr>
          <w:lang w:val="en-AU"/>
        </w:rPr>
        <w:t>–</w:t>
      </w:r>
      <w:r w:rsidRPr="003F3C77">
        <w:t>1</w:t>
      </w:r>
      <w:r>
        <w:t>9</w:t>
      </w:r>
      <w:r>
        <w:rPr>
          <w:lang w:val="en-AU"/>
        </w:rPr>
        <w:t xml:space="preserve"> </w:t>
      </w:r>
      <w:r w:rsidRPr="005731D3">
        <w:t>as at Budget</w:t>
      </w:r>
      <w:r w:rsidR="00C5333D">
        <w:rPr>
          <w:lang w:val="en-AU"/>
        </w:rPr>
        <w:t>,</w:t>
      </w:r>
      <w:r w:rsidRPr="005731D3">
        <w:t xml:space="preserve"> May 201</w:t>
      </w:r>
      <w:r>
        <w:t>8</w:t>
      </w:r>
    </w:p>
    <w:tbl>
      <w:tblPr>
        <w:tblW w:w="7739" w:type="dxa"/>
        <w:tblInd w:w="93" w:type="dxa"/>
        <w:tblLook w:val="04A0" w:firstRow="1" w:lastRow="0" w:firstColumn="1" w:lastColumn="0" w:noHBand="0" w:noVBand="1"/>
      </w:tblPr>
      <w:tblGrid>
        <w:gridCol w:w="5471"/>
        <w:gridCol w:w="1134"/>
        <w:gridCol w:w="1134"/>
      </w:tblGrid>
      <w:tr w:rsidR="00BB47F0" w:rsidRPr="00BB47F0" w:rsidTr="00BB47F0">
        <w:trPr>
          <w:trHeight w:val="794"/>
        </w:trPr>
        <w:tc>
          <w:tcPr>
            <w:tcW w:w="5471" w:type="dxa"/>
            <w:tcBorders>
              <w:top w:val="single" w:sz="4" w:space="0" w:color="auto"/>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2017–18 Estimated actual </w:t>
            </w:r>
            <w:r w:rsidRPr="00BB47F0">
              <w:rPr>
                <w:rFonts w:ascii="Arial" w:hAnsi="Arial" w:cs="Arial"/>
                <w:i/>
                <w:iCs/>
                <w:color w:val="000000"/>
                <w:sz w:val="16"/>
                <w:szCs w:val="16"/>
              </w:rPr>
              <w:br/>
              <w:t>$'000</w:t>
            </w:r>
          </w:p>
        </w:tc>
        <w:tc>
          <w:tcPr>
            <w:tcW w:w="1134" w:type="dxa"/>
            <w:tcBorders>
              <w:top w:val="single" w:sz="4" w:space="0" w:color="auto"/>
              <w:left w:val="nil"/>
              <w:bottom w:val="single" w:sz="4" w:space="0" w:color="auto"/>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2018–19 Estimate</w:t>
            </w:r>
            <w:r w:rsidRPr="00BB47F0">
              <w:rPr>
                <w:rFonts w:ascii="Arial" w:hAnsi="Arial" w:cs="Arial"/>
                <w:color w:val="000000"/>
                <w:sz w:val="16"/>
                <w:szCs w:val="16"/>
              </w:rPr>
              <w:br/>
            </w:r>
            <w:r w:rsidRPr="00BB47F0">
              <w:rPr>
                <w:rFonts w:ascii="Arial" w:hAnsi="Arial" w:cs="Arial"/>
                <w:color w:val="000000"/>
                <w:sz w:val="16"/>
                <w:szCs w:val="16"/>
              </w:rPr>
              <w:br/>
              <w:t>$'000</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b/>
                <w:bCs/>
                <w:color w:val="000000"/>
                <w:sz w:val="16"/>
                <w:szCs w:val="16"/>
              </w:rPr>
            </w:pPr>
            <w:r w:rsidRPr="00BB47F0">
              <w:rPr>
                <w:rFonts w:ascii="Arial" w:hAnsi="Arial" w:cs="Arial"/>
                <w:b/>
                <w:bCs/>
                <w:color w:val="000000"/>
                <w:sz w:val="16"/>
                <w:szCs w:val="16"/>
              </w:rPr>
              <w:t>Departmental</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Annual appropriations—ordinary annual services (a)</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xml:space="preserve">    Departmental appropriation (b)</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10,007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10,231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672459" w:rsidP="00BB47F0">
            <w:pPr>
              <w:spacing w:after="0" w:line="240" w:lineRule="auto"/>
              <w:rPr>
                <w:rFonts w:ascii="Arial" w:hAnsi="Arial" w:cs="Arial"/>
                <w:color w:val="000000"/>
                <w:sz w:val="16"/>
                <w:szCs w:val="16"/>
              </w:rPr>
            </w:pPr>
            <w:r>
              <w:rPr>
                <w:rFonts w:ascii="Arial" w:hAnsi="Arial" w:cs="Arial"/>
                <w:color w:val="000000"/>
                <w:sz w:val="16"/>
                <w:szCs w:val="16"/>
              </w:rPr>
              <w:t xml:space="preserve">    Departmental Capital B</w:t>
            </w:r>
            <w:r w:rsidR="00BB47F0" w:rsidRPr="00BB47F0">
              <w:rPr>
                <w:rFonts w:ascii="Arial" w:hAnsi="Arial" w:cs="Arial"/>
                <w:color w:val="000000"/>
                <w:sz w:val="16"/>
                <w:szCs w:val="16"/>
              </w:rPr>
              <w:t>udget (c)</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88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92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Total departmental annual appropriations</w:t>
            </w:r>
          </w:p>
        </w:tc>
        <w:tc>
          <w:tcPr>
            <w:tcW w:w="1134" w:type="dxa"/>
            <w:tcBorders>
              <w:top w:val="single" w:sz="4" w:space="0" w:color="auto"/>
              <w:left w:val="nil"/>
              <w:bottom w:val="single" w:sz="4" w:space="0" w:color="auto"/>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10,095 </w:t>
            </w:r>
          </w:p>
        </w:tc>
        <w:tc>
          <w:tcPr>
            <w:tcW w:w="1134" w:type="dxa"/>
            <w:tcBorders>
              <w:top w:val="single" w:sz="4" w:space="0" w:color="auto"/>
              <w:left w:val="nil"/>
              <w:bottom w:val="single" w:sz="4" w:space="0" w:color="auto"/>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10,323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Special accounts (d)</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xml:space="preserve">    Opening balance</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13,217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13,217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xml:space="preserve">    Appropriation receipts (e)</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10,095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10,323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xml:space="preserve">    Non-appropriation receipts</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10,044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10,267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i/>
                <w:iCs/>
                <w:color w:val="000000"/>
                <w:sz w:val="16"/>
                <w:szCs w:val="16"/>
              </w:rPr>
            </w:pPr>
            <w:r w:rsidRPr="00BB47F0">
              <w:rPr>
                <w:rFonts w:ascii="Arial" w:hAnsi="Arial" w:cs="Arial"/>
                <w:i/>
                <w:iCs/>
                <w:color w:val="000000"/>
                <w:sz w:val="16"/>
                <w:szCs w:val="16"/>
              </w:rPr>
              <w:t>Total special accounts</w:t>
            </w:r>
          </w:p>
        </w:tc>
        <w:tc>
          <w:tcPr>
            <w:tcW w:w="1134" w:type="dxa"/>
            <w:tcBorders>
              <w:top w:val="single" w:sz="4" w:space="0" w:color="auto"/>
              <w:left w:val="nil"/>
              <w:bottom w:val="single" w:sz="4" w:space="0" w:color="auto"/>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33,356 </w:t>
            </w:r>
          </w:p>
        </w:tc>
        <w:tc>
          <w:tcPr>
            <w:tcW w:w="1134" w:type="dxa"/>
            <w:tcBorders>
              <w:top w:val="single" w:sz="4" w:space="0" w:color="auto"/>
              <w:left w:val="nil"/>
              <w:bottom w:val="single" w:sz="4" w:space="0" w:color="auto"/>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33,807 </w:t>
            </w:r>
          </w:p>
        </w:tc>
      </w:tr>
      <w:tr w:rsidR="00BB47F0" w:rsidRPr="00BB47F0" w:rsidTr="00BB47F0">
        <w:trPr>
          <w:trHeight w:val="397"/>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ind w:left="191" w:hanging="191"/>
              <w:rPr>
                <w:rFonts w:ascii="Arial" w:hAnsi="Arial" w:cs="Arial"/>
                <w:i/>
                <w:iCs/>
                <w:color w:val="000000"/>
                <w:sz w:val="16"/>
                <w:szCs w:val="16"/>
              </w:rPr>
            </w:pPr>
            <w:r w:rsidRPr="00BB47F0">
              <w:rPr>
                <w:rFonts w:ascii="Arial" w:hAnsi="Arial" w:cs="Arial"/>
                <w:i/>
                <w:iCs/>
                <w:color w:val="000000"/>
                <w:sz w:val="16"/>
                <w:szCs w:val="16"/>
              </w:rPr>
              <w:t>less departmental appropriations drawn from annual/special appropriations and credited to special accounts</w:t>
            </w:r>
          </w:p>
        </w:tc>
        <w:tc>
          <w:tcPr>
            <w:tcW w:w="1134"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10,095 </w:t>
            </w:r>
          </w:p>
        </w:tc>
        <w:tc>
          <w:tcPr>
            <w:tcW w:w="1134" w:type="dxa"/>
            <w:tcBorders>
              <w:top w:val="nil"/>
              <w:left w:val="nil"/>
              <w:bottom w:val="nil"/>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10,323 </w:t>
            </w:r>
          </w:p>
        </w:tc>
      </w:tr>
      <w:tr w:rsidR="00BB47F0" w:rsidRPr="00BB47F0" w:rsidTr="00BB47F0">
        <w:trPr>
          <w:trHeight w:val="225"/>
        </w:trPr>
        <w:tc>
          <w:tcPr>
            <w:tcW w:w="5471" w:type="dxa"/>
            <w:tcBorders>
              <w:top w:val="nil"/>
              <w:left w:val="nil"/>
              <w:bottom w:val="nil"/>
              <w:right w:val="nil"/>
            </w:tcBorders>
            <w:shd w:val="clear" w:color="000000" w:fill="FFFFFF"/>
            <w:vAlign w:val="center"/>
            <w:hideMark/>
          </w:tcPr>
          <w:p w:rsidR="00BB47F0" w:rsidRPr="00BB47F0" w:rsidRDefault="00BB47F0" w:rsidP="00BB47F0">
            <w:pPr>
              <w:spacing w:after="0" w:line="240" w:lineRule="auto"/>
              <w:rPr>
                <w:rFonts w:ascii="Arial" w:hAnsi="Arial" w:cs="Arial"/>
                <w:b/>
                <w:bCs/>
                <w:i/>
                <w:iCs/>
                <w:color w:val="000000"/>
                <w:sz w:val="16"/>
                <w:szCs w:val="16"/>
              </w:rPr>
            </w:pPr>
            <w:r w:rsidRPr="00BB47F0">
              <w:rPr>
                <w:rFonts w:ascii="Arial" w:hAnsi="Arial" w:cs="Arial"/>
                <w:b/>
                <w:bCs/>
                <w:i/>
                <w:iCs/>
                <w:color w:val="000000"/>
                <w:sz w:val="16"/>
                <w:szCs w:val="16"/>
              </w:rPr>
              <w:t>Total departmental resourcing</w:t>
            </w:r>
          </w:p>
        </w:tc>
        <w:tc>
          <w:tcPr>
            <w:tcW w:w="1134" w:type="dxa"/>
            <w:tcBorders>
              <w:top w:val="single" w:sz="4" w:space="0" w:color="auto"/>
              <w:left w:val="nil"/>
              <w:bottom w:val="single" w:sz="4" w:space="0" w:color="auto"/>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b/>
                <w:bCs/>
                <w:i/>
                <w:iCs/>
                <w:color w:val="000000"/>
                <w:sz w:val="16"/>
                <w:szCs w:val="16"/>
              </w:rPr>
            </w:pPr>
            <w:r w:rsidRPr="00BB47F0">
              <w:rPr>
                <w:rFonts w:ascii="Arial" w:hAnsi="Arial" w:cs="Arial"/>
                <w:b/>
                <w:bCs/>
                <w:i/>
                <w:iCs/>
                <w:color w:val="000000"/>
                <w:sz w:val="16"/>
                <w:szCs w:val="16"/>
              </w:rPr>
              <w:t xml:space="preserve">33,356 </w:t>
            </w:r>
          </w:p>
        </w:tc>
        <w:tc>
          <w:tcPr>
            <w:tcW w:w="1134" w:type="dxa"/>
            <w:tcBorders>
              <w:top w:val="single" w:sz="4" w:space="0" w:color="auto"/>
              <w:left w:val="nil"/>
              <w:bottom w:val="single" w:sz="4" w:space="0" w:color="auto"/>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b/>
                <w:bCs/>
                <w:color w:val="000000"/>
                <w:sz w:val="16"/>
                <w:szCs w:val="16"/>
              </w:rPr>
            </w:pPr>
            <w:r w:rsidRPr="00BB47F0">
              <w:rPr>
                <w:rFonts w:ascii="Arial" w:hAnsi="Arial" w:cs="Arial"/>
                <w:b/>
                <w:bCs/>
                <w:color w:val="000000"/>
                <w:sz w:val="16"/>
                <w:szCs w:val="16"/>
              </w:rPr>
              <w:t xml:space="preserve">33,807 </w:t>
            </w:r>
          </w:p>
        </w:tc>
      </w:tr>
      <w:tr w:rsidR="00BB47F0" w:rsidRPr="00BB47F0" w:rsidTr="00BB47F0">
        <w:trPr>
          <w:trHeight w:val="225"/>
        </w:trPr>
        <w:tc>
          <w:tcPr>
            <w:tcW w:w="5471" w:type="dxa"/>
            <w:tcBorders>
              <w:top w:val="nil"/>
              <w:left w:val="nil"/>
              <w:bottom w:val="single" w:sz="4" w:space="0" w:color="auto"/>
              <w:right w:val="nil"/>
            </w:tcBorders>
            <w:shd w:val="clear" w:color="000000" w:fill="FFFFFF"/>
            <w:vAlign w:val="bottom"/>
            <w:hideMark/>
          </w:tcPr>
          <w:p w:rsidR="00BB47F0" w:rsidRPr="00BB47F0" w:rsidRDefault="00BB47F0" w:rsidP="00BB47F0">
            <w:pPr>
              <w:spacing w:after="0" w:line="240" w:lineRule="auto"/>
              <w:rPr>
                <w:rFonts w:ascii="Arial" w:hAnsi="Arial" w:cs="Arial"/>
                <w:b/>
                <w:bCs/>
                <w:color w:val="000000"/>
                <w:sz w:val="16"/>
                <w:szCs w:val="16"/>
              </w:rPr>
            </w:pPr>
            <w:r w:rsidRPr="00BB47F0">
              <w:rPr>
                <w:rFonts w:ascii="Arial" w:hAnsi="Arial" w:cs="Arial"/>
                <w:b/>
                <w:bCs/>
                <w:color w:val="000000"/>
                <w:sz w:val="16"/>
                <w:szCs w:val="16"/>
              </w:rPr>
              <w:t>Total resourcing for Safe Work Australia</w:t>
            </w:r>
          </w:p>
        </w:tc>
        <w:tc>
          <w:tcPr>
            <w:tcW w:w="1134" w:type="dxa"/>
            <w:tcBorders>
              <w:top w:val="nil"/>
              <w:left w:val="nil"/>
              <w:bottom w:val="single" w:sz="4" w:space="0" w:color="auto"/>
              <w:right w:val="nil"/>
            </w:tcBorders>
            <w:shd w:val="clear" w:color="000000" w:fill="FFFFFF"/>
            <w:vAlign w:val="bottom"/>
            <w:hideMark/>
          </w:tcPr>
          <w:p w:rsidR="00BB47F0" w:rsidRPr="00BB47F0" w:rsidRDefault="00BB47F0" w:rsidP="00BB47F0">
            <w:pPr>
              <w:spacing w:after="0" w:line="240" w:lineRule="auto"/>
              <w:jc w:val="right"/>
              <w:rPr>
                <w:rFonts w:ascii="Arial" w:hAnsi="Arial" w:cs="Arial"/>
                <w:b/>
                <w:bCs/>
                <w:i/>
                <w:iCs/>
                <w:color w:val="000000"/>
                <w:sz w:val="16"/>
                <w:szCs w:val="16"/>
              </w:rPr>
            </w:pPr>
            <w:r w:rsidRPr="00BB47F0">
              <w:rPr>
                <w:rFonts w:ascii="Arial" w:hAnsi="Arial" w:cs="Arial"/>
                <w:b/>
                <w:bCs/>
                <w:i/>
                <w:iCs/>
                <w:color w:val="000000"/>
                <w:sz w:val="16"/>
                <w:szCs w:val="16"/>
              </w:rPr>
              <w:t xml:space="preserve">33,356 </w:t>
            </w:r>
          </w:p>
        </w:tc>
        <w:tc>
          <w:tcPr>
            <w:tcW w:w="1134" w:type="dxa"/>
            <w:tcBorders>
              <w:top w:val="nil"/>
              <w:left w:val="nil"/>
              <w:bottom w:val="single" w:sz="4" w:space="0" w:color="auto"/>
              <w:right w:val="nil"/>
            </w:tcBorders>
            <w:shd w:val="clear" w:color="000000" w:fill="E6E6E6"/>
            <w:vAlign w:val="bottom"/>
            <w:hideMark/>
          </w:tcPr>
          <w:p w:rsidR="00BB47F0" w:rsidRPr="00BB47F0" w:rsidRDefault="00BB47F0" w:rsidP="00BB47F0">
            <w:pPr>
              <w:spacing w:after="0" w:line="240" w:lineRule="auto"/>
              <w:jc w:val="right"/>
              <w:rPr>
                <w:rFonts w:ascii="Arial" w:hAnsi="Arial" w:cs="Arial"/>
                <w:b/>
                <w:bCs/>
                <w:color w:val="000000"/>
                <w:sz w:val="16"/>
                <w:szCs w:val="16"/>
              </w:rPr>
            </w:pPr>
            <w:r w:rsidRPr="00BB47F0">
              <w:rPr>
                <w:rFonts w:ascii="Arial" w:hAnsi="Arial" w:cs="Arial"/>
                <w:b/>
                <w:bCs/>
                <w:color w:val="000000"/>
                <w:sz w:val="16"/>
                <w:szCs w:val="16"/>
              </w:rPr>
              <w:t xml:space="preserve">33,807 </w:t>
            </w:r>
          </w:p>
        </w:tc>
      </w:tr>
      <w:tr w:rsidR="00BB47F0" w:rsidRPr="00BB47F0" w:rsidTr="00BB47F0">
        <w:trPr>
          <w:trHeight w:val="64"/>
        </w:trPr>
        <w:tc>
          <w:tcPr>
            <w:tcW w:w="5471" w:type="dxa"/>
            <w:tcBorders>
              <w:top w:val="nil"/>
              <w:left w:val="nil"/>
              <w:bottom w:val="nil"/>
              <w:right w:val="nil"/>
            </w:tcBorders>
            <w:shd w:val="clear" w:color="000000" w:fill="FFFFFF"/>
            <w:vAlign w:val="bottom"/>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w:t>
            </w:r>
          </w:p>
        </w:tc>
        <w:tc>
          <w:tcPr>
            <w:tcW w:w="1134" w:type="dxa"/>
            <w:tcBorders>
              <w:top w:val="nil"/>
              <w:left w:val="nil"/>
              <w:bottom w:val="nil"/>
              <w:right w:val="nil"/>
            </w:tcBorders>
            <w:shd w:val="clear" w:color="000000" w:fill="FFFFFF"/>
            <w:vAlign w:val="bottom"/>
            <w:hideMark/>
          </w:tcPr>
          <w:p w:rsidR="00BB47F0" w:rsidRPr="00BB47F0" w:rsidRDefault="00BB47F0" w:rsidP="00BB47F0">
            <w:pPr>
              <w:spacing w:after="0" w:line="240" w:lineRule="auto"/>
              <w:rPr>
                <w:rFonts w:ascii="Arial" w:hAnsi="Arial" w:cs="Arial"/>
                <w:i/>
                <w:iCs/>
                <w:color w:val="000000"/>
                <w:sz w:val="16"/>
                <w:szCs w:val="16"/>
              </w:rPr>
            </w:pPr>
            <w:r w:rsidRPr="00BB47F0">
              <w:rPr>
                <w:rFonts w:ascii="Arial" w:hAnsi="Arial" w:cs="Arial"/>
                <w:i/>
                <w:iCs/>
                <w:color w:val="000000"/>
                <w:sz w:val="16"/>
                <w:szCs w:val="16"/>
              </w:rPr>
              <w:t> </w:t>
            </w:r>
          </w:p>
        </w:tc>
        <w:tc>
          <w:tcPr>
            <w:tcW w:w="1134" w:type="dxa"/>
            <w:tcBorders>
              <w:top w:val="nil"/>
              <w:left w:val="nil"/>
              <w:bottom w:val="nil"/>
              <w:right w:val="nil"/>
            </w:tcBorders>
            <w:shd w:val="clear" w:color="000000" w:fill="FFFFFF"/>
            <w:vAlign w:val="bottom"/>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w:t>
            </w:r>
          </w:p>
        </w:tc>
      </w:tr>
      <w:tr w:rsidR="00BB47F0" w:rsidRPr="00BB47F0" w:rsidTr="00BB47F0">
        <w:trPr>
          <w:trHeight w:val="225"/>
        </w:trPr>
        <w:tc>
          <w:tcPr>
            <w:tcW w:w="5471" w:type="dxa"/>
            <w:tcBorders>
              <w:top w:val="single" w:sz="4" w:space="0" w:color="auto"/>
              <w:left w:val="nil"/>
              <w:bottom w:val="nil"/>
              <w:right w:val="nil"/>
            </w:tcBorders>
            <w:shd w:val="clear" w:color="000000" w:fill="FFFFFF"/>
            <w:vAlign w:val="bottom"/>
            <w:hideMark/>
          </w:tcPr>
          <w:p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000000" w:fill="FFFFFF"/>
            <w:vAlign w:val="center"/>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2017–18</w:t>
            </w:r>
          </w:p>
        </w:tc>
        <w:tc>
          <w:tcPr>
            <w:tcW w:w="1134" w:type="dxa"/>
            <w:tcBorders>
              <w:top w:val="single" w:sz="4" w:space="0" w:color="auto"/>
              <w:left w:val="nil"/>
              <w:bottom w:val="single" w:sz="4" w:space="0" w:color="auto"/>
              <w:right w:val="nil"/>
            </w:tcBorders>
            <w:shd w:val="clear" w:color="000000" w:fill="E6E6E6"/>
            <w:vAlign w:val="center"/>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2018–19</w:t>
            </w:r>
          </w:p>
        </w:tc>
      </w:tr>
      <w:tr w:rsidR="00BB47F0" w:rsidRPr="00BB47F0" w:rsidTr="00BB47F0">
        <w:trPr>
          <w:trHeight w:val="225"/>
        </w:trPr>
        <w:tc>
          <w:tcPr>
            <w:tcW w:w="5471" w:type="dxa"/>
            <w:tcBorders>
              <w:top w:val="nil"/>
              <w:left w:val="nil"/>
              <w:bottom w:val="single" w:sz="4" w:space="0" w:color="auto"/>
              <w:right w:val="nil"/>
            </w:tcBorders>
            <w:shd w:val="clear" w:color="000000" w:fill="FFFFFF"/>
            <w:vAlign w:val="bottom"/>
            <w:hideMark/>
          </w:tcPr>
          <w:p w:rsidR="00BB47F0" w:rsidRPr="00BB47F0" w:rsidRDefault="00BB47F0" w:rsidP="00BB47F0">
            <w:pPr>
              <w:spacing w:after="0" w:line="240" w:lineRule="auto"/>
              <w:rPr>
                <w:rFonts w:ascii="Arial" w:hAnsi="Arial" w:cs="Arial"/>
                <w:b/>
                <w:bCs/>
                <w:color w:val="000000"/>
                <w:sz w:val="16"/>
                <w:szCs w:val="16"/>
              </w:rPr>
            </w:pPr>
            <w:r w:rsidRPr="00BB47F0">
              <w:rPr>
                <w:rFonts w:ascii="Arial" w:hAnsi="Arial" w:cs="Arial"/>
                <w:b/>
                <w:bCs/>
                <w:color w:val="000000"/>
                <w:sz w:val="16"/>
                <w:szCs w:val="16"/>
              </w:rPr>
              <w:t>Average staffing level (number)</w:t>
            </w:r>
          </w:p>
        </w:tc>
        <w:tc>
          <w:tcPr>
            <w:tcW w:w="1134" w:type="dxa"/>
            <w:tcBorders>
              <w:top w:val="nil"/>
              <w:left w:val="nil"/>
              <w:bottom w:val="single" w:sz="4" w:space="0" w:color="auto"/>
              <w:right w:val="nil"/>
            </w:tcBorders>
            <w:shd w:val="clear" w:color="000000" w:fill="FFFFFF"/>
            <w:vAlign w:val="bottom"/>
            <w:hideMark/>
          </w:tcPr>
          <w:p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96 </w:t>
            </w:r>
          </w:p>
        </w:tc>
        <w:tc>
          <w:tcPr>
            <w:tcW w:w="1134" w:type="dxa"/>
            <w:tcBorders>
              <w:top w:val="nil"/>
              <w:left w:val="nil"/>
              <w:bottom w:val="single" w:sz="4" w:space="0" w:color="auto"/>
              <w:right w:val="nil"/>
            </w:tcBorders>
            <w:shd w:val="clear" w:color="000000" w:fill="E6E6E6"/>
            <w:vAlign w:val="bottom"/>
            <w:hideMark/>
          </w:tcPr>
          <w:p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101 </w:t>
            </w:r>
          </w:p>
        </w:tc>
      </w:tr>
    </w:tbl>
    <w:p w:rsidR="00953A2D" w:rsidRDefault="00953A2D" w:rsidP="00953A2D">
      <w:pPr>
        <w:pStyle w:val="ChartandTableFootnote"/>
        <w:spacing w:before="60" w:after="60"/>
      </w:pPr>
      <w:r>
        <w:t>Prepared on a resourcing (</w:t>
      </w:r>
      <w:r>
        <w:rPr>
          <w:lang w:val="en-AU"/>
        </w:rPr>
        <w:t>that is,</w:t>
      </w:r>
      <w:r>
        <w:t xml:space="preserve"> appropriations available) basis.</w:t>
      </w:r>
    </w:p>
    <w:p w:rsidR="00953A2D" w:rsidRPr="00831489" w:rsidRDefault="00953A2D" w:rsidP="00953A2D">
      <w:pPr>
        <w:pStyle w:val="ChartandTableFootnote"/>
        <w:spacing w:before="60" w:after="60"/>
        <w:rPr>
          <w:lang w:val="en-AU"/>
        </w:rPr>
      </w:pPr>
      <w:r w:rsidRPr="008D3E19">
        <w:rPr>
          <w:u w:val="single"/>
        </w:rPr>
        <w:t>Please note</w:t>
      </w:r>
      <w:r>
        <w:t>: All figures shown above are GST exclusive</w:t>
      </w:r>
      <w:r>
        <w:rPr>
          <w:lang w:val="en-AU"/>
        </w:rPr>
        <w:t>—</w:t>
      </w:r>
      <w:r>
        <w:t>these may not match figures in the cash flow statement.</w:t>
      </w:r>
    </w:p>
    <w:p w:rsidR="00953A2D" w:rsidRPr="00953A2D" w:rsidRDefault="00953A2D" w:rsidP="00E01B4E">
      <w:pPr>
        <w:pStyle w:val="ChartandTableFootnoteAlpha"/>
        <w:numPr>
          <w:ilvl w:val="0"/>
          <w:numId w:val="51"/>
        </w:numPr>
        <w:spacing w:before="60"/>
      </w:pPr>
      <w:r w:rsidRPr="00953A2D">
        <w:t>Appropriation Bill (No.1) 2018–19.</w:t>
      </w:r>
    </w:p>
    <w:p w:rsidR="00953A2D" w:rsidRPr="00953A2D" w:rsidRDefault="00953A2D" w:rsidP="00953A2D">
      <w:pPr>
        <w:pStyle w:val="ChartandTableFootnoteAlpha"/>
      </w:pPr>
      <w:r w:rsidRPr="00953A2D">
        <w:t xml:space="preserve">Excludes </w:t>
      </w:r>
      <w:r w:rsidR="00672459">
        <w:rPr>
          <w:lang w:val="en-AU"/>
        </w:rPr>
        <w:t>Departmental</w:t>
      </w:r>
      <w:r w:rsidRPr="00953A2D">
        <w:t xml:space="preserve"> </w:t>
      </w:r>
      <w:r w:rsidR="00672459">
        <w:rPr>
          <w:lang w:val="en-AU"/>
        </w:rPr>
        <w:t>Capital</w:t>
      </w:r>
      <w:r w:rsidRPr="00953A2D">
        <w:t xml:space="preserve"> </w:t>
      </w:r>
      <w:r w:rsidR="00672459">
        <w:rPr>
          <w:lang w:val="en-AU"/>
        </w:rPr>
        <w:t>Budget</w:t>
      </w:r>
      <w:r w:rsidRPr="00953A2D">
        <w:t xml:space="preserve"> (DCB).</w:t>
      </w:r>
    </w:p>
    <w:p w:rsidR="00953A2D" w:rsidRPr="00953A2D" w:rsidRDefault="00672459" w:rsidP="00953A2D">
      <w:pPr>
        <w:pStyle w:val="ChartandTableFootnoteAlpha"/>
      </w:pPr>
      <w:r>
        <w:rPr>
          <w:lang w:val="en-AU"/>
        </w:rPr>
        <w:t>DCBs</w:t>
      </w:r>
      <w:r w:rsidR="00953A2D" w:rsidRPr="00953A2D">
        <w:t xml:space="preserve"> are not separately identified in Appropriation Bill (No.1) and form part of ordinary annual services items. Please refer to Table 3.5 for further details. For accounting purposes, this amount has been designated as a 'contribution by owner’.</w:t>
      </w:r>
    </w:p>
    <w:p w:rsidR="00953A2D" w:rsidRDefault="00953A2D" w:rsidP="00953A2D">
      <w:pPr>
        <w:pStyle w:val="ChartandTableFootnoteAlpha"/>
      </w:pPr>
      <w:r w:rsidRPr="00953A2D">
        <w:t>Excludes trust money and ‘other CRF money’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4—Agency Resourcing. Please also see Table 2.1 for further</w:t>
      </w:r>
      <w:r>
        <w:t xml:space="preserve"> information on outcome and program expenses broken down by various funding sources, for example, annual appropriations, special appropriations and special accounts.</w:t>
      </w:r>
    </w:p>
    <w:p w:rsidR="00BB47F0" w:rsidRDefault="00953A2D" w:rsidP="00BB47F0">
      <w:pPr>
        <w:pStyle w:val="ChartandTableFootnoteAlpha"/>
      </w:pPr>
      <w:r>
        <w:t>Amounts credited to the special account from Safe Work Australia’s annual appropriation.</w:t>
      </w:r>
    </w:p>
    <w:p w:rsidR="00953A2D" w:rsidRPr="005A7C0B" w:rsidRDefault="00BB47F0" w:rsidP="00953A2D">
      <w:pPr>
        <w:pStyle w:val="Heading3"/>
        <w:spacing w:before="0"/>
      </w:pPr>
      <w:r>
        <w:br w:type="page"/>
      </w:r>
      <w:bookmarkStart w:id="553" w:name="_Toc511656302"/>
      <w:bookmarkStart w:id="554" w:name="_Toc511722675"/>
      <w:bookmarkStart w:id="555" w:name="_Toc511737007"/>
      <w:bookmarkStart w:id="556" w:name="_Toc511747269"/>
      <w:bookmarkStart w:id="557" w:name="_Toc511765673"/>
      <w:bookmarkStart w:id="558" w:name="_Toc511828729"/>
      <w:bookmarkStart w:id="559" w:name="_Toc511836868"/>
      <w:bookmarkStart w:id="560" w:name="_Toc511902574"/>
      <w:r w:rsidR="00953A2D" w:rsidRPr="005A7C0B">
        <w:lastRenderedPageBreak/>
        <w:t>1.3</w:t>
      </w:r>
      <w:r w:rsidR="00953A2D" w:rsidRPr="005A7C0B">
        <w:tab/>
        <w:t>Budget measures</w:t>
      </w:r>
      <w:bookmarkEnd w:id="553"/>
      <w:bookmarkEnd w:id="554"/>
      <w:bookmarkEnd w:id="555"/>
      <w:bookmarkEnd w:id="556"/>
      <w:bookmarkEnd w:id="557"/>
      <w:bookmarkEnd w:id="558"/>
      <w:bookmarkEnd w:id="559"/>
      <w:bookmarkEnd w:id="560"/>
    </w:p>
    <w:p w:rsidR="00953A2D" w:rsidRDefault="00953A2D" w:rsidP="00953A2D">
      <w:r w:rsidRPr="00DC32EC">
        <w:t xml:space="preserve">Budget measures </w:t>
      </w:r>
      <w:r>
        <w:t xml:space="preserve">in Part 1 </w:t>
      </w:r>
      <w:r w:rsidRPr="00DC32EC">
        <w:t>relating to</w:t>
      </w:r>
      <w:r>
        <w:t xml:space="preserve"> Safe Work Australia</w:t>
      </w:r>
      <w:r w:rsidRPr="00DC32EC">
        <w:t xml:space="preserve"> a</w:t>
      </w:r>
      <w:r>
        <w:t>re detailed in Budget Paper No. </w:t>
      </w:r>
      <w:r w:rsidRPr="00DC32EC">
        <w:t>2</w:t>
      </w:r>
      <w:r>
        <w:t xml:space="preserve"> and are summarised below.</w:t>
      </w:r>
    </w:p>
    <w:p w:rsidR="00953A2D" w:rsidRPr="009A40DD" w:rsidRDefault="00953A2D" w:rsidP="00953A2D">
      <w:pPr>
        <w:pStyle w:val="TableHeading"/>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rsidR="00953A2D" w:rsidRDefault="00953A2D" w:rsidP="00953A2D">
      <w:r>
        <w:t xml:space="preserve">Safe Work Australia does not have any new measures since the 2017–18 MYEFO, or any other measures not previously reported in a portfolio statement. For this reason, Table 1.2 is not presented. </w:t>
      </w:r>
    </w:p>
    <w:p w:rsidR="007F0E49" w:rsidRPr="00810C6A" w:rsidRDefault="00953A2D" w:rsidP="007F0E49">
      <w:pPr>
        <w:pStyle w:val="Heading2"/>
      </w:pPr>
      <w:r>
        <w:br w:type="page"/>
      </w:r>
      <w:bookmarkStart w:id="561" w:name="_Toc511656303"/>
      <w:bookmarkStart w:id="562" w:name="_Toc511722676"/>
      <w:bookmarkStart w:id="563" w:name="_Toc511737008"/>
      <w:bookmarkStart w:id="564" w:name="_Toc511747270"/>
      <w:bookmarkStart w:id="565" w:name="_Toc511765674"/>
      <w:bookmarkStart w:id="566" w:name="_Toc511828730"/>
      <w:bookmarkStart w:id="567" w:name="_Toc511836869"/>
      <w:bookmarkStart w:id="568" w:name="_Toc511902575"/>
      <w:r w:rsidR="007F0E49" w:rsidRPr="00810C6A">
        <w:lastRenderedPageBreak/>
        <w:t>Section 2: Outcomes and planned performance</w:t>
      </w:r>
      <w:bookmarkEnd w:id="561"/>
      <w:bookmarkEnd w:id="562"/>
      <w:bookmarkEnd w:id="563"/>
      <w:bookmarkEnd w:id="564"/>
      <w:bookmarkEnd w:id="565"/>
      <w:bookmarkEnd w:id="566"/>
      <w:bookmarkEnd w:id="567"/>
      <w:bookmarkEnd w:id="568"/>
    </w:p>
    <w:p w:rsidR="007F0E49" w:rsidRPr="005E6F2B" w:rsidRDefault="007F0E49" w:rsidP="007F0E49">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7F0E49" w:rsidRPr="005E6F2B" w:rsidRDefault="007F0E49" w:rsidP="007F0E49">
      <w:r w:rsidRPr="005E6F2B">
        <w:t xml:space="preserve">Each outcome is described below together with its related programs. The following provides detailed information on expenses for each outcome and program, further broken down by funding source. </w:t>
      </w:r>
    </w:p>
    <w:p w:rsidR="007F0E49" w:rsidRPr="006906E4" w:rsidRDefault="007F0E49" w:rsidP="007F0E49">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7F0E49" w:rsidRDefault="007F0E49" w:rsidP="007F0E49">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7F0E49" w:rsidRDefault="007F0E49" w:rsidP="007F0E49">
      <w:pPr>
        <w:pBdr>
          <w:top w:val="single" w:sz="2" w:space="6" w:color="auto"/>
          <w:left w:val="single" w:sz="2" w:space="4" w:color="auto"/>
          <w:bottom w:val="single" w:sz="2" w:space="6" w:color="auto"/>
          <w:right w:val="single" w:sz="2" w:space="4" w:color="auto"/>
        </w:pBdr>
      </w:pPr>
      <w:r>
        <w:t xml:space="preserve">The most recent corporate plan for Safe Work Australia can be found at: </w:t>
      </w:r>
      <w:hyperlink r:id="rId141" w:history="1">
        <w:r>
          <w:rPr>
            <w:rStyle w:val="Hyperlink"/>
          </w:rPr>
          <w:t>https://www.safeworkaustralia.gov.au/about-us/corporate-plan</w:t>
        </w:r>
      </w:hyperlink>
    </w:p>
    <w:p w:rsidR="007F0E49" w:rsidRDefault="007F0E49" w:rsidP="007F0E49">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42" w:history="1">
        <w:r>
          <w:rPr>
            <w:rStyle w:val="Hyperlink"/>
          </w:rPr>
          <w:t>https://www.safeworkaustralia.gov.au/book/safe-work-australia-annual-report-2016-17</w:t>
        </w:r>
      </w:hyperlink>
      <w:r>
        <w:t>.</w:t>
      </w:r>
    </w:p>
    <w:p w:rsidR="007F0E49" w:rsidRPr="00F743D8" w:rsidRDefault="007F0E49" w:rsidP="007F0E49">
      <w:pPr>
        <w:pStyle w:val="Heading3"/>
      </w:pPr>
      <w:r>
        <w:rPr>
          <w:highlight w:val="yellow"/>
        </w:rPr>
        <w:br w:type="page"/>
      </w:r>
      <w:bookmarkStart w:id="569" w:name="_Toc511656304"/>
      <w:bookmarkStart w:id="570" w:name="_Toc511722677"/>
      <w:bookmarkStart w:id="571" w:name="_Toc511737009"/>
      <w:bookmarkStart w:id="572" w:name="_Toc511747271"/>
      <w:bookmarkStart w:id="573" w:name="_Toc511765675"/>
      <w:bookmarkStart w:id="574" w:name="_Toc511828731"/>
      <w:bookmarkStart w:id="575" w:name="_Toc511836870"/>
      <w:bookmarkStart w:id="576" w:name="_Toc511902576"/>
      <w:r>
        <w:lastRenderedPageBreak/>
        <w:t>2.1</w:t>
      </w:r>
      <w:r w:rsidRPr="00F743D8">
        <w:t xml:space="preserve"> </w:t>
      </w:r>
      <w:r w:rsidRPr="00F743D8">
        <w:tab/>
        <w:t xml:space="preserve">Budgeted expenses and performance for Outcome </w:t>
      </w:r>
      <w:bookmarkEnd w:id="569"/>
      <w:bookmarkEnd w:id="570"/>
      <w:bookmarkEnd w:id="571"/>
      <w:bookmarkEnd w:id="572"/>
      <w:bookmarkEnd w:id="573"/>
      <w:bookmarkEnd w:id="574"/>
      <w:r w:rsidR="00F56B36">
        <w:t>1</w:t>
      </w:r>
      <w:bookmarkEnd w:id="575"/>
      <w:bookmarkEnd w:id="576"/>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7F0E49" w:rsidRPr="005E6F2B" w:rsidTr="007F0E49">
        <w:tc>
          <w:tcPr>
            <w:tcW w:w="7713" w:type="dxa"/>
            <w:shd w:val="clear" w:color="auto" w:fill="E6E6E6"/>
          </w:tcPr>
          <w:p w:rsidR="007F0E49" w:rsidRPr="005E6F2B" w:rsidRDefault="007F0E49" w:rsidP="007C75DF">
            <w:pPr>
              <w:pStyle w:val="TableColumnHeadingLeft"/>
            </w:pPr>
            <w:r w:rsidRPr="005E6F2B">
              <w:t xml:space="preserve">Outcome </w:t>
            </w:r>
            <w:r w:rsidR="007C75DF">
              <w:t>1: Healthier, safer and more productive workplaces through improvements to Australian work health and safety and workers’ compensation arrangements.</w:t>
            </w:r>
          </w:p>
        </w:tc>
      </w:tr>
    </w:tbl>
    <w:p w:rsidR="007F0E49" w:rsidRPr="00446612" w:rsidRDefault="007C75DF" w:rsidP="007C75DF">
      <w:pPr>
        <w:pStyle w:val="Heading4"/>
        <w:spacing w:before="240"/>
      </w:pPr>
      <w:r>
        <w:t>Budgeted expenses for Outcome 1</w:t>
      </w:r>
    </w:p>
    <w:p w:rsidR="007F0E49" w:rsidRDefault="007F0E49" w:rsidP="007F0E49">
      <w:r w:rsidRPr="00950281">
        <w:t>This table shows how much the entity intends to spend (on an accrual basis) on achieving the outcome, broken down by program, as well as by Administered an</w:t>
      </w:r>
      <w:r>
        <w:t>d Departmental funding sources.</w:t>
      </w:r>
    </w:p>
    <w:p w:rsidR="007F0E49" w:rsidRPr="007C75DF" w:rsidRDefault="007C75DF" w:rsidP="007F0E49">
      <w:pPr>
        <w:pStyle w:val="TableHeading"/>
        <w:rPr>
          <w:lang w:val="en-AU"/>
        </w:rPr>
      </w:pPr>
      <w:r>
        <w:t>Table 2.</w:t>
      </w:r>
      <w:r>
        <w:rPr>
          <w:lang w:val="en-AU"/>
        </w:rPr>
        <w:t>1</w:t>
      </w:r>
      <w:r w:rsidR="007F0E49">
        <w:t>.1:</w:t>
      </w:r>
      <w:r>
        <w:t xml:space="preserve"> Budgeted expenses for Outcome </w:t>
      </w:r>
      <w:r>
        <w:rPr>
          <w:lang w:val="en-AU"/>
        </w:rPr>
        <w:t>1</w:t>
      </w:r>
    </w:p>
    <w:tbl>
      <w:tblPr>
        <w:tblW w:w="7739" w:type="dxa"/>
        <w:tblInd w:w="93" w:type="dxa"/>
        <w:tblLook w:val="04A0" w:firstRow="1" w:lastRow="0" w:firstColumn="1" w:lastColumn="0" w:noHBand="0" w:noVBand="1"/>
      </w:tblPr>
      <w:tblGrid>
        <w:gridCol w:w="3146"/>
        <w:gridCol w:w="964"/>
        <w:gridCol w:w="907"/>
        <w:gridCol w:w="907"/>
        <w:gridCol w:w="907"/>
        <w:gridCol w:w="908"/>
      </w:tblGrid>
      <w:tr w:rsidR="007C75DF" w:rsidRPr="007C75DF" w:rsidTr="007C75DF">
        <w:trPr>
          <w:trHeight w:val="454"/>
        </w:trPr>
        <w:tc>
          <w:tcPr>
            <w:tcW w:w="7739" w:type="dxa"/>
            <w:gridSpan w:val="6"/>
            <w:tcBorders>
              <w:top w:val="single" w:sz="4" w:space="0" w:color="auto"/>
              <w:left w:val="nil"/>
              <w:bottom w:val="nil"/>
              <w:right w:val="nil"/>
            </w:tcBorders>
            <w:shd w:val="clear" w:color="auto" w:fill="auto"/>
            <w:vAlign w:val="center"/>
            <w:hideMark/>
          </w:tcPr>
          <w:p w:rsidR="007C75DF" w:rsidRPr="007C75DF" w:rsidRDefault="007C75DF" w:rsidP="007C75DF">
            <w:pPr>
              <w:spacing w:after="0" w:line="240" w:lineRule="auto"/>
              <w:rPr>
                <w:rFonts w:ascii="Arial" w:hAnsi="Arial" w:cs="Arial"/>
                <w:b/>
                <w:bCs/>
                <w:sz w:val="16"/>
                <w:szCs w:val="16"/>
              </w:rPr>
            </w:pPr>
            <w:r w:rsidRPr="007C75DF">
              <w:rPr>
                <w:rFonts w:ascii="Arial" w:hAnsi="Arial" w:cs="Arial"/>
                <w:b/>
                <w:bCs/>
                <w:sz w:val="16"/>
                <w:szCs w:val="16"/>
              </w:rPr>
              <w:t>Outcome 1: Healthier, safer and more productive workplaces through improvements to Australian work health and safety and workers' compensation arrangements.</w:t>
            </w:r>
          </w:p>
        </w:tc>
      </w:tr>
      <w:tr w:rsidR="007C75DF" w:rsidRPr="007C75DF" w:rsidTr="0027427B">
        <w:trPr>
          <w:trHeight w:val="794"/>
        </w:trPr>
        <w:tc>
          <w:tcPr>
            <w:tcW w:w="3146" w:type="dxa"/>
            <w:tcBorders>
              <w:top w:val="single" w:sz="4" w:space="0" w:color="auto"/>
              <w:left w:val="nil"/>
              <w:bottom w:val="single" w:sz="4" w:space="0" w:color="auto"/>
              <w:right w:val="nil"/>
            </w:tcBorders>
            <w:shd w:val="clear" w:color="auto" w:fill="auto"/>
            <w:vAlign w:val="center"/>
            <w:hideMark/>
          </w:tcPr>
          <w:p w:rsidR="007C75DF" w:rsidRPr="007C75DF" w:rsidRDefault="007C75DF" w:rsidP="007C75DF">
            <w:pPr>
              <w:spacing w:after="0" w:line="240" w:lineRule="auto"/>
              <w:rPr>
                <w:rFonts w:ascii="Arial" w:hAnsi="Arial" w:cs="Arial"/>
                <w:b/>
                <w:bCs/>
                <w:color w:val="000000"/>
                <w:sz w:val="16"/>
                <w:szCs w:val="16"/>
              </w:rPr>
            </w:pPr>
            <w:r w:rsidRPr="007C75DF">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2017–18 Estimated actual</w:t>
            </w:r>
            <w:r w:rsidRPr="007C75D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2018–19</w:t>
            </w:r>
            <w:r w:rsidRPr="007C75DF">
              <w:rPr>
                <w:rFonts w:ascii="Arial" w:hAnsi="Arial" w:cs="Arial"/>
                <w:sz w:val="16"/>
                <w:szCs w:val="16"/>
              </w:rPr>
              <w:br/>
              <w:t>Budget</w:t>
            </w:r>
            <w:r w:rsidRPr="007C75DF">
              <w:rPr>
                <w:rFonts w:ascii="Arial" w:hAnsi="Arial" w:cs="Arial"/>
                <w:sz w:val="16"/>
                <w:szCs w:val="16"/>
              </w:rPr>
              <w:br/>
            </w:r>
            <w:r w:rsidRPr="007C75D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2019–20 Forward estimate</w:t>
            </w:r>
            <w:r w:rsidRPr="007C75D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2020–21 Forward estimate</w:t>
            </w:r>
            <w:r w:rsidRPr="007C75DF">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2021–22</w:t>
            </w:r>
            <w:r w:rsidRPr="007C75DF">
              <w:rPr>
                <w:rFonts w:ascii="Arial" w:hAnsi="Arial" w:cs="Arial"/>
                <w:sz w:val="16"/>
                <w:szCs w:val="16"/>
              </w:rPr>
              <w:br/>
              <w:t>Forward estimate</w:t>
            </w:r>
            <w:r w:rsidRPr="007C75DF">
              <w:rPr>
                <w:rFonts w:ascii="Arial" w:hAnsi="Arial" w:cs="Arial"/>
                <w:sz w:val="16"/>
                <w:szCs w:val="16"/>
              </w:rPr>
              <w:br/>
              <w:t>$'000</w:t>
            </w:r>
          </w:p>
        </w:tc>
      </w:tr>
      <w:tr w:rsidR="007C75DF" w:rsidRPr="007C75DF" w:rsidTr="0027427B">
        <w:trPr>
          <w:trHeight w:val="454"/>
        </w:trPr>
        <w:tc>
          <w:tcPr>
            <w:tcW w:w="7739" w:type="dxa"/>
            <w:gridSpan w:val="6"/>
            <w:tcBorders>
              <w:top w:val="single" w:sz="4" w:space="0" w:color="auto"/>
              <w:left w:val="nil"/>
              <w:bottom w:val="single" w:sz="4" w:space="0" w:color="auto"/>
              <w:right w:val="nil"/>
            </w:tcBorders>
            <w:shd w:val="clear" w:color="000000" w:fill="E6E6E6"/>
            <w:vAlign w:val="center"/>
            <w:hideMark/>
          </w:tcPr>
          <w:p w:rsidR="007C75DF" w:rsidRPr="007C75DF" w:rsidRDefault="007C75DF" w:rsidP="007C75DF">
            <w:pPr>
              <w:spacing w:after="0" w:line="240" w:lineRule="auto"/>
              <w:rPr>
                <w:rFonts w:ascii="Arial" w:hAnsi="Arial" w:cs="Arial"/>
                <w:b/>
                <w:bCs/>
                <w:sz w:val="16"/>
                <w:szCs w:val="16"/>
              </w:rPr>
            </w:pPr>
            <w:r w:rsidRPr="007C75DF">
              <w:rPr>
                <w:rFonts w:ascii="Arial" w:hAnsi="Arial" w:cs="Arial"/>
                <w:b/>
                <w:bCs/>
                <w:sz w:val="16"/>
                <w:szCs w:val="16"/>
              </w:rPr>
              <w:t>Program 1.1: Reform of and improvements to Australian work health and safety and workers' compensation arrangements.</w:t>
            </w:r>
          </w:p>
        </w:tc>
      </w:tr>
      <w:tr w:rsidR="007C75DF" w:rsidRPr="007C75DF" w:rsidTr="0027427B">
        <w:trPr>
          <w:trHeight w:val="225"/>
        </w:trPr>
        <w:tc>
          <w:tcPr>
            <w:tcW w:w="3146" w:type="dxa"/>
            <w:tcBorders>
              <w:top w:val="single" w:sz="4" w:space="0" w:color="auto"/>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sz w:val="16"/>
                <w:szCs w:val="16"/>
              </w:rPr>
            </w:pPr>
            <w:r w:rsidRPr="007C75DF">
              <w:rPr>
                <w:rFonts w:ascii="Arial" w:hAnsi="Arial" w:cs="Arial"/>
                <w:sz w:val="16"/>
                <w:szCs w:val="16"/>
              </w:rPr>
              <w:t>Departmental expenses</w:t>
            </w:r>
          </w:p>
        </w:tc>
        <w:tc>
          <w:tcPr>
            <w:tcW w:w="964" w:type="dxa"/>
            <w:tcBorders>
              <w:top w:val="single" w:sz="4" w:space="0" w:color="auto"/>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p>
        </w:tc>
        <w:tc>
          <w:tcPr>
            <w:tcW w:w="907" w:type="dxa"/>
            <w:tcBorders>
              <w:top w:val="single" w:sz="4" w:space="0" w:color="auto"/>
              <w:left w:val="nil"/>
              <w:bottom w:val="nil"/>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w:t>
            </w:r>
          </w:p>
        </w:tc>
        <w:tc>
          <w:tcPr>
            <w:tcW w:w="907" w:type="dxa"/>
            <w:tcBorders>
              <w:top w:val="single" w:sz="4" w:space="0" w:color="auto"/>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p>
        </w:tc>
        <w:tc>
          <w:tcPr>
            <w:tcW w:w="907" w:type="dxa"/>
            <w:tcBorders>
              <w:top w:val="single" w:sz="4" w:space="0" w:color="auto"/>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p>
        </w:tc>
        <w:tc>
          <w:tcPr>
            <w:tcW w:w="908" w:type="dxa"/>
            <w:tcBorders>
              <w:top w:val="single" w:sz="4" w:space="0" w:color="auto"/>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p>
        </w:tc>
      </w:tr>
      <w:tr w:rsidR="007C75DF" w:rsidRPr="007C75DF" w:rsidTr="007C75DF">
        <w:trPr>
          <w:trHeight w:val="225"/>
        </w:trPr>
        <w:tc>
          <w:tcPr>
            <w:tcW w:w="3146"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ind w:firstLineChars="100" w:firstLine="160"/>
              <w:rPr>
                <w:rFonts w:ascii="Arial" w:hAnsi="Arial" w:cs="Arial"/>
                <w:sz w:val="16"/>
                <w:szCs w:val="16"/>
              </w:rPr>
            </w:pPr>
            <w:r w:rsidRPr="007C75DF">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10,007 </w:t>
            </w:r>
          </w:p>
        </w:tc>
        <w:tc>
          <w:tcPr>
            <w:tcW w:w="907" w:type="dxa"/>
            <w:tcBorders>
              <w:top w:val="nil"/>
              <w:left w:val="nil"/>
              <w:bottom w:val="nil"/>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10,231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10,509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10,743 </w:t>
            </w:r>
          </w:p>
        </w:tc>
        <w:tc>
          <w:tcPr>
            <w:tcW w:w="908"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11,012 </w:t>
            </w:r>
          </w:p>
        </w:tc>
      </w:tr>
      <w:tr w:rsidR="007C75DF" w:rsidRPr="007C75DF" w:rsidTr="007C75DF">
        <w:trPr>
          <w:trHeight w:val="225"/>
        </w:trPr>
        <w:tc>
          <w:tcPr>
            <w:tcW w:w="3146"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ind w:firstLineChars="100" w:firstLine="160"/>
              <w:rPr>
                <w:rFonts w:ascii="Arial" w:hAnsi="Arial" w:cs="Arial"/>
                <w:sz w:val="16"/>
                <w:szCs w:val="16"/>
              </w:rPr>
            </w:pPr>
            <w:r w:rsidRPr="007C75DF">
              <w:rPr>
                <w:rFonts w:ascii="Arial" w:hAnsi="Arial" w:cs="Arial"/>
                <w:sz w:val="16"/>
                <w:szCs w:val="16"/>
              </w:rPr>
              <w:t>Special accounts</w:t>
            </w:r>
          </w:p>
        </w:tc>
        <w:tc>
          <w:tcPr>
            <w:tcW w:w="964"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10,044 </w:t>
            </w:r>
          </w:p>
        </w:tc>
        <w:tc>
          <w:tcPr>
            <w:tcW w:w="907" w:type="dxa"/>
            <w:tcBorders>
              <w:top w:val="nil"/>
              <w:left w:val="nil"/>
              <w:bottom w:val="nil"/>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10,267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10,515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10,743 </w:t>
            </w:r>
          </w:p>
        </w:tc>
        <w:tc>
          <w:tcPr>
            <w:tcW w:w="908"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11,011 </w:t>
            </w:r>
          </w:p>
        </w:tc>
      </w:tr>
      <w:tr w:rsidR="007C75DF" w:rsidRPr="007C75DF" w:rsidTr="007C75DF">
        <w:trPr>
          <w:trHeight w:val="397"/>
        </w:trPr>
        <w:tc>
          <w:tcPr>
            <w:tcW w:w="3146" w:type="dxa"/>
            <w:tcBorders>
              <w:top w:val="nil"/>
              <w:left w:val="nil"/>
              <w:bottom w:val="nil"/>
              <w:right w:val="nil"/>
            </w:tcBorders>
            <w:shd w:val="clear" w:color="auto" w:fill="auto"/>
            <w:vAlign w:val="center"/>
            <w:hideMark/>
          </w:tcPr>
          <w:p w:rsidR="007C75DF" w:rsidRPr="007C75DF" w:rsidRDefault="007C75DF" w:rsidP="007C75DF">
            <w:pPr>
              <w:spacing w:after="0" w:line="240" w:lineRule="auto"/>
              <w:ind w:leftChars="80" w:left="333" w:hangingChars="108" w:hanging="173"/>
              <w:rPr>
                <w:rFonts w:ascii="Arial" w:hAnsi="Arial" w:cs="Arial"/>
                <w:sz w:val="16"/>
                <w:szCs w:val="16"/>
              </w:rPr>
            </w:pPr>
            <w:r w:rsidRPr="007C75DF">
              <w:rPr>
                <w:rFonts w:ascii="Arial" w:hAnsi="Arial" w:cs="Arial"/>
                <w:sz w:val="16"/>
                <w:szCs w:val="16"/>
              </w:rPr>
              <w:t>Expenses not requiring appropriation in the Budget year (a)</w:t>
            </w:r>
          </w:p>
        </w:tc>
        <w:tc>
          <w:tcPr>
            <w:tcW w:w="964"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644 </w:t>
            </w:r>
          </w:p>
        </w:tc>
        <w:tc>
          <w:tcPr>
            <w:tcW w:w="907" w:type="dxa"/>
            <w:tcBorders>
              <w:top w:val="nil"/>
              <w:left w:val="nil"/>
              <w:bottom w:val="nil"/>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650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664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680 </w:t>
            </w:r>
          </w:p>
        </w:tc>
        <w:tc>
          <w:tcPr>
            <w:tcW w:w="908"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702 </w:t>
            </w:r>
          </w:p>
        </w:tc>
      </w:tr>
      <w:tr w:rsidR="007C75DF" w:rsidRPr="007C75DF" w:rsidTr="007C75DF">
        <w:trPr>
          <w:trHeight w:val="225"/>
        </w:trPr>
        <w:tc>
          <w:tcPr>
            <w:tcW w:w="3146" w:type="dxa"/>
            <w:tcBorders>
              <w:top w:val="nil"/>
              <w:left w:val="nil"/>
              <w:bottom w:val="nil"/>
              <w:right w:val="nil"/>
            </w:tcBorders>
            <w:shd w:val="clear" w:color="auto" w:fill="auto"/>
            <w:vAlign w:val="center"/>
            <w:hideMark/>
          </w:tcPr>
          <w:p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20,695 </w:t>
            </w:r>
          </w:p>
        </w:tc>
        <w:tc>
          <w:tcPr>
            <w:tcW w:w="907" w:type="dxa"/>
            <w:tcBorders>
              <w:top w:val="single" w:sz="4" w:space="0" w:color="000000"/>
              <w:left w:val="nil"/>
              <w:bottom w:val="single" w:sz="4" w:space="0" w:color="000000"/>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21,148 </w:t>
            </w:r>
          </w:p>
        </w:tc>
        <w:tc>
          <w:tcPr>
            <w:tcW w:w="907" w:type="dxa"/>
            <w:tcBorders>
              <w:top w:val="single" w:sz="4" w:space="0" w:color="000000"/>
              <w:left w:val="nil"/>
              <w:bottom w:val="single" w:sz="4" w:space="0" w:color="000000"/>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21,688 </w:t>
            </w:r>
          </w:p>
        </w:tc>
        <w:tc>
          <w:tcPr>
            <w:tcW w:w="907" w:type="dxa"/>
            <w:tcBorders>
              <w:top w:val="single" w:sz="4" w:space="0" w:color="000000"/>
              <w:left w:val="nil"/>
              <w:bottom w:val="single" w:sz="4" w:space="0" w:color="000000"/>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22,166 </w:t>
            </w:r>
          </w:p>
        </w:tc>
        <w:tc>
          <w:tcPr>
            <w:tcW w:w="908" w:type="dxa"/>
            <w:tcBorders>
              <w:top w:val="single" w:sz="4" w:space="0" w:color="000000"/>
              <w:left w:val="nil"/>
              <w:bottom w:val="single" w:sz="4" w:space="0" w:color="000000"/>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22,725 </w:t>
            </w:r>
          </w:p>
        </w:tc>
      </w:tr>
      <w:tr w:rsidR="007C75DF" w:rsidRPr="007C75DF" w:rsidTr="007C75DF">
        <w:trPr>
          <w:trHeight w:val="225"/>
        </w:trPr>
        <w:tc>
          <w:tcPr>
            <w:tcW w:w="3146" w:type="dxa"/>
            <w:tcBorders>
              <w:top w:val="nil"/>
              <w:left w:val="nil"/>
              <w:bottom w:val="single" w:sz="4" w:space="0" w:color="000000"/>
              <w:right w:val="nil"/>
            </w:tcBorders>
            <w:shd w:val="clear" w:color="auto" w:fill="auto"/>
            <w:vAlign w:val="center"/>
            <w:hideMark/>
          </w:tcPr>
          <w:p w:rsidR="007C75DF" w:rsidRPr="007C75DF" w:rsidRDefault="007C75DF" w:rsidP="007C75DF">
            <w:pPr>
              <w:spacing w:after="0" w:line="240" w:lineRule="auto"/>
              <w:rPr>
                <w:rFonts w:ascii="Arial" w:hAnsi="Arial" w:cs="Arial"/>
                <w:b/>
                <w:bCs/>
                <w:sz w:val="16"/>
                <w:szCs w:val="16"/>
              </w:rPr>
            </w:pPr>
            <w:r w:rsidRPr="007C75DF">
              <w:rPr>
                <w:rFonts w:ascii="Arial" w:hAnsi="Arial" w:cs="Arial"/>
                <w:b/>
                <w:bCs/>
                <w:sz w:val="16"/>
                <w:szCs w:val="16"/>
              </w:rPr>
              <w:t>Total expenses for Program 1.1</w:t>
            </w:r>
          </w:p>
        </w:tc>
        <w:tc>
          <w:tcPr>
            <w:tcW w:w="964" w:type="dxa"/>
            <w:tcBorders>
              <w:top w:val="nil"/>
              <w:left w:val="nil"/>
              <w:bottom w:val="single" w:sz="4" w:space="0" w:color="000000"/>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b/>
                <w:bCs/>
                <w:color w:val="000000"/>
                <w:sz w:val="16"/>
                <w:szCs w:val="16"/>
              </w:rPr>
            </w:pPr>
            <w:r w:rsidRPr="007C75DF">
              <w:rPr>
                <w:rFonts w:ascii="Arial" w:hAnsi="Arial" w:cs="Arial"/>
                <w:b/>
                <w:bCs/>
                <w:color w:val="000000"/>
                <w:sz w:val="16"/>
                <w:szCs w:val="16"/>
              </w:rPr>
              <w:t xml:space="preserve">20,695 </w:t>
            </w:r>
          </w:p>
        </w:tc>
        <w:tc>
          <w:tcPr>
            <w:tcW w:w="907" w:type="dxa"/>
            <w:tcBorders>
              <w:top w:val="nil"/>
              <w:left w:val="nil"/>
              <w:bottom w:val="single" w:sz="4" w:space="0" w:color="000000"/>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b/>
                <w:bCs/>
                <w:color w:val="000000"/>
                <w:sz w:val="16"/>
                <w:szCs w:val="16"/>
              </w:rPr>
            </w:pPr>
            <w:r w:rsidRPr="007C75DF">
              <w:rPr>
                <w:rFonts w:ascii="Arial" w:hAnsi="Arial" w:cs="Arial"/>
                <w:b/>
                <w:bCs/>
                <w:color w:val="000000"/>
                <w:sz w:val="16"/>
                <w:szCs w:val="16"/>
              </w:rPr>
              <w:t xml:space="preserve">21,148 </w:t>
            </w:r>
          </w:p>
        </w:tc>
        <w:tc>
          <w:tcPr>
            <w:tcW w:w="907" w:type="dxa"/>
            <w:tcBorders>
              <w:top w:val="nil"/>
              <w:left w:val="nil"/>
              <w:bottom w:val="single" w:sz="4" w:space="0" w:color="000000"/>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21,688 </w:t>
            </w:r>
          </w:p>
        </w:tc>
        <w:tc>
          <w:tcPr>
            <w:tcW w:w="907" w:type="dxa"/>
            <w:tcBorders>
              <w:top w:val="nil"/>
              <w:left w:val="nil"/>
              <w:bottom w:val="single" w:sz="4" w:space="0" w:color="000000"/>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22,166 </w:t>
            </w:r>
          </w:p>
        </w:tc>
        <w:tc>
          <w:tcPr>
            <w:tcW w:w="908" w:type="dxa"/>
            <w:tcBorders>
              <w:top w:val="nil"/>
              <w:left w:val="nil"/>
              <w:bottom w:val="single" w:sz="4" w:space="0" w:color="000000"/>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22,725 </w:t>
            </w:r>
          </w:p>
        </w:tc>
      </w:tr>
      <w:tr w:rsidR="007C75DF" w:rsidRPr="007C75DF" w:rsidTr="007C75DF">
        <w:trPr>
          <w:trHeight w:val="225"/>
        </w:trPr>
        <w:tc>
          <w:tcPr>
            <w:tcW w:w="7739" w:type="dxa"/>
            <w:gridSpan w:val="6"/>
            <w:tcBorders>
              <w:top w:val="single" w:sz="4" w:space="0" w:color="auto"/>
              <w:left w:val="nil"/>
              <w:bottom w:val="single" w:sz="4" w:space="0" w:color="auto"/>
              <w:right w:val="nil"/>
            </w:tcBorders>
            <w:shd w:val="clear" w:color="000000" w:fill="E6E6E6"/>
            <w:vAlign w:val="center"/>
            <w:hideMark/>
          </w:tcPr>
          <w:p w:rsidR="007C75DF" w:rsidRPr="007C75DF" w:rsidRDefault="007C75DF" w:rsidP="007C75DF">
            <w:pPr>
              <w:spacing w:after="0" w:line="240" w:lineRule="auto"/>
              <w:rPr>
                <w:rFonts w:ascii="Arial" w:hAnsi="Arial" w:cs="Arial"/>
                <w:b/>
                <w:bCs/>
                <w:sz w:val="16"/>
                <w:szCs w:val="16"/>
              </w:rPr>
            </w:pPr>
            <w:r w:rsidRPr="007C75DF">
              <w:rPr>
                <w:rFonts w:ascii="Arial" w:hAnsi="Arial" w:cs="Arial"/>
                <w:b/>
                <w:bCs/>
                <w:sz w:val="16"/>
                <w:szCs w:val="16"/>
              </w:rPr>
              <w:t>Outcome 1 Totals by appropriation type</w:t>
            </w:r>
          </w:p>
        </w:tc>
      </w:tr>
      <w:tr w:rsidR="007C75DF" w:rsidRPr="007C75DF" w:rsidTr="007C75DF">
        <w:trPr>
          <w:trHeight w:val="225"/>
        </w:trPr>
        <w:tc>
          <w:tcPr>
            <w:tcW w:w="3146"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sz w:val="16"/>
                <w:szCs w:val="16"/>
              </w:rPr>
            </w:pPr>
            <w:r w:rsidRPr="007C75DF">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p>
        </w:tc>
      </w:tr>
      <w:tr w:rsidR="007C75DF" w:rsidRPr="007C75DF" w:rsidTr="007C75DF">
        <w:trPr>
          <w:trHeight w:val="225"/>
        </w:trPr>
        <w:tc>
          <w:tcPr>
            <w:tcW w:w="3146"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ind w:firstLineChars="100" w:firstLine="160"/>
              <w:rPr>
                <w:rFonts w:ascii="Arial" w:hAnsi="Arial" w:cs="Arial"/>
                <w:sz w:val="16"/>
                <w:szCs w:val="16"/>
              </w:rPr>
            </w:pPr>
            <w:r w:rsidRPr="007C75DF">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10,007 </w:t>
            </w:r>
          </w:p>
        </w:tc>
        <w:tc>
          <w:tcPr>
            <w:tcW w:w="907" w:type="dxa"/>
            <w:tcBorders>
              <w:top w:val="nil"/>
              <w:left w:val="nil"/>
              <w:bottom w:val="nil"/>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10,231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10,509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10,743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11,012 </w:t>
            </w:r>
          </w:p>
        </w:tc>
      </w:tr>
      <w:tr w:rsidR="007C75DF" w:rsidRPr="007C75DF" w:rsidTr="007C75DF">
        <w:trPr>
          <w:trHeight w:val="225"/>
        </w:trPr>
        <w:tc>
          <w:tcPr>
            <w:tcW w:w="3146"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ind w:firstLineChars="100" w:firstLine="160"/>
              <w:rPr>
                <w:rFonts w:ascii="Arial" w:hAnsi="Arial" w:cs="Arial"/>
                <w:sz w:val="16"/>
                <w:szCs w:val="16"/>
              </w:rPr>
            </w:pPr>
            <w:r w:rsidRPr="007C75DF">
              <w:rPr>
                <w:rFonts w:ascii="Arial" w:hAnsi="Arial" w:cs="Arial"/>
                <w:sz w:val="16"/>
                <w:szCs w:val="16"/>
              </w:rPr>
              <w:t>Special accounts</w:t>
            </w:r>
          </w:p>
        </w:tc>
        <w:tc>
          <w:tcPr>
            <w:tcW w:w="964"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10,044 </w:t>
            </w:r>
          </w:p>
        </w:tc>
        <w:tc>
          <w:tcPr>
            <w:tcW w:w="907" w:type="dxa"/>
            <w:tcBorders>
              <w:top w:val="nil"/>
              <w:left w:val="nil"/>
              <w:bottom w:val="nil"/>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10,267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10,515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10,743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11,011 </w:t>
            </w:r>
          </w:p>
        </w:tc>
      </w:tr>
      <w:tr w:rsidR="007C75DF" w:rsidRPr="007C75DF" w:rsidTr="007C75DF">
        <w:trPr>
          <w:trHeight w:val="397"/>
        </w:trPr>
        <w:tc>
          <w:tcPr>
            <w:tcW w:w="3146" w:type="dxa"/>
            <w:tcBorders>
              <w:top w:val="nil"/>
              <w:left w:val="nil"/>
              <w:bottom w:val="nil"/>
              <w:right w:val="nil"/>
            </w:tcBorders>
            <w:shd w:val="clear" w:color="auto" w:fill="auto"/>
            <w:vAlign w:val="center"/>
            <w:hideMark/>
          </w:tcPr>
          <w:p w:rsidR="007C75DF" w:rsidRPr="007C75DF" w:rsidRDefault="007C75DF" w:rsidP="007C75DF">
            <w:pPr>
              <w:spacing w:after="0" w:line="240" w:lineRule="auto"/>
              <w:ind w:leftChars="80" w:left="333" w:hangingChars="108" w:hanging="173"/>
              <w:rPr>
                <w:rFonts w:ascii="Arial" w:hAnsi="Arial" w:cs="Arial"/>
                <w:sz w:val="16"/>
                <w:szCs w:val="16"/>
              </w:rPr>
            </w:pPr>
            <w:r w:rsidRPr="007C75DF">
              <w:rPr>
                <w:rFonts w:ascii="Arial" w:hAnsi="Arial" w:cs="Arial"/>
                <w:sz w:val="16"/>
                <w:szCs w:val="16"/>
              </w:rPr>
              <w:t>Expenses not requiring appropriation in the Budget year (a)</w:t>
            </w:r>
          </w:p>
        </w:tc>
        <w:tc>
          <w:tcPr>
            <w:tcW w:w="964"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644 </w:t>
            </w:r>
          </w:p>
        </w:tc>
        <w:tc>
          <w:tcPr>
            <w:tcW w:w="907" w:type="dxa"/>
            <w:tcBorders>
              <w:top w:val="nil"/>
              <w:left w:val="nil"/>
              <w:bottom w:val="nil"/>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650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664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680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702 </w:t>
            </w:r>
          </w:p>
        </w:tc>
      </w:tr>
      <w:tr w:rsidR="007C75DF" w:rsidRPr="007C75DF" w:rsidTr="007C75DF">
        <w:trPr>
          <w:trHeight w:val="225"/>
        </w:trPr>
        <w:tc>
          <w:tcPr>
            <w:tcW w:w="3146" w:type="dxa"/>
            <w:tcBorders>
              <w:top w:val="nil"/>
              <w:left w:val="nil"/>
              <w:bottom w:val="nil"/>
              <w:right w:val="nil"/>
            </w:tcBorders>
            <w:shd w:val="clear" w:color="auto" w:fill="auto"/>
            <w:vAlign w:val="center"/>
            <w:hideMark/>
          </w:tcPr>
          <w:p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20,695 </w:t>
            </w:r>
          </w:p>
        </w:tc>
        <w:tc>
          <w:tcPr>
            <w:tcW w:w="907" w:type="dxa"/>
            <w:tcBorders>
              <w:top w:val="single" w:sz="4" w:space="0" w:color="auto"/>
              <w:left w:val="nil"/>
              <w:bottom w:val="single" w:sz="4" w:space="0" w:color="auto"/>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21,148 </w:t>
            </w:r>
          </w:p>
        </w:tc>
        <w:tc>
          <w:tcPr>
            <w:tcW w:w="907" w:type="dxa"/>
            <w:tcBorders>
              <w:top w:val="single" w:sz="4" w:space="0" w:color="auto"/>
              <w:left w:val="nil"/>
              <w:bottom w:val="single" w:sz="4" w:space="0" w:color="auto"/>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21,688 </w:t>
            </w:r>
          </w:p>
        </w:tc>
        <w:tc>
          <w:tcPr>
            <w:tcW w:w="907" w:type="dxa"/>
            <w:tcBorders>
              <w:top w:val="single" w:sz="4" w:space="0" w:color="auto"/>
              <w:left w:val="nil"/>
              <w:bottom w:val="single" w:sz="4" w:space="0" w:color="auto"/>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22,166 </w:t>
            </w:r>
          </w:p>
        </w:tc>
        <w:tc>
          <w:tcPr>
            <w:tcW w:w="907" w:type="dxa"/>
            <w:tcBorders>
              <w:top w:val="single" w:sz="4" w:space="0" w:color="auto"/>
              <w:left w:val="nil"/>
              <w:bottom w:val="single" w:sz="4" w:space="0" w:color="auto"/>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22,725 </w:t>
            </w:r>
          </w:p>
        </w:tc>
      </w:tr>
      <w:tr w:rsidR="007C75DF" w:rsidRPr="007C75DF" w:rsidTr="007C75DF">
        <w:trPr>
          <w:trHeight w:val="225"/>
        </w:trPr>
        <w:tc>
          <w:tcPr>
            <w:tcW w:w="3146" w:type="dxa"/>
            <w:tcBorders>
              <w:top w:val="nil"/>
              <w:left w:val="nil"/>
              <w:bottom w:val="single" w:sz="4" w:space="0" w:color="auto"/>
              <w:right w:val="nil"/>
            </w:tcBorders>
            <w:shd w:val="clear" w:color="auto" w:fill="auto"/>
            <w:noWrap/>
            <w:vAlign w:val="bottom"/>
            <w:hideMark/>
          </w:tcPr>
          <w:p w:rsidR="007C75DF" w:rsidRPr="007C75DF" w:rsidRDefault="007C75DF" w:rsidP="007C75DF">
            <w:pPr>
              <w:spacing w:after="0" w:line="240" w:lineRule="auto"/>
              <w:rPr>
                <w:rFonts w:ascii="Arial" w:hAnsi="Arial" w:cs="Arial"/>
                <w:b/>
                <w:bCs/>
                <w:color w:val="000000"/>
                <w:sz w:val="16"/>
                <w:szCs w:val="16"/>
              </w:rPr>
            </w:pPr>
            <w:r w:rsidRPr="007C75DF">
              <w:rPr>
                <w:rFonts w:ascii="Arial" w:hAnsi="Arial" w:cs="Arial"/>
                <w:b/>
                <w:bCs/>
                <w:color w:val="000000"/>
                <w:sz w:val="16"/>
                <w:szCs w:val="16"/>
              </w:rPr>
              <w:t>Total expenses for Outcome 1</w:t>
            </w:r>
          </w:p>
        </w:tc>
        <w:tc>
          <w:tcPr>
            <w:tcW w:w="964" w:type="dxa"/>
            <w:tcBorders>
              <w:top w:val="nil"/>
              <w:left w:val="nil"/>
              <w:bottom w:val="single" w:sz="4" w:space="0" w:color="auto"/>
              <w:right w:val="nil"/>
            </w:tcBorders>
            <w:shd w:val="clear" w:color="auto" w:fill="auto"/>
            <w:noWrap/>
            <w:vAlign w:val="bottom"/>
            <w:hideMark/>
          </w:tcPr>
          <w:p w:rsidR="007C75DF" w:rsidRPr="007C75DF" w:rsidRDefault="007C75DF" w:rsidP="007C75DF">
            <w:pPr>
              <w:spacing w:after="0" w:line="240" w:lineRule="auto"/>
              <w:jc w:val="right"/>
              <w:rPr>
                <w:rFonts w:ascii="Arial" w:hAnsi="Arial" w:cs="Arial"/>
                <w:b/>
                <w:bCs/>
                <w:color w:val="000000"/>
                <w:sz w:val="16"/>
                <w:szCs w:val="16"/>
              </w:rPr>
            </w:pPr>
            <w:r w:rsidRPr="007C75DF">
              <w:rPr>
                <w:rFonts w:ascii="Arial" w:hAnsi="Arial" w:cs="Arial"/>
                <w:b/>
                <w:bCs/>
                <w:color w:val="000000"/>
                <w:sz w:val="16"/>
                <w:szCs w:val="16"/>
              </w:rPr>
              <w:t xml:space="preserve">20,695 </w:t>
            </w:r>
          </w:p>
        </w:tc>
        <w:tc>
          <w:tcPr>
            <w:tcW w:w="907" w:type="dxa"/>
            <w:tcBorders>
              <w:top w:val="nil"/>
              <w:left w:val="nil"/>
              <w:bottom w:val="single" w:sz="4" w:space="0" w:color="auto"/>
              <w:right w:val="nil"/>
            </w:tcBorders>
            <w:shd w:val="clear" w:color="000000" w:fill="E6E6E6"/>
            <w:noWrap/>
            <w:vAlign w:val="bottom"/>
            <w:hideMark/>
          </w:tcPr>
          <w:p w:rsidR="007C75DF" w:rsidRPr="007C75DF" w:rsidRDefault="007C75DF" w:rsidP="007C75DF">
            <w:pPr>
              <w:spacing w:after="0" w:line="240" w:lineRule="auto"/>
              <w:jc w:val="right"/>
              <w:rPr>
                <w:rFonts w:ascii="Arial" w:hAnsi="Arial" w:cs="Arial"/>
                <w:b/>
                <w:bCs/>
                <w:color w:val="000000"/>
                <w:sz w:val="16"/>
                <w:szCs w:val="16"/>
              </w:rPr>
            </w:pPr>
            <w:r w:rsidRPr="007C75DF">
              <w:rPr>
                <w:rFonts w:ascii="Arial" w:hAnsi="Arial" w:cs="Arial"/>
                <w:b/>
                <w:bCs/>
                <w:color w:val="000000"/>
                <w:sz w:val="16"/>
                <w:szCs w:val="16"/>
              </w:rPr>
              <w:t xml:space="preserve">21,148 </w:t>
            </w:r>
          </w:p>
        </w:tc>
        <w:tc>
          <w:tcPr>
            <w:tcW w:w="907" w:type="dxa"/>
            <w:tcBorders>
              <w:top w:val="nil"/>
              <w:left w:val="nil"/>
              <w:bottom w:val="single" w:sz="4" w:space="0" w:color="auto"/>
              <w:right w:val="nil"/>
            </w:tcBorders>
            <w:shd w:val="clear" w:color="auto" w:fill="auto"/>
            <w:noWrap/>
            <w:vAlign w:val="bottom"/>
            <w:hideMark/>
          </w:tcPr>
          <w:p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21,688 </w:t>
            </w:r>
          </w:p>
        </w:tc>
        <w:tc>
          <w:tcPr>
            <w:tcW w:w="907" w:type="dxa"/>
            <w:tcBorders>
              <w:top w:val="nil"/>
              <w:left w:val="nil"/>
              <w:bottom w:val="single" w:sz="4" w:space="0" w:color="auto"/>
              <w:right w:val="nil"/>
            </w:tcBorders>
            <w:shd w:val="clear" w:color="auto" w:fill="auto"/>
            <w:noWrap/>
            <w:vAlign w:val="bottom"/>
            <w:hideMark/>
          </w:tcPr>
          <w:p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22,166 </w:t>
            </w:r>
          </w:p>
        </w:tc>
        <w:tc>
          <w:tcPr>
            <w:tcW w:w="907" w:type="dxa"/>
            <w:tcBorders>
              <w:top w:val="nil"/>
              <w:left w:val="nil"/>
              <w:bottom w:val="single" w:sz="4" w:space="0" w:color="auto"/>
              <w:right w:val="nil"/>
            </w:tcBorders>
            <w:shd w:val="clear" w:color="auto" w:fill="auto"/>
            <w:noWrap/>
            <w:vAlign w:val="bottom"/>
            <w:hideMark/>
          </w:tcPr>
          <w:p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22,725 </w:t>
            </w:r>
          </w:p>
        </w:tc>
      </w:tr>
      <w:tr w:rsidR="007C75DF" w:rsidRPr="007C75DF" w:rsidTr="007C75DF">
        <w:trPr>
          <w:trHeight w:val="225"/>
        </w:trPr>
        <w:tc>
          <w:tcPr>
            <w:tcW w:w="3146"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b/>
                <w:bCs/>
                <w:color w:val="000000"/>
                <w:sz w:val="16"/>
                <w:szCs w:val="16"/>
              </w:rPr>
            </w:pPr>
          </w:p>
        </w:tc>
        <w:tc>
          <w:tcPr>
            <w:tcW w:w="964"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b/>
                <w:bCs/>
                <w:sz w:val="16"/>
                <w:szCs w:val="16"/>
              </w:rPr>
            </w:pPr>
          </w:p>
        </w:tc>
      </w:tr>
      <w:tr w:rsidR="007C75DF" w:rsidRPr="007C75DF" w:rsidTr="007C75DF">
        <w:trPr>
          <w:trHeight w:val="225"/>
        </w:trPr>
        <w:tc>
          <w:tcPr>
            <w:tcW w:w="3146" w:type="dxa"/>
            <w:tcBorders>
              <w:top w:val="single" w:sz="4" w:space="0" w:color="000000"/>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color w:val="000000"/>
                <w:sz w:val="16"/>
                <w:szCs w:val="16"/>
              </w:rPr>
            </w:pPr>
            <w:r w:rsidRPr="007C75DF">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2018–19</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sz w:val="16"/>
                <w:szCs w:val="16"/>
              </w:rPr>
            </w:pPr>
          </w:p>
        </w:tc>
      </w:tr>
      <w:tr w:rsidR="007C75DF" w:rsidRPr="007C75DF" w:rsidTr="007C75DF">
        <w:trPr>
          <w:trHeight w:val="225"/>
        </w:trPr>
        <w:tc>
          <w:tcPr>
            <w:tcW w:w="3146" w:type="dxa"/>
            <w:tcBorders>
              <w:top w:val="nil"/>
              <w:left w:val="nil"/>
              <w:bottom w:val="single" w:sz="4" w:space="0" w:color="000000"/>
              <w:right w:val="nil"/>
            </w:tcBorders>
            <w:shd w:val="clear" w:color="auto" w:fill="auto"/>
            <w:noWrap/>
            <w:vAlign w:val="bottom"/>
            <w:hideMark/>
          </w:tcPr>
          <w:p w:rsidR="007C75DF" w:rsidRPr="007C75DF" w:rsidRDefault="007C75DF" w:rsidP="007C75DF">
            <w:pPr>
              <w:spacing w:after="0" w:line="240" w:lineRule="auto"/>
              <w:rPr>
                <w:rFonts w:ascii="Arial" w:hAnsi="Arial" w:cs="Arial"/>
                <w:b/>
                <w:bCs/>
                <w:color w:val="000000"/>
                <w:sz w:val="16"/>
                <w:szCs w:val="16"/>
              </w:rPr>
            </w:pPr>
            <w:r w:rsidRPr="007C75DF">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96 </w:t>
            </w:r>
          </w:p>
        </w:tc>
        <w:tc>
          <w:tcPr>
            <w:tcW w:w="907" w:type="dxa"/>
            <w:tcBorders>
              <w:top w:val="nil"/>
              <w:left w:val="nil"/>
              <w:bottom w:val="single" w:sz="4" w:space="0" w:color="auto"/>
              <w:right w:val="nil"/>
            </w:tcBorders>
            <w:shd w:val="clear" w:color="000000" w:fill="E6E6E6"/>
            <w:noWrap/>
            <w:vAlign w:val="bottom"/>
            <w:hideMark/>
          </w:tcPr>
          <w:p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101 </w:t>
            </w: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rsidR="007C75DF" w:rsidRPr="007C75DF" w:rsidRDefault="007C75DF" w:rsidP="007C75DF">
            <w:pPr>
              <w:spacing w:after="0" w:line="240" w:lineRule="auto"/>
              <w:rPr>
                <w:rFonts w:ascii="Arial" w:hAnsi="Arial" w:cs="Arial"/>
                <w:sz w:val="16"/>
                <w:szCs w:val="16"/>
              </w:rPr>
            </w:pPr>
          </w:p>
        </w:tc>
      </w:tr>
    </w:tbl>
    <w:p w:rsidR="007F0E49" w:rsidRPr="00950281" w:rsidRDefault="007F0E49" w:rsidP="00E01B4E">
      <w:pPr>
        <w:pStyle w:val="ChartandTableFootnoteAlpha"/>
        <w:numPr>
          <w:ilvl w:val="0"/>
          <w:numId w:val="52"/>
        </w:numPr>
      </w:pPr>
      <w:r w:rsidRPr="00950281">
        <w:t xml:space="preserve">Expenses not requiring appropriation in the Budget year are made up of depreciation expenses, amortisation expenses, make good expenses, </w:t>
      </w:r>
      <w:r w:rsidR="007C75DF">
        <w:t xml:space="preserve">and </w:t>
      </w:r>
      <w:r w:rsidRPr="00950281">
        <w:t>audit fees</w:t>
      </w:r>
      <w:r w:rsidR="007C75DF">
        <w:t xml:space="preserve">. </w:t>
      </w:r>
    </w:p>
    <w:p w:rsidR="007C75DF" w:rsidRPr="007C75DF" w:rsidRDefault="007F0E49" w:rsidP="007C75DF">
      <w:pPr>
        <w:pStyle w:val="ChartandTableFootnote"/>
        <w:rPr>
          <w:lang w:val="en-AU"/>
        </w:rPr>
      </w:pPr>
      <w:r w:rsidRPr="00446612">
        <w:t>Note: Departmental appropriation splits and totals are indicative estimates and may change in the course of the budget year as government priorities change.</w:t>
      </w:r>
    </w:p>
    <w:p w:rsidR="007C75DF" w:rsidRPr="007C75DF" w:rsidRDefault="007C75DF" w:rsidP="007C75DF">
      <w:pPr>
        <w:pStyle w:val="TableHeading"/>
        <w:rPr>
          <w:lang w:val="en-AU"/>
        </w:rPr>
      </w:pPr>
      <w:r>
        <w:rPr>
          <w:highlight w:val="yellow"/>
          <w:lang w:val="en-US"/>
        </w:rPr>
        <w:br w:type="page"/>
      </w:r>
      <w:r>
        <w:lastRenderedPageBreak/>
        <w:t>Table 2.</w:t>
      </w:r>
      <w:r>
        <w:rPr>
          <w:lang w:val="en-AU"/>
        </w:rPr>
        <w:t>1</w:t>
      </w:r>
      <w:r w:rsidRPr="00F71634">
        <w:t>.</w:t>
      </w:r>
      <w:r>
        <w:rPr>
          <w:lang w:val="en-AU"/>
        </w:rPr>
        <w:t>2</w:t>
      </w:r>
      <w:r w:rsidRPr="00F71634">
        <w:t>: Performance criteria for O</w:t>
      </w:r>
      <w:r>
        <w:t xml:space="preserve">utcome </w:t>
      </w:r>
      <w:r>
        <w:rPr>
          <w:lang w:val="en-AU"/>
        </w:rPr>
        <w:t>1</w:t>
      </w:r>
    </w:p>
    <w:p w:rsidR="007C75DF" w:rsidRPr="00F71634" w:rsidRDefault="007C75DF" w:rsidP="007C75DF">
      <w:r w:rsidRPr="00B166C6">
        <w:t>Table 2.</w:t>
      </w:r>
      <w:r>
        <w:t>1.2</w:t>
      </w:r>
      <w:r w:rsidRPr="00B166C6">
        <w:t xml:space="preserve"> below details the performance criteria for each p</w:t>
      </w:r>
      <w:r>
        <w:t>rogram associated with Outcome 1</w:t>
      </w:r>
      <w:r w:rsidRPr="00B166C6">
        <w:t>. It also summarises how each program is delivered and where 2018</w:t>
      </w:r>
      <w:r>
        <w:t>–</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402"/>
        <w:gridCol w:w="3205"/>
      </w:tblGrid>
      <w:tr w:rsidR="007C75DF" w:rsidRPr="00F71634" w:rsidTr="007C75DF">
        <w:trPr>
          <w:tblHeader/>
        </w:trPr>
        <w:tc>
          <w:tcPr>
            <w:tcW w:w="7741" w:type="dxa"/>
            <w:gridSpan w:val="3"/>
            <w:shd w:val="clear" w:color="auto" w:fill="F2F2F2"/>
          </w:tcPr>
          <w:p w:rsidR="007C75DF" w:rsidRPr="006906E4" w:rsidRDefault="007C75DF" w:rsidP="007C75DF">
            <w:pPr>
              <w:pStyle w:val="TableColumnHeadingLeft"/>
            </w:pPr>
            <w:r>
              <w:t xml:space="preserve">Outcome 1—Healthier, safer and more productive workplaces through improvements to Australian work health and safety and workers’ compensation arrangements. </w:t>
            </w:r>
          </w:p>
        </w:tc>
      </w:tr>
      <w:tr w:rsidR="007C75DF" w:rsidRPr="007C75DF" w:rsidTr="007C75DF">
        <w:trPr>
          <w:tblHeader/>
        </w:trPr>
        <w:tc>
          <w:tcPr>
            <w:tcW w:w="7741" w:type="dxa"/>
            <w:gridSpan w:val="3"/>
            <w:shd w:val="clear" w:color="auto" w:fill="F2F2F2"/>
          </w:tcPr>
          <w:p w:rsidR="007C75DF" w:rsidRPr="00FB6B43" w:rsidRDefault="007C75DF" w:rsidP="007C75DF">
            <w:pPr>
              <w:pStyle w:val="TableTextLeft"/>
              <w:rPr>
                <w:b/>
              </w:rPr>
            </w:pPr>
            <w:r w:rsidRPr="00FB6B43">
              <w:rPr>
                <w:b/>
              </w:rPr>
              <w:t>Program 1.1—Reform of and improvements to Australian work health and safety and workers’ compensation arrangements</w:t>
            </w:r>
          </w:p>
          <w:p w:rsidR="007C75DF" w:rsidRPr="007C75DF" w:rsidRDefault="007C75DF" w:rsidP="007C75DF">
            <w:pPr>
              <w:pStyle w:val="TableTextLeft"/>
            </w:pPr>
            <w:r w:rsidRPr="007C75DF">
              <w:t>This program contributes to Outcome 1 by ensuring the innovative development of evidence based policy which is central to Australia becoming a world leader in the delivery of improved safety and compensation outcomes.</w:t>
            </w:r>
          </w:p>
        </w:tc>
      </w:tr>
      <w:tr w:rsidR="00FB6B43" w:rsidRPr="00F71634" w:rsidTr="00FB6B43">
        <w:tc>
          <w:tcPr>
            <w:tcW w:w="1134" w:type="dxa"/>
          </w:tcPr>
          <w:p w:rsidR="00FB6B43" w:rsidRPr="006906E4" w:rsidRDefault="00FB6B43"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607" w:type="dxa"/>
            <w:gridSpan w:val="2"/>
          </w:tcPr>
          <w:p w:rsidR="00FB6B43" w:rsidRDefault="00FB6B43" w:rsidP="00FB6B43">
            <w:pPr>
              <w:pStyle w:val="TableTextLeft"/>
            </w:pPr>
            <w:r>
              <w:t>Safe Work Australia has an important national role to achieve significant and continual reductions in the incidence of work-related death, injury and illness and to improve outcomes for injured workers and their employers.</w:t>
            </w:r>
          </w:p>
          <w:p w:rsidR="00FB6B43" w:rsidRDefault="00FB6B43" w:rsidP="00FB6B43">
            <w:pPr>
              <w:pStyle w:val="TableTextLeft"/>
              <w:rPr>
                <w:i/>
                <w:color w:val="FF0000"/>
                <w:sz w:val="16"/>
                <w:szCs w:val="16"/>
              </w:rPr>
            </w:pPr>
            <w:r>
              <w:t>To be able to meet its objectives Safe Work Australia works collaboratively with regulators, industry and employee associations and the community to achieve healthy, safe and productive working lives for all Australians.</w:t>
            </w:r>
          </w:p>
        </w:tc>
      </w:tr>
      <w:tr w:rsidR="00FB6B43" w:rsidRPr="00F71634" w:rsidTr="00FB6B43">
        <w:tc>
          <w:tcPr>
            <w:tcW w:w="1134" w:type="dxa"/>
            <w:tcBorders>
              <w:bottom w:val="double" w:sz="4" w:space="0" w:color="auto"/>
            </w:tcBorders>
          </w:tcPr>
          <w:p w:rsidR="00FB6B43" w:rsidRPr="006906E4" w:rsidRDefault="00FB6B43"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607" w:type="dxa"/>
            <w:gridSpan w:val="2"/>
            <w:tcBorders>
              <w:bottom w:val="double" w:sz="4" w:space="0" w:color="auto"/>
            </w:tcBorders>
          </w:tcPr>
          <w:p w:rsidR="00FB6B43" w:rsidRDefault="00FB6B43" w:rsidP="00FB6B43">
            <w:pPr>
              <w:pStyle w:val="TableTextLeft"/>
            </w:pPr>
            <w:r>
              <w:t>The deliverables for Safe Work Australia have been developed with reference to the Act and are highlighted in its annual operational plan and corporate plan and include:</w:t>
            </w:r>
          </w:p>
          <w:p w:rsidR="00FB6B43" w:rsidRDefault="006D01F4" w:rsidP="00FB6B43">
            <w:pPr>
              <w:pStyle w:val="TableTextBullet"/>
            </w:pPr>
            <w:r>
              <w:t>r</w:t>
            </w:r>
            <w:r w:rsidR="00FB6B43">
              <w:t>eview, evaluate and if necessary, revise the model WHS laws to address issues impeding the effective and efficient operation of the l</w:t>
            </w:r>
            <w:r>
              <w:t>aws and improve safety outcomes</w:t>
            </w:r>
          </w:p>
          <w:p w:rsidR="00FB6B43" w:rsidRDefault="006D01F4" w:rsidP="00FB6B43">
            <w:pPr>
              <w:pStyle w:val="TableTextBullet"/>
            </w:pPr>
            <w:r>
              <w:t>i</w:t>
            </w:r>
            <w:r w:rsidR="00FB6B43">
              <w:t xml:space="preserve">mplement the Members’ response to the findings of the mid-term review of the Australian Work Health and Safety Strategy 2012–2022 and coordinate and report on activities undertaken to assist in the achievement of the </w:t>
            </w:r>
            <w:r>
              <w:t>Strategy’s outcomes and targets</w:t>
            </w:r>
          </w:p>
          <w:p w:rsidR="00FB6B43" w:rsidRDefault="006D01F4" w:rsidP="00FB6B43">
            <w:pPr>
              <w:pStyle w:val="TableTextBullet"/>
            </w:pPr>
            <w:r>
              <w:t>d</w:t>
            </w:r>
            <w:r w:rsidR="00FB6B43">
              <w:t>evelop and implement national education and communication strategies and initiatives to build awareness and knowledge of work health and safety and workers’ compensation and prom</w:t>
            </w:r>
            <w:r>
              <w:t>ote consistency in arrangements</w:t>
            </w:r>
          </w:p>
          <w:p w:rsidR="00FB6B43" w:rsidRDefault="006D01F4" w:rsidP="00FB6B43">
            <w:pPr>
              <w:pStyle w:val="TableTextBullet"/>
            </w:pPr>
            <w:r>
              <w:t>c</w:t>
            </w:r>
            <w:r w:rsidR="00FB6B43">
              <w:t>ollect, analyse and report on relevant data and undertake and disseminate research to identify new priorities and provide evidence for the development or evaluation of policies and support</w:t>
            </w:r>
            <w:r>
              <w:t>ing strategies</w:t>
            </w:r>
          </w:p>
          <w:p w:rsidR="00FB6B43" w:rsidRDefault="006D01F4" w:rsidP="00FB6B43">
            <w:pPr>
              <w:pStyle w:val="TableTextBullet"/>
            </w:pPr>
            <w:r>
              <w:t>d</w:t>
            </w:r>
            <w:r w:rsidR="00FB6B43">
              <w:t>evelop policy proposals and supporting strategies to improve workers’ compensation arrangements, with a par</w:t>
            </w:r>
            <w:r>
              <w:t>ticular focus on return to work, and</w:t>
            </w:r>
          </w:p>
          <w:p w:rsidR="00FB6B43" w:rsidRDefault="006D01F4" w:rsidP="00FB6B43">
            <w:pPr>
              <w:pStyle w:val="TableTextBullet"/>
            </w:pPr>
            <w:r>
              <w:t>w</w:t>
            </w:r>
            <w:r w:rsidR="00FB6B43">
              <w:t>ork with other national and international bodies to share data, information and/or knowledge, and represent Australia as appropriate, to improve Australian outcomes.</w:t>
            </w:r>
          </w:p>
        </w:tc>
      </w:tr>
      <w:tr w:rsidR="007C75DF" w:rsidRPr="00F71634" w:rsidTr="007C75DF">
        <w:tc>
          <w:tcPr>
            <w:tcW w:w="7741" w:type="dxa"/>
            <w:gridSpan w:val="3"/>
            <w:tcBorders>
              <w:top w:val="double" w:sz="4" w:space="0" w:color="auto"/>
              <w:bottom w:val="double" w:sz="4" w:space="0" w:color="auto"/>
            </w:tcBorders>
          </w:tcPr>
          <w:p w:rsidR="007C75DF" w:rsidRPr="006906E4" w:rsidRDefault="007C75DF"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7C75DF" w:rsidRPr="00F71634" w:rsidTr="00FB6B43">
        <w:tc>
          <w:tcPr>
            <w:tcW w:w="1134" w:type="dxa"/>
            <w:tcBorders>
              <w:top w:val="double" w:sz="4" w:space="0" w:color="auto"/>
              <w:bottom w:val="single" w:sz="4" w:space="0" w:color="auto"/>
              <w:right w:val="single" w:sz="4" w:space="0" w:color="auto"/>
            </w:tcBorders>
          </w:tcPr>
          <w:p w:rsidR="007C75DF" w:rsidRPr="006906E4" w:rsidRDefault="007C75DF"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402" w:type="dxa"/>
            <w:tcBorders>
              <w:top w:val="double" w:sz="4" w:space="0" w:color="auto"/>
              <w:left w:val="single" w:sz="4" w:space="0" w:color="auto"/>
              <w:bottom w:val="single" w:sz="4" w:space="0" w:color="auto"/>
              <w:right w:val="single" w:sz="4" w:space="0" w:color="auto"/>
            </w:tcBorders>
          </w:tcPr>
          <w:p w:rsidR="007C75DF" w:rsidRPr="006906E4" w:rsidRDefault="007C75DF"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3205" w:type="dxa"/>
            <w:tcBorders>
              <w:top w:val="double" w:sz="4" w:space="0" w:color="auto"/>
              <w:left w:val="single" w:sz="4" w:space="0" w:color="auto"/>
              <w:bottom w:val="single" w:sz="4" w:space="0" w:color="auto"/>
            </w:tcBorders>
          </w:tcPr>
          <w:p w:rsidR="007C75DF" w:rsidRPr="006906E4" w:rsidRDefault="007C75DF"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7C75DF" w:rsidRPr="00F71634" w:rsidTr="00FB6B43">
        <w:trPr>
          <w:trHeight w:val="60"/>
        </w:trPr>
        <w:tc>
          <w:tcPr>
            <w:tcW w:w="1134" w:type="dxa"/>
            <w:tcBorders>
              <w:top w:val="single" w:sz="4" w:space="0" w:color="auto"/>
              <w:bottom w:val="dotted" w:sz="4" w:space="0" w:color="auto"/>
              <w:right w:val="single" w:sz="4" w:space="0" w:color="auto"/>
            </w:tcBorders>
          </w:tcPr>
          <w:p w:rsidR="007C75DF" w:rsidRPr="006906E4" w:rsidRDefault="007C75DF" w:rsidP="007C75DF">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402" w:type="dxa"/>
            <w:tcBorders>
              <w:top w:val="single" w:sz="4" w:space="0" w:color="auto"/>
              <w:left w:val="single" w:sz="4" w:space="0" w:color="auto"/>
              <w:bottom w:val="dotted" w:sz="4" w:space="0" w:color="auto"/>
              <w:right w:val="single" w:sz="4" w:space="0" w:color="auto"/>
            </w:tcBorders>
          </w:tcPr>
          <w:p w:rsidR="00FB6B43" w:rsidRDefault="00FB6B43" w:rsidP="00FB6B43">
            <w:pPr>
              <w:pStyle w:val="TableTextLeft"/>
            </w:pPr>
            <w:r>
              <w:t>Activities in the Operational Plan are delivered to the expected qua</w:t>
            </w:r>
            <w:r w:rsidR="00A9013E">
              <w:t>lity, on time and within budget</w:t>
            </w:r>
          </w:p>
          <w:p w:rsidR="00FB6B43" w:rsidRDefault="00FB6B43" w:rsidP="00FB6B43">
            <w:pPr>
              <w:pStyle w:val="TableTextLeft"/>
            </w:pPr>
            <w:r>
              <w:t>Reductions in the incidence of work-related death, injury and illness through:</w:t>
            </w:r>
          </w:p>
          <w:p w:rsidR="00FB6B43" w:rsidRDefault="00FB6B43" w:rsidP="00FB6B43">
            <w:pPr>
              <w:pStyle w:val="TableTextBullet"/>
            </w:pPr>
            <w:r>
              <w:t xml:space="preserve">an improved and reformed work health and safety framework </w:t>
            </w:r>
          </w:p>
          <w:p w:rsidR="0027427B" w:rsidRDefault="00FB6B43" w:rsidP="0027427B">
            <w:pPr>
              <w:pStyle w:val="TableTextBullet"/>
            </w:pPr>
            <w:r>
              <w:t>increased work health and safety awareness and skills</w:t>
            </w:r>
          </w:p>
          <w:p w:rsidR="00FB6B43" w:rsidRDefault="00FB6B43" w:rsidP="0027427B">
            <w:pPr>
              <w:pStyle w:val="TableTextBullet"/>
              <w:spacing w:before="120"/>
            </w:pPr>
            <w:r>
              <w:lastRenderedPageBreak/>
              <w:t>developing and maintaining an evidence base which informs policy and practice</w:t>
            </w:r>
          </w:p>
          <w:p w:rsidR="00FB6B43" w:rsidRDefault="00FB6B43" w:rsidP="00FB6B43">
            <w:pPr>
              <w:pStyle w:val="TableTextBullet"/>
            </w:pPr>
            <w:r>
              <w:t xml:space="preserve">reduced exposure to work-related hazards causing injury and illness, and </w:t>
            </w:r>
          </w:p>
          <w:p w:rsidR="007C75DF" w:rsidRPr="00FB6B43" w:rsidRDefault="00FB6B43" w:rsidP="00FB6B43">
            <w:pPr>
              <w:pStyle w:val="TableTextBullet"/>
            </w:pPr>
            <w:r>
              <w:t>improve</w:t>
            </w:r>
            <w:r w:rsidR="00A9013E">
              <w:t>d quality of workplace controls</w:t>
            </w:r>
          </w:p>
        </w:tc>
        <w:tc>
          <w:tcPr>
            <w:tcW w:w="3205" w:type="dxa"/>
            <w:tcBorders>
              <w:top w:val="single" w:sz="4" w:space="0" w:color="auto"/>
              <w:left w:val="single" w:sz="4" w:space="0" w:color="auto"/>
              <w:bottom w:val="dotted" w:sz="4" w:space="0" w:color="auto"/>
            </w:tcBorders>
          </w:tcPr>
          <w:p w:rsidR="00FB6B43" w:rsidRDefault="00FB6B43" w:rsidP="00FB6B43">
            <w:pPr>
              <w:pStyle w:val="TableTextLeft"/>
            </w:pPr>
            <w:r>
              <w:lastRenderedPageBreak/>
              <w:t>80% of Members and the Chair are satisfied</w:t>
            </w:r>
            <w:r w:rsidR="00A9013E">
              <w:t xml:space="preserve"> with the agency’s achievements</w:t>
            </w:r>
          </w:p>
          <w:p w:rsidR="00FB6B43" w:rsidRDefault="00FB6B43" w:rsidP="00FB6B43">
            <w:pPr>
              <w:pStyle w:val="TableTextLeft"/>
            </w:pPr>
            <w:r>
              <w:t>By 2022:</w:t>
            </w:r>
          </w:p>
          <w:p w:rsidR="00FB6B43" w:rsidRDefault="00FB6B43" w:rsidP="00FB6B43">
            <w:pPr>
              <w:pStyle w:val="TableTextBullet"/>
            </w:pPr>
            <w:r>
              <w:t>reduce workplace fatalities due to injury by 20 per cent or more</w:t>
            </w:r>
          </w:p>
          <w:p w:rsidR="0027427B" w:rsidRDefault="00FB6B43" w:rsidP="0027427B">
            <w:pPr>
              <w:pStyle w:val="TableTextBullet"/>
            </w:pPr>
            <w:r>
              <w:t>reduce the incidence rate of serious workers’ compensation claims by 30 per cent or more, and</w:t>
            </w:r>
          </w:p>
          <w:p w:rsidR="00FB6B43" w:rsidRDefault="00FB6B43" w:rsidP="0027427B">
            <w:pPr>
              <w:pStyle w:val="TableTextBullet"/>
              <w:spacing w:before="120"/>
            </w:pPr>
            <w:r>
              <w:lastRenderedPageBreak/>
              <w:t>reduce the incidence rate of serious workers’ compensation claims for musculoskeleta</w:t>
            </w:r>
            <w:r w:rsidR="00A9013E">
              <w:t>l claims by 30 per cent or more</w:t>
            </w:r>
          </w:p>
          <w:p w:rsidR="007C75DF" w:rsidRPr="006906E4" w:rsidRDefault="00FB6B43" w:rsidP="00FB6B43">
            <w:pPr>
              <w:tabs>
                <w:tab w:val="left" w:pos="709"/>
              </w:tabs>
              <w:spacing w:before="60" w:after="60" w:line="240" w:lineRule="auto"/>
              <w:rPr>
                <w:rFonts w:ascii="Arial" w:hAnsi="Arial" w:cs="Arial"/>
                <w:i/>
                <w:color w:val="FF0000"/>
                <w:sz w:val="16"/>
                <w:szCs w:val="16"/>
              </w:rPr>
            </w:pPr>
            <w:r>
              <w:rPr>
                <w:rFonts w:ascii="Arial" w:hAnsi="Arial" w:cs="Arial"/>
                <w:b/>
                <w:sz w:val="17"/>
                <w:szCs w:val="17"/>
              </w:rPr>
              <w:t>Assessment:</w:t>
            </w:r>
            <w:r>
              <w:rPr>
                <w:rFonts w:ascii="Arial" w:hAnsi="Arial" w:cs="Arial"/>
                <w:sz w:val="17"/>
                <w:szCs w:val="17"/>
              </w:rPr>
              <w:t xml:space="preserve"> On target</w:t>
            </w:r>
          </w:p>
        </w:tc>
      </w:tr>
      <w:tr w:rsidR="00FB6B43" w:rsidRPr="00F71634" w:rsidTr="00FB6B43">
        <w:tc>
          <w:tcPr>
            <w:tcW w:w="1134" w:type="dxa"/>
            <w:tcBorders>
              <w:top w:val="dotted" w:sz="4" w:space="0" w:color="auto"/>
              <w:bottom w:val="dotted" w:sz="4" w:space="0" w:color="auto"/>
              <w:right w:val="single" w:sz="4" w:space="0" w:color="auto"/>
            </w:tcBorders>
          </w:tcPr>
          <w:p w:rsidR="00FB6B43" w:rsidRPr="006906E4" w:rsidRDefault="00FB6B43" w:rsidP="007C75DF">
            <w:pPr>
              <w:tabs>
                <w:tab w:val="left" w:pos="709"/>
              </w:tabs>
              <w:spacing w:before="60" w:after="60" w:line="240" w:lineRule="auto"/>
              <w:rPr>
                <w:rFonts w:ascii="Arial" w:hAnsi="Arial" w:cs="Arial"/>
                <w:sz w:val="16"/>
                <w:szCs w:val="16"/>
              </w:rPr>
            </w:pPr>
            <w:r>
              <w:rPr>
                <w:rFonts w:ascii="Arial" w:hAnsi="Arial" w:cs="Arial"/>
                <w:sz w:val="16"/>
                <w:szCs w:val="16"/>
              </w:rPr>
              <w:lastRenderedPageBreak/>
              <w:t>2018–19</w:t>
            </w:r>
          </w:p>
        </w:tc>
        <w:tc>
          <w:tcPr>
            <w:tcW w:w="3402" w:type="dxa"/>
            <w:tcBorders>
              <w:top w:val="dotted" w:sz="4" w:space="0" w:color="auto"/>
              <w:left w:val="single" w:sz="4" w:space="0" w:color="auto"/>
              <w:bottom w:val="dotted" w:sz="4" w:space="0" w:color="auto"/>
              <w:right w:val="single" w:sz="4" w:space="0" w:color="auto"/>
            </w:tcBorders>
          </w:tcPr>
          <w:p w:rsidR="00FB6B43" w:rsidRDefault="00FB6B43" w:rsidP="00FB6B43">
            <w:pPr>
              <w:pStyle w:val="TableTextLeft"/>
            </w:pPr>
            <w:r>
              <w:t>Activities in the Operational Plan are delivered to the expected qua</w:t>
            </w:r>
            <w:r w:rsidR="00A9013E">
              <w:t>lity, on time and within budget</w:t>
            </w:r>
          </w:p>
          <w:p w:rsidR="00FB6B43" w:rsidRDefault="00FB6B43" w:rsidP="00FB6B43">
            <w:pPr>
              <w:pStyle w:val="TableTextLeft"/>
            </w:pPr>
            <w:r>
              <w:t>Reductions in the incidence of work-related death, injury and illness through:</w:t>
            </w:r>
          </w:p>
          <w:p w:rsidR="00FB6B43" w:rsidRDefault="00FB6B43" w:rsidP="00FB6B43">
            <w:pPr>
              <w:pStyle w:val="TableTextBullet"/>
            </w:pPr>
            <w:r>
              <w:t xml:space="preserve">an improved and reformed work health and safety framework </w:t>
            </w:r>
          </w:p>
          <w:p w:rsidR="00FB6B43" w:rsidRDefault="00FB6B43" w:rsidP="00FB6B43">
            <w:pPr>
              <w:pStyle w:val="TableTextBullet"/>
            </w:pPr>
            <w:r>
              <w:t>increased work health and safety awareness and skills</w:t>
            </w:r>
          </w:p>
          <w:p w:rsidR="00FB6B43" w:rsidRDefault="00FB6B43" w:rsidP="00FB6B43">
            <w:pPr>
              <w:pStyle w:val="TableTextBullet"/>
            </w:pPr>
            <w:r>
              <w:t>developing and maintaining an evidence base which informs policy and practice</w:t>
            </w:r>
          </w:p>
          <w:p w:rsidR="00FB6B43" w:rsidRDefault="00FB6B43" w:rsidP="00FB6B43">
            <w:pPr>
              <w:pStyle w:val="TableTextBullet"/>
            </w:pPr>
            <w:r>
              <w:t xml:space="preserve">reduced exposure to work-related hazards causing injury and illness, and </w:t>
            </w:r>
          </w:p>
          <w:p w:rsidR="00FB6B43" w:rsidRDefault="00FB6B43" w:rsidP="00FB6B43">
            <w:pPr>
              <w:pStyle w:val="TableTextBullet"/>
            </w:pPr>
            <w:r>
              <w:t>improve</w:t>
            </w:r>
            <w:r w:rsidR="00A9013E">
              <w:t>d quality of workplace controls</w:t>
            </w:r>
          </w:p>
        </w:tc>
        <w:tc>
          <w:tcPr>
            <w:tcW w:w="3205" w:type="dxa"/>
            <w:tcBorders>
              <w:top w:val="dotted" w:sz="4" w:space="0" w:color="auto"/>
              <w:left w:val="single" w:sz="4" w:space="0" w:color="auto"/>
              <w:bottom w:val="dotted" w:sz="4" w:space="0" w:color="auto"/>
            </w:tcBorders>
          </w:tcPr>
          <w:p w:rsidR="00FB6B43" w:rsidRDefault="00FB6B43" w:rsidP="00FB6B43">
            <w:pPr>
              <w:pStyle w:val="TableTextLeft"/>
            </w:pPr>
            <w:r>
              <w:t>80% of Members and the Chair are satisfi</w:t>
            </w:r>
            <w:r w:rsidR="00A9013E">
              <w:t>ed with the agency achievements</w:t>
            </w:r>
          </w:p>
          <w:p w:rsidR="00FB6B43" w:rsidRDefault="00FB6B43" w:rsidP="00FB6B43">
            <w:pPr>
              <w:pStyle w:val="TableTextLeft"/>
            </w:pPr>
            <w:r>
              <w:t>By 2022:</w:t>
            </w:r>
          </w:p>
          <w:p w:rsidR="00FB6B43" w:rsidRDefault="00FB6B43" w:rsidP="00FB6B43">
            <w:pPr>
              <w:pStyle w:val="TableTextBullet"/>
            </w:pPr>
            <w:r>
              <w:t>reduce workplace fatalities due to injury by 20 per cent or more</w:t>
            </w:r>
          </w:p>
          <w:p w:rsidR="00FB6B43" w:rsidRDefault="00FB6B43" w:rsidP="00FB6B43">
            <w:pPr>
              <w:pStyle w:val="TableTextBullet"/>
            </w:pPr>
            <w:r>
              <w:t>reduce the incidence rate of serious workers’ compensation claims by 30 per cent or more, and</w:t>
            </w:r>
          </w:p>
          <w:p w:rsidR="00FB6B43" w:rsidRPr="00FB6B43" w:rsidRDefault="00FB6B43" w:rsidP="00FB6B43">
            <w:pPr>
              <w:pStyle w:val="TableTextBullet"/>
            </w:pPr>
            <w:r>
              <w:t>reduce the incidence rate of serious workers’ compensation claims for musculoskeleta</w:t>
            </w:r>
            <w:r w:rsidR="00A9013E">
              <w:t>l claims by 30 per cent or more</w:t>
            </w:r>
          </w:p>
        </w:tc>
      </w:tr>
      <w:tr w:rsidR="00FB6B43" w:rsidRPr="00F71634" w:rsidTr="00FB6B43">
        <w:tc>
          <w:tcPr>
            <w:tcW w:w="1134" w:type="dxa"/>
            <w:tcBorders>
              <w:top w:val="dotted" w:sz="4" w:space="0" w:color="auto"/>
              <w:right w:val="single" w:sz="4" w:space="0" w:color="auto"/>
            </w:tcBorders>
          </w:tcPr>
          <w:p w:rsidR="00FB6B43" w:rsidRPr="006906E4" w:rsidRDefault="00FB6B43" w:rsidP="007C75DF">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402" w:type="dxa"/>
            <w:tcBorders>
              <w:top w:val="dotted" w:sz="4" w:space="0" w:color="auto"/>
              <w:left w:val="single" w:sz="4" w:space="0" w:color="auto"/>
              <w:right w:val="single" w:sz="4" w:space="0" w:color="auto"/>
            </w:tcBorders>
          </w:tcPr>
          <w:p w:rsidR="00FB6B43" w:rsidRDefault="00A9013E" w:rsidP="00FB6B43">
            <w:pPr>
              <w:pStyle w:val="TableTextLeft"/>
              <w:rPr>
                <w:i/>
                <w:color w:val="FF0000"/>
                <w:sz w:val="16"/>
                <w:szCs w:val="16"/>
              </w:rPr>
            </w:pPr>
            <w:r>
              <w:t>As per 2018–19</w:t>
            </w:r>
          </w:p>
        </w:tc>
        <w:tc>
          <w:tcPr>
            <w:tcW w:w="3205" w:type="dxa"/>
            <w:tcBorders>
              <w:top w:val="dotted" w:sz="4" w:space="0" w:color="auto"/>
              <w:left w:val="single" w:sz="4" w:space="0" w:color="auto"/>
            </w:tcBorders>
          </w:tcPr>
          <w:p w:rsidR="00FB6B43" w:rsidRDefault="00A9013E" w:rsidP="00FB6B43">
            <w:pPr>
              <w:pStyle w:val="TableTextLeft"/>
              <w:rPr>
                <w:i/>
                <w:color w:val="FF0000"/>
                <w:sz w:val="16"/>
                <w:szCs w:val="16"/>
              </w:rPr>
            </w:pPr>
            <w:r>
              <w:t>As per 2018–19</w:t>
            </w:r>
          </w:p>
        </w:tc>
      </w:tr>
      <w:tr w:rsidR="007C75DF" w:rsidRPr="00F71634" w:rsidTr="007C75DF">
        <w:tc>
          <w:tcPr>
            <w:tcW w:w="7741" w:type="dxa"/>
            <w:gridSpan w:val="3"/>
          </w:tcPr>
          <w:p w:rsidR="007C75DF" w:rsidRPr="00FB6B43" w:rsidRDefault="007C75DF" w:rsidP="00FB6B43">
            <w:pPr>
              <w:pStyle w:val="TableTextLeft"/>
              <w:rPr>
                <w:rStyle w:val="BodyTextChar"/>
                <w:rFonts w:ascii="Arial" w:hAnsi="Arial"/>
                <w:b/>
                <w:sz w:val="17"/>
                <w:szCs w:val="20"/>
                <w:lang w:eastAsia="en-AU"/>
              </w:rPr>
            </w:pPr>
            <w:r w:rsidRPr="00FB6B43">
              <w:rPr>
                <w:rStyle w:val="BodyTextChar"/>
                <w:rFonts w:ascii="Arial" w:hAnsi="Arial"/>
                <w:b/>
                <w:sz w:val="17"/>
                <w:szCs w:val="20"/>
                <w:lang w:eastAsia="en-AU"/>
              </w:rPr>
              <w:t xml:space="preserve">Material changes to Program </w:t>
            </w:r>
            <w:r w:rsidR="00FB6B43" w:rsidRPr="00FB6B43">
              <w:rPr>
                <w:rStyle w:val="BodyTextChar"/>
                <w:rFonts w:ascii="Arial" w:hAnsi="Arial"/>
                <w:b/>
                <w:sz w:val="17"/>
                <w:szCs w:val="20"/>
                <w:lang w:eastAsia="en-AU"/>
              </w:rPr>
              <w:t>1</w:t>
            </w:r>
            <w:r w:rsidRPr="00FB6B43">
              <w:rPr>
                <w:rStyle w:val="BodyTextChar"/>
                <w:rFonts w:ascii="Arial" w:hAnsi="Arial"/>
                <w:b/>
                <w:sz w:val="17"/>
                <w:szCs w:val="20"/>
                <w:lang w:eastAsia="en-AU"/>
              </w:rPr>
              <w:t>.1 resulting from the following measures:</w:t>
            </w:r>
          </w:p>
          <w:p w:rsidR="00FB6B43" w:rsidRPr="006906E4" w:rsidRDefault="00FB6B43" w:rsidP="00FB6B43">
            <w:pPr>
              <w:pStyle w:val="TableTextLeft"/>
            </w:pPr>
            <w:r>
              <w:t>Nil</w:t>
            </w:r>
          </w:p>
        </w:tc>
      </w:tr>
    </w:tbl>
    <w:p w:rsidR="00FB6B43" w:rsidRPr="00AD42E2" w:rsidRDefault="007C75DF" w:rsidP="00FB6B43">
      <w:pPr>
        <w:pStyle w:val="Heading2"/>
      </w:pPr>
      <w:r w:rsidRPr="00C3303C">
        <w:rPr>
          <w:i/>
          <w:color w:val="FF0000"/>
        </w:rPr>
        <w:br w:type="page"/>
      </w:r>
      <w:bookmarkStart w:id="577" w:name="_Toc511656305"/>
      <w:bookmarkStart w:id="578" w:name="_Toc511722678"/>
      <w:bookmarkStart w:id="579" w:name="_Toc511737010"/>
      <w:bookmarkStart w:id="580" w:name="_Toc511747272"/>
      <w:bookmarkStart w:id="581" w:name="_Toc511765676"/>
      <w:bookmarkStart w:id="582" w:name="_Toc511828732"/>
      <w:bookmarkStart w:id="583" w:name="_Toc511836871"/>
      <w:bookmarkStart w:id="584" w:name="_Toc511902577"/>
      <w:r w:rsidR="00FB6B43" w:rsidRPr="00AD42E2">
        <w:lastRenderedPageBreak/>
        <w:t>Section 3: Budgeted financial statements</w:t>
      </w:r>
      <w:bookmarkEnd w:id="577"/>
      <w:bookmarkEnd w:id="578"/>
      <w:bookmarkEnd w:id="579"/>
      <w:bookmarkEnd w:id="580"/>
      <w:bookmarkEnd w:id="581"/>
      <w:bookmarkEnd w:id="582"/>
      <w:bookmarkEnd w:id="583"/>
      <w:bookmarkEnd w:id="584"/>
    </w:p>
    <w:p w:rsidR="00FB6B43" w:rsidRDefault="00FB6B43" w:rsidP="00FB6B43">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rsidR="00FB6B43" w:rsidRDefault="00FB6B43" w:rsidP="00FB6B43">
      <w:pPr>
        <w:pStyle w:val="Heading3"/>
      </w:pPr>
      <w:bookmarkStart w:id="585" w:name="_Toc511656306"/>
      <w:bookmarkStart w:id="586" w:name="_Toc511722679"/>
      <w:bookmarkStart w:id="587" w:name="_Toc511737011"/>
      <w:bookmarkStart w:id="588" w:name="_Toc511747273"/>
      <w:bookmarkStart w:id="589" w:name="_Toc511765677"/>
      <w:bookmarkStart w:id="590" w:name="_Toc511828733"/>
      <w:bookmarkStart w:id="591" w:name="_Toc511836872"/>
      <w:bookmarkStart w:id="592" w:name="_Toc511902578"/>
      <w:r>
        <w:t>3.1</w:t>
      </w:r>
      <w:r>
        <w:tab/>
        <w:t>Budgeted financial statements</w:t>
      </w:r>
      <w:bookmarkEnd w:id="585"/>
      <w:bookmarkEnd w:id="586"/>
      <w:bookmarkEnd w:id="587"/>
      <w:bookmarkEnd w:id="588"/>
      <w:bookmarkEnd w:id="589"/>
      <w:bookmarkEnd w:id="590"/>
      <w:bookmarkEnd w:id="591"/>
      <w:bookmarkEnd w:id="592"/>
    </w:p>
    <w:p w:rsidR="00FB6B43" w:rsidRDefault="00FB6B43" w:rsidP="00FB6B43">
      <w:pPr>
        <w:pStyle w:val="Heading4"/>
      </w:pPr>
      <w:r>
        <w:t>3.1.1</w:t>
      </w:r>
      <w:r>
        <w:tab/>
        <w:t>Differences between entity resourcing and financial statements</w:t>
      </w:r>
    </w:p>
    <w:p w:rsidR="00F66D7A" w:rsidRDefault="00F66D7A" w:rsidP="00F66D7A">
      <w:r>
        <w:t xml:space="preserve">Safe Work Australia receives funds from states and territories and matched appropriation funding from the Commonwealth as provided for in the </w:t>
      </w:r>
      <w:r w:rsidRPr="00F66D7A">
        <w:rPr>
          <w:i/>
        </w:rPr>
        <w:t>Intergovernmental Agreement for Regulatory Operational Reform in Occupational Health and Safety</w:t>
      </w:r>
      <w:r>
        <w:t xml:space="preserve"> (IGA).</w:t>
      </w:r>
    </w:p>
    <w:p w:rsidR="00FB6B43" w:rsidRDefault="00FB6B43" w:rsidP="00FB6B43">
      <w:pPr>
        <w:pStyle w:val="Heading4"/>
      </w:pPr>
      <w:r>
        <w:t>3.1.2</w:t>
      </w:r>
      <w:r>
        <w:tab/>
        <w:t>Explanatory notes and analysis of budgeted financial statements</w:t>
      </w:r>
    </w:p>
    <w:p w:rsidR="00F66D7A" w:rsidRDefault="00F66D7A" w:rsidP="00F66D7A">
      <w:r>
        <w:t>The agency is not expecting any major changes in its operations from a financial perspective. Funding arrangements are provided for in the IGA.</w:t>
      </w:r>
    </w:p>
    <w:p w:rsidR="00F66D7A" w:rsidRDefault="00F66D7A" w:rsidP="00F66D7A">
      <w:r>
        <w:t>Safe Work Australia is budgeting for an operating loss equal to the unappropriated depreciation and amortisation expense of $0.6 million for the 2018–19 financial year.</w:t>
      </w:r>
    </w:p>
    <w:p w:rsidR="00F66D7A" w:rsidRDefault="00F66D7A" w:rsidP="00F66D7A">
      <w:r>
        <w:t>Total revenues are estimated to be $20.</w:t>
      </w:r>
      <w:r w:rsidR="006D01F4">
        <w:t>5</w:t>
      </w:r>
      <w:r>
        <w:t xml:space="preserve"> million and total expenses $21.1 million.</w:t>
      </w:r>
    </w:p>
    <w:p w:rsidR="00F66D7A" w:rsidRDefault="00F66D7A" w:rsidP="00F66D7A">
      <w:r>
        <w:t>Total assets at the end of the 2018–19 financial year are estimated to be $15.3 million. The majority of the assets represent cash held by the OPA, in the special account. This was previously reported as appropriation receivable.</w:t>
      </w:r>
    </w:p>
    <w:p w:rsidR="00F66D7A" w:rsidRDefault="00F66D7A" w:rsidP="00F66D7A">
      <w:r>
        <w:t>Total liabilities for 2018–19 are estimated at $4.7 million. The largest liability item is accrued employee entitlements.</w:t>
      </w:r>
    </w:p>
    <w:p w:rsidR="00FB6B43" w:rsidRDefault="00FB6B43" w:rsidP="00FB6B43">
      <w:pPr>
        <w:pStyle w:val="Heading3"/>
      </w:pPr>
      <w:r>
        <w:br w:type="page"/>
      </w:r>
      <w:bookmarkStart w:id="593" w:name="_Toc511656307"/>
      <w:bookmarkStart w:id="594" w:name="_Toc511722680"/>
      <w:bookmarkStart w:id="595" w:name="_Toc511737012"/>
      <w:bookmarkStart w:id="596" w:name="_Toc511747274"/>
      <w:bookmarkStart w:id="597" w:name="_Toc511765678"/>
      <w:bookmarkStart w:id="598" w:name="_Toc511828734"/>
      <w:bookmarkStart w:id="599" w:name="_Toc511836873"/>
      <w:bookmarkStart w:id="600" w:name="_Toc511902579"/>
      <w:r>
        <w:lastRenderedPageBreak/>
        <w:t>3.2.</w:t>
      </w:r>
      <w:r>
        <w:tab/>
        <w:t>Budgeted financial statements tables</w:t>
      </w:r>
      <w:bookmarkEnd w:id="593"/>
      <w:bookmarkEnd w:id="594"/>
      <w:bookmarkEnd w:id="595"/>
      <w:bookmarkEnd w:id="596"/>
      <w:bookmarkEnd w:id="597"/>
      <w:bookmarkEnd w:id="598"/>
      <w:bookmarkEnd w:id="599"/>
      <w:bookmarkEnd w:id="600"/>
    </w:p>
    <w:p w:rsidR="00FB6B43" w:rsidRDefault="00FB6B43" w:rsidP="00FB6B43">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85" w:type="dxa"/>
        <w:tblInd w:w="93" w:type="dxa"/>
        <w:tblCellMar>
          <w:left w:w="57" w:type="dxa"/>
          <w:right w:w="57" w:type="dxa"/>
        </w:tblCellMar>
        <w:tblLook w:val="04A0" w:firstRow="1" w:lastRow="0" w:firstColumn="1" w:lastColumn="0" w:noHBand="0" w:noVBand="1"/>
      </w:tblPr>
      <w:tblGrid>
        <w:gridCol w:w="3402"/>
        <w:gridCol w:w="879"/>
        <w:gridCol w:w="827"/>
        <w:gridCol w:w="27"/>
        <w:gridCol w:w="823"/>
        <w:gridCol w:w="27"/>
        <w:gridCol w:w="823"/>
        <w:gridCol w:w="27"/>
        <w:gridCol w:w="823"/>
        <w:gridCol w:w="27"/>
      </w:tblGrid>
      <w:tr w:rsidR="00F66D7A" w:rsidRPr="00F66D7A" w:rsidTr="00A16E03">
        <w:trPr>
          <w:trHeight w:val="794"/>
        </w:trPr>
        <w:tc>
          <w:tcPr>
            <w:tcW w:w="3402" w:type="dxa"/>
            <w:tcBorders>
              <w:top w:val="single" w:sz="4" w:space="0" w:color="auto"/>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2017–18 Estimated actual</w:t>
            </w:r>
            <w:r w:rsidRPr="00F66D7A">
              <w:rPr>
                <w:rFonts w:ascii="Arial" w:hAnsi="Arial" w:cs="Arial"/>
                <w:sz w:val="16"/>
                <w:szCs w:val="16"/>
              </w:rPr>
              <w:br/>
              <w:t>$'000</w:t>
            </w:r>
          </w:p>
        </w:tc>
        <w:tc>
          <w:tcPr>
            <w:tcW w:w="854" w:type="dxa"/>
            <w:gridSpan w:val="2"/>
            <w:tcBorders>
              <w:top w:val="single" w:sz="4" w:space="0" w:color="auto"/>
              <w:left w:val="nil"/>
              <w:bottom w:val="single" w:sz="4" w:space="0" w:color="auto"/>
              <w:right w:val="nil"/>
            </w:tcBorders>
            <w:shd w:val="clear" w:color="000000" w:fill="E6E6E6"/>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2018–19</w:t>
            </w:r>
            <w:r w:rsidRPr="00F66D7A">
              <w:rPr>
                <w:rFonts w:ascii="Arial" w:hAnsi="Arial" w:cs="Arial"/>
                <w:sz w:val="16"/>
                <w:szCs w:val="16"/>
              </w:rPr>
              <w:br/>
              <w:t>Budget</w:t>
            </w:r>
            <w:r w:rsidRPr="00F66D7A">
              <w:rPr>
                <w:rFonts w:ascii="Arial" w:hAnsi="Arial" w:cs="Arial"/>
                <w:sz w:val="16"/>
                <w:szCs w:val="16"/>
              </w:rPr>
              <w:br/>
            </w:r>
            <w:r w:rsidRPr="00F66D7A">
              <w:rPr>
                <w:rFonts w:ascii="Arial" w:hAnsi="Arial" w:cs="Arial"/>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2019–20 Forward estimate</w:t>
            </w:r>
            <w:r w:rsidRPr="00F66D7A">
              <w:rPr>
                <w:rFonts w:ascii="Arial" w:hAnsi="Arial" w:cs="Arial"/>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2020–21 Forward estimate</w:t>
            </w:r>
            <w:r w:rsidRPr="00F66D7A">
              <w:rPr>
                <w:rFonts w:ascii="Arial" w:hAnsi="Arial" w:cs="Arial"/>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2021–22</w:t>
            </w:r>
            <w:r w:rsidRPr="00F66D7A">
              <w:rPr>
                <w:rFonts w:ascii="Arial" w:hAnsi="Arial" w:cs="Arial"/>
                <w:sz w:val="16"/>
                <w:szCs w:val="16"/>
              </w:rPr>
              <w:br/>
              <w:t>Forward estimate</w:t>
            </w:r>
            <w:r w:rsidRPr="00F66D7A">
              <w:rPr>
                <w:rFonts w:ascii="Arial" w:hAnsi="Arial" w:cs="Arial"/>
                <w:sz w:val="16"/>
                <w:szCs w:val="16"/>
              </w:rPr>
              <w:br/>
              <w:t>$'000</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EXPENSES</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Employee benefits</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12,196 </w:t>
            </w: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12,440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12,689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12,942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13,201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Suppliers</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7,805 </w:t>
            </w: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8,008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8,285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8,494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8,772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 xml:space="preserve">Grants </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Depreciation and amortisation (a)</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584 </w:t>
            </w: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590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604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620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642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expenses</w:t>
            </w:r>
          </w:p>
        </w:tc>
        <w:tc>
          <w:tcPr>
            <w:tcW w:w="879" w:type="dxa"/>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20,695 </w:t>
            </w:r>
          </w:p>
        </w:tc>
        <w:tc>
          <w:tcPr>
            <w:tcW w:w="854" w:type="dxa"/>
            <w:gridSpan w:val="2"/>
            <w:tcBorders>
              <w:top w:val="single" w:sz="4" w:space="0" w:color="auto"/>
              <w:left w:val="nil"/>
              <w:bottom w:val="single" w:sz="4" w:space="0" w:color="auto"/>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21,148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21,688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22,166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22,725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 xml:space="preserve">LESS: </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OWN-SOURCE INCOME</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Own-source revenue</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r>
      <w:tr w:rsidR="00F66D7A" w:rsidRPr="00F66D7A" w:rsidTr="00A16E03">
        <w:trPr>
          <w:trHeight w:val="227"/>
        </w:trPr>
        <w:tc>
          <w:tcPr>
            <w:tcW w:w="3402" w:type="dxa"/>
            <w:tcBorders>
              <w:top w:val="nil"/>
              <w:left w:val="nil"/>
              <w:bottom w:val="nil"/>
              <w:right w:val="nil"/>
            </w:tcBorders>
            <w:shd w:val="clear" w:color="auto" w:fill="auto"/>
            <w:vAlign w:val="center"/>
            <w:hideMark/>
          </w:tcPr>
          <w:p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Sale of goods and rendering of services</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10,044 </w:t>
            </w: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10,267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10,515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10,743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11,011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own-source revenue</w:t>
            </w:r>
          </w:p>
        </w:tc>
        <w:tc>
          <w:tcPr>
            <w:tcW w:w="879" w:type="dxa"/>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10,044 </w:t>
            </w:r>
          </w:p>
        </w:tc>
        <w:tc>
          <w:tcPr>
            <w:tcW w:w="854" w:type="dxa"/>
            <w:gridSpan w:val="2"/>
            <w:tcBorders>
              <w:top w:val="single" w:sz="4" w:space="0" w:color="auto"/>
              <w:left w:val="nil"/>
              <w:bottom w:val="single" w:sz="4" w:space="0" w:color="auto"/>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10,267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10,515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10,743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11,011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Gains</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Other</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gains</w:t>
            </w:r>
          </w:p>
        </w:tc>
        <w:tc>
          <w:tcPr>
            <w:tcW w:w="879" w:type="dxa"/>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c>
          <w:tcPr>
            <w:tcW w:w="854" w:type="dxa"/>
            <w:gridSpan w:val="2"/>
            <w:tcBorders>
              <w:top w:val="single" w:sz="4" w:space="0" w:color="auto"/>
              <w:left w:val="nil"/>
              <w:bottom w:val="single" w:sz="4" w:space="0" w:color="auto"/>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c>
          <w:tcPr>
            <w:tcW w:w="850" w:type="dxa"/>
            <w:gridSpan w:val="2"/>
            <w:tcBorders>
              <w:top w:val="single" w:sz="4" w:space="0" w:color="auto"/>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own-source income</w:t>
            </w:r>
          </w:p>
        </w:tc>
        <w:tc>
          <w:tcPr>
            <w:tcW w:w="879" w:type="dxa"/>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10,104 </w:t>
            </w:r>
          </w:p>
        </w:tc>
        <w:tc>
          <w:tcPr>
            <w:tcW w:w="854" w:type="dxa"/>
            <w:gridSpan w:val="2"/>
            <w:tcBorders>
              <w:top w:val="nil"/>
              <w:left w:val="nil"/>
              <w:bottom w:val="single" w:sz="4" w:space="0" w:color="auto"/>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10,327 </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10,575 </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10,803 </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11,071 </w:t>
            </w:r>
          </w:p>
        </w:tc>
      </w:tr>
      <w:tr w:rsidR="00F66D7A" w:rsidRPr="00F66D7A" w:rsidTr="00A16E03">
        <w:trPr>
          <w:trHeight w:val="227"/>
        </w:trPr>
        <w:tc>
          <w:tcPr>
            <w:tcW w:w="3402" w:type="dxa"/>
            <w:tcBorders>
              <w:top w:val="nil"/>
              <w:left w:val="nil"/>
              <w:bottom w:val="nil"/>
              <w:right w:val="nil"/>
            </w:tcBorders>
            <w:shd w:val="clear" w:color="auto" w:fill="auto"/>
            <w:vAlign w:val="center"/>
            <w:hideMark/>
          </w:tcPr>
          <w:p w:rsidR="00F66D7A" w:rsidRPr="00F66D7A" w:rsidRDefault="00F66D7A" w:rsidP="004326C9">
            <w:pPr>
              <w:spacing w:after="0" w:line="240" w:lineRule="auto"/>
              <w:rPr>
                <w:rFonts w:ascii="Arial" w:hAnsi="Arial" w:cs="Arial"/>
                <w:b/>
                <w:bCs/>
                <w:color w:val="000000"/>
                <w:sz w:val="16"/>
                <w:szCs w:val="16"/>
              </w:rPr>
            </w:pPr>
            <w:r w:rsidRPr="00F66D7A">
              <w:rPr>
                <w:rFonts w:ascii="Arial" w:hAnsi="Arial" w:cs="Arial"/>
                <w:b/>
                <w:bCs/>
                <w:color w:val="000000"/>
                <w:sz w:val="16"/>
                <w:szCs w:val="16"/>
              </w:rPr>
              <w:t>Net (cost of)/contribution by services</w:t>
            </w:r>
          </w:p>
        </w:tc>
        <w:tc>
          <w:tcPr>
            <w:tcW w:w="879" w:type="dxa"/>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(10,591)</w:t>
            </w:r>
          </w:p>
        </w:tc>
        <w:tc>
          <w:tcPr>
            <w:tcW w:w="854" w:type="dxa"/>
            <w:gridSpan w:val="2"/>
            <w:tcBorders>
              <w:top w:val="nil"/>
              <w:left w:val="nil"/>
              <w:bottom w:val="single" w:sz="4" w:space="0" w:color="auto"/>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(10,821)</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(11,113)</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(11,363)</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(11,654)</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Revenue from Government</w:t>
            </w:r>
          </w:p>
        </w:tc>
        <w:tc>
          <w:tcPr>
            <w:tcW w:w="879" w:type="dxa"/>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10,007 </w:t>
            </w:r>
          </w:p>
        </w:tc>
        <w:tc>
          <w:tcPr>
            <w:tcW w:w="854" w:type="dxa"/>
            <w:gridSpan w:val="2"/>
            <w:tcBorders>
              <w:top w:val="nil"/>
              <w:left w:val="nil"/>
              <w:bottom w:val="single" w:sz="4" w:space="0" w:color="auto"/>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10,231 </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10,509 </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10,743 </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11,012 </w:t>
            </w:r>
          </w:p>
        </w:tc>
      </w:tr>
      <w:tr w:rsidR="00F66D7A" w:rsidRPr="00F66D7A" w:rsidTr="00A16E03">
        <w:trPr>
          <w:trHeight w:val="397"/>
        </w:trPr>
        <w:tc>
          <w:tcPr>
            <w:tcW w:w="3402" w:type="dxa"/>
            <w:tcBorders>
              <w:top w:val="nil"/>
              <w:left w:val="nil"/>
              <w:bottom w:val="nil"/>
              <w:right w:val="nil"/>
            </w:tcBorders>
            <w:shd w:val="clear" w:color="auto" w:fill="auto"/>
            <w:vAlign w:val="center"/>
            <w:hideMark/>
          </w:tcPr>
          <w:p w:rsidR="00F66D7A" w:rsidRPr="00F66D7A" w:rsidRDefault="00F66D7A" w:rsidP="00A16E03">
            <w:pPr>
              <w:spacing w:after="0" w:line="240" w:lineRule="auto"/>
              <w:ind w:left="191" w:hanging="191"/>
              <w:rPr>
                <w:rFonts w:ascii="Arial" w:hAnsi="Arial" w:cs="Arial"/>
                <w:b/>
                <w:bCs/>
                <w:sz w:val="16"/>
                <w:szCs w:val="16"/>
              </w:rPr>
            </w:pPr>
            <w:r w:rsidRPr="00F66D7A">
              <w:rPr>
                <w:rFonts w:ascii="Arial" w:hAnsi="Arial" w:cs="Arial"/>
                <w:b/>
                <w:bCs/>
                <w:sz w:val="16"/>
                <w:szCs w:val="16"/>
              </w:rPr>
              <w:t>Surplus/(deficit) attributable to the</w:t>
            </w:r>
            <w:r w:rsidR="00A16E03">
              <w:rPr>
                <w:rFonts w:ascii="Arial" w:hAnsi="Arial" w:cs="Arial"/>
                <w:b/>
                <w:bCs/>
                <w:sz w:val="16"/>
                <w:szCs w:val="16"/>
              </w:rPr>
              <w:t xml:space="preserve"> Australian </w:t>
            </w:r>
            <w:r w:rsidRPr="00F66D7A">
              <w:rPr>
                <w:rFonts w:ascii="Arial" w:hAnsi="Arial" w:cs="Arial"/>
                <w:b/>
                <w:bCs/>
                <w:sz w:val="16"/>
                <w:szCs w:val="16"/>
              </w:rPr>
              <w:t>Government</w:t>
            </w:r>
          </w:p>
        </w:tc>
        <w:tc>
          <w:tcPr>
            <w:tcW w:w="879" w:type="dxa"/>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(584)</w:t>
            </w:r>
          </w:p>
        </w:tc>
        <w:tc>
          <w:tcPr>
            <w:tcW w:w="854" w:type="dxa"/>
            <w:gridSpan w:val="2"/>
            <w:tcBorders>
              <w:top w:val="nil"/>
              <w:left w:val="nil"/>
              <w:bottom w:val="single" w:sz="4" w:space="0" w:color="auto"/>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(590)</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(604)</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(620)</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(642)</w:t>
            </w:r>
          </w:p>
        </w:tc>
      </w:tr>
      <w:tr w:rsidR="00F66D7A" w:rsidRPr="00F66D7A" w:rsidTr="00A16E03">
        <w:trPr>
          <w:trHeight w:val="225"/>
        </w:trPr>
        <w:tc>
          <w:tcPr>
            <w:tcW w:w="3402" w:type="dxa"/>
            <w:tcBorders>
              <w:top w:val="nil"/>
              <w:left w:val="nil"/>
              <w:bottom w:val="nil"/>
              <w:right w:val="nil"/>
            </w:tcBorders>
            <w:shd w:val="clear" w:color="auto" w:fill="auto"/>
            <w:noWrap/>
            <w:vAlign w:val="center"/>
            <w:hideMark/>
          </w:tcPr>
          <w:p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comprehensive income/(loss)</w:t>
            </w:r>
          </w:p>
        </w:tc>
        <w:tc>
          <w:tcPr>
            <w:tcW w:w="879" w:type="dxa"/>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(584)</w:t>
            </w:r>
          </w:p>
        </w:tc>
        <w:tc>
          <w:tcPr>
            <w:tcW w:w="854" w:type="dxa"/>
            <w:gridSpan w:val="2"/>
            <w:tcBorders>
              <w:top w:val="nil"/>
              <w:left w:val="nil"/>
              <w:bottom w:val="single" w:sz="4" w:space="0" w:color="auto"/>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(590)</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(604)</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(620)</w:t>
            </w:r>
          </w:p>
        </w:tc>
        <w:tc>
          <w:tcPr>
            <w:tcW w:w="850" w:type="dxa"/>
            <w:gridSpan w:val="2"/>
            <w:tcBorders>
              <w:top w:val="nil"/>
              <w:left w:val="nil"/>
              <w:bottom w:val="single" w:sz="4" w:space="0" w:color="auto"/>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(642)</w:t>
            </w:r>
          </w:p>
        </w:tc>
      </w:tr>
      <w:tr w:rsidR="00F66D7A" w:rsidRPr="00F66D7A" w:rsidTr="00A16E03">
        <w:trPr>
          <w:trHeight w:val="567"/>
        </w:trPr>
        <w:tc>
          <w:tcPr>
            <w:tcW w:w="3402" w:type="dxa"/>
            <w:tcBorders>
              <w:top w:val="nil"/>
              <w:left w:val="nil"/>
              <w:bottom w:val="single" w:sz="4" w:space="0" w:color="auto"/>
              <w:right w:val="nil"/>
            </w:tcBorders>
            <w:shd w:val="clear" w:color="auto" w:fill="auto"/>
            <w:vAlign w:val="bottom"/>
            <w:hideMark/>
          </w:tcPr>
          <w:p w:rsidR="00F66D7A" w:rsidRPr="00F66D7A" w:rsidRDefault="00F66D7A" w:rsidP="00A16E03">
            <w:pPr>
              <w:spacing w:after="0" w:line="240" w:lineRule="auto"/>
              <w:ind w:left="191" w:hanging="191"/>
              <w:rPr>
                <w:rFonts w:ascii="Arial" w:hAnsi="Arial" w:cs="Arial"/>
                <w:b/>
                <w:bCs/>
                <w:sz w:val="16"/>
                <w:szCs w:val="16"/>
              </w:rPr>
            </w:pPr>
            <w:r w:rsidRPr="00F66D7A">
              <w:rPr>
                <w:rFonts w:ascii="Arial" w:hAnsi="Arial" w:cs="Arial"/>
                <w:b/>
                <w:bCs/>
                <w:sz w:val="16"/>
                <w:szCs w:val="16"/>
              </w:rPr>
              <w:t>Total comprehensive income/(loss) attributable to the Australian Government</w:t>
            </w:r>
          </w:p>
        </w:tc>
        <w:tc>
          <w:tcPr>
            <w:tcW w:w="879" w:type="dxa"/>
            <w:tcBorders>
              <w:top w:val="nil"/>
              <w:left w:val="nil"/>
              <w:bottom w:val="single" w:sz="4" w:space="0" w:color="auto"/>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(584)</w:t>
            </w:r>
          </w:p>
        </w:tc>
        <w:tc>
          <w:tcPr>
            <w:tcW w:w="854" w:type="dxa"/>
            <w:gridSpan w:val="2"/>
            <w:tcBorders>
              <w:top w:val="nil"/>
              <w:left w:val="nil"/>
              <w:bottom w:val="single" w:sz="4" w:space="0" w:color="auto"/>
              <w:right w:val="nil"/>
            </w:tcBorders>
            <w:shd w:val="clear" w:color="000000" w:fill="E6E6E6"/>
            <w:noWrap/>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(590)</w:t>
            </w:r>
          </w:p>
        </w:tc>
        <w:tc>
          <w:tcPr>
            <w:tcW w:w="850" w:type="dxa"/>
            <w:gridSpan w:val="2"/>
            <w:tcBorders>
              <w:top w:val="nil"/>
              <w:left w:val="nil"/>
              <w:bottom w:val="single" w:sz="4" w:space="0" w:color="auto"/>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(604)</w:t>
            </w:r>
          </w:p>
        </w:tc>
        <w:tc>
          <w:tcPr>
            <w:tcW w:w="850" w:type="dxa"/>
            <w:gridSpan w:val="2"/>
            <w:tcBorders>
              <w:top w:val="nil"/>
              <w:left w:val="nil"/>
              <w:bottom w:val="single" w:sz="4" w:space="0" w:color="auto"/>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(620)</w:t>
            </w:r>
          </w:p>
        </w:tc>
        <w:tc>
          <w:tcPr>
            <w:tcW w:w="850" w:type="dxa"/>
            <w:gridSpan w:val="2"/>
            <w:tcBorders>
              <w:top w:val="nil"/>
              <w:left w:val="nil"/>
              <w:bottom w:val="single" w:sz="4" w:space="0" w:color="auto"/>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(642)</w:t>
            </w:r>
          </w:p>
        </w:tc>
      </w:tr>
      <w:tr w:rsidR="00F66D7A" w:rsidRPr="00F66D7A" w:rsidTr="00A16E03">
        <w:trPr>
          <w:trHeight w:val="225"/>
        </w:trPr>
        <w:tc>
          <w:tcPr>
            <w:tcW w:w="3402" w:type="dxa"/>
            <w:tcBorders>
              <w:top w:val="nil"/>
              <w:left w:val="nil"/>
              <w:bottom w:val="nil"/>
              <w:right w:val="nil"/>
            </w:tcBorders>
            <w:shd w:val="clear" w:color="auto" w:fill="auto"/>
            <w:vAlign w:val="bottom"/>
            <w:hideMark/>
          </w:tcPr>
          <w:p w:rsidR="00F66D7A" w:rsidRPr="00F66D7A" w:rsidRDefault="00F66D7A" w:rsidP="00F66D7A">
            <w:pPr>
              <w:spacing w:after="0" w:line="240" w:lineRule="auto"/>
              <w:rPr>
                <w:rFonts w:ascii="Arial" w:hAnsi="Arial" w:cs="Arial"/>
                <w:sz w:val="16"/>
                <w:szCs w:val="16"/>
              </w:rPr>
            </w:pPr>
          </w:p>
        </w:tc>
        <w:tc>
          <w:tcPr>
            <w:tcW w:w="879" w:type="dxa"/>
            <w:tcBorders>
              <w:top w:val="nil"/>
              <w:left w:val="nil"/>
              <w:bottom w:val="nil"/>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sz w:val="16"/>
                <w:szCs w:val="16"/>
              </w:rPr>
            </w:pPr>
          </w:p>
        </w:tc>
        <w:tc>
          <w:tcPr>
            <w:tcW w:w="850" w:type="dxa"/>
            <w:gridSpan w:val="2"/>
            <w:tcBorders>
              <w:top w:val="nil"/>
              <w:left w:val="nil"/>
              <w:bottom w:val="nil"/>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sz w:val="16"/>
                <w:szCs w:val="16"/>
              </w:rPr>
            </w:pPr>
          </w:p>
        </w:tc>
        <w:tc>
          <w:tcPr>
            <w:tcW w:w="850" w:type="dxa"/>
            <w:gridSpan w:val="2"/>
            <w:tcBorders>
              <w:top w:val="nil"/>
              <w:left w:val="nil"/>
              <w:bottom w:val="nil"/>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sz w:val="16"/>
                <w:szCs w:val="16"/>
              </w:rPr>
            </w:pPr>
          </w:p>
        </w:tc>
      </w:tr>
      <w:tr w:rsidR="00F66D7A" w:rsidRPr="00F66D7A" w:rsidTr="00A16E03">
        <w:trPr>
          <w:gridAfter w:val="1"/>
          <w:wAfter w:w="27" w:type="dxa"/>
          <w:trHeight w:val="225"/>
        </w:trPr>
        <w:tc>
          <w:tcPr>
            <w:tcW w:w="5108" w:type="dxa"/>
            <w:gridSpan w:val="3"/>
            <w:tcBorders>
              <w:top w:val="nil"/>
              <w:left w:val="nil"/>
              <w:bottom w:val="nil"/>
              <w:right w:val="nil"/>
            </w:tcBorders>
            <w:shd w:val="clear" w:color="auto" w:fill="auto"/>
            <w:noWrap/>
            <w:vAlign w:val="center"/>
            <w:hideMark/>
          </w:tcPr>
          <w:p w:rsidR="00F66D7A" w:rsidRPr="00F66D7A" w:rsidRDefault="00F66D7A" w:rsidP="00F66D7A">
            <w:pPr>
              <w:spacing w:after="0" w:line="240" w:lineRule="auto"/>
              <w:rPr>
                <w:rFonts w:ascii="Arial" w:hAnsi="Arial" w:cs="Arial"/>
                <w:b/>
                <w:bCs/>
                <w:color w:val="000000"/>
                <w:sz w:val="16"/>
                <w:szCs w:val="16"/>
              </w:rPr>
            </w:pPr>
            <w:r w:rsidRPr="00F66D7A">
              <w:rPr>
                <w:rFonts w:ascii="Arial" w:hAnsi="Arial" w:cs="Arial"/>
                <w:b/>
                <w:bCs/>
                <w:color w:val="000000"/>
                <w:sz w:val="16"/>
                <w:szCs w:val="16"/>
              </w:rPr>
              <w:t>Note: Impact of net cash appropriation arrangements</w:t>
            </w:r>
          </w:p>
        </w:tc>
        <w:tc>
          <w:tcPr>
            <w:tcW w:w="850" w:type="dxa"/>
            <w:gridSpan w:val="2"/>
            <w:tcBorders>
              <w:top w:val="nil"/>
              <w:left w:val="nil"/>
              <w:bottom w:val="nil"/>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sz w:val="16"/>
                <w:szCs w:val="16"/>
              </w:rPr>
            </w:pPr>
          </w:p>
        </w:tc>
        <w:tc>
          <w:tcPr>
            <w:tcW w:w="850" w:type="dxa"/>
            <w:gridSpan w:val="2"/>
            <w:tcBorders>
              <w:top w:val="nil"/>
              <w:left w:val="nil"/>
              <w:bottom w:val="nil"/>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sz w:val="16"/>
                <w:szCs w:val="16"/>
              </w:rPr>
            </w:pPr>
          </w:p>
        </w:tc>
        <w:tc>
          <w:tcPr>
            <w:tcW w:w="850" w:type="dxa"/>
            <w:gridSpan w:val="2"/>
            <w:tcBorders>
              <w:top w:val="nil"/>
              <w:left w:val="nil"/>
              <w:bottom w:val="nil"/>
              <w:right w:val="nil"/>
            </w:tcBorders>
            <w:shd w:val="clear" w:color="auto" w:fill="auto"/>
            <w:noWrap/>
            <w:vAlign w:val="bottom"/>
            <w:hideMark/>
          </w:tcPr>
          <w:p w:rsidR="00F66D7A" w:rsidRPr="00F66D7A" w:rsidRDefault="00F66D7A" w:rsidP="00F66D7A">
            <w:pPr>
              <w:spacing w:after="0" w:line="240" w:lineRule="auto"/>
              <w:jc w:val="right"/>
              <w:rPr>
                <w:rFonts w:ascii="Arial" w:hAnsi="Arial" w:cs="Arial"/>
                <w:sz w:val="16"/>
                <w:szCs w:val="16"/>
              </w:rPr>
            </w:pPr>
          </w:p>
        </w:tc>
      </w:tr>
      <w:tr w:rsidR="00F66D7A" w:rsidRPr="00F66D7A" w:rsidTr="00A16E03">
        <w:trPr>
          <w:trHeight w:val="454"/>
        </w:trPr>
        <w:tc>
          <w:tcPr>
            <w:tcW w:w="3402" w:type="dxa"/>
            <w:tcBorders>
              <w:top w:val="single" w:sz="4" w:space="0" w:color="auto"/>
              <w:left w:val="nil"/>
              <w:bottom w:val="nil"/>
              <w:right w:val="nil"/>
            </w:tcBorders>
            <w:shd w:val="clear" w:color="auto" w:fill="auto"/>
            <w:vAlign w:val="bottom"/>
            <w:hideMark/>
          </w:tcPr>
          <w:p w:rsidR="00F66D7A" w:rsidRPr="00F66D7A" w:rsidRDefault="00F66D7A" w:rsidP="00F66D7A">
            <w:pPr>
              <w:spacing w:after="0" w:line="240" w:lineRule="auto"/>
              <w:rPr>
                <w:rFonts w:ascii="Arial" w:hAnsi="Arial" w:cs="Arial"/>
                <w:sz w:val="16"/>
                <w:szCs w:val="16"/>
              </w:rPr>
            </w:pPr>
            <w:r w:rsidRPr="00F66D7A">
              <w:rPr>
                <w:rFonts w:ascii="Arial" w:hAnsi="Arial" w:cs="Arial"/>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2017–18</w:t>
            </w:r>
            <w:r w:rsidRPr="00F66D7A">
              <w:rPr>
                <w:rFonts w:ascii="Arial" w:hAnsi="Arial" w:cs="Arial"/>
                <w:color w:val="000000"/>
                <w:sz w:val="16"/>
                <w:szCs w:val="16"/>
              </w:rPr>
              <w:br/>
              <w:t>$'000</w:t>
            </w:r>
          </w:p>
        </w:tc>
        <w:tc>
          <w:tcPr>
            <w:tcW w:w="854" w:type="dxa"/>
            <w:gridSpan w:val="2"/>
            <w:tcBorders>
              <w:top w:val="single" w:sz="4" w:space="0" w:color="auto"/>
              <w:left w:val="nil"/>
              <w:bottom w:val="single" w:sz="4" w:space="0" w:color="auto"/>
              <w:right w:val="nil"/>
            </w:tcBorders>
            <w:shd w:val="clear" w:color="000000" w:fill="E6E6E6"/>
            <w:vAlign w:val="center"/>
            <w:hideMark/>
          </w:tcPr>
          <w:p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2018–19</w:t>
            </w:r>
            <w:r w:rsidRPr="00F66D7A">
              <w:rPr>
                <w:rFonts w:ascii="Arial" w:hAnsi="Arial" w:cs="Arial"/>
                <w:color w:val="000000"/>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2019–20</w:t>
            </w:r>
            <w:r w:rsidRPr="00F66D7A">
              <w:rPr>
                <w:rFonts w:ascii="Arial" w:hAnsi="Arial" w:cs="Arial"/>
                <w:color w:val="000000"/>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2020–21</w:t>
            </w:r>
            <w:r w:rsidRPr="00F66D7A">
              <w:rPr>
                <w:rFonts w:ascii="Arial" w:hAnsi="Arial" w:cs="Arial"/>
                <w:color w:val="000000"/>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2021–22</w:t>
            </w:r>
            <w:r w:rsidRPr="00F66D7A">
              <w:rPr>
                <w:rFonts w:ascii="Arial" w:hAnsi="Arial" w:cs="Arial"/>
                <w:color w:val="000000"/>
                <w:sz w:val="16"/>
                <w:szCs w:val="16"/>
              </w:rPr>
              <w:br/>
              <w:t>$'000</w:t>
            </w:r>
          </w:p>
        </w:tc>
      </w:tr>
      <w:tr w:rsidR="00F66D7A" w:rsidRPr="00F66D7A" w:rsidTr="001129DC">
        <w:trPr>
          <w:trHeight w:val="794"/>
        </w:trPr>
        <w:tc>
          <w:tcPr>
            <w:tcW w:w="3402" w:type="dxa"/>
            <w:tcBorders>
              <w:top w:val="nil"/>
              <w:left w:val="nil"/>
              <w:bottom w:val="nil"/>
              <w:right w:val="nil"/>
            </w:tcBorders>
            <w:shd w:val="clear" w:color="auto" w:fill="auto"/>
            <w:vAlign w:val="center"/>
            <w:hideMark/>
          </w:tcPr>
          <w:p w:rsidR="00F66D7A" w:rsidRPr="00F66D7A" w:rsidRDefault="00F66D7A" w:rsidP="001129DC">
            <w:pPr>
              <w:spacing w:after="0" w:line="240" w:lineRule="auto"/>
              <w:ind w:left="191" w:hanging="191"/>
              <w:rPr>
                <w:rFonts w:ascii="Arial" w:hAnsi="Arial" w:cs="Arial"/>
                <w:b/>
                <w:bCs/>
                <w:color w:val="000000"/>
                <w:sz w:val="16"/>
                <w:szCs w:val="16"/>
              </w:rPr>
            </w:pPr>
            <w:r w:rsidRPr="00F66D7A">
              <w:rPr>
                <w:rFonts w:ascii="Arial" w:hAnsi="Arial" w:cs="Arial"/>
                <w:b/>
                <w:bCs/>
                <w:color w:val="000000"/>
                <w:sz w:val="16"/>
                <w:szCs w:val="16"/>
              </w:rPr>
              <w:t>Total comprehensive income/(loss) excluding depreciation/amortisation expenses previously funded through revenue appropriations</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c>
          <w:tcPr>
            <w:tcW w:w="854" w:type="dxa"/>
            <w:gridSpan w:val="2"/>
            <w:tcBorders>
              <w:top w:val="nil"/>
              <w:left w:val="nil"/>
              <w:bottom w:val="nil"/>
              <w:right w:val="nil"/>
            </w:tcBorders>
            <w:shd w:val="clear" w:color="000000" w:fill="E6E6E6"/>
            <w:noWrap/>
            <w:vAlign w:val="center"/>
            <w:hideMark/>
          </w:tcPr>
          <w:p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r>
      <w:tr w:rsidR="00F66D7A" w:rsidRPr="00F66D7A" w:rsidTr="001129DC">
        <w:trPr>
          <w:trHeight w:val="567"/>
        </w:trPr>
        <w:tc>
          <w:tcPr>
            <w:tcW w:w="3402" w:type="dxa"/>
            <w:tcBorders>
              <w:top w:val="nil"/>
              <w:left w:val="nil"/>
              <w:bottom w:val="nil"/>
              <w:right w:val="nil"/>
            </w:tcBorders>
            <w:shd w:val="clear" w:color="auto" w:fill="auto"/>
            <w:vAlign w:val="center"/>
            <w:hideMark/>
          </w:tcPr>
          <w:p w:rsidR="00F66D7A" w:rsidRPr="00F66D7A" w:rsidRDefault="00F66D7A" w:rsidP="001129DC">
            <w:pPr>
              <w:spacing w:after="0" w:line="240" w:lineRule="auto"/>
              <w:ind w:leftChars="79" w:left="331" w:hangingChars="108" w:hanging="173"/>
              <w:rPr>
                <w:rFonts w:ascii="Arial" w:hAnsi="Arial" w:cs="Arial"/>
                <w:color w:val="000000"/>
                <w:sz w:val="16"/>
                <w:szCs w:val="16"/>
              </w:rPr>
            </w:pPr>
            <w:r w:rsidRPr="00F66D7A">
              <w:rPr>
                <w:rFonts w:ascii="Arial" w:hAnsi="Arial" w:cs="Arial"/>
                <w:color w:val="000000"/>
                <w:sz w:val="16"/>
                <w:szCs w:val="16"/>
              </w:rPr>
              <w:t>less depreciation/amortisation expenses previously funded through revenue appropriations (a)</w:t>
            </w:r>
          </w:p>
        </w:tc>
        <w:tc>
          <w:tcPr>
            <w:tcW w:w="879" w:type="dxa"/>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584 </w:t>
            </w:r>
          </w:p>
        </w:tc>
        <w:tc>
          <w:tcPr>
            <w:tcW w:w="854" w:type="dxa"/>
            <w:gridSpan w:val="2"/>
            <w:tcBorders>
              <w:top w:val="nil"/>
              <w:left w:val="nil"/>
              <w:bottom w:val="nil"/>
              <w:right w:val="nil"/>
            </w:tcBorders>
            <w:shd w:val="clear" w:color="000000" w:fill="E6E6E6"/>
            <w:noWrap/>
            <w:vAlign w:val="center"/>
            <w:hideMark/>
          </w:tcPr>
          <w:p w:rsidR="00F66D7A" w:rsidRPr="00E56D63" w:rsidRDefault="00F66D7A" w:rsidP="00A16E03">
            <w:pPr>
              <w:spacing w:after="0" w:line="240" w:lineRule="auto"/>
              <w:jc w:val="right"/>
              <w:rPr>
                <w:rFonts w:ascii="Arial" w:hAnsi="Arial" w:cs="Arial"/>
                <w:bCs/>
                <w:sz w:val="16"/>
                <w:szCs w:val="16"/>
              </w:rPr>
            </w:pPr>
            <w:r w:rsidRPr="00E56D63">
              <w:rPr>
                <w:rFonts w:ascii="Arial" w:hAnsi="Arial" w:cs="Arial"/>
                <w:bCs/>
                <w:sz w:val="16"/>
                <w:szCs w:val="16"/>
              </w:rPr>
              <w:t xml:space="preserve">590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604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620 </w:t>
            </w:r>
          </w:p>
        </w:tc>
        <w:tc>
          <w:tcPr>
            <w:tcW w:w="850" w:type="dxa"/>
            <w:gridSpan w:val="2"/>
            <w:tcBorders>
              <w:top w:val="nil"/>
              <w:left w:val="nil"/>
              <w:bottom w:val="nil"/>
              <w:right w:val="nil"/>
            </w:tcBorders>
            <w:shd w:val="clear" w:color="auto" w:fill="auto"/>
            <w:noWrap/>
            <w:vAlign w:val="center"/>
            <w:hideMark/>
          </w:tcPr>
          <w:p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642 </w:t>
            </w:r>
          </w:p>
        </w:tc>
      </w:tr>
      <w:tr w:rsidR="00F66D7A" w:rsidRPr="00F66D7A" w:rsidTr="001129DC">
        <w:trPr>
          <w:trHeight w:val="567"/>
        </w:trPr>
        <w:tc>
          <w:tcPr>
            <w:tcW w:w="3402" w:type="dxa"/>
            <w:tcBorders>
              <w:top w:val="nil"/>
              <w:left w:val="nil"/>
              <w:bottom w:val="single" w:sz="4" w:space="0" w:color="auto"/>
              <w:right w:val="nil"/>
            </w:tcBorders>
            <w:shd w:val="clear" w:color="auto" w:fill="auto"/>
            <w:vAlign w:val="bottom"/>
            <w:hideMark/>
          </w:tcPr>
          <w:p w:rsidR="00F66D7A" w:rsidRPr="00F66D7A" w:rsidRDefault="00F66D7A" w:rsidP="001129DC">
            <w:pPr>
              <w:spacing w:after="0" w:line="240" w:lineRule="auto"/>
              <w:ind w:left="191" w:hanging="191"/>
              <w:rPr>
                <w:rFonts w:ascii="Arial" w:hAnsi="Arial" w:cs="Arial"/>
                <w:b/>
                <w:bCs/>
                <w:color w:val="000000"/>
                <w:sz w:val="16"/>
                <w:szCs w:val="16"/>
              </w:rPr>
            </w:pPr>
            <w:r w:rsidRPr="00F66D7A">
              <w:rPr>
                <w:rFonts w:ascii="Arial" w:hAnsi="Arial" w:cs="Arial"/>
                <w:b/>
                <w:bCs/>
                <w:color w:val="000000"/>
                <w:sz w:val="16"/>
                <w:szCs w:val="16"/>
              </w:rPr>
              <w:t>Total comprehensive income/(loss)—as per the statement of comprehensive income</w:t>
            </w:r>
          </w:p>
        </w:tc>
        <w:tc>
          <w:tcPr>
            <w:tcW w:w="879" w:type="dxa"/>
            <w:tcBorders>
              <w:top w:val="single" w:sz="4" w:space="0" w:color="auto"/>
              <w:left w:val="nil"/>
              <w:bottom w:val="single" w:sz="4" w:space="0" w:color="auto"/>
              <w:right w:val="nil"/>
            </w:tcBorders>
            <w:shd w:val="clear" w:color="auto" w:fill="auto"/>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(584)</w:t>
            </w:r>
          </w:p>
        </w:tc>
        <w:tc>
          <w:tcPr>
            <w:tcW w:w="854" w:type="dxa"/>
            <w:gridSpan w:val="2"/>
            <w:tcBorders>
              <w:top w:val="single" w:sz="4" w:space="0" w:color="auto"/>
              <w:left w:val="nil"/>
              <w:bottom w:val="single" w:sz="4" w:space="0" w:color="auto"/>
              <w:right w:val="nil"/>
            </w:tcBorders>
            <w:shd w:val="clear" w:color="000000" w:fill="E6E6E6"/>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(590)</w:t>
            </w:r>
          </w:p>
        </w:tc>
        <w:tc>
          <w:tcPr>
            <w:tcW w:w="850" w:type="dxa"/>
            <w:gridSpan w:val="2"/>
            <w:tcBorders>
              <w:top w:val="single" w:sz="4" w:space="0" w:color="auto"/>
              <w:left w:val="nil"/>
              <w:bottom w:val="single" w:sz="4" w:space="0" w:color="auto"/>
              <w:right w:val="nil"/>
            </w:tcBorders>
            <w:shd w:val="clear" w:color="auto" w:fill="auto"/>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(604)</w:t>
            </w:r>
          </w:p>
        </w:tc>
        <w:tc>
          <w:tcPr>
            <w:tcW w:w="850" w:type="dxa"/>
            <w:gridSpan w:val="2"/>
            <w:tcBorders>
              <w:top w:val="single" w:sz="4" w:space="0" w:color="auto"/>
              <w:left w:val="nil"/>
              <w:bottom w:val="single" w:sz="4" w:space="0" w:color="auto"/>
              <w:right w:val="nil"/>
            </w:tcBorders>
            <w:shd w:val="clear" w:color="auto" w:fill="auto"/>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(620)</w:t>
            </w:r>
          </w:p>
        </w:tc>
        <w:tc>
          <w:tcPr>
            <w:tcW w:w="850" w:type="dxa"/>
            <w:gridSpan w:val="2"/>
            <w:tcBorders>
              <w:top w:val="single" w:sz="4" w:space="0" w:color="auto"/>
              <w:left w:val="nil"/>
              <w:bottom w:val="single" w:sz="4" w:space="0" w:color="auto"/>
              <w:right w:val="nil"/>
            </w:tcBorders>
            <w:shd w:val="clear" w:color="auto" w:fill="auto"/>
            <w:vAlign w:val="bottom"/>
            <w:hideMark/>
          </w:tcPr>
          <w:p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(642)</w:t>
            </w:r>
          </w:p>
        </w:tc>
      </w:tr>
    </w:tbl>
    <w:p w:rsidR="00FB6B43" w:rsidRPr="001129DC" w:rsidRDefault="00FB6B43" w:rsidP="00E01B4E">
      <w:pPr>
        <w:pStyle w:val="ChartandTableFootnoteAlpha"/>
        <w:numPr>
          <w:ilvl w:val="0"/>
          <w:numId w:val="53"/>
        </w:numPr>
        <w:rPr>
          <w:rFonts w:cs="Arial"/>
        </w:rPr>
      </w:pPr>
      <w:r w:rsidRPr="001129DC">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FB6B43" w:rsidRPr="009D54F3" w:rsidRDefault="00FB6B43" w:rsidP="00FB6B43">
      <w:pPr>
        <w:pStyle w:val="ChartandTableFootnote"/>
      </w:pPr>
      <w:r w:rsidRPr="009D54F3">
        <w:t>Prepared on Australian Accounting Standards basis.</w:t>
      </w:r>
    </w:p>
    <w:p w:rsidR="001129DC" w:rsidRDefault="00FB6B43" w:rsidP="001129DC">
      <w:pPr>
        <w:pStyle w:val="TableHeading"/>
      </w:pPr>
      <w:r>
        <w:br w:type="page"/>
      </w:r>
      <w:r w:rsidR="001129DC" w:rsidRPr="00E4582E">
        <w:lastRenderedPageBreak/>
        <w:t>Table</w:t>
      </w:r>
      <w:r w:rsidR="001129DC">
        <w:t xml:space="preserve"> 3.</w:t>
      </w:r>
      <w:r w:rsidR="001129DC" w:rsidRPr="00E4582E">
        <w:t>2: Budg</w:t>
      </w:r>
      <w:r w:rsidR="001129DC">
        <w:t xml:space="preserve">eted departmental balance sheet </w:t>
      </w:r>
      <w:r w:rsidR="001129DC" w:rsidRPr="00E4582E">
        <w:t>(as at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1129DC" w:rsidRPr="001129DC" w:rsidTr="009F76A1">
        <w:trPr>
          <w:trHeight w:val="794"/>
        </w:trPr>
        <w:tc>
          <w:tcPr>
            <w:tcW w:w="3146" w:type="dxa"/>
            <w:tcBorders>
              <w:top w:val="single" w:sz="4" w:space="0" w:color="auto"/>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sz w:val="16"/>
                <w:szCs w:val="16"/>
              </w:rPr>
            </w:pPr>
            <w:r w:rsidRPr="001129DC">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2017–18 Estimated actual</w:t>
            </w:r>
            <w:r w:rsidRPr="001129D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2018–19</w:t>
            </w:r>
            <w:r w:rsidRPr="001129DC">
              <w:rPr>
                <w:rFonts w:ascii="Arial" w:hAnsi="Arial" w:cs="Arial"/>
                <w:sz w:val="16"/>
                <w:szCs w:val="16"/>
              </w:rPr>
              <w:br/>
              <w:t>Budget</w:t>
            </w:r>
            <w:r w:rsidRPr="001129DC">
              <w:rPr>
                <w:rFonts w:ascii="Arial" w:hAnsi="Arial" w:cs="Arial"/>
                <w:sz w:val="16"/>
                <w:szCs w:val="16"/>
              </w:rPr>
              <w:br/>
            </w:r>
            <w:r w:rsidRPr="001129D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2019–20 Forward estimate</w:t>
            </w:r>
            <w:r w:rsidRPr="001129D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2020–21 Forward estimate</w:t>
            </w:r>
            <w:r w:rsidRPr="001129D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2021–22</w:t>
            </w:r>
            <w:r w:rsidRPr="001129DC">
              <w:rPr>
                <w:rFonts w:ascii="Arial" w:hAnsi="Arial" w:cs="Arial"/>
                <w:sz w:val="16"/>
                <w:szCs w:val="16"/>
              </w:rPr>
              <w:br/>
              <w:t>Forward estimate</w:t>
            </w:r>
            <w:r w:rsidRPr="001129DC">
              <w:rPr>
                <w:rFonts w:ascii="Arial" w:hAnsi="Arial" w:cs="Arial"/>
                <w:sz w:val="16"/>
                <w:szCs w:val="16"/>
              </w:rPr>
              <w:br/>
              <w:t>$'000</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 xml:space="preserve">Cash </w:t>
            </w:r>
            <w:r w:rsidRPr="001129DC">
              <w:rPr>
                <w:rFonts w:ascii="Arial" w:hAnsi="Arial" w:cs="Arial"/>
                <w:sz w:val="16"/>
                <w:szCs w:val="16"/>
              </w:rPr>
              <w:t>and cash equivalents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sz w:val="16"/>
                <w:szCs w:val="16"/>
              </w:rPr>
            </w:pPr>
            <w:r w:rsidRPr="001129DC">
              <w:rPr>
                <w:rFonts w:ascii="Arial" w:hAnsi="Arial" w:cs="Arial"/>
                <w:sz w:val="16"/>
                <w:szCs w:val="16"/>
              </w:rPr>
              <w:t>Trade and other receivables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r>
      <w:tr w:rsidR="001129DC" w:rsidRPr="001129DC" w:rsidTr="009F76A1">
        <w:trPr>
          <w:trHeight w:val="227"/>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c>
          <w:tcPr>
            <w:tcW w:w="907"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Land and buildings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2,078</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1,573</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1,048</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665</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241</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Property, plant and equipment</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124</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143</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156</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192</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Intangibles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23</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22</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31</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43</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r>
      <w:tr w:rsidR="001129DC" w:rsidRPr="001129DC" w:rsidTr="009F76A1">
        <w:trPr>
          <w:trHeight w:val="227"/>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2,296 </w:t>
            </w:r>
          </w:p>
        </w:tc>
        <w:tc>
          <w:tcPr>
            <w:tcW w:w="907"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1,798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1,293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928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547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Total assets</w:t>
            </w:r>
          </w:p>
        </w:tc>
        <w:tc>
          <w:tcPr>
            <w:tcW w:w="964"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15,833 </w:t>
            </w:r>
          </w:p>
        </w:tc>
        <w:tc>
          <w:tcPr>
            <w:tcW w:w="907" w:type="dxa"/>
            <w:tcBorders>
              <w:top w:val="nil"/>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15,335 </w:t>
            </w:r>
          </w:p>
        </w:tc>
        <w:tc>
          <w:tcPr>
            <w:tcW w:w="907"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14,830 </w:t>
            </w:r>
          </w:p>
        </w:tc>
        <w:tc>
          <w:tcPr>
            <w:tcW w:w="907"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14,465 </w:t>
            </w:r>
          </w:p>
        </w:tc>
        <w:tc>
          <w:tcPr>
            <w:tcW w:w="907"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14,084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r>
      <w:tr w:rsidR="001129DC" w:rsidRPr="001129DC" w:rsidTr="009F76A1">
        <w:trPr>
          <w:trHeight w:val="227"/>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c>
          <w:tcPr>
            <w:tcW w:w="907"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Employee provisions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r>
      <w:tr w:rsidR="001129DC" w:rsidRPr="001129DC" w:rsidTr="009F76A1">
        <w:trPr>
          <w:trHeight w:val="227"/>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c>
          <w:tcPr>
            <w:tcW w:w="907"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Total liabilities</w:t>
            </w:r>
          </w:p>
        </w:tc>
        <w:tc>
          <w:tcPr>
            <w:tcW w:w="964"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c>
          <w:tcPr>
            <w:tcW w:w="907" w:type="dxa"/>
            <w:tcBorders>
              <w:top w:val="nil"/>
              <w:left w:val="nil"/>
              <w:bottom w:val="single" w:sz="4" w:space="0" w:color="auto"/>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c>
          <w:tcPr>
            <w:tcW w:w="907"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c>
          <w:tcPr>
            <w:tcW w:w="907"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c>
          <w:tcPr>
            <w:tcW w:w="907"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sz w:val="16"/>
                <w:szCs w:val="16"/>
              </w:rPr>
            </w:pPr>
            <w:r w:rsidRPr="001129DC">
              <w:rPr>
                <w:rFonts w:ascii="Arial" w:hAnsi="Arial" w:cs="Arial"/>
                <w:b/>
                <w:bCs/>
                <w:sz w:val="16"/>
                <w:szCs w:val="16"/>
              </w:rPr>
              <w:t>Net assets</w:t>
            </w:r>
          </w:p>
        </w:tc>
        <w:tc>
          <w:tcPr>
            <w:tcW w:w="964"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11,170 </w:t>
            </w:r>
          </w:p>
        </w:tc>
        <w:tc>
          <w:tcPr>
            <w:tcW w:w="907" w:type="dxa"/>
            <w:tcBorders>
              <w:top w:val="nil"/>
              <w:left w:val="nil"/>
              <w:bottom w:val="single" w:sz="4" w:space="0" w:color="auto"/>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10,672 </w:t>
            </w:r>
          </w:p>
        </w:tc>
        <w:tc>
          <w:tcPr>
            <w:tcW w:w="907"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10,167 </w:t>
            </w:r>
          </w:p>
        </w:tc>
        <w:tc>
          <w:tcPr>
            <w:tcW w:w="907"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9,802 </w:t>
            </w:r>
          </w:p>
        </w:tc>
        <w:tc>
          <w:tcPr>
            <w:tcW w:w="907"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9,421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EQUITY*</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Parent entity interest</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Contributed equity</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5,117 </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5,209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5,308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5,563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5,824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Reserves</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r>
      <w:tr w:rsidR="001129DC" w:rsidRPr="001129DC" w:rsidTr="009F76A1">
        <w:trPr>
          <w:trHeight w:val="227"/>
        </w:trPr>
        <w:tc>
          <w:tcPr>
            <w:tcW w:w="3146" w:type="dxa"/>
            <w:tcBorders>
              <w:top w:val="nil"/>
              <w:left w:val="nil"/>
              <w:bottom w:val="nil"/>
              <w:right w:val="nil"/>
            </w:tcBorders>
            <w:shd w:val="clear" w:color="auto" w:fill="auto"/>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Retained surplus (accumulated deficit)</w:t>
            </w:r>
          </w:p>
        </w:tc>
        <w:tc>
          <w:tcPr>
            <w:tcW w:w="96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5,277 </w:t>
            </w:r>
          </w:p>
        </w:tc>
        <w:tc>
          <w:tcPr>
            <w:tcW w:w="907"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4,687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4,083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3,463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2,821 </w:t>
            </w:r>
          </w:p>
        </w:tc>
      </w:tr>
      <w:tr w:rsidR="001129DC" w:rsidRPr="001129DC" w:rsidTr="009F76A1">
        <w:trPr>
          <w:trHeight w:val="225"/>
        </w:trPr>
        <w:tc>
          <w:tcPr>
            <w:tcW w:w="3146"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parent entity interest</w:t>
            </w:r>
          </w:p>
        </w:tc>
        <w:tc>
          <w:tcPr>
            <w:tcW w:w="964"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11,170 </w:t>
            </w:r>
          </w:p>
        </w:tc>
        <w:tc>
          <w:tcPr>
            <w:tcW w:w="907"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10,672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10,167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9,802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9,421 </w:t>
            </w:r>
          </w:p>
        </w:tc>
      </w:tr>
      <w:tr w:rsidR="001129DC" w:rsidRPr="001129DC" w:rsidTr="009F76A1">
        <w:trPr>
          <w:trHeight w:val="225"/>
        </w:trPr>
        <w:tc>
          <w:tcPr>
            <w:tcW w:w="3146" w:type="dxa"/>
            <w:tcBorders>
              <w:top w:val="nil"/>
              <w:left w:val="nil"/>
              <w:bottom w:val="single" w:sz="4" w:space="0" w:color="000000"/>
              <w:right w:val="nil"/>
            </w:tcBorders>
            <w:shd w:val="clear" w:color="auto" w:fill="auto"/>
            <w:noWrap/>
            <w:vAlign w:val="bottom"/>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Total equity</w:t>
            </w:r>
          </w:p>
        </w:tc>
        <w:tc>
          <w:tcPr>
            <w:tcW w:w="964" w:type="dxa"/>
            <w:tcBorders>
              <w:top w:val="nil"/>
              <w:left w:val="nil"/>
              <w:bottom w:val="single" w:sz="4" w:space="0" w:color="000000"/>
              <w:right w:val="nil"/>
            </w:tcBorders>
            <w:shd w:val="clear" w:color="auto" w:fill="auto"/>
            <w:noWrap/>
            <w:vAlign w:val="bottom"/>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11,170 </w:t>
            </w:r>
          </w:p>
        </w:tc>
        <w:tc>
          <w:tcPr>
            <w:tcW w:w="907" w:type="dxa"/>
            <w:tcBorders>
              <w:top w:val="nil"/>
              <w:left w:val="nil"/>
              <w:bottom w:val="single" w:sz="4" w:space="0" w:color="000000"/>
              <w:right w:val="nil"/>
            </w:tcBorders>
            <w:shd w:val="clear" w:color="000000" w:fill="E6E6E6"/>
            <w:noWrap/>
            <w:vAlign w:val="bottom"/>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10,672 </w:t>
            </w:r>
          </w:p>
        </w:tc>
        <w:tc>
          <w:tcPr>
            <w:tcW w:w="907" w:type="dxa"/>
            <w:tcBorders>
              <w:top w:val="nil"/>
              <w:left w:val="nil"/>
              <w:bottom w:val="single" w:sz="4" w:space="0" w:color="000000"/>
              <w:right w:val="nil"/>
            </w:tcBorders>
            <w:shd w:val="clear" w:color="auto" w:fill="auto"/>
            <w:noWrap/>
            <w:vAlign w:val="bottom"/>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10,167 </w:t>
            </w:r>
          </w:p>
        </w:tc>
        <w:tc>
          <w:tcPr>
            <w:tcW w:w="907" w:type="dxa"/>
            <w:tcBorders>
              <w:top w:val="nil"/>
              <w:left w:val="nil"/>
              <w:bottom w:val="single" w:sz="4" w:space="0" w:color="000000"/>
              <w:right w:val="nil"/>
            </w:tcBorders>
            <w:shd w:val="clear" w:color="auto" w:fill="auto"/>
            <w:noWrap/>
            <w:vAlign w:val="bottom"/>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9,802 </w:t>
            </w:r>
          </w:p>
        </w:tc>
        <w:tc>
          <w:tcPr>
            <w:tcW w:w="907" w:type="dxa"/>
            <w:tcBorders>
              <w:top w:val="nil"/>
              <w:left w:val="nil"/>
              <w:bottom w:val="single" w:sz="4" w:space="0" w:color="000000"/>
              <w:right w:val="nil"/>
            </w:tcBorders>
            <w:shd w:val="clear" w:color="auto" w:fill="auto"/>
            <w:noWrap/>
            <w:vAlign w:val="bottom"/>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9,421 </w:t>
            </w:r>
          </w:p>
        </w:tc>
      </w:tr>
    </w:tbl>
    <w:p w:rsidR="001129DC" w:rsidRPr="00132F9E" w:rsidRDefault="001129DC" w:rsidP="001129DC">
      <w:pPr>
        <w:pStyle w:val="ChartandTableFootnote"/>
      </w:pPr>
      <w:r w:rsidRPr="00132F9E">
        <w:t>*</w:t>
      </w:r>
      <w:r w:rsidR="003E7035">
        <w:t>Equity</w:t>
      </w:r>
      <w:r w:rsidRPr="00132F9E">
        <w:t xml:space="preserve"> is the residual interest in assets after deduction of liabilities.</w:t>
      </w:r>
    </w:p>
    <w:p w:rsidR="001129DC" w:rsidRPr="001129DC" w:rsidRDefault="001129DC" w:rsidP="001129DC">
      <w:pPr>
        <w:pStyle w:val="ChartandTableFootnote"/>
        <w:rPr>
          <w:lang w:val="en-AU"/>
        </w:rPr>
      </w:pPr>
      <w:r w:rsidRPr="00132F9E">
        <w:t>Prepared on Australian Accounting Standards basis.</w:t>
      </w:r>
    </w:p>
    <w:p w:rsidR="001129DC" w:rsidRDefault="001129DC" w:rsidP="001129DC">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61" w:type="dxa"/>
        <w:tblInd w:w="93" w:type="dxa"/>
        <w:tblLook w:val="04A0" w:firstRow="1" w:lastRow="0" w:firstColumn="1" w:lastColumn="0" w:noHBand="0" w:noVBand="1"/>
      </w:tblPr>
      <w:tblGrid>
        <w:gridCol w:w="3713"/>
        <w:gridCol w:w="1020"/>
        <w:gridCol w:w="1077"/>
        <w:gridCol w:w="1044"/>
        <w:gridCol w:w="907"/>
      </w:tblGrid>
      <w:tr w:rsidR="001129DC" w:rsidRPr="001129DC" w:rsidTr="009F76A1">
        <w:trPr>
          <w:trHeight w:val="794"/>
        </w:trPr>
        <w:tc>
          <w:tcPr>
            <w:tcW w:w="3713" w:type="dxa"/>
            <w:tcBorders>
              <w:top w:val="single" w:sz="4" w:space="0" w:color="auto"/>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color w:val="000000"/>
                <w:sz w:val="16"/>
                <w:szCs w:val="16"/>
              </w:rPr>
            </w:pPr>
            <w:r w:rsidRPr="001129DC">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Retained</w:t>
            </w:r>
            <w:r w:rsidRPr="001129DC">
              <w:rPr>
                <w:rFonts w:ascii="Arial" w:hAnsi="Arial" w:cs="Arial"/>
                <w:color w:val="000000"/>
                <w:sz w:val="16"/>
                <w:szCs w:val="16"/>
              </w:rPr>
              <w:br/>
              <w:t>earnings</w:t>
            </w:r>
            <w:r w:rsidRPr="001129DC">
              <w:rPr>
                <w:rFonts w:ascii="Arial" w:hAnsi="Arial" w:cs="Arial"/>
                <w:color w:val="000000"/>
                <w:sz w:val="16"/>
                <w:szCs w:val="16"/>
              </w:rPr>
              <w:br/>
            </w:r>
            <w:r w:rsidRPr="001129DC">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Asset</w:t>
            </w:r>
            <w:r w:rsidRPr="001129DC">
              <w:rPr>
                <w:rFonts w:ascii="Arial" w:hAnsi="Arial" w:cs="Arial"/>
                <w:color w:val="000000"/>
                <w:sz w:val="16"/>
                <w:szCs w:val="16"/>
              </w:rPr>
              <w:br/>
              <w:t>revaluation</w:t>
            </w:r>
            <w:r w:rsidRPr="001129DC">
              <w:rPr>
                <w:rFonts w:ascii="Arial" w:hAnsi="Arial" w:cs="Arial"/>
                <w:color w:val="000000"/>
                <w:sz w:val="16"/>
                <w:szCs w:val="16"/>
              </w:rPr>
              <w:br/>
              <w:t>reserve</w:t>
            </w:r>
            <w:r w:rsidRPr="001129DC">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Contributed</w:t>
            </w:r>
            <w:r w:rsidRPr="001129DC">
              <w:rPr>
                <w:rFonts w:ascii="Arial" w:hAnsi="Arial" w:cs="Arial"/>
                <w:color w:val="000000"/>
                <w:sz w:val="16"/>
                <w:szCs w:val="16"/>
              </w:rPr>
              <w:br/>
              <w:t>equity/</w:t>
            </w:r>
            <w:r w:rsidRPr="001129DC">
              <w:rPr>
                <w:rFonts w:ascii="Arial" w:hAnsi="Arial" w:cs="Arial"/>
                <w:color w:val="000000"/>
                <w:sz w:val="16"/>
                <w:szCs w:val="16"/>
              </w:rPr>
              <w:br/>
              <w:t>capital</w:t>
            </w:r>
            <w:r w:rsidRPr="001129DC">
              <w:rPr>
                <w:rFonts w:ascii="Arial" w:hAnsi="Arial" w:cs="Arial"/>
                <w:color w:val="000000"/>
                <w:sz w:val="16"/>
                <w:szCs w:val="16"/>
              </w:rPr>
              <w:br/>
              <w:t>$'000</w:t>
            </w:r>
          </w:p>
        </w:tc>
        <w:tc>
          <w:tcPr>
            <w:tcW w:w="907" w:type="dxa"/>
            <w:tcBorders>
              <w:top w:val="single" w:sz="4" w:space="0" w:color="auto"/>
              <w:left w:val="nil"/>
              <w:bottom w:val="single" w:sz="4" w:space="0" w:color="000000"/>
              <w:right w:val="nil"/>
            </w:tcBorders>
            <w:shd w:val="clear" w:color="auto" w:fill="auto"/>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Total</w:t>
            </w:r>
            <w:r w:rsidRPr="001129DC">
              <w:rPr>
                <w:rFonts w:ascii="Arial" w:hAnsi="Arial" w:cs="Arial"/>
                <w:color w:val="000000"/>
                <w:sz w:val="16"/>
                <w:szCs w:val="16"/>
              </w:rPr>
              <w:br/>
              <w:t xml:space="preserve">equity </w:t>
            </w:r>
            <w:r w:rsidRPr="001129DC">
              <w:rPr>
                <w:rFonts w:ascii="Arial" w:hAnsi="Arial" w:cs="Arial"/>
                <w:color w:val="000000"/>
                <w:sz w:val="16"/>
                <w:szCs w:val="16"/>
              </w:rPr>
              <w:br/>
            </w:r>
            <w:r w:rsidRPr="001129DC">
              <w:rPr>
                <w:rFonts w:ascii="Arial" w:hAnsi="Arial" w:cs="Arial"/>
                <w:color w:val="000000"/>
                <w:sz w:val="16"/>
                <w:szCs w:val="16"/>
              </w:rPr>
              <w:br/>
              <w:t>$'000</w:t>
            </w:r>
          </w:p>
        </w:tc>
      </w:tr>
      <w:tr w:rsidR="001129DC" w:rsidRPr="001129DC" w:rsidTr="009F76A1">
        <w:trPr>
          <w:trHeight w:val="225"/>
        </w:trPr>
        <w:tc>
          <w:tcPr>
            <w:tcW w:w="3713" w:type="dxa"/>
            <w:tcBorders>
              <w:top w:val="nil"/>
              <w:left w:val="nil"/>
              <w:bottom w:val="nil"/>
              <w:right w:val="nil"/>
            </w:tcBorders>
            <w:shd w:val="clear" w:color="auto" w:fill="auto"/>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713" w:type="dxa"/>
            <w:tcBorders>
              <w:top w:val="nil"/>
              <w:left w:val="nil"/>
              <w:bottom w:val="nil"/>
              <w:right w:val="nil"/>
            </w:tcBorders>
            <w:shd w:val="clear" w:color="auto" w:fill="auto"/>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5,277 </w:t>
            </w: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5,117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11,170 </w:t>
            </w:r>
          </w:p>
        </w:tc>
      </w:tr>
      <w:tr w:rsidR="001129DC" w:rsidRPr="001129DC" w:rsidTr="009F76A1">
        <w:trPr>
          <w:trHeight w:val="227"/>
        </w:trPr>
        <w:tc>
          <w:tcPr>
            <w:tcW w:w="3713" w:type="dxa"/>
            <w:tcBorders>
              <w:top w:val="nil"/>
              <w:left w:val="nil"/>
              <w:bottom w:val="nil"/>
              <w:right w:val="nil"/>
            </w:tcBorders>
            <w:shd w:val="clear" w:color="auto" w:fill="auto"/>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5,277 </w:t>
            </w:r>
          </w:p>
        </w:tc>
        <w:tc>
          <w:tcPr>
            <w:tcW w:w="107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776 </w:t>
            </w:r>
          </w:p>
        </w:tc>
        <w:tc>
          <w:tcPr>
            <w:tcW w:w="1044"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5,117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11,170 </w:t>
            </w:r>
          </w:p>
        </w:tc>
      </w:tr>
      <w:tr w:rsidR="001129DC" w:rsidRPr="001129DC" w:rsidTr="009F76A1">
        <w:trPr>
          <w:trHeight w:val="225"/>
        </w:trPr>
        <w:tc>
          <w:tcPr>
            <w:tcW w:w="3713"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713"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 comprehensive income</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r>
      <w:tr w:rsidR="001129DC" w:rsidRPr="001129DC" w:rsidTr="009F76A1">
        <w:trPr>
          <w:trHeight w:val="225"/>
        </w:trPr>
        <w:tc>
          <w:tcPr>
            <w:tcW w:w="3713"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sz w:val="16"/>
                <w:szCs w:val="16"/>
              </w:rPr>
            </w:pPr>
            <w:r w:rsidRPr="001129DC">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(590)</w:t>
            </w: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(590)</w:t>
            </w:r>
          </w:p>
        </w:tc>
      </w:tr>
      <w:tr w:rsidR="001129DC" w:rsidRPr="001129DC" w:rsidTr="009F76A1">
        <w:trPr>
          <w:trHeight w:val="227"/>
        </w:trPr>
        <w:tc>
          <w:tcPr>
            <w:tcW w:w="3713" w:type="dxa"/>
            <w:tcBorders>
              <w:top w:val="nil"/>
              <w:left w:val="nil"/>
              <w:bottom w:val="nil"/>
              <w:right w:val="nil"/>
            </w:tcBorders>
            <w:shd w:val="clear" w:color="auto" w:fill="auto"/>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(590)</w:t>
            </w:r>
          </w:p>
        </w:tc>
        <w:tc>
          <w:tcPr>
            <w:tcW w:w="1077"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907"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(590)</w:t>
            </w:r>
          </w:p>
        </w:tc>
      </w:tr>
      <w:tr w:rsidR="001129DC" w:rsidRPr="001129DC" w:rsidTr="009F76A1">
        <w:trPr>
          <w:trHeight w:val="225"/>
        </w:trPr>
        <w:tc>
          <w:tcPr>
            <w:tcW w:w="3713"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r>
      <w:tr w:rsidR="001129DC" w:rsidRPr="001129DC" w:rsidTr="009F76A1">
        <w:trPr>
          <w:trHeight w:val="227"/>
        </w:trPr>
        <w:tc>
          <w:tcPr>
            <w:tcW w:w="3713" w:type="dxa"/>
            <w:tcBorders>
              <w:top w:val="nil"/>
              <w:left w:val="nil"/>
              <w:bottom w:val="nil"/>
              <w:right w:val="nil"/>
            </w:tcBorders>
            <w:shd w:val="clear" w:color="auto" w:fill="auto"/>
            <w:vAlign w:val="center"/>
            <w:hideMark/>
          </w:tcPr>
          <w:p w:rsidR="001129DC" w:rsidRPr="001129DC" w:rsidRDefault="001129DC" w:rsidP="009F76A1">
            <w:pPr>
              <w:spacing w:after="0" w:line="240" w:lineRule="auto"/>
              <w:ind w:firstLineChars="200" w:firstLine="320"/>
              <w:rPr>
                <w:rFonts w:ascii="Arial" w:hAnsi="Arial" w:cs="Arial"/>
                <w:color w:val="000000"/>
                <w:sz w:val="16"/>
                <w:szCs w:val="16"/>
              </w:rPr>
            </w:pPr>
            <w:r w:rsidRPr="001129DC">
              <w:rPr>
                <w:rFonts w:ascii="Arial" w:hAnsi="Arial" w:cs="Arial"/>
                <w:color w:val="000000"/>
                <w:sz w:val="16"/>
                <w:szCs w:val="16"/>
              </w:rPr>
              <w:t>Attributable to the Australian Government</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(590)</w:t>
            </w: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(590)</w:t>
            </w:r>
          </w:p>
        </w:tc>
      </w:tr>
      <w:tr w:rsidR="001129DC" w:rsidRPr="001129DC" w:rsidTr="009F76A1">
        <w:trPr>
          <w:trHeight w:val="225"/>
        </w:trPr>
        <w:tc>
          <w:tcPr>
            <w:tcW w:w="3713"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Transactions with owners</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713"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713"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200" w:firstLine="320"/>
              <w:rPr>
                <w:rFonts w:ascii="Arial" w:hAnsi="Arial" w:cs="Arial"/>
                <w:color w:val="000000"/>
                <w:sz w:val="16"/>
                <w:szCs w:val="16"/>
              </w:rPr>
            </w:pPr>
            <w:r w:rsidRPr="001129DC">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92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92 </w:t>
            </w:r>
          </w:p>
        </w:tc>
      </w:tr>
      <w:tr w:rsidR="001129DC" w:rsidRPr="001129DC" w:rsidTr="009F76A1">
        <w:trPr>
          <w:trHeight w:val="227"/>
        </w:trPr>
        <w:tc>
          <w:tcPr>
            <w:tcW w:w="3713" w:type="dxa"/>
            <w:tcBorders>
              <w:top w:val="nil"/>
              <w:left w:val="nil"/>
              <w:bottom w:val="nil"/>
              <w:right w:val="nil"/>
            </w:tcBorders>
            <w:shd w:val="clear" w:color="auto" w:fill="auto"/>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 </w:t>
            </w:r>
          </w:p>
        </w:tc>
        <w:tc>
          <w:tcPr>
            <w:tcW w:w="907"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 </w:t>
            </w:r>
          </w:p>
        </w:tc>
      </w:tr>
      <w:tr w:rsidR="001129DC" w:rsidRPr="001129DC" w:rsidTr="009F76A1">
        <w:trPr>
          <w:trHeight w:val="225"/>
        </w:trPr>
        <w:tc>
          <w:tcPr>
            <w:tcW w:w="3713"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Transfers between equity</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713" w:type="dxa"/>
            <w:tcBorders>
              <w:top w:val="nil"/>
              <w:left w:val="nil"/>
              <w:bottom w:val="nil"/>
              <w:right w:val="nil"/>
            </w:tcBorders>
            <w:shd w:val="clear" w:color="auto" w:fill="auto"/>
            <w:vAlign w:val="center"/>
            <w:hideMark/>
          </w:tcPr>
          <w:p w:rsidR="001129DC" w:rsidRPr="001129DC" w:rsidRDefault="001129DC" w:rsidP="009F76A1">
            <w:pPr>
              <w:spacing w:after="0" w:line="240" w:lineRule="auto"/>
              <w:ind w:firstLineChars="200" w:firstLine="320"/>
              <w:rPr>
                <w:rFonts w:ascii="Arial" w:hAnsi="Arial" w:cs="Arial"/>
                <w:color w:val="000000"/>
                <w:sz w:val="16"/>
                <w:szCs w:val="16"/>
              </w:rPr>
            </w:pPr>
            <w:r w:rsidRPr="001129DC">
              <w:rPr>
                <w:rFonts w:ascii="Arial" w:hAnsi="Arial" w:cs="Arial"/>
                <w:color w:val="000000"/>
                <w:sz w:val="16"/>
                <w:szCs w:val="16"/>
              </w:rPr>
              <w:t>Transfers between equity components</w:t>
            </w:r>
          </w:p>
        </w:tc>
        <w:tc>
          <w:tcPr>
            <w:tcW w:w="102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r>
      <w:tr w:rsidR="001129DC" w:rsidRPr="001129DC" w:rsidTr="009F0659">
        <w:trPr>
          <w:trHeight w:val="227"/>
        </w:trPr>
        <w:tc>
          <w:tcPr>
            <w:tcW w:w="3713" w:type="dxa"/>
            <w:tcBorders>
              <w:top w:val="nil"/>
              <w:left w:val="nil"/>
              <w:bottom w:val="nil"/>
              <w:right w:val="nil"/>
            </w:tcBorders>
            <w:shd w:val="clear" w:color="auto" w:fill="auto"/>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Estimated closing balance as at 30 June 2019</w:t>
            </w:r>
          </w:p>
        </w:tc>
        <w:tc>
          <w:tcPr>
            <w:tcW w:w="1020"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9F0659">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4,687 </w:t>
            </w:r>
          </w:p>
        </w:tc>
        <w:tc>
          <w:tcPr>
            <w:tcW w:w="1077"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9F0659">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776 </w:t>
            </w:r>
          </w:p>
        </w:tc>
        <w:tc>
          <w:tcPr>
            <w:tcW w:w="1044"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9F0659">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5,209 </w:t>
            </w:r>
          </w:p>
        </w:tc>
        <w:tc>
          <w:tcPr>
            <w:tcW w:w="907"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9F0659">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10,672 </w:t>
            </w:r>
          </w:p>
        </w:tc>
      </w:tr>
      <w:tr w:rsidR="001129DC" w:rsidRPr="001129DC" w:rsidTr="009F76A1">
        <w:trPr>
          <w:trHeight w:val="397"/>
        </w:trPr>
        <w:tc>
          <w:tcPr>
            <w:tcW w:w="3713" w:type="dxa"/>
            <w:tcBorders>
              <w:top w:val="nil"/>
              <w:left w:val="nil"/>
              <w:bottom w:val="single" w:sz="4" w:space="0" w:color="000000"/>
              <w:right w:val="nil"/>
            </w:tcBorders>
            <w:shd w:val="clear" w:color="auto" w:fill="auto"/>
            <w:vAlign w:val="bottom"/>
            <w:hideMark/>
          </w:tcPr>
          <w:p w:rsidR="001129DC" w:rsidRPr="001129DC" w:rsidRDefault="001129DC" w:rsidP="009F76A1">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Closing balance attributable to</w:t>
            </w:r>
            <w:r w:rsidR="009F76A1">
              <w:rPr>
                <w:rFonts w:ascii="Arial" w:hAnsi="Arial" w:cs="Arial"/>
                <w:b/>
                <w:bCs/>
                <w:color w:val="000000"/>
                <w:sz w:val="16"/>
                <w:szCs w:val="16"/>
              </w:rPr>
              <w:t xml:space="preserve"> the Australian </w:t>
            </w:r>
            <w:r w:rsidRPr="001129DC">
              <w:rPr>
                <w:rFonts w:ascii="Arial" w:hAnsi="Arial" w:cs="Arial"/>
                <w:b/>
                <w:bCs/>
                <w:color w:val="000000"/>
                <w:sz w:val="16"/>
                <w:szCs w:val="16"/>
              </w:rPr>
              <w:t>Government</w:t>
            </w:r>
          </w:p>
        </w:tc>
        <w:tc>
          <w:tcPr>
            <w:tcW w:w="1020" w:type="dxa"/>
            <w:tcBorders>
              <w:top w:val="nil"/>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4,687 </w:t>
            </w:r>
          </w:p>
        </w:tc>
        <w:tc>
          <w:tcPr>
            <w:tcW w:w="1077" w:type="dxa"/>
            <w:tcBorders>
              <w:top w:val="nil"/>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776 </w:t>
            </w:r>
          </w:p>
        </w:tc>
        <w:tc>
          <w:tcPr>
            <w:tcW w:w="1044" w:type="dxa"/>
            <w:tcBorders>
              <w:top w:val="nil"/>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5,209 </w:t>
            </w:r>
          </w:p>
        </w:tc>
        <w:tc>
          <w:tcPr>
            <w:tcW w:w="907" w:type="dxa"/>
            <w:tcBorders>
              <w:top w:val="nil"/>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10,672 </w:t>
            </w:r>
          </w:p>
        </w:tc>
      </w:tr>
    </w:tbl>
    <w:p w:rsidR="001129DC" w:rsidRDefault="001129DC" w:rsidP="001129DC">
      <w:pPr>
        <w:pStyle w:val="ChartandTableFootnote"/>
      </w:pPr>
      <w:r>
        <w:t>Prepared on Australian Accounting Standards basis.</w:t>
      </w:r>
    </w:p>
    <w:p w:rsidR="001129DC" w:rsidRDefault="001129DC" w:rsidP="001129DC">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36" w:type="dxa"/>
        <w:tblInd w:w="93" w:type="dxa"/>
        <w:tblLook w:val="04A0" w:firstRow="1" w:lastRow="0" w:firstColumn="1" w:lastColumn="0" w:noHBand="0" w:noVBand="1"/>
      </w:tblPr>
      <w:tblGrid>
        <w:gridCol w:w="3288"/>
        <w:gridCol w:w="928"/>
        <w:gridCol w:w="880"/>
        <w:gridCol w:w="880"/>
        <w:gridCol w:w="880"/>
        <w:gridCol w:w="880"/>
      </w:tblGrid>
      <w:tr w:rsidR="001129DC" w:rsidRPr="001129DC" w:rsidTr="009F76A1">
        <w:trPr>
          <w:trHeight w:val="794"/>
        </w:trPr>
        <w:tc>
          <w:tcPr>
            <w:tcW w:w="3288" w:type="dxa"/>
            <w:tcBorders>
              <w:top w:val="single" w:sz="4" w:space="0" w:color="auto"/>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sz w:val="16"/>
                <w:szCs w:val="16"/>
              </w:rPr>
            </w:pPr>
            <w:r w:rsidRPr="001129DC">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2017–18 Estimated actual</w:t>
            </w:r>
            <w:r w:rsidRPr="001129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2018–19</w:t>
            </w:r>
            <w:r w:rsidRPr="001129DC">
              <w:rPr>
                <w:rFonts w:ascii="Arial" w:hAnsi="Arial" w:cs="Arial"/>
                <w:sz w:val="16"/>
                <w:szCs w:val="16"/>
              </w:rPr>
              <w:br/>
              <w:t>Budget</w:t>
            </w:r>
            <w:r w:rsidRPr="001129DC">
              <w:rPr>
                <w:rFonts w:ascii="Arial" w:hAnsi="Arial" w:cs="Arial"/>
                <w:sz w:val="16"/>
                <w:szCs w:val="16"/>
              </w:rPr>
              <w:br/>
            </w:r>
            <w:r w:rsidRPr="001129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2019–20 Forward estimate</w:t>
            </w:r>
            <w:r w:rsidRPr="001129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2020–21 Forward estimate</w:t>
            </w:r>
            <w:r w:rsidRPr="001129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2021–22</w:t>
            </w:r>
            <w:r w:rsidRPr="001129DC">
              <w:rPr>
                <w:rFonts w:ascii="Arial" w:hAnsi="Arial" w:cs="Arial"/>
                <w:sz w:val="16"/>
                <w:szCs w:val="16"/>
              </w:rPr>
              <w:br/>
              <w:t>Forward estimate</w:t>
            </w:r>
            <w:r w:rsidRPr="001129DC">
              <w:rPr>
                <w:rFonts w:ascii="Arial" w:hAnsi="Arial" w:cs="Arial"/>
                <w:sz w:val="16"/>
                <w:szCs w:val="16"/>
              </w:rPr>
              <w:br/>
              <w:t>$'000</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Appropriations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10,007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10,231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10,509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10,743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11,012 </w:t>
            </w:r>
          </w:p>
        </w:tc>
      </w:tr>
      <w:tr w:rsidR="001129DC" w:rsidRPr="001129DC" w:rsidTr="00B05F34">
        <w:trPr>
          <w:trHeight w:val="227"/>
        </w:trPr>
        <w:tc>
          <w:tcPr>
            <w:tcW w:w="3288" w:type="dxa"/>
            <w:tcBorders>
              <w:top w:val="nil"/>
              <w:left w:val="nil"/>
              <w:bottom w:val="nil"/>
              <w:right w:val="nil"/>
            </w:tcBorders>
            <w:shd w:val="clear" w:color="auto" w:fill="auto"/>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Sale of goods and rendering of services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10,044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10,267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10,515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10,743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11,011 </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Net GST received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1,004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1,027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1,051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1,074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1,101 </w:t>
            </w:r>
          </w:p>
        </w:tc>
      </w:tr>
      <w:tr w:rsidR="001129DC" w:rsidRPr="001129DC" w:rsidTr="009F76A1">
        <w:trPr>
          <w:trHeight w:val="227"/>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21,055 </w:t>
            </w:r>
          </w:p>
        </w:tc>
        <w:tc>
          <w:tcPr>
            <w:tcW w:w="880"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21,525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22,075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22,560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23,124 </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Employees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12,196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12,440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12,689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12,942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13,201 </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7,745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7,948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8,225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8,434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8,712 </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sz w:val="16"/>
                <w:szCs w:val="16"/>
              </w:rPr>
            </w:pPr>
            <w:r w:rsidRPr="001129DC">
              <w:rPr>
                <w:rFonts w:ascii="Arial" w:hAnsi="Arial" w:cs="Arial"/>
                <w:sz w:val="16"/>
                <w:szCs w:val="16"/>
              </w:rPr>
              <w:t>Grants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sz w:val="16"/>
                <w:szCs w:val="16"/>
              </w:rPr>
            </w:pPr>
            <w:r w:rsidRPr="001129DC">
              <w:rPr>
                <w:rFonts w:ascii="Arial" w:hAnsi="Arial" w:cs="Arial"/>
                <w:sz w:val="16"/>
                <w:szCs w:val="16"/>
              </w:rPr>
              <w:t>Net GST paid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1,004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1,027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1,051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1,074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1,101 </w:t>
            </w:r>
          </w:p>
        </w:tc>
      </w:tr>
      <w:tr w:rsidR="001129DC" w:rsidRPr="001129DC" w:rsidTr="009F76A1">
        <w:trPr>
          <w:trHeight w:val="227"/>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used</w:t>
            </w:r>
          </w:p>
        </w:tc>
        <w:tc>
          <w:tcPr>
            <w:tcW w:w="928"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21,055 </w:t>
            </w:r>
          </w:p>
        </w:tc>
        <w:tc>
          <w:tcPr>
            <w:tcW w:w="880" w:type="dxa"/>
            <w:tcBorders>
              <w:top w:val="single" w:sz="4" w:space="0" w:color="000000"/>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21,525 </w:t>
            </w:r>
          </w:p>
        </w:tc>
        <w:tc>
          <w:tcPr>
            <w:tcW w:w="880"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22,075 </w:t>
            </w:r>
          </w:p>
        </w:tc>
        <w:tc>
          <w:tcPr>
            <w:tcW w:w="880"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22,560 </w:t>
            </w:r>
          </w:p>
        </w:tc>
        <w:tc>
          <w:tcPr>
            <w:tcW w:w="880" w:type="dxa"/>
            <w:tcBorders>
              <w:top w:val="single" w:sz="4" w:space="0" w:color="000000"/>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23,124 </w:t>
            </w:r>
          </w:p>
        </w:tc>
      </w:tr>
      <w:tr w:rsidR="001129DC" w:rsidRPr="001129DC" w:rsidTr="00A50DEF">
        <w:trPr>
          <w:trHeight w:val="397"/>
        </w:trPr>
        <w:tc>
          <w:tcPr>
            <w:tcW w:w="3288"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Net cash from/(used by) operating activities</w:t>
            </w:r>
          </w:p>
        </w:tc>
        <w:tc>
          <w:tcPr>
            <w:tcW w:w="928"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INVESTING ACTIVITIES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r>
      <w:tr w:rsidR="001129DC" w:rsidRPr="001129DC" w:rsidTr="00A50DEF">
        <w:trPr>
          <w:trHeight w:val="227"/>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A50DEF">
        <w:trPr>
          <w:trHeight w:val="397"/>
        </w:trPr>
        <w:tc>
          <w:tcPr>
            <w:tcW w:w="3288"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Chars="79" w:left="331" w:hangingChars="108" w:hanging="173"/>
              <w:rPr>
                <w:rFonts w:ascii="Arial" w:hAnsi="Arial" w:cs="Arial"/>
                <w:color w:val="000000"/>
                <w:sz w:val="16"/>
                <w:szCs w:val="16"/>
              </w:rPr>
            </w:pPr>
            <w:r w:rsidRPr="001129DC">
              <w:rPr>
                <w:rFonts w:ascii="Arial" w:hAnsi="Arial" w:cs="Arial"/>
                <w:color w:val="000000"/>
                <w:sz w:val="16"/>
                <w:szCs w:val="16"/>
              </w:rPr>
              <w:t>Purchase of property, plant and equipment and intangibles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88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92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99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255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261 </w:t>
            </w:r>
          </w:p>
        </w:tc>
      </w:tr>
      <w:tr w:rsidR="001129DC" w:rsidRPr="001129DC" w:rsidTr="00A50DEF">
        <w:trPr>
          <w:trHeight w:val="227"/>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88 </w:t>
            </w:r>
          </w:p>
        </w:tc>
        <w:tc>
          <w:tcPr>
            <w:tcW w:w="880"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99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255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261 </w:t>
            </w:r>
          </w:p>
        </w:tc>
      </w:tr>
      <w:tr w:rsidR="001129DC" w:rsidRPr="001129DC" w:rsidTr="00A50DEF">
        <w:trPr>
          <w:trHeight w:val="397"/>
        </w:trPr>
        <w:tc>
          <w:tcPr>
            <w:tcW w:w="3288"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Net cash from/(used by) investing activities</w:t>
            </w:r>
          </w:p>
        </w:tc>
        <w:tc>
          <w:tcPr>
            <w:tcW w:w="928"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(88)</w:t>
            </w:r>
          </w:p>
        </w:tc>
        <w:tc>
          <w:tcPr>
            <w:tcW w:w="880" w:type="dxa"/>
            <w:tcBorders>
              <w:top w:val="nil"/>
              <w:left w:val="nil"/>
              <w:bottom w:val="single" w:sz="4" w:space="0" w:color="auto"/>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(92)</w:t>
            </w:r>
          </w:p>
        </w:tc>
        <w:tc>
          <w:tcPr>
            <w:tcW w:w="880"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(99)</w:t>
            </w:r>
          </w:p>
        </w:tc>
        <w:tc>
          <w:tcPr>
            <w:tcW w:w="880"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(255)</w:t>
            </w:r>
          </w:p>
        </w:tc>
        <w:tc>
          <w:tcPr>
            <w:tcW w:w="880" w:type="dxa"/>
            <w:tcBorders>
              <w:top w:val="nil"/>
              <w:left w:val="nil"/>
              <w:bottom w:val="single" w:sz="4" w:space="0" w:color="auto"/>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(261)</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FINANCING ACTIVITIES</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88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92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99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255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261 </w:t>
            </w:r>
          </w:p>
        </w:tc>
      </w:tr>
      <w:tr w:rsidR="001129DC" w:rsidRPr="001129DC" w:rsidTr="00A50DEF">
        <w:trPr>
          <w:trHeight w:val="227"/>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88 </w:t>
            </w:r>
          </w:p>
        </w:tc>
        <w:tc>
          <w:tcPr>
            <w:tcW w:w="880"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99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255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261 </w:t>
            </w: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p>
        </w:tc>
      </w:tr>
      <w:tr w:rsidR="001129DC" w:rsidRPr="001129DC" w:rsidTr="009F76A1">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r>
      <w:tr w:rsidR="001129DC" w:rsidRPr="001129DC" w:rsidTr="009F76A1">
        <w:trPr>
          <w:trHeight w:val="210"/>
        </w:trPr>
        <w:tc>
          <w:tcPr>
            <w:tcW w:w="328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r>
      <w:tr w:rsidR="001129DC" w:rsidRPr="001129DC" w:rsidTr="00A50DEF">
        <w:trPr>
          <w:trHeight w:val="397"/>
        </w:trPr>
        <w:tc>
          <w:tcPr>
            <w:tcW w:w="3288"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Net cash from/(used by) financing activities</w:t>
            </w:r>
          </w:p>
        </w:tc>
        <w:tc>
          <w:tcPr>
            <w:tcW w:w="928"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88 </w:t>
            </w:r>
          </w:p>
        </w:tc>
        <w:tc>
          <w:tcPr>
            <w:tcW w:w="880" w:type="dxa"/>
            <w:tcBorders>
              <w:top w:val="nil"/>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92 </w:t>
            </w:r>
          </w:p>
        </w:tc>
        <w:tc>
          <w:tcPr>
            <w:tcW w:w="880"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99 </w:t>
            </w:r>
          </w:p>
        </w:tc>
        <w:tc>
          <w:tcPr>
            <w:tcW w:w="880"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255 </w:t>
            </w:r>
          </w:p>
        </w:tc>
        <w:tc>
          <w:tcPr>
            <w:tcW w:w="880"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261 </w:t>
            </w:r>
          </w:p>
        </w:tc>
      </w:tr>
      <w:tr w:rsidR="001129DC" w:rsidRPr="001129DC" w:rsidTr="00A50DEF">
        <w:trPr>
          <w:trHeight w:val="227"/>
        </w:trPr>
        <w:tc>
          <w:tcPr>
            <w:tcW w:w="3288" w:type="dxa"/>
            <w:tcBorders>
              <w:top w:val="nil"/>
              <w:left w:val="nil"/>
              <w:bottom w:val="nil"/>
              <w:right w:val="nil"/>
            </w:tcBorders>
            <w:shd w:val="clear" w:color="auto" w:fill="auto"/>
            <w:vAlign w:val="center"/>
            <w:hideMark/>
          </w:tcPr>
          <w:p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Net increase/(decrease) in cash held</w:t>
            </w:r>
          </w:p>
        </w:tc>
        <w:tc>
          <w:tcPr>
            <w:tcW w:w="928"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r>
      <w:tr w:rsidR="001129DC" w:rsidRPr="001129DC" w:rsidTr="00A50DEF">
        <w:trPr>
          <w:trHeight w:val="397"/>
        </w:trPr>
        <w:tc>
          <w:tcPr>
            <w:tcW w:w="3288"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Chars="79" w:left="331" w:hangingChars="108" w:hanging="173"/>
              <w:rPr>
                <w:rFonts w:ascii="Arial" w:hAnsi="Arial" w:cs="Arial"/>
                <w:color w:val="000000"/>
                <w:sz w:val="16"/>
                <w:szCs w:val="16"/>
              </w:rPr>
            </w:pPr>
            <w:r w:rsidRPr="001129DC">
              <w:rPr>
                <w:rFonts w:ascii="Arial" w:hAnsi="Arial" w:cs="Arial"/>
                <w:color w:val="000000"/>
                <w:sz w:val="16"/>
                <w:szCs w:val="16"/>
              </w:rPr>
              <w:t>Cash and cash equivalents at the beginning of the reporting period</w:t>
            </w:r>
          </w:p>
        </w:tc>
        <w:tc>
          <w:tcPr>
            <w:tcW w:w="928"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c>
          <w:tcPr>
            <w:tcW w:w="880" w:type="dxa"/>
            <w:tcBorders>
              <w:top w:val="nil"/>
              <w:left w:val="nil"/>
              <w:bottom w:val="nil"/>
              <w:right w:val="nil"/>
            </w:tcBorders>
            <w:shd w:val="clear" w:color="000000" w:fill="E6E6E6"/>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c>
          <w:tcPr>
            <w:tcW w:w="880" w:type="dxa"/>
            <w:tcBorders>
              <w:top w:val="nil"/>
              <w:left w:val="nil"/>
              <w:bottom w:val="nil"/>
              <w:right w:val="nil"/>
            </w:tcBorders>
            <w:shd w:val="clear" w:color="auto" w:fill="auto"/>
            <w:noWrap/>
            <w:vAlign w:val="center"/>
            <w:hideMark/>
          </w:tcPr>
          <w:p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r>
      <w:tr w:rsidR="001129DC" w:rsidRPr="001129DC" w:rsidTr="00A50DEF">
        <w:trPr>
          <w:trHeight w:val="397"/>
        </w:trPr>
        <w:tc>
          <w:tcPr>
            <w:tcW w:w="3288" w:type="dxa"/>
            <w:tcBorders>
              <w:top w:val="nil"/>
              <w:left w:val="nil"/>
              <w:bottom w:val="single" w:sz="4" w:space="0" w:color="auto"/>
              <w:right w:val="nil"/>
            </w:tcBorders>
            <w:shd w:val="clear" w:color="auto" w:fill="auto"/>
            <w:vAlign w:val="bottom"/>
            <w:hideMark/>
          </w:tcPr>
          <w:p w:rsidR="001129DC" w:rsidRPr="001129DC" w:rsidRDefault="001129DC" w:rsidP="00A50DEF">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Cash and cash equivalents at the end of the reporting period</w:t>
            </w:r>
          </w:p>
        </w:tc>
        <w:tc>
          <w:tcPr>
            <w:tcW w:w="928" w:type="dxa"/>
            <w:tcBorders>
              <w:top w:val="single" w:sz="4" w:space="0" w:color="000000"/>
              <w:left w:val="nil"/>
              <w:bottom w:val="single" w:sz="4" w:space="0" w:color="auto"/>
              <w:right w:val="nil"/>
            </w:tcBorders>
            <w:shd w:val="clear" w:color="auto" w:fill="auto"/>
            <w:noWrap/>
            <w:vAlign w:val="bottom"/>
            <w:hideMark/>
          </w:tcPr>
          <w:p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c>
          <w:tcPr>
            <w:tcW w:w="880" w:type="dxa"/>
            <w:tcBorders>
              <w:top w:val="single" w:sz="4" w:space="0" w:color="000000"/>
              <w:left w:val="nil"/>
              <w:bottom w:val="single" w:sz="4" w:space="0" w:color="auto"/>
              <w:right w:val="nil"/>
            </w:tcBorders>
            <w:shd w:val="clear" w:color="000000" w:fill="E6E6E6"/>
            <w:noWrap/>
            <w:vAlign w:val="bottom"/>
            <w:hideMark/>
          </w:tcPr>
          <w:p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c>
          <w:tcPr>
            <w:tcW w:w="880" w:type="dxa"/>
            <w:tcBorders>
              <w:top w:val="single" w:sz="4" w:space="0" w:color="000000"/>
              <w:left w:val="nil"/>
              <w:bottom w:val="single" w:sz="4" w:space="0" w:color="auto"/>
              <w:right w:val="nil"/>
            </w:tcBorders>
            <w:shd w:val="clear" w:color="auto" w:fill="auto"/>
            <w:noWrap/>
            <w:vAlign w:val="bottom"/>
            <w:hideMark/>
          </w:tcPr>
          <w:p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c>
          <w:tcPr>
            <w:tcW w:w="880" w:type="dxa"/>
            <w:tcBorders>
              <w:top w:val="single" w:sz="4" w:space="0" w:color="000000"/>
              <w:left w:val="nil"/>
              <w:bottom w:val="single" w:sz="4" w:space="0" w:color="auto"/>
              <w:right w:val="nil"/>
            </w:tcBorders>
            <w:shd w:val="clear" w:color="auto" w:fill="auto"/>
            <w:noWrap/>
            <w:vAlign w:val="bottom"/>
            <w:hideMark/>
          </w:tcPr>
          <w:p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c>
          <w:tcPr>
            <w:tcW w:w="880" w:type="dxa"/>
            <w:tcBorders>
              <w:top w:val="single" w:sz="4" w:space="0" w:color="000000"/>
              <w:left w:val="nil"/>
              <w:bottom w:val="single" w:sz="4" w:space="0" w:color="auto"/>
              <w:right w:val="nil"/>
            </w:tcBorders>
            <w:shd w:val="clear" w:color="auto" w:fill="auto"/>
            <w:noWrap/>
            <w:vAlign w:val="bottom"/>
            <w:hideMark/>
          </w:tcPr>
          <w:p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r>
    </w:tbl>
    <w:p w:rsidR="001129DC" w:rsidRPr="001129DC" w:rsidRDefault="001129DC" w:rsidP="001129DC">
      <w:pPr>
        <w:pStyle w:val="ChartandTableFootnote"/>
        <w:rPr>
          <w:lang w:val="en-AU"/>
        </w:rPr>
      </w:pPr>
      <w:r w:rsidRPr="00132F9E">
        <w:t>Prepared on Australian Accounting Standards basis.</w:t>
      </w:r>
    </w:p>
    <w:p w:rsidR="001129DC" w:rsidRPr="0041404E" w:rsidRDefault="001129DC" w:rsidP="001129DC">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683" w:type="dxa"/>
        <w:tblInd w:w="93" w:type="dxa"/>
        <w:tblCellMar>
          <w:left w:w="57" w:type="dxa"/>
          <w:right w:w="57" w:type="dxa"/>
        </w:tblCellMar>
        <w:tblLook w:val="04A0" w:firstRow="1" w:lastRow="0" w:firstColumn="1" w:lastColumn="0" w:noHBand="0" w:noVBand="1"/>
      </w:tblPr>
      <w:tblGrid>
        <w:gridCol w:w="3288"/>
        <w:gridCol w:w="879"/>
        <w:gridCol w:w="879"/>
        <w:gridCol w:w="879"/>
        <w:gridCol w:w="879"/>
        <w:gridCol w:w="879"/>
      </w:tblGrid>
      <w:tr w:rsidR="001129DC" w:rsidRPr="001129DC" w:rsidTr="00A50DEF">
        <w:trPr>
          <w:trHeight w:val="794"/>
        </w:trPr>
        <w:tc>
          <w:tcPr>
            <w:tcW w:w="3288"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2017–18 Estimated actual</w:t>
            </w:r>
            <w:r w:rsidRPr="001129DC">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2018–19</w:t>
            </w:r>
            <w:r w:rsidRPr="001129DC">
              <w:rPr>
                <w:rFonts w:ascii="Arial" w:hAnsi="Arial" w:cs="Arial"/>
                <w:sz w:val="16"/>
                <w:szCs w:val="16"/>
              </w:rPr>
              <w:br/>
              <w:t>Budget</w:t>
            </w:r>
            <w:r w:rsidRPr="001129DC">
              <w:rPr>
                <w:rFonts w:ascii="Arial" w:hAnsi="Arial" w:cs="Arial"/>
                <w:sz w:val="16"/>
                <w:szCs w:val="16"/>
              </w:rPr>
              <w:br/>
            </w:r>
            <w:r w:rsidRPr="001129DC">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2019–20 Forward estimate</w:t>
            </w:r>
            <w:r w:rsidRPr="001129DC">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2020–21 Forward estimate</w:t>
            </w:r>
            <w:r w:rsidRPr="001129DC">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2021–22</w:t>
            </w:r>
            <w:r w:rsidRPr="001129DC">
              <w:rPr>
                <w:rFonts w:ascii="Arial" w:hAnsi="Arial" w:cs="Arial"/>
                <w:sz w:val="16"/>
                <w:szCs w:val="16"/>
              </w:rPr>
              <w:br/>
              <w:t>Forward estimate</w:t>
            </w:r>
            <w:r w:rsidRPr="001129DC">
              <w:rPr>
                <w:rFonts w:ascii="Arial" w:hAnsi="Arial" w:cs="Arial"/>
                <w:sz w:val="16"/>
                <w:szCs w:val="16"/>
              </w:rPr>
              <w:br/>
              <w:t>$'000</w:t>
            </w:r>
          </w:p>
        </w:tc>
      </w:tr>
      <w:tr w:rsidR="001129DC" w:rsidRPr="001129DC" w:rsidTr="00A50DEF">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NEW CAPITAL APPROPRIATIONS</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r>
      <w:tr w:rsidR="001129DC" w:rsidRPr="001129DC" w:rsidTr="00A50DEF">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Capital budget—Bill 1 (DCB)</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88 </w:t>
            </w:r>
          </w:p>
        </w:tc>
        <w:tc>
          <w:tcPr>
            <w:tcW w:w="879" w:type="dxa"/>
            <w:tcBorders>
              <w:top w:val="nil"/>
              <w:left w:val="nil"/>
              <w:bottom w:val="nil"/>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92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99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261 </w:t>
            </w:r>
          </w:p>
        </w:tc>
      </w:tr>
      <w:tr w:rsidR="001129DC" w:rsidRPr="001129DC" w:rsidTr="00A50DEF">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Total new capital appropriations</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88 </w:t>
            </w:r>
          </w:p>
        </w:tc>
        <w:tc>
          <w:tcPr>
            <w:tcW w:w="879" w:type="dxa"/>
            <w:tcBorders>
              <w:top w:val="single" w:sz="4" w:space="0" w:color="auto"/>
              <w:left w:val="nil"/>
              <w:bottom w:val="single" w:sz="4" w:space="0" w:color="auto"/>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92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99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255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261 </w:t>
            </w:r>
          </w:p>
        </w:tc>
      </w:tr>
      <w:tr w:rsidR="001129DC" w:rsidRPr="001129DC" w:rsidTr="00A50DEF">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rPr>
                <w:rFonts w:ascii="Arial" w:hAnsi="Arial" w:cs="Arial"/>
                <w:b/>
                <w:bCs/>
                <w:i/>
                <w:iCs/>
                <w:sz w:val="16"/>
                <w:szCs w:val="16"/>
              </w:rPr>
            </w:pPr>
            <w:r w:rsidRPr="001129DC">
              <w:rPr>
                <w:rFonts w:ascii="Arial" w:hAnsi="Arial" w:cs="Arial"/>
                <w:b/>
                <w:bCs/>
                <w:i/>
                <w:iCs/>
                <w:sz w:val="16"/>
                <w:szCs w:val="16"/>
              </w:rPr>
              <w:t>Provided for:</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i/>
                <w:iCs/>
                <w:sz w:val="16"/>
                <w:szCs w:val="16"/>
              </w:rPr>
            </w:pPr>
          </w:p>
        </w:tc>
      </w:tr>
      <w:tr w:rsidR="001129DC" w:rsidRPr="001129DC" w:rsidTr="00A50DEF">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ind w:firstLineChars="100" w:firstLine="160"/>
              <w:rPr>
                <w:rFonts w:ascii="Arial" w:hAnsi="Arial" w:cs="Arial"/>
                <w:i/>
                <w:iCs/>
                <w:sz w:val="16"/>
                <w:szCs w:val="16"/>
              </w:rPr>
            </w:pPr>
            <w:r w:rsidRPr="001129DC">
              <w:rPr>
                <w:rFonts w:ascii="Arial" w:hAnsi="Arial" w:cs="Arial"/>
                <w:i/>
                <w:iCs/>
                <w:sz w:val="16"/>
                <w:szCs w:val="16"/>
              </w:rPr>
              <w:t>Purchase of non-financial assets</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88 </w:t>
            </w:r>
          </w:p>
        </w:tc>
        <w:tc>
          <w:tcPr>
            <w:tcW w:w="879" w:type="dxa"/>
            <w:tcBorders>
              <w:top w:val="nil"/>
              <w:left w:val="nil"/>
              <w:bottom w:val="nil"/>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92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99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255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261 </w:t>
            </w:r>
          </w:p>
        </w:tc>
      </w:tr>
      <w:tr w:rsidR="001129DC" w:rsidRPr="001129DC" w:rsidTr="00A50DEF">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rPr>
                <w:rFonts w:ascii="Arial" w:hAnsi="Arial" w:cs="Arial"/>
                <w:b/>
                <w:bCs/>
                <w:i/>
                <w:iCs/>
                <w:sz w:val="16"/>
                <w:szCs w:val="16"/>
              </w:rPr>
            </w:pPr>
            <w:r w:rsidRPr="001129DC">
              <w:rPr>
                <w:rFonts w:ascii="Arial" w:hAnsi="Arial" w:cs="Arial"/>
                <w:b/>
                <w:bCs/>
                <w:i/>
                <w:iCs/>
                <w:sz w:val="16"/>
                <w:szCs w:val="16"/>
              </w:rPr>
              <w:t>Total items</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88 </w:t>
            </w:r>
          </w:p>
        </w:tc>
        <w:tc>
          <w:tcPr>
            <w:tcW w:w="879" w:type="dxa"/>
            <w:tcBorders>
              <w:top w:val="single" w:sz="4" w:space="0" w:color="auto"/>
              <w:left w:val="nil"/>
              <w:bottom w:val="single" w:sz="4" w:space="0" w:color="auto"/>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92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99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255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261 </w:t>
            </w:r>
          </w:p>
        </w:tc>
      </w:tr>
      <w:tr w:rsidR="001129DC" w:rsidRPr="001129DC" w:rsidTr="00A50DEF">
        <w:trPr>
          <w:trHeight w:val="227"/>
        </w:trPr>
        <w:tc>
          <w:tcPr>
            <w:tcW w:w="3288" w:type="dxa"/>
            <w:tcBorders>
              <w:top w:val="nil"/>
              <w:left w:val="nil"/>
              <w:bottom w:val="nil"/>
              <w:right w:val="nil"/>
            </w:tcBorders>
            <w:shd w:val="clear" w:color="auto" w:fill="auto"/>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PURCHASE OF NON-FINANCIAL ASSETS</w:t>
            </w:r>
          </w:p>
        </w:tc>
        <w:tc>
          <w:tcPr>
            <w:tcW w:w="879" w:type="dxa"/>
            <w:tcBorders>
              <w:top w:val="nil"/>
              <w:left w:val="nil"/>
              <w:bottom w:val="nil"/>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w:t>
            </w:r>
          </w:p>
        </w:tc>
        <w:tc>
          <w:tcPr>
            <w:tcW w:w="879" w:type="dxa"/>
            <w:tcBorders>
              <w:top w:val="nil"/>
              <w:left w:val="nil"/>
              <w:bottom w:val="nil"/>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p>
        </w:tc>
      </w:tr>
      <w:tr w:rsidR="001129DC" w:rsidRPr="001129DC" w:rsidTr="00A50DEF">
        <w:trPr>
          <w:trHeight w:val="227"/>
        </w:trPr>
        <w:tc>
          <w:tcPr>
            <w:tcW w:w="3288"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Funded by capital appropriation—DCB (a)</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88 </w:t>
            </w:r>
          </w:p>
        </w:tc>
        <w:tc>
          <w:tcPr>
            <w:tcW w:w="879" w:type="dxa"/>
            <w:tcBorders>
              <w:top w:val="nil"/>
              <w:left w:val="nil"/>
              <w:bottom w:val="nil"/>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92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99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261 </w:t>
            </w:r>
          </w:p>
        </w:tc>
      </w:tr>
      <w:tr w:rsidR="001129DC" w:rsidRPr="001129DC" w:rsidTr="00A50DEF">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TOTAL</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88 </w:t>
            </w:r>
          </w:p>
        </w:tc>
        <w:tc>
          <w:tcPr>
            <w:tcW w:w="879" w:type="dxa"/>
            <w:tcBorders>
              <w:top w:val="single" w:sz="4" w:space="0" w:color="auto"/>
              <w:left w:val="nil"/>
              <w:bottom w:val="single" w:sz="4" w:space="0" w:color="auto"/>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92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99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255 </w:t>
            </w:r>
          </w:p>
        </w:tc>
        <w:tc>
          <w:tcPr>
            <w:tcW w:w="879"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261 </w:t>
            </w:r>
          </w:p>
        </w:tc>
      </w:tr>
      <w:tr w:rsidR="001129DC" w:rsidRPr="001129DC" w:rsidTr="00A50DEF">
        <w:trPr>
          <w:trHeight w:val="567"/>
        </w:trPr>
        <w:tc>
          <w:tcPr>
            <w:tcW w:w="3288"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191" w:hanging="191"/>
              <w:rPr>
                <w:rFonts w:ascii="Arial" w:hAnsi="Arial" w:cs="Arial"/>
                <w:b/>
                <w:bCs/>
                <w:sz w:val="16"/>
                <w:szCs w:val="16"/>
              </w:rPr>
            </w:pPr>
            <w:r w:rsidRPr="001129DC">
              <w:rPr>
                <w:rFonts w:ascii="Arial" w:hAnsi="Arial" w:cs="Arial"/>
                <w:b/>
                <w:bCs/>
                <w:sz w:val="16"/>
                <w:szCs w:val="16"/>
              </w:rPr>
              <w:t>RECONCILIATION OF CASH USED TO ACQUIRE ASSETS TO ASSET MOVEMENT TABLE</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r>
      <w:tr w:rsidR="001129DC" w:rsidRPr="001129DC" w:rsidTr="00A50DEF">
        <w:trPr>
          <w:trHeight w:val="225"/>
        </w:trPr>
        <w:tc>
          <w:tcPr>
            <w:tcW w:w="3288"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Total purchases</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88 </w:t>
            </w:r>
          </w:p>
        </w:tc>
        <w:tc>
          <w:tcPr>
            <w:tcW w:w="879" w:type="dxa"/>
            <w:tcBorders>
              <w:top w:val="nil"/>
              <w:left w:val="nil"/>
              <w:bottom w:val="nil"/>
              <w:right w:val="nil"/>
            </w:tcBorders>
            <w:shd w:val="clear" w:color="000000" w:fill="E6E6E6"/>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92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99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261 </w:t>
            </w:r>
          </w:p>
        </w:tc>
      </w:tr>
      <w:tr w:rsidR="001129DC" w:rsidRPr="001129DC" w:rsidTr="00A50DEF">
        <w:trPr>
          <w:trHeight w:val="225"/>
        </w:trPr>
        <w:tc>
          <w:tcPr>
            <w:tcW w:w="3288" w:type="dxa"/>
            <w:tcBorders>
              <w:top w:val="nil"/>
              <w:left w:val="nil"/>
              <w:bottom w:val="single" w:sz="4" w:space="0" w:color="auto"/>
              <w:right w:val="nil"/>
            </w:tcBorders>
            <w:shd w:val="clear" w:color="auto" w:fill="auto"/>
            <w:vAlign w:val="bottom"/>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Total cash used to acquire assets</w:t>
            </w:r>
          </w:p>
        </w:tc>
        <w:tc>
          <w:tcPr>
            <w:tcW w:w="879" w:type="dxa"/>
            <w:tcBorders>
              <w:top w:val="single" w:sz="4" w:space="0" w:color="auto"/>
              <w:left w:val="nil"/>
              <w:bottom w:val="single" w:sz="4" w:space="0" w:color="auto"/>
              <w:right w:val="nil"/>
            </w:tcBorders>
            <w:shd w:val="clear" w:color="auto" w:fill="auto"/>
            <w:noWrap/>
            <w:vAlign w:val="bottom"/>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88 </w:t>
            </w:r>
          </w:p>
        </w:tc>
        <w:tc>
          <w:tcPr>
            <w:tcW w:w="879" w:type="dxa"/>
            <w:tcBorders>
              <w:top w:val="single" w:sz="4" w:space="0" w:color="auto"/>
              <w:left w:val="nil"/>
              <w:bottom w:val="single" w:sz="4" w:space="0" w:color="auto"/>
              <w:right w:val="nil"/>
            </w:tcBorders>
            <w:shd w:val="clear" w:color="000000" w:fill="E6E6E6"/>
            <w:noWrap/>
            <w:vAlign w:val="bottom"/>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92 </w:t>
            </w:r>
          </w:p>
        </w:tc>
        <w:tc>
          <w:tcPr>
            <w:tcW w:w="879" w:type="dxa"/>
            <w:tcBorders>
              <w:top w:val="single" w:sz="4" w:space="0" w:color="auto"/>
              <w:left w:val="nil"/>
              <w:bottom w:val="single" w:sz="4" w:space="0" w:color="auto"/>
              <w:right w:val="nil"/>
            </w:tcBorders>
            <w:shd w:val="clear" w:color="auto" w:fill="auto"/>
            <w:noWrap/>
            <w:vAlign w:val="bottom"/>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99 </w:t>
            </w:r>
          </w:p>
        </w:tc>
        <w:tc>
          <w:tcPr>
            <w:tcW w:w="879" w:type="dxa"/>
            <w:tcBorders>
              <w:top w:val="single" w:sz="4" w:space="0" w:color="auto"/>
              <w:left w:val="nil"/>
              <w:bottom w:val="single" w:sz="4" w:space="0" w:color="auto"/>
              <w:right w:val="nil"/>
            </w:tcBorders>
            <w:shd w:val="clear" w:color="auto" w:fill="auto"/>
            <w:noWrap/>
            <w:vAlign w:val="bottom"/>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255 </w:t>
            </w:r>
          </w:p>
        </w:tc>
        <w:tc>
          <w:tcPr>
            <w:tcW w:w="879" w:type="dxa"/>
            <w:tcBorders>
              <w:top w:val="single" w:sz="4" w:space="0" w:color="auto"/>
              <w:left w:val="nil"/>
              <w:bottom w:val="single" w:sz="4" w:space="0" w:color="auto"/>
              <w:right w:val="nil"/>
            </w:tcBorders>
            <w:shd w:val="clear" w:color="auto" w:fill="auto"/>
            <w:noWrap/>
            <w:vAlign w:val="bottom"/>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261 </w:t>
            </w:r>
          </w:p>
        </w:tc>
      </w:tr>
    </w:tbl>
    <w:p w:rsidR="001129DC" w:rsidRPr="001129DC" w:rsidRDefault="001129DC" w:rsidP="00E01B4E">
      <w:pPr>
        <w:pStyle w:val="ChartandTableFootnoteAlpha"/>
        <w:numPr>
          <w:ilvl w:val="0"/>
          <w:numId w:val="54"/>
        </w:numPr>
        <w:rPr>
          <w:rFonts w:cs="Arial"/>
          <w:szCs w:val="16"/>
        </w:rPr>
      </w:pPr>
      <w:r w:rsidRPr="001129DC">
        <w:rPr>
          <w:rFonts w:cs="Arial"/>
          <w:szCs w:val="16"/>
        </w:rPr>
        <w:t>Does not include annual finance lease costs. Includes purchases from current an</w:t>
      </w:r>
      <w:r w:rsidR="00672459">
        <w:rPr>
          <w:rFonts w:cs="Arial"/>
          <w:szCs w:val="16"/>
        </w:rPr>
        <w:t xml:space="preserve">d previous years’ Departmental </w:t>
      </w:r>
      <w:r w:rsidR="00345F13">
        <w:rPr>
          <w:rFonts w:cs="Arial"/>
          <w:szCs w:val="16"/>
          <w:lang w:val="en-AU"/>
        </w:rPr>
        <w:t>Capital</w:t>
      </w:r>
      <w:r w:rsidRPr="001129DC">
        <w:rPr>
          <w:rFonts w:cs="Arial"/>
          <w:szCs w:val="16"/>
        </w:rPr>
        <w:t xml:space="preserve"> </w:t>
      </w:r>
      <w:r w:rsidR="00345F13">
        <w:rPr>
          <w:rFonts w:cs="Arial"/>
          <w:szCs w:val="16"/>
          <w:lang w:val="en-AU"/>
        </w:rPr>
        <w:t>Budgets</w:t>
      </w:r>
      <w:r w:rsidRPr="001129DC">
        <w:rPr>
          <w:rFonts w:cs="Arial"/>
          <w:szCs w:val="16"/>
        </w:rPr>
        <w:t xml:space="preserve"> (DCBs).</w:t>
      </w:r>
    </w:p>
    <w:p w:rsidR="001129DC" w:rsidRDefault="001129DC" w:rsidP="001129DC">
      <w:pPr>
        <w:pStyle w:val="ChartandTableFootnote"/>
        <w:rPr>
          <w:lang w:val="en-AU"/>
        </w:rPr>
      </w:pPr>
      <w:r w:rsidRPr="00132F9E">
        <w:t>Prepared on Australian Accounting Standards basis.</w:t>
      </w:r>
    </w:p>
    <w:p w:rsidR="00342D9E" w:rsidRPr="00342D9E" w:rsidRDefault="00342D9E" w:rsidP="00342D9E">
      <w:pPr>
        <w:rPr>
          <w:lang w:eastAsia="x-none"/>
        </w:rPr>
      </w:pPr>
    </w:p>
    <w:p w:rsidR="001129DC" w:rsidRDefault="001129DC" w:rsidP="001129DC">
      <w:pPr>
        <w:pStyle w:val="TableHeading"/>
      </w:pPr>
      <w:r w:rsidRPr="00D30CBA">
        <w:t>Table</w:t>
      </w:r>
      <w:r>
        <w:t xml:space="preserve"> 3.6</w:t>
      </w:r>
      <w:r w:rsidRPr="00D30CBA">
        <w:t xml:space="preserve">: </w:t>
      </w:r>
      <w:r>
        <w:t>Statement of asset movements (Budget year 2018</w:t>
      </w:r>
      <w:r>
        <w:rPr>
          <w:lang w:val="en-AU"/>
        </w:rPr>
        <w:t>–</w:t>
      </w:r>
      <w:r>
        <w:t>19)</w:t>
      </w:r>
    </w:p>
    <w:tbl>
      <w:tblPr>
        <w:tblW w:w="7739" w:type="dxa"/>
        <w:tblInd w:w="93" w:type="dxa"/>
        <w:tblLook w:val="04A0" w:firstRow="1" w:lastRow="0" w:firstColumn="1" w:lastColumn="0" w:noHBand="0" w:noVBand="1"/>
      </w:tblPr>
      <w:tblGrid>
        <w:gridCol w:w="3345"/>
        <w:gridCol w:w="992"/>
        <w:gridCol w:w="1304"/>
        <w:gridCol w:w="1134"/>
        <w:gridCol w:w="964"/>
      </w:tblGrid>
      <w:tr w:rsidR="001129DC" w:rsidRPr="001129DC" w:rsidTr="00A50DEF">
        <w:trPr>
          <w:trHeight w:val="794"/>
        </w:trPr>
        <w:tc>
          <w:tcPr>
            <w:tcW w:w="3345"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rPr>
                <w:rFonts w:ascii="Arial" w:hAnsi="Arial" w:cs="Arial"/>
                <w:sz w:val="16"/>
                <w:szCs w:val="16"/>
              </w:rPr>
            </w:pPr>
            <w:r w:rsidRPr="001129DC">
              <w:rPr>
                <w:rFonts w:ascii="Arial" w:hAnsi="Arial" w:cs="Arial"/>
                <w:sz w:val="16"/>
                <w:szCs w:val="16"/>
              </w:rPr>
              <w:t> </w:t>
            </w:r>
          </w:p>
        </w:tc>
        <w:tc>
          <w:tcPr>
            <w:tcW w:w="992"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Buildings</w:t>
            </w:r>
            <w:r w:rsidRPr="001129DC">
              <w:rPr>
                <w:rFonts w:ascii="Arial" w:hAnsi="Arial" w:cs="Arial"/>
                <w:sz w:val="16"/>
                <w:szCs w:val="16"/>
              </w:rPr>
              <w:br/>
            </w:r>
            <w:r w:rsidRPr="001129DC">
              <w:rPr>
                <w:rFonts w:ascii="Arial" w:hAnsi="Arial" w:cs="Arial"/>
                <w:sz w:val="16"/>
                <w:szCs w:val="16"/>
              </w:rPr>
              <w:br/>
            </w:r>
            <w:r w:rsidRPr="001129DC">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Other</w:t>
            </w:r>
            <w:r w:rsidR="009F76A1">
              <w:rPr>
                <w:rFonts w:ascii="Arial" w:hAnsi="Arial" w:cs="Arial"/>
                <w:sz w:val="16"/>
                <w:szCs w:val="16"/>
              </w:rPr>
              <w:t xml:space="preserve"> </w:t>
            </w:r>
            <w:r w:rsidRPr="001129DC">
              <w:rPr>
                <w:rFonts w:ascii="Arial" w:hAnsi="Arial" w:cs="Arial"/>
                <w:sz w:val="16"/>
                <w:szCs w:val="16"/>
              </w:rPr>
              <w:t>property,</w:t>
            </w:r>
            <w:r w:rsidRPr="001129DC">
              <w:rPr>
                <w:rFonts w:ascii="Arial" w:hAnsi="Arial" w:cs="Arial"/>
                <w:sz w:val="16"/>
                <w:szCs w:val="16"/>
              </w:rPr>
              <w:br/>
              <w:t>plant and</w:t>
            </w:r>
            <w:r w:rsidRPr="001129DC">
              <w:rPr>
                <w:rFonts w:ascii="Arial" w:hAnsi="Arial" w:cs="Arial"/>
                <w:sz w:val="16"/>
                <w:szCs w:val="16"/>
              </w:rPr>
              <w:br/>
              <w:t>equipment</w:t>
            </w:r>
            <w:r w:rsidRPr="001129DC">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Computer</w:t>
            </w:r>
            <w:r w:rsidRPr="001129DC">
              <w:rPr>
                <w:rFonts w:ascii="Arial" w:hAnsi="Arial" w:cs="Arial"/>
                <w:sz w:val="16"/>
                <w:szCs w:val="16"/>
              </w:rPr>
              <w:br/>
              <w:t>software and</w:t>
            </w:r>
            <w:r w:rsidRPr="001129DC">
              <w:rPr>
                <w:rFonts w:ascii="Arial" w:hAnsi="Arial" w:cs="Arial"/>
                <w:sz w:val="16"/>
                <w:szCs w:val="16"/>
              </w:rPr>
              <w:br/>
              <w:t>intangibles</w:t>
            </w:r>
            <w:r w:rsidRPr="001129DC">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Total</w:t>
            </w:r>
            <w:r w:rsidRPr="001129DC">
              <w:rPr>
                <w:rFonts w:ascii="Arial" w:hAnsi="Arial" w:cs="Arial"/>
                <w:sz w:val="16"/>
                <w:szCs w:val="16"/>
              </w:rPr>
              <w:br/>
            </w:r>
            <w:r w:rsidRPr="001129DC">
              <w:rPr>
                <w:rFonts w:ascii="Arial" w:hAnsi="Arial" w:cs="Arial"/>
                <w:sz w:val="16"/>
                <w:szCs w:val="16"/>
              </w:rPr>
              <w:br/>
            </w:r>
            <w:r w:rsidRPr="001129DC">
              <w:rPr>
                <w:rFonts w:ascii="Arial" w:hAnsi="Arial" w:cs="Arial"/>
                <w:sz w:val="16"/>
                <w:szCs w:val="16"/>
              </w:rPr>
              <w:br/>
              <w:t>$'000</w:t>
            </w: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As at 1 July 2018</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 xml:space="preserve">Gross book value </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4,334 </w:t>
            </w: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374 </w:t>
            </w: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426 </w:t>
            </w: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5,134 </w:t>
            </w:r>
          </w:p>
        </w:tc>
      </w:tr>
      <w:tr w:rsidR="001129DC" w:rsidRPr="001129DC" w:rsidTr="00A50DEF">
        <w:trPr>
          <w:trHeight w:val="397"/>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Chars="80" w:left="333" w:hangingChars="108" w:hanging="173"/>
              <w:rPr>
                <w:rFonts w:ascii="Arial" w:hAnsi="Arial" w:cs="Arial"/>
                <w:sz w:val="16"/>
                <w:szCs w:val="16"/>
              </w:rPr>
            </w:pPr>
            <w:r w:rsidRPr="001129DC">
              <w:rPr>
                <w:rFonts w:ascii="Arial" w:hAnsi="Arial" w:cs="Arial"/>
                <w:sz w:val="16"/>
                <w:szCs w:val="16"/>
              </w:rPr>
              <w:t>Accumulated depreciation/amortisation and impairment</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(2,256)</w:t>
            </w: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(250)</w:t>
            </w: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(403)</w:t>
            </w: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(2,909)</w:t>
            </w: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Opening net book balance</w:t>
            </w:r>
          </w:p>
        </w:tc>
        <w:tc>
          <w:tcPr>
            <w:tcW w:w="992"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2,078 </w:t>
            </w:r>
          </w:p>
        </w:tc>
        <w:tc>
          <w:tcPr>
            <w:tcW w:w="1304"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124 </w:t>
            </w:r>
          </w:p>
        </w:tc>
        <w:tc>
          <w:tcPr>
            <w:tcW w:w="1134"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23 </w:t>
            </w:r>
          </w:p>
        </w:tc>
        <w:tc>
          <w:tcPr>
            <w:tcW w:w="964"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2,225 </w:t>
            </w: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Capital asset additions</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r>
      <w:tr w:rsidR="001129DC" w:rsidRPr="001129DC" w:rsidTr="00A50DEF">
        <w:trPr>
          <w:trHeight w:val="397"/>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Chars="81" w:left="332" w:hangingChars="106" w:hanging="170"/>
              <w:rPr>
                <w:rFonts w:ascii="Arial" w:hAnsi="Arial" w:cs="Arial"/>
                <w:b/>
                <w:bCs/>
                <w:sz w:val="16"/>
                <w:szCs w:val="16"/>
              </w:rPr>
            </w:pPr>
            <w:r w:rsidRPr="001129DC">
              <w:rPr>
                <w:rFonts w:ascii="Arial" w:hAnsi="Arial" w:cs="Arial"/>
                <w:b/>
                <w:bCs/>
                <w:sz w:val="16"/>
                <w:szCs w:val="16"/>
              </w:rPr>
              <w:t>Estimated expenditure on new or replacement assets</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r>
      <w:tr w:rsidR="001129DC" w:rsidRPr="001129DC" w:rsidTr="00A50DEF">
        <w:trPr>
          <w:trHeight w:val="397"/>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Chars="80" w:left="333" w:hangingChars="108" w:hanging="173"/>
              <w:rPr>
                <w:rFonts w:ascii="Arial" w:hAnsi="Arial" w:cs="Arial"/>
                <w:sz w:val="16"/>
                <w:szCs w:val="16"/>
              </w:rPr>
            </w:pPr>
            <w:r w:rsidRPr="001129DC">
              <w:rPr>
                <w:rFonts w:ascii="Arial" w:hAnsi="Arial" w:cs="Arial"/>
                <w:sz w:val="16"/>
                <w:szCs w:val="16"/>
              </w:rPr>
              <w:t>By purchase—appropriation ordinary annual services (a)</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20 </w:t>
            </w: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52 </w:t>
            </w: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20 </w:t>
            </w: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92 </w:t>
            </w: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firstLineChars="100" w:firstLine="160"/>
              <w:rPr>
                <w:rFonts w:ascii="Arial" w:hAnsi="Arial" w:cs="Arial"/>
                <w:b/>
                <w:bCs/>
                <w:sz w:val="16"/>
                <w:szCs w:val="16"/>
              </w:rPr>
            </w:pPr>
            <w:r w:rsidRPr="001129DC">
              <w:rPr>
                <w:rFonts w:ascii="Arial" w:hAnsi="Arial" w:cs="Arial"/>
                <w:b/>
                <w:bCs/>
                <w:sz w:val="16"/>
                <w:szCs w:val="16"/>
              </w:rPr>
              <w:t>Total additions</w:t>
            </w:r>
          </w:p>
        </w:tc>
        <w:tc>
          <w:tcPr>
            <w:tcW w:w="992"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20 </w:t>
            </w:r>
          </w:p>
        </w:tc>
        <w:tc>
          <w:tcPr>
            <w:tcW w:w="1304"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52 </w:t>
            </w:r>
          </w:p>
        </w:tc>
        <w:tc>
          <w:tcPr>
            <w:tcW w:w="1134"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20 </w:t>
            </w:r>
          </w:p>
        </w:tc>
        <w:tc>
          <w:tcPr>
            <w:tcW w:w="964"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92 </w:t>
            </w: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firstLineChars="100" w:firstLine="160"/>
              <w:rPr>
                <w:rFonts w:ascii="Arial" w:hAnsi="Arial" w:cs="Arial"/>
                <w:b/>
                <w:bCs/>
                <w:sz w:val="16"/>
                <w:szCs w:val="16"/>
              </w:rPr>
            </w:pPr>
            <w:r w:rsidRPr="001129DC">
              <w:rPr>
                <w:rFonts w:ascii="Arial" w:hAnsi="Arial" w:cs="Arial"/>
                <w:b/>
                <w:bCs/>
                <w:sz w:val="16"/>
                <w:szCs w:val="16"/>
              </w:rPr>
              <w:t>Other movements</w:t>
            </w:r>
          </w:p>
        </w:tc>
        <w:tc>
          <w:tcPr>
            <w:tcW w:w="992"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w:t>
            </w:r>
          </w:p>
        </w:tc>
        <w:tc>
          <w:tcPr>
            <w:tcW w:w="964" w:type="dxa"/>
            <w:tcBorders>
              <w:top w:val="single" w:sz="4" w:space="0" w:color="auto"/>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w:t>
            </w: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Depreciation/amortisation expense</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(525)</w:t>
            </w: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(44)</w:t>
            </w: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(21)</w:t>
            </w: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(590)</w:t>
            </w: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firstLineChars="100" w:firstLine="160"/>
              <w:rPr>
                <w:rFonts w:ascii="Arial" w:hAnsi="Arial" w:cs="Arial"/>
                <w:b/>
                <w:bCs/>
                <w:sz w:val="16"/>
                <w:szCs w:val="16"/>
              </w:rPr>
            </w:pPr>
            <w:r w:rsidRPr="001129DC">
              <w:rPr>
                <w:rFonts w:ascii="Arial" w:hAnsi="Arial" w:cs="Arial"/>
                <w:b/>
                <w:bCs/>
                <w:sz w:val="16"/>
                <w:szCs w:val="16"/>
              </w:rPr>
              <w:t>Total other movements</w:t>
            </w:r>
          </w:p>
        </w:tc>
        <w:tc>
          <w:tcPr>
            <w:tcW w:w="992"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(525)</w:t>
            </w:r>
          </w:p>
        </w:tc>
        <w:tc>
          <w:tcPr>
            <w:tcW w:w="1304"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(44)</w:t>
            </w:r>
          </w:p>
        </w:tc>
        <w:tc>
          <w:tcPr>
            <w:tcW w:w="1134"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(21)</w:t>
            </w:r>
          </w:p>
        </w:tc>
        <w:tc>
          <w:tcPr>
            <w:tcW w:w="964" w:type="dxa"/>
            <w:tcBorders>
              <w:top w:val="single" w:sz="4" w:space="0" w:color="auto"/>
              <w:left w:val="nil"/>
              <w:bottom w:val="single" w:sz="4" w:space="0" w:color="auto"/>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(590)</w:t>
            </w: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As at 30 June 2019</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p>
        </w:tc>
      </w:tr>
      <w:tr w:rsidR="001129DC" w:rsidRPr="001129DC" w:rsidTr="00A50DEF">
        <w:trPr>
          <w:trHeight w:val="225"/>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Gross book value</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4,354 </w:t>
            </w: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426 </w:t>
            </w: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446 </w:t>
            </w: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5,226 </w:t>
            </w:r>
          </w:p>
        </w:tc>
      </w:tr>
      <w:tr w:rsidR="001129DC" w:rsidRPr="001129DC" w:rsidTr="00A50DEF">
        <w:trPr>
          <w:trHeight w:val="397"/>
        </w:trPr>
        <w:tc>
          <w:tcPr>
            <w:tcW w:w="3345" w:type="dxa"/>
            <w:tcBorders>
              <w:top w:val="nil"/>
              <w:left w:val="nil"/>
              <w:bottom w:val="nil"/>
              <w:right w:val="nil"/>
            </w:tcBorders>
            <w:shd w:val="clear" w:color="auto" w:fill="auto"/>
            <w:vAlign w:val="center"/>
            <w:hideMark/>
          </w:tcPr>
          <w:p w:rsidR="001129DC" w:rsidRPr="001129DC" w:rsidRDefault="001129DC" w:rsidP="00A50DEF">
            <w:pPr>
              <w:spacing w:after="0" w:line="240" w:lineRule="auto"/>
              <w:ind w:leftChars="80" w:left="333" w:hangingChars="108" w:hanging="173"/>
              <w:rPr>
                <w:rFonts w:ascii="Arial" w:hAnsi="Arial" w:cs="Arial"/>
                <w:sz w:val="16"/>
                <w:szCs w:val="16"/>
              </w:rPr>
            </w:pPr>
            <w:r w:rsidRPr="001129DC">
              <w:rPr>
                <w:rFonts w:ascii="Arial" w:hAnsi="Arial" w:cs="Arial"/>
                <w:sz w:val="16"/>
                <w:szCs w:val="16"/>
              </w:rPr>
              <w:t>Accumulated depreciation/amortisation and impairment</w:t>
            </w:r>
          </w:p>
        </w:tc>
        <w:tc>
          <w:tcPr>
            <w:tcW w:w="992"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(2,781)</w:t>
            </w:r>
          </w:p>
        </w:tc>
        <w:tc>
          <w:tcPr>
            <w:tcW w:w="130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(294)</w:t>
            </w:r>
          </w:p>
        </w:tc>
        <w:tc>
          <w:tcPr>
            <w:tcW w:w="113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(424)</w:t>
            </w:r>
          </w:p>
        </w:tc>
        <w:tc>
          <w:tcPr>
            <w:tcW w:w="964" w:type="dxa"/>
            <w:tcBorders>
              <w:top w:val="nil"/>
              <w:left w:val="nil"/>
              <w:bottom w:val="nil"/>
              <w:right w:val="nil"/>
            </w:tcBorders>
            <w:shd w:val="clear" w:color="auto" w:fill="auto"/>
            <w:noWrap/>
            <w:vAlign w:val="center"/>
            <w:hideMark/>
          </w:tcPr>
          <w:p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(3,499)</w:t>
            </w:r>
          </w:p>
        </w:tc>
      </w:tr>
      <w:tr w:rsidR="001129DC" w:rsidRPr="001129DC" w:rsidTr="009F76A1">
        <w:trPr>
          <w:trHeight w:val="225"/>
        </w:trPr>
        <w:tc>
          <w:tcPr>
            <w:tcW w:w="3345" w:type="dxa"/>
            <w:tcBorders>
              <w:top w:val="nil"/>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rPr>
                <w:rFonts w:ascii="Arial" w:hAnsi="Arial" w:cs="Arial"/>
                <w:b/>
                <w:bCs/>
                <w:sz w:val="16"/>
                <w:szCs w:val="16"/>
              </w:rPr>
            </w:pPr>
            <w:r w:rsidRPr="001129DC">
              <w:rPr>
                <w:rFonts w:ascii="Arial" w:hAnsi="Arial" w:cs="Arial"/>
                <w:b/>
                <w:bCs/>
                <w:sz w:val="16"/>
                <w:szCs w:val="16"/>
              </w:rPr>
              <w:t>Closing net book balance</w:t>
            </w:r>
          </w:p>
        </w:tc>
        <w:tc>
          <w:tcPr>
            <w:tcW w:w="992" w:type="dxa"/>
            <w:tcBorders>
              <w:top w:val="single" w:sz="4" w:space="0" w:color="auto"/>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jc w:val="right"/>
              <w:rPr>
                <w:rFonts w:ascii="Arial" w:hAnsi="Arial" w:cs="Arial"/>
                <w:b/>
                <w:bCs/>
                <w:sz w:val="16"/>
                <w:szCs w:val="16"/>
              </w:rPr>
            </w:pPr>
            <w:r w:rsidRPr="001129DC">
              <w:rPr>
                <w:rFonts w:ascii="Arial" w:hAnsi="Arial" w:cs="Arial"/>
                <w:b/>
                <w:bCs/>
                <w:sz w:val="16"/>
                <w:szCs w:val="16"/>
              </w:rPr>
              <w:t xml:space="preserve">1,573 </w:t>
            </w:r>
          </w:p>
        </w:tc>
        <w:tc>
          <w:tcPr>
            <w:tcW w:w="1304" w:type="dxa"/>
            <w:tcBorders>
              <w:top w:val="single" w:sz="4" w:space="0" w:color="auto"/>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jc w:val="right"/>
              <w:rPr>
                <w:rFonts w:ascii="Arial" w:hAnsi="Arial" w:cs="Arial"/>
                <w:b/>
                <w:bCs/>
                <w:sz w:val="16"/>
                <w:szCs w:val="16"/>
              </w:rPr>
            </w:pPr>
            <w:r w:rsidRPr="001129DC">
              <w:rPr>
                <w:rFonts w:ascii="Arial" w:hAnsi="Arial" w:cs="Arial"/>
                <w:b/>
                <w:bCs/>
                <w:sz w:val="16"/>
                <w:szCs w:val="16"/>
              </w:rPr>
              <w:t xml:space="preserve">132 </w:t>
            </w:r>
          </w:p>
        </w:tc>
        <w:tc>
          <w:tcPr>
            <w:tcW w:w="1134" w:type="dxa"/>
            <w:tcBorders>
              <w:top w:val="single" w:sz="4" w:space="0" w:color="auto"/>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jc w:val="right"/>
              <w:rPr>
                <w:rFonts w:ascii="Arial" w:hAnsi="Arial" w:cs="Arial"/>
                <w:b/>
                <w:bCs/>
                <w:sz w:val="16"/>
                <w:szCs w:val="16"/>
              </w:rPr>
            </w:pPr>
            <w:r w:rsidRPr="001129DC">
              <w:rPr>
                <w:rFonts w:ascii="Arial" w:hAnsi="Arial" w:cs="Arial"/>
                <w:b/>
                <w:bCs/>
                <w:sz w:val="16"/>
                <w:szCs w:val="16"/>
              </w:rPr>
              <w:t xml:space="preserve">22 </w:t>
            </w:r>
          </w:p>
        </w:tc>
        <w:tc>
          <w:tcPr>
            <w:tcW w:w="964" w:type="dxa"/>
            <w:tcBorders>
              <w:top w:val="single" w:sz="4" w:space="0" w:color="auto"/>
              <w:left w:val="nil"/>
              <w:bottom w:val="single" w:sz="4" w:space="0" w:color="auto"/>
              <w:right w:val="nil"/>
            </w:tcBorders>
            <w:shd w:val="clear" w:color="auto" w:fill="auto"/>
            <w:noWrap/>
            <w:vAlign w:val="bottom"/>
            <w:hideMark/>
          </w:tcPr>
          <w:p w:rsidR="001129DC" w:rsidRPr="001129DC" w:rsidRDefault="001129DC" w:rsidP="001129DC">
            <w:pPr>
              <w:spacing w:after="0" w:line="240" w:lineRule="auto"/>
              <w:jc w:val="right"/>
              <w:rPr>
                <w:rFonts w:ascii="Arial" w:hAnsi="Arial" w:cs="Arial"/>
                <w:b/>
                <w:bCs/>
                <w:sz w:val="16"/>
                <w:szCs w:val="16"/>
              </w:rPr>
            </w:pPr>
            <w:r w:rsidRPr="001129DC">
              <w:rPr>
                <w:rFonts w:ascii="Arial" w:hAnsi="Arial" w:cs="Arial"/>
                <w:b/>
                <w:bCs/>
                <w:sz w:val="16"/>
                <w:szCs w:val="16"/>
              </w:rPr>
              <w:t xml:space="preserve">1,727 </w:t>
            </w:r>
          </w:p>
        </w:tc>
      </w:tr>
    </w:tbl>
    <w:p w:rsidR="001129DC" w:rsidRPr="00CB73D2" w:rsidRDefault="001129DC" w:rsidP="00E01B4E">
      <w:pPr>
        <w:pStyle w:val="ChartandTableFootnoteAlpha"/>
        <w:numPr>
          <w:ilvl w:val="0"/>
          <w:numId w:val="55"/>
        </w:numPr>
        <w:rPr>
          <w:rFonts w:cs="Arial"/>
          <w:szCs w:val="16"/>
        </w:rPr>
      </w:pPr>
      <w:r w:rsidRPr="00CB73D2">
        <w:rPr>
          <w:rFonts w:cs="Arial"/>
          <w:szCs w:val="16"/>
        </w:rPr>
        <w:t>‘Appropriation ordinary annual services’ refers to funding provided through Appropriation Bill (No. 1) 2018</w:t>
      </w:r>
      <w:r w:rsidR="005F0E30">
        <w:rPr>
          <w:rFonts w:cs="Arial"/>
          <w:szCs w:val="16"/>
        </w:rPr>
        <w:t>–</w:t>
      </w:r>
      <w:r w:rsidRPr="00CB73D2">
        <w:rPr>
          <w:rFonts w:cs="Arial"/>
          <w:szCs w:val="16"/>
        </w:rPr>
        <w:t>19 for depreciation/amortisation expenses, DCBs or other operational expenses.</w:t>
      </w:r>
    </w:p>
    <w:p w:rsidR="001129DC" w:rsidRDefault="001129DC" w:rsidP="001129DC">
      <w:pPr>
        <w:pStyle w:val="ChartandTableFootnote"/>
      </w:pPr>
      <w:r w:rsidRPr="00132F9E">
        <w:t>Prepared on Australian Accounting Standards basis.</w:t>
      </w:r>
    </w:p>
    <w:p w:rsidR="001129DC" w:rsidRDefault="001129DC" w:rsidP="00A50DEF">
      <w:pPr>
        <w:pStyle w:val="TableHeading"/>
        <w:spacing w:before="300"/>
      </w:pPr>
      <w:r>
        <w:rPr>
          <w:rFonts w:cs="Arial"/>
          <w:szCs w:val="16"/>
        </w:rPr>
        <w:br w:type="page"/>
      </w:r>
      <w:r w:rsidRPr="00A50DEF">
        <w:lastRenderedPageBreak/>
        <w:t>Table 3.7: Schedule of budgeted income and expenses administered on behalf of</w:t>
      </w:r>
      <w:r>
        <w:t xml:space="preserve"> G</w:t>
      </w:r>
      <w:r w:rsidRPr="00D30CBA">
        <w:t>ove</w:t>
      </w:r>
      <w:r>
        <w:t>rnment (for the period ended 30 </w:t>
      </w:r>
      <w:r w:rsidRPr="00D30CBA">
        <w:t>June)</w:t>
      </w:r>
    </w:p>
    <w:p w:rsidR="001129DC" w:rsidRPr="00F10305" w:rsidRDefault="00CB73D2" w:rsidP="00CB73D2">
      <w:r>
        <w:t>Safe Work Australia has no income and expenses administered on behalf of government. For this reason, Table 3.7 is not presented.</w:t>
      </w:r>
    </w:p>
    <w:p w:rsidR="001129DC" w:rsidRDefault="001129DC" w:rsidP="00300D89">
      <w:pPr>
        <w:pStyle w:val="TableHeading"/>
        <w:spacing w:before="360"/>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1129DC" w:rsidRDefault="00CB73D2" w:rsidP="00CB73D2">
      <w:r>
        <w:t xml:space="preserve">Safe Work Australia has no administered assets and liabilities. For this reason, Table 3.8 is not presented. </w:t>
      </w:r>
    </w:p>
    <w:p w:rsidR="001129DC" w:rsidRDefault="001129DC" w:rsidP="00300D89">
      <w:pPr>
        <w:pStyle w:val="TableHeading"/>
        <w:spacing w:before="360"/>
      </w:pPr>
      <w:r>
        <w:t xml:space="preserve">Table 3.9: </w:t>
      </w:r>
      <w:r w:rsidRPr="00C41D55">
        <w:t xml:space="preserve">Schedule of </w:t>
      </w:r>
      <w:r>
        <w:t xml:space="preserve">budgeted administered cash flows </w:t>
      </w:r>
      <w:r w:rsidRPr="00C41D55">
        <w:t>(for</w:t>
      </w:r>
      <w:r>
        <w:t> the </w:t>
      </w:r>
      <w:r w:rsidRPr="00C41D55">
        <w:t>period ended 30 June)</w:t>
      </w:r>
    </w:p>
    <w:p w:rsidR="00CB73D2" w:rsidRDefault="00CB73D2" w:rsidP="00CB73D2">
      <w:r>
        <w:t xml:space="preserve">Safe Work Australia has no administered cash flows. For this reason, Table 3.9 is not presented. </w:t>
      </w:r>
    </w:p>
    <w:p w:rsidR="001129DC" w:rsidRDefault="001129DC" w:rsidP="00300D89">
      <w:pPr>
        <w:pStyle w:val="TableHeading"/>
        <w:spacing w:before="360"/>
      </w:pPr>
      <w:r w:rsidRPr="00D30CBA">
        <w:t>Table</w:t>
      </w:r>
      <w:r>
        <w:t xml:space="preserve"> 3.10</w:t>
      </w:r>
      <w:r w:rsidRPr="00D30CBA">
        <w:t xml:space="preserve">: </w:t>
      </w:r>
      <w:r>
        <w:t>Administered capital budget statement (for the period ended 30 June)</w:t>
      </w:r>
    </w:p>
    <w:p w:rsidR="00CB73D2" w:rsidRDefault="00CB73D2" w:rsidP="00CB73D2">
      <w:r>
        <w:t xml:space="preserve">Safe Work Australia has no administered capital budget. For this reason, Table 3.10 is not presented. </w:t>
      </w:r>
    </w:p>
    <w:p w:rsidR="001129DC" w:rsidRPr="00273D98" w:rsidRDefault="001129DC" w:rsidP="00300D89">
      <w:pPr>
        <w:pStyle w:val="TableHeading"/>
        <w:spacing w:before="360" w:after="0"/>
        <w:rPr>
          <w:lang w:val="en-AU"/>
        </w:rPr>
      </w:pPr>
      <w:r>
        <w:t>Table 3.11: Statement of administered asset movements (Budget year 2018</w:t>
      </w:r>
      <w:r>
        <w:rPr>
          <w:lang w:val="en-AU"/>
        </w:rPr>
        <w:t>–</w:t>
      </w:r>
      <w:r>
        <w:t>19)</w:t>
      </w:r>
    </w:p>
    <w:p w:rsidR="00CB73D2" w:rsidRDefault="00CB73D2" w:rsidP="003F3839">
      <w:r>
        <w:t xml:space="preserve">Safe Work Australia has no administered non-financial assets. For this reason, Table 3.11 is not presented. </w:t>
      </w:r>
    </w:p>
    <w:p w:rsidR="00AF5C37" w:rsidRDefault="00AF5C37" w:rsidP="003F3839"/>
    <w:p w:rsidR="003F3839" w:rsidRDefault="003F3839" w:rsidP="003F3839">
      <w:pPr>
        <w:sectPr w:rsidR="003F3839" w:rsidSect="00342D9E">
          <w:headerReference w:type="even" r:id="rId143"/>
          <w:headerReference w:type="first" r:id="rId144"/>
          <w:footnotePr>
            <w:numRestart w:val="eachPage"/>
          </w:footnotePr>
          <w:type w:val="oddPage"/>
          <w:pgSz w:w="11906" w:h="16838" w:code="9"/>
          <w:pgMar w:top="2466" w:right="2098" w:bottom="2127" w:left="2098" w:header="1899" w:footer="1899" w:gutter="0"/>
          <w:cols w:space="708"/>
          <w:titlePg/>
          <w:docGrid w:linePitch="360"/>
        </w:sectPr>
      </w:pPr>
    </w:p>
    <w:p w:rsidR="00633CA5" w:rsidRDefault="00633CA5" w:rsidP="00633CA5">
      <w:pPr>
        <w:pStyle w:val="Heading1"/>
      </w:pPr>
      <w:bookmarkStart w:id="601" w:name="_Toc511635322"/>
      <w:bookmarkStart w:id="602" w:name="_Toc511651071"/>
      <w:r w:rsidRPr="00834F9A">
        <w:lastRenderedPageBreak/>
        <w:t>Portfolio glossary</w:t>
      </w:r>
      <w:bookmarkEnd w:id="601"/>
      <w:bookmarkEnd w:id="6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 xml:space="preserve">Where amounts appropriated at Budget time are insufficient, Parliament may appropriate more funds to portfolios through the Additional Estimates Acts. </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These are Appropriation Bills 3 and 4, and a separate Bill for the Parliamentary Departments [Appropriations (Parliamentary Departments) Bill (No. 2)]. These Bills are introduced into Parliament sometime after the Budget Bills.</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An authorisation by Parliament to spend monies from the Consolidated Revenue Fund for a particular purpose.</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 xml:space="preserve">Assets are physical objects and legal rights expected to provide benefits in the future, or alternatively items of value owned by an Agency. </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Expenditure by an agency on capital projects, for example purchasing a building.</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Apportionment of an asset’s capital value as an expense over its estimated useful life to take account of normal usage, obsolescence, or the passage of time.</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Residual interest in the assets of an entity after deduction of its liabilities.</w:t>
            </w:r>
          </w:p>
        </w:tc>
      </w:tr>
      <w:tr w:rsidR="0037175A" w:rsidTr="00E01B4E">
        <w:trPr>
          <w:trHeight w:val="14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Total value of all of the resources consumed in producing goods and services or the loss of future economic benefits in the form of reductions in assets or increases in liabilities of an entity.</w:t>
            </w:r>
          </w:p>
        </w:tc>
      </w:tr>
      <w:tr w:rsidR="0037175A" w:rsidTr="00E01B4E">
        <w:trPr>
          <w:trHeight w:val="1057"/>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Forward estimates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37175A" w:rsidTr="00E01B4E">
        <w:trPr>
          <w:trHeight w:val="827"/>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lastRenderedPageBreak/>
              <w:t>Liabilities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Liabilities represent amounts owing on goods or services that have been received but not yet paid for. A liability shows the future commitment of the Agency’s assets.</w:t>
            </w:r>
          </w:p>
        </w:tc>
      </w:tr>
      <w:tr w:rsidR="0037175A" w:rsidTr="00E01B4E">
        <w:trPr>
          <w:trHeight w:val="352"/>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 xml:space="preserve">A new Government policy or savings decision with financial impacts. </w:t>
            </w:r>
          </w:p>
        </w:tc>
      </w:tr>
      <w:tr w:rsidR="0037175A" w:rsidTr="0037175A">
        <w:trPr>
          <w:trHeight w:val="995"/>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37175A" w:rsidTr="00E01B4E">
        <w:trPr>
          <w:trHeight w:val="352"/>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 xml:space="preserve">Equals revenue less expenses. </w:t>
            </w:r>
          </w:p>
        </w:tc>
      </w:tr>
      <w:tr w:rsidR="0037175A" w:rsidTr="0037175A">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37175A" w:rsidTr="00E01B4E">
        <w:trPr>
          <w:trHeight w:val="583"/>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Measures the joint or independent contribution of outputs and administered items to the achievement of their specified outcome.</w:t>
            </w:r>
          </w:p>
        </w:tc>
      </w:tr>
      <w:tr w:rsidR="0037175A" w:rsidTr="0037175A">
        <w:trPr>
          <w:trHeight w:val="952"/>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 Minister’s area of responsibility as a member of Cabinet. A portfolio consists of one or more Departments of State (ie the portfolio departments) and a number of entities with similar general objectives and outcomes.</w:t>
            </w:r>
          </w:p>
        </w:tc>
      </w:tr>
      <w:tr w:rsidR="0037175A" w:rsidTr="0037175A">
        <w:trPr>
          <w:trHeight w:val="768"/>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Entities deliver programs, which are government actions taken to deliver the stated outcomes. Entities are required to identify the programs which contribute to government outcomes over the Budget and forward years.</w:t>
            </w:r>
          </w:p>
        </w:tc>
      </w:tr>
      <w:tr w:rsidR="0037175A" w:rsidTr="00E01B4E">
        <w:trPr>
          <w:trHeight w:val="1301"/>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37175A" w:rsidTr="00E01B4E">
        <w:trPr>
          <w:trHeight w:val="597"/>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Total value of resources earned or received to cover the production of goods and services.</w:t>
            </w:r>
          </w:p>
        </w:tc>
      </w:tr>
      <w:tr w:rsidR="0037175A" w:rsidTr="00E01B4E">
        <w:trPr>
          <w:trHeight w:val="1615"/>
        </w:trPr>
        <w:tc>
          <w:tcPr>
            <w:tcW w:w="2069"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rsidR="0037175A" w:rsidRDefault="0037175A" w:rsidP="00E01B4E">
            <w:pPr>
              <w:pStyle w:val="TableTextLeft"/>
              <w:spacing w:line="276" w:lineRule="auto"/>
              <w:rPr>
                <w:lang w:eastAsia="en-US"/>
              </w:rPr>
            </w:pPr>
            <w:r>
              <w:rPr>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tbl>
    <w:p w:rsidR="000C3B86" w:rsidRPr="000C3B86" w:rsidRDefault="000C3B86" w:rsidP="0037175A"/>
    <w:sectPr w:rsidR="000C3B86" w:rsidRPr="000C3B86" w:rsidSect="0037175A">
      <w:headerReference w:type="even" r:id="rId145"/>
      <w:headerReference w:type="default" r:id="rId146"/>
      <w:headerReference w:type="first" r:id="rId147"/>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B57" w:rsidRDefault="00B54B57" w:rsidP="00C07DEC">
      <w:r>
        <w:separator/>
      </w:r>
    </w:p>
  </w:endnote>
  <w:endnote w:type="continuationSeparator" w:id="0">
    <w:p w:rsidR="00B54B57" w:rsidRDefault="00B54B57"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rsidP="00C342CD">
    <w:pPr>
      <w:pStyle w:val="Footer"/>
    </w:pPr>
    <w:r>
      <w:rPr>
        <w:rStyle w:val="PageNumber"/>
      </w:rPr>
      <w:fldChar w:fldCharType="begin"/>
    </w:r>
    <w:r>
      <w:rPr>
        <w:rStyle w:val="PageNumber"/>
      </w:rPr>
      <w:instrText xml:space="preserve"> PAGE  \* roman </w:instrText>
    </w:r>
    <w:r>
      <w:rPr>
        <w:rStyle w:val="PageNumber"/>
      </w:rPr>
      <w:fldChar w:fldCharType="separate"/>
    </w:r>
    <w:r w:rsidR="00B24C12">
      <w:rPr>
        <w:rStyle w:val="PageNumber"/>
        <w:noProof/>
      </w:rPr>
      <w:t>ii</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60516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rsidP="00C342CD">
    <w:pPr>
      <w:pStyle w:val="Footer"/>
    </w:pPr>
    <w:r>
      <w:rPr>
        <w:rStyle w:val="PageNumber"/>
      </w:rPr>
      <w:fldChar w:fldCharType="begin"/>
    </w:r>
    <w:r>
      <w:rPr>
        <w:rStyle w:val="PageNumber"/>
      </w:rPr>
      <w:instrText xml:space="preserve"> PAGE  \* Arabic </w:instrText>
    </w:r>
    <w:r>
      <w:rPr>
        <w:rStyle w:val="PageNumber"/>
      </w:rPr>
      <w:fldChar w:fldCharType="separate"/>
    </w:r>
    <w:r w:rsidR="00B24C12">
      <w:rPr>
        <w:rStyle w:val="PageNumber"/>
        <w:noProof/>
      </w:rPr>
      <w:t>16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605163">
    <w:pPr>
      <w:pStyle w:val="Footer"/>
    </w:pPr>
    <w:r>
      <w:rPr>
        <w:rStyle w:val="PageNumber"/>
      </w:rPr>
      <w:fldChar w:fldCharType="begin"/>
    </w:r>
    <w:r>
      <w:rPr>
        <w:rStyle w:val="PageNumber"/>
      </w:rPr>
      <w:instrText xml:space="preserve"> PAGE </w:instrText>
    </w:r>
    <w:r>
      <w:rPr>
        <w:rStyle w:val="PageNumber"/>
      </w:rPr>
      <w:fldChar w:fldCharType="separate"/>
    </w:r>
    <w:r w:rsidR="007C574C">
      <w:rPr>
        <w:rStyle w:val="PageNumber"/>
        <w:noProof/>
      </w:rPr>
      <w:t>3</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60516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1808A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D11533" w:rsidRDefault="00133D90" w:rsidP="00D11533">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B24C12">
      <w:rPr>
        <w:rStyle w:val="PageNumber"/>
        <w:noProof/>
      </w:rPr>
      <w:t>13</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1808A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7C574C">
      <w:rPr>
        <w:rStyle w:val="PageNumber"/>
        <w:noProof/>
      </w:rPr>
      <w:t>49</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1808A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240B29" w:rsidRDefault="00133D90" w:rsidP="00240B29">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7C574C">
      <w:rPr>
        <w:rStyle w:val="PageNumber"/>
        <w:noProof/>
      </w:rPr>
      <w:t>67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1808A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C9328C" w:rsidRDefault="00133D90" w:rsidP="00C9328C">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7C574C">
      <w:rPr>
        <w:rStyle w:val="PageNumber"/>
        <w:noProof/>
      </w:rPr>
      <w:t>85</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1808A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32312E" w:rsidRDefault="00133D90" w:rsidP="0032312E">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7C574C">
      <w:rPr>
        <w:rStyle w:val="PageNumber"/>
        <w:noProof/>
      </w:rPr>
      <w:t>113</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1808A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894726" w:rsidRDefault="00133D90" w:rsidP="00894726">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7C574C">
      <w:rPr>
        <w:rStyle w:val="PageNumber"/>
        <w:noProof/>
      </w:rPr>
      <w:t>133</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1808A4" w:rsidRDefault="00133D90" w:rsidP="001808A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F56B36" w:rsidRDefault="00133D90" w:rsidP="00F56B36">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B24C12">
      <w:rPr>
        <w:rStyle w:val="PageNumber"/>
        <w:noProof/>
      </w:rPr>
      <w:t>169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12" w:rsidRDefault="00B24C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5C437B" w:rsidRDefault="00133D90" w:rsidP="005C43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4342F8" w:rsidRDefault="00133D90" w:rsidP="004342F8">
    <w:pPr>
      <w:pStyle w:val="Footer"/>
    </w:pPr>
    <w:r>
      <w:rPr>
        <w:rStyle w:val="PageNumber"/>
      </w:rPr>
      <w:fldChar w:fldCharType="begin"/>
    </w:r>
    <w:r>
      <w:rPr>
        <w:rStyle w:val="PageNumber"/>
      </w:rPr>
      <w:instrText xml:space="preserve"> PAGE </w:instrText>
    </w:r>
    <w:r>
      <w:rPr>
        <w:rStyle w:val="PageNumber"/>
      </w:rPr>
      <w:fldChar w:fldCharType="separate"/>
    </w:r>
    <w:r w:rsidR="007C574C">
      <w:rPr>
        <w:rStyle w:val="PageNumber"/>
        <w:noProof/>
      </w:rPr>
      <w:t>iv</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4342F8" w:rsidRDefault="00133D90" w:rsidP="004342F8">
    <w:pPr>
      <w:pStyle w:val="Footer"/>
    </w:pPr>
    <w:r w:rsidRPr="004342F8">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Footer"/>
    </w:pPr>
    <w:r>
      <w:rPr>
        <w:rStyle w:val="PageNumber"/>
      </w:rPr>
      <w:fldChar w:fldCharType="begin"/>
    </w:r>
    <w:r>
      <w:rPr>
        <w:rStyle w:val="PageNumber"/>
      </w:rPr>
      <w:instrText xml:space="preserve"> PAGE </w:instrText>
    </w:r>
    <w:r>
      <w:rPr>
        <w:rStyle w:val="PageNumber"/>
      </w:rPr>
      <w:fldChar w:fldCharType="separate"/>
    </w:r>
    <w:r w:rsidR="00B24C12">
      <w:rPr>
        <w:rStyle w:val="PageNumber"/>
        <w:noProof/>
      </w:rPr>
      <w:t>17</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4342F8" w:rsidRDefault="00133D90" w:rsidP="004342F8">
    <w:pPr>
      <w:pStyle w:val="Footer"/>
    </w:pPr>
    <w:r>
      <w:rPr>
        <w:rStyle w:val="PageNumber"/>
      </w:rPr>
      <w:fldChar w:fldCharType="begin"/>
    </w:r>
    <w:r>
      <w:rPr>
        <w:rStyle w:val="PageNumber"/>
      </w:rPr>
      <w:instrText xml:space="preserve"> PAGE </w:instrText>
    </w:r>
    <w:r>
      <w:rPr>
        <w:rStyle w:val="PageNumber"/>
      </w:rPr>
      <w:fldChar w:fldCharType="separate"/>
    </w:r>
    <w:r w:rsidR="007C574C">
      <w:rPr>
        <w:rStyle w:val="PageNumber"/>
        <w:noProof/>
      </w:rPr>
      <w:t>vi</w:t>
    </w:r>
    <w:r>
      <w:rPr>
        <w:rStyle w:val="PageNumber"/>
      </w:rPr>
      <w:fldChar w:fldCharType="end"/>
    </w:r>
    <w:r w:rsidRPr="004342F8">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4342F8" w:rsidRDefault="00133D90" w:rsidP="004342F8">
    <w:pPr>
      <w:pStyle w:val="Footer"/>
    </w:pPr>
    <w:r w:rsidRPr="004342F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B57" w:rsidRDefault="00B54B57" w:rsidP="00C07DEC">
      <w:r>
        <w:separator/>
      </w:r>
    </w:p>
  </w:footnote>
  <w:footnote w:type="continuationSeparator" w:id="0">
    <w:p w:rsidR="00B54B57" w:rsidRDefault="00B54B57" w:rsidP="00C07DEC">
      <w:r>
        <w:continuationSeparator/>
      </w:r>
    </w:p>
  </w:footnote>
  <w:footnote w:id="1">
    <w:p w:rsidR="00133D90" w:rsidRPr="00081C68" w:rsidRDefault="00133D90">
      <w:pPr>
        <w:pStyle w:val="FootnoteText"/>
        <w:rPr>
          <w:sz w:val="16"/>
        </w:rPr>
      </w:pPr>
      <w:r w:rsidRPr="00081C68">
        <w:rPr>
          <w:rStyle w:val="FootnoteReference"/>
          <w:sz w:val="16"/>
        </w:rPr>
        <w:footnoteRef/>
      </w:r>
      <w:r w:rsidRPr="00081C68">
        <w:rPr>
          <w:sz w:val="16"/>
        </w:rPr>
        <w:t xml:space="preserve"> Refers to the updated purpose statement that will be reflected in the 2018–19 Corporate Plan.</w:t>
      </w:r>
    </w:p>
  </w:footnote>
  <w:footnote w:id="2">
    <w:p w:rsidR="00133D90" w:rsidRDefault="00133D90" w:rsidP="00E048ED">
      <w:pPr>
        <w:pStyle w:val="FootnoteText"/>
        <w:tabs>
          <w:tab w:val="clear" w:pos="284"/>
          <w:tab w:val="left" w:pos="720"/>
        </w:tabs>
        <w:rPr>
          <w:rFonts w:cs="Arial"/>
          <w:sz w:val="16"/>
          <w:szCs w:val="16"/>
        </w:rPr>
      </w:pPr>
      <w:r>
        <w:rPr>
          <w:rStyle w:val="FootnoteReference"/>
          <w:szCs w:val="18"/>
        </w:rPr>
        <w:footnoteRef/>
      </w:r>
      <w:r>
        <w:t xml:space="preserve"> </w:t>
      </w:r>
      <w:r>
        <w:tab/>
      </w:r>
      <w:r>
        <w:rPr>
          <w:rFonts w:cs="Arial"/>
          <w:sz w:val="16"/>
          <w:szCs w:val="16"/>
        </w:rPr>
        <w:t>To drive improvement in Indigenous employment outcomes, the jobactive deed includes specific Indigenous performance measures in the jobactive Star Ratings. A specific measure for sustained (26 week) employment for Indigenous job seekers, and the Indigenous Outcomes Incentive, based on a comparison of outcome rates for Indigenous job seekers with the rates for non-Indigenous job seekers on a like-for-like basis</w:t>
      </w:r>
      <w:r>
        <w:t>.</w:t>
      </w:r>
    </w:p>
  </w:footnote>
  <w:footnote w:id="3">
    <w:p w:rsidR="00133D90" w:rsidRDefault="00133D90" w:rsidP="00E048ED">
      <w:pPr>
        <w:pStyle w:val="FootnoteText"/>
      </w:pPr>
      <w:r>
        <w:rPr>
          <w:rStyle w:val="FootnoteReference"/>
        </w:rPr>
        <w:footnoteRef/>
      </w:r>
      <w:r>
        <w:t xml:space="preserve"> The targets for this performance measure were updated from the 2017–18 Portfolio Budget Statements in the Department of Jobs and Small Business 2017–18 Corporate Plan. </w:t>
      </w:r>
    </w:p>
  </w:footnote>
  <w:footnote w:id="4">
    <w:p w:rsidR="00133D90" w:rsidRDefault="00133D90" w:rsidP="008D52E2">
      <w:pPr>
        <w:pStyle w:val="FootnoteText"/>
      </w:pPr>
      <w:r>
        <w:rPr>
          <w:rStyle w:val="FootnoteReference"/>
        </w:rPr>
        <w:footnoteRef/>
      </w:r>
      <w:r>
        <w:t xml:space="preserve"> Refers to the updated purpose statement that will be reflected in the 2018–19 Corporate Plan.</w:t>
      </w:r>
    </w:p>
  </w:footnote>
  <w:footnote w:id="5">
    <w:p w:rsidR="00133D90" w:rsidRDefault="00133D90" w:rsidP="00E048ED">
      <w:pPr>
        <w:pStyle w:val="FootnoteText"/>
      </w:pPr>
      <w:r>
        <w:rPr>
          <w:rStyle w:val="FootnoteReference"/>
        </w:rPr>
        <w:footnoteRef/>
      </w:r>
      <w:r>
        <w:t xml:space="preserve"> The Department holds funding for the Coal Mining Long Service Leave, however management is through the Government appointed Coal Mining Long Service Leave Corporation. As such, performance information is not included for Coal Mining Long Service Leave. </w:t>
      </w:r>
    </w:p>
  </w:footnote>
  <w:footnote w:id="6">
    <w:p w:rsidR="00133D90" w:rsidRDefault="00133D90" w:rsidP="00E048ED">
      <w:pPr>
        <w:pStyle w:val="FootnoteText"/>
      </w:pPr>
      <w:r>
        <w:rPr>
          <w:rStyle w:val="FootnoteReference"/>
        </w:rPr>
        <w:footnoteRef/>
      </w:r>
      <w:r>
        <w:t xml:space="preserve"> The Department holds funding for the Protected Action Ballots Scheme, however management is through the Australian Electoral Commission. As such, performance information is not included for the Protected Action Ballots Scheme.</w:t>
      </w:r>
    </w:p>
  </w:footnote>
  <w:footnote w:id="7">
    <w:p w:rsidR="00133D90" w:rsidRDefault="00133D90" w:rsidP="00E048ED">
      <w:pPr>
        <w:pStyle w:val="FootnoteText"/>
      </w:pPr>
      <w:r>
        <w:rPr>
          <w:rStyle w:val="FootnoteReference"/>
        </w:rPr>
        <w:footnoteRef/>
      </w:r>
      <w:r>
        <w:t xml:space="preserve"> The ILO measure is for Australia’s contribution to the operation of the international agency. As such, performance information is not included on the ILO.</w:t>
      </w:r>
    </w:p>
  </w:footnote>
  <w:footnote w:id="8">
    <w:p w:rsidR="00133D90" w:rsidRPr="00081C68" w:rsidRDefault="00133D90" w:rsidP="00300D89">
      <w:pPr>
        <w:pStyle w:val="FootnoteText"/>
        <w:rPr>
          <w:sz w:val="16"/>
        </w:rPr>
      </w:pPr>
      <w:r w:rsidRPr="00081C68">
        <w:rPr>
          <w:rStyle w:val="FootnoteReference"/>
          <w:sz w:val="16"/>
        </w:rPr>
        <w:footnoteRef/>
      </w:r>
      <w:r w:rsidRPr="00081C68">
        <w:rPr>
          <w:sz w:val="16"/>
        </w:rPr>
        <w:t xml:space="preserve"> Refers to the updated purpose statement that will be reflected in the 2018–19 Corporate Plan.</w:t>
      </w:r>
    </w:p>
  </w:footnote>
  <w:footnote w:id="9">
    <w:p w:rsidR="00133D90" w:rsidRDefault="00133D90">
      <w:pPr>
        <w:pStyle w:val="FootnoteText"/>
      </w:pPr>
      <w:r>
        <w:rPr>
          <w:rStyle w:val="FootnoteReference"/>
        </w:rPr>
        <w:footnoteRef/>
      </w:r>
      <w:r>
        <w:t xml:space="preserve"> Claims cost decrease is greater than expense reduction</w:t>
      </w:r>
    </w:p>
  </w:footnote>
  <w:footnote w:id="10">
    <w:p w:rsidR="00133D90" w:rsidRDefault="00133D90" w:rsidP="001405B1">
      <w:pPr>
        <w:pStyle w:val="FootnoteText"/>
        <w:rPr>
          <w:rFonts w:ascii="Book Antiqua" w:hAnsi="Book Antiqua"/>
          <w:sz w:val="18"/>
        </w:rPr>
      </w:pPr>
      <w:r>
        <w:rPr>
          <w:rStyle w:val="FootnoteReference"/>
          <w:szCs w:val="18"/>
        </w:rPr>
        <w:footnoteRef/>
      </w:r>
      <w:r>
        <w:t xml:space="preserve"> Comcare is working with rehabilitation authorities on strategies to improve return to work rates.</w:t>
      </w:r>
    </w:p>
  </w:footnote>
  <w:footnote w:id="11">
    <w:p w:rsidR="00133D90" w:rsidRDefault="00133D90" w:rsidP="001405B1">
      <w:pPr>
        <w:pStyle w:val="FootnoteText"/>
        <w:rPr>
          <w:rFonts w:ascii="Book Antiqua" w:hAnsi="Book Antiqua"/>
          <w:sz w:val="18"/>
        </w:rPr>
      </w:pPr>
      <w:r>
        <w:rPr>
          <w:rStyle w:val="FootnoteReference"/>
          <w:szCs w:val="18"/>
        </w:rPr>
        <w:footnoteRef/>
      </w:r>
      <w:r>
        <w:t xml:space="preserve"> Comcare remains committed to achieving its target to ensure the cost-effective management of the fund.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12" w:rsidRDefault="00B24C1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EB77C1">
    <w:pPr>
      <w:pStyle w:val="Header"/>
      <w:jc w:val="center"/>
    </w:pPr>
    <w:r>
      <w:rPr>
        <w:noProof/>
        <w:lang w:val="en-AU" w:eastAsia="en-AU"/>
      </w:rPr>
      <w:drawing>
        <wp:inline distT="0" distB="0" distL="0" distR="0">
          <wp:extent cx="876300" cy="685800"/>
          <wp:effectExtent l="0" t="0" r="0" b="0"/>
          <wp:docPr id="5" name="Picture 5"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85800"/>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6335F1" w:rsidRDefault="00133D90">
    <w:pPr>
      <w:pStyle w:val="Header"/>
      <w:rPr>
        <w:lang w:val="en-AU"/>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rsidP="00361259">
    <w:pPr>
      <w:pStyle w:val="HeaderEven"/>
    </w:pPr>
    <w:r>
      <w:t>Portfolio overview</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rsidP="00361259">
    <w:pPr>
      <w:pStyle w:val="HeaderOdd"/>
    </w:pPr>
    <w:r>
      <w:t>Portfolio overview</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C12" w:rsidRDefault="00B24C1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D11533" w:rsidRDefault="00133D90" w:rsidP="00D11533">
    <w:pPr>
      <w:pStyle w:val="HeaderOdd"/>
    </w:pPr>
    <w:r>
      <w:t>Department of Jobs and Small Business Budget Statements</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D11533" w:rsidRDefault="00133D90" w:rsidP="00D11533">
    <w:pPr>
      <w:pStyle w:val="HeaderOdd"/>
      <w:jc w:val="left"/>
    </w:pPr>
    <w:r>
      <w:t>Department of Jobs and Small Business Budget Statements</w: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0304FC" w:rsidRDefault="00133D90" w:rsidP="000304FC">
    <w:pPr>
      <w:pStyle w:val="HeaderOdd"/>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4E688E" w:rsidRDefault="00133D90" w:rsidP="004E688E">
    <w:pPr>
      <w:pStyle w:val="HeaderOdd"/>
    </w:pPr>
    <w:r>
      <w:t>ASEA Budget Statements</w: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8935FC" w:rsidRDefault="00133D90" w:rsidP="008935FC">
    <w:pPr>
      <w:pStyle w:val="HeaderOdd"/>
      <w:jc w:val="left"/>
    </w:pPr>
    <w:r>
      <w:t>ASEA Budget Statements</w: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8935FC" w:rsidRDefault="00133D90" w:rsidP="008935FC">
    <w:pPr>
      <w:pStyle w:val="HeaderOdd"/>
    </w:pPr>
    <w:r>
      <w:t>ASEA Budget Statements</w: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0304FC" w:rsidRDefault="00133D90" w:rsidP="000304FC">
    <w:pPr>
      <w:pStyle w:val="HeaderOd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240B29" w:rsidRDefault="00133D90" w:rsidP="00240B29">
    <w:pPr>
      <w:pStyle w:val="Header"/>
      <w:jc w:val="right"/>
      <w:rPr>
        <w:lang w:val="en-AU"/>
      </w:rPr>
    </w:pPr>
    <w:r>
      <w:rPr>
        <w:lang w:val="en-AU"/>
      </w:rPr>
      <w:t>ABCC</w:t>
    </w:r>
    <w:r>
      <w:t xml:space="preserve"> Budget Statements</w: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240B29" w:rsidRDefault="00133D90" w:rsidP="00240B29">
    <w:pPr>
      <w:pStyle w:val="Header"/>
      <w:rPr>
        <w:lang w:val="en-AU"/>
      </w:rPr>
    </w:pPr>
    <w:r>
      <w:rPr>
        <w:lang w:val="en-AU"/>
      </w:rPr>
      <w:t>ABCC</w:t>
    </w:r>
    <w:r>
      <w:t xml:space="preserve"> Budget Statements</w: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rsidP="00240B29">
    <w:pPr>
      <w:pStyle w:val="Header"/>
      <w:jc w:val="right"/>
    </w:pPr>
    <w:r>
      <w:rPr>
        <w:lang w:val="en-AU"/>
      </w:rPr>
      <w:t>ABCC</w:t>
    </w:r>
    <w:r>
      <w:t xml:space="preserve"> Budget Statements</w: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0304FC" w:rsidRDefault="00133D90" w:rsidP="000304FC">
    <w:pPr>
      <w:pStyle w:val="HeaderOdd"/>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C9328C" w:rsidRDefault="00133D90" w:rsidP="00C9328C">
    <w:pPr>
      <w:pStyle w:val="Header"/>
      <w:jc w:val="right"/>
      <w:rPr>
        <w:lang w:val="en-AU"/>
      </w:rPr>
    </w:pPr>
    <w:r>
      <w:rPr>
        <w:lang w:val="en-AU"/>
      </w:rPr>
      <w:t>Comcare</w:t>
    </w:r>
    <w:r>
      <w:t xml:space="preserve">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C9328C" w:rsidRDefault="00133D90" w:rsidP="00C9328C">
    <w:pPr>
      <w:pStyle w:val="Header"/>
      <w:rPr>
        <w:lang w:val="en-AU"/>
      </w:rPr>
    </w:pPr>
    <w:r>
      <w:rPr>
        <w:lang w:val="en-AU"/>
      </w:rPr>
      <w:t>Comcare</w:t>
    </w:r>
    <w:r>
      <w:t xml:space="preserve"> Budget Statements</w: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C9328C" w:rsidRDefault="00133D90" w:rsidP="00C9328C">
    <w:pPr>
      <w:pStyle w:val="Header"/>
      <w:jc w:val="right"/>
      <w:rPr>
        <w:lang w:val="en-AU"/>
      </w:rPr>
    </w:pPr>
    <w:r>
      <w:rPr>
        <w:lang w:val="en-AU"/>
      </w:rPr>
      <w:t>Comcare</w:t>
    </w:r>
    <w:r>
      <w:t xml:space="preserve"> Budget Statements</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0304FC" w:rsidRDefault="00133D90" w:rsidP="000304FC">
    <w:pPr>
      <w:pStyle w:val="HeaderOdd"/>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32312E" w:rsidRDefault="00133D90">
    <w:pPr>
      <w:pStyle w:val="Header"/>
      <w:rPr>
        <w:lang w:val="en-AU"/>
      </w:rPr>
    </w:pPr>
    <w:r>
      <w:rPr>
        <w:lang w:val="en-AU"/>
      </w:rPr>
      <w:t>FWC</w:t>
    </w:r>
    <w:r>
      <w:t xml:space="preserve"> Budget Statements</w: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32312E" w:rsidRDefault="00133D90">
    <w:pPr>
      <w:pStyle w:val="Header"/>
      <w:rPr>
        <w:lang w:val="en-AU"/>
      </w:rPr>
    </w:pPr>
    <w:r>
      <w:rPr>
        <w:lang w:val="en-AU"/>
      </w:rPr>
      <w:t>FWC</w:t>
    </w:r>
    <w:r>
      <w:t xml:space="preserve">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32312E" w:rsidRDefault="00133D90" w:rsidP="0032312E">
    <w:pPr>
      <w:pStyle w:val="Header"/>
      <w:jc w:val="right"/>
      <w:rPr>
        <w:lang w:val="en-AU"/>
      </w:rPr>
    </w:pPr>
    <w:r>
      <w:rPr>
        <w:lang w:val="en-AU"/>
      </w:rPr>
      <w:t>FWC</w:t>
    </w:r>
    <w:r>
      <w:t xml:space="preserve"> Budget Statements</w: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32312E" w:rsidRDefault="00133D90" w:rsidP="0032312E">
    <w:pPr>
      <w:pStyle w:val="Header"/>
      <w:jc w:val="right"/>
      <w:rPr>
        <w:lang w:val="en-AU"/>
      </w:rPr>
    </w:pPr>
    <w:r>
      <w:rPr>
        <w:lang w:val="en-AU"/>
      </w:rPr>
      <w:t>FWC</w:t>
    </w:r>
    <w:r>
      <w:t xml:space="preserve"> Budget Statements</w: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0304FC" w:rsidRDefault="00133D90" w:rsidP="000304FC">
    <w:pPr>
      <w:pStyle w:val="HeaderOdd"/>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894726" w:rsidRDefault="00133D90" w:rsidP="00894726">
    <w:pPr>
      <w:pStyle w:val="HeaderOdd"/>
    </w:pPr>
    <w:r>
      <w:t>FWO and ROC Budget Statements</w:t>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894726" w:rsidRDefault="00133D90" w:rsidP="00894726">
    <w:pPr>
      <w:pStyle w:val="HeaderOdd"/>
      <w:jc w:val="left"/>
    </w:pPr>
    <w:r>
      <w:t>FWO and ROC Budget Statements</w:t>
    </w: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894726" w:rsidRDefault="00133D90" w:rsidP="00894726">
    <w:pPr>
      <w:pStyle w:val="HeaderOdd"/>
    </w:pPr>
    <w:r>
      <w:t>FWO and ROC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894726" w:rsidRDefault="00133D90" w:rsidP="00894726">
    <w:pPr>
      <w:pStyle w:val="HeaderOdd"/>
    </w:pPr>
    <w:r>
      <w:t>FWO and ROC Budget Statements</w: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0304FC" w:rsidRDefault="00133D90" w:rsidP="000304FC">
    <w:pPr>
      <w:pStyle w:val="HeaderOdd"/>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F56B36" w:rsidRDefault="00133D90" w:rsidP="00F56B36">
    <w:pPr>
      <w:pStyle w:val="HeaderOdd"/>
    </w:pPr>
    <w:r>
      <w:t>SWA Budget Statements</w:t>
    </w: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F56B36" w:rsidRDefault="00133D90" w:rsidP="00F56B36">
    <w:pPr>
      <w:pStyle w:val="HeaderOdd"/>
      <w:jc w:val="left"/>
    </w:pPr>
    <w:r>
      <w:t>SWA Budget Statements</w:t>
    </w: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F56B36" w:rsidRDefault="00133D90" w:rsidP="00F56B36">
    <w:pPr>
      <w:pStyle w:val="HeaderOdd"/>
    </w:pPr>
    <w:r>
      <w:t>SWA Budget Statements</w:t>
    </w: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rsidP="00361259">
    <w:pPr>
      <w:pStyle w:val="HeaderEven"/>
    </w:pPr>
    <w:r>
      <w:t>Glossary</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Default="00133D90" w:rsidP="00361259">
    <w:pPr>
      <w:pStyle w:val="HeaderOdd"/>
    </w:pPr>
    <w:r>
      <w:t>Index</w:t>
    </w: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D90" w:rsidRPr="00970E65" w:rsidRDefault="00133D90"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15:restartNumberingAfterBreak="0">
    <w:nsid w:val="10BE0756"/>
    <w:multiLevelType w:val="hybridMultilevel"/>
    <w:tmpl w:val="BB564968"/>
    <w:lvl w:ilvl="0" w:tplc="93BADE1A">
      <w:start w:val="1"/>
      <w:numFmt w:val="decimal"/>
      <w:pStyle w:val="TableTextNumbered"/>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15:restartNumberingAfterBreak="0">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15:restartNumberingAfterBreak="0">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lvlOverride w:ilvl="0"/>
    <w:lvlOverride w:ilvl="1"/>
    <w:lvlOverride w:ilvl="2"/>
    <w:lvlOverride w:ilvl="3"/>
    <w:lvlOverride w:ilvl="4"/>
    <w:lvlOverride w:ilvl="5"/>
    <w:lvlOverride w:ilvl="6"/>
    <w:lvlOverride w:ilvl="7"/>
    <w:lvlOverride w:ilvl="8"/>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3074"/>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574C"/>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4C12"/>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75C"/>
    <w:rsid w:val="00E16977"/>
    <w:rsid w:val="00E16BE1"/>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7C1"/>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3C2C7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header" Target="header69.xml"/><Relationship Id="rId21" Type="http://schemas.openxmlformats.org/officeDocument/2006/relationships/header" Target="header4.xml"/><Relationship Id="rId42" Type="http://schemas.openxmlformats.org/officeDocument/2006/relationships/header" Target="header18.xml"/><Relationship Id="rId47" Type="http://schemas.openxmlformats.org/officeDocument/2006/relationships/footer" Target="footer9.xml"/><Relationship Id="rId63" Type="http://schemas.openxmlformats.org/officeDocument/2006/relationships/header" Target="header33.xml"/><Relationship Id="rId68" Type="http://schemas.openxmlformats.org/officeDocument/2006/relationships/footer" Target="footer15.xml"/><Relationship Id="rId84" Type="http://schemas.openxmlformats.org/officeDocument/2006/relationships/header" Target="header48.xml"/><Relationship Id="rId89" Type="http://schemas.openxmlformats.org/officeDocument/2006/relationships/header" Target="header52.xml"/><Relationship Id="rId112" Type="http://schemas.openxmlformats.org/officeDocument/2006/relationships/header" Target="header68.xml"/><Relationship Id="rId133" Type="http://schemas.openxmlformats.org/officeDocument/2006/relationships/header" Target="header81.xml"/><Relationship Id="rId138" Type="http://schemas.openxmlformats.org/officeDocument/2006/relationships/header" Target="header85.xml"/><Relationship Id="rId16" Type="http://schemas.openxmlformats.org/officeDocument/2006/relationships/hyperlink" Target="http://creativecommons.org/licenses/by/3.0/au/deed.en" TargetMode="External"/><Relationship Id="rId107" Type="http://schemas.openxmlformats.org/officeDocument/2006/relationships/header" Target="header64.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footer" Target="footer6.xml"/><Relationship Id="rId53" Type="http://schemas.openxmlformats.org/officeDocument/2006/relationships/header" Target="header26.xml"/><Relationship Id="rId58" Type="http://schemas.openxmlformats.org/officeDocument/2006/relationships/header" Target="header29.xml"/><Relationship Id="rId74" Type="http://schemas.openxmlformats.org/officeDocument/2006/relationships/footer" Target="footer16.xml"/><Relationship Id="rId79" Type="http://schemas.openxmlformats.org/officeDocument/2006/relationships/hyperlink" Target="http://www.asbestossafety.gov.au/national-strategic-plan" TargetMode="External"/><Relationship Id="rId102" Type="http://schemas.openxmlformats.org/officeDocument/2006/relationships/footer" Target="footer21.xml"/><Relationship Id="rId123" Type="http://schemas.openxmlformats.org/officeDocument/2006/relationships/footer" Target="footer24.xml"/><Relationship Id="rId128" Type="http://schemas.openxmlformats.org/officeDocument/2006/relationships/hyperlink" Target="http://www.fairwork.gov.au/about-us/our-vision/corporate-plan" TargetMode="External"/><Relationship Id="rId144" Type="http://schemas.openxmlformats.org/officeDocument/2006/relationships/header" Target="header88.xml"/><Relationship Id="rId149"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footer" Target="footer19.xml"/><Relationship Id="rId95" Type="http://schemas.openxmlformats.org/officeDocument/2006/relationships/header" Target="header55.xml"/><Relationship Id="rId22" Type="http://schemas.openxmlformats.org/officeDocument/2006/relationships/header" Target="header5.xml"/><Relationship Id="rId27" Type="http://schemas.openxmlformats.org/officeDocument/2006/relationships/header" Target="header9.xml"/><Relationship Id="rId43" Type="http://schemas.openxmlformats.org/officeDocument/2006/relationships/footer" Target="footer8.xml"/><Relationship Id="rId48" Type="http://schemas.openxmlformats.org/officeDocument/2006/relationships/header" Target="header22.xml"/><Relationship Id="rId64" Type="http://schemas.openxmlformats.org/officeDocument/2006/relationships/footer" Target="footer14.xml"/><Relationship Id="rId69" Type="http://schemas.openxmlformats.org/officeDocument/2006/relationships/header" Target="header37.xml"/><Relationship Id="rId113" Type="http://schemas.openxmlformats.org/officeDocument/2006/relationships/footer" Target="footer23.xml"/><Relationship Id="rId118" Type="http://schemas.openxmlformats.org/officeDocument/2006/relationships/header" Target="header70.xml"/><Relationship Id="rId134" Type="http://schemas.openxmlformats.org/officeDocument/2006/relationships/header" Target="header82.xml"/><Relationship Id="rId139" Type="http://schemas.openxmlformats.org/officeDocument/2006/relationships/header" Target="header86.xml"/><Relationship Id="rId80" Type="http://schemas.openxmlformats.org/officeDocument/2006/relationships/hyperlink" Target="https://www.asbestossafety.gov.au/annual-report-2016-17/report-performance/annual-performance-statement" TargetMode="External"/><Relationship Id="rId85" Type="http://schemas.openxmlformats.org/officeDocument/2006/relationships/header" Target="header49.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creativecommons.org/licenses/by/3.0/au/legalcode" TargetMode="External"/><Relationship Id="rId25" Type="http://schemas.openxmlformats.org/officeDocument/2006/relationships/header" Target="header7.xml"/><Relationship Id="rId33" Type="http://schemas.openxmlformats.org/officeDocument/2006/relationships/footer" Target="footer5.xml"/><Relationship Id="rId38" Type="http://schemas.openxmlformats.org/officeDocument/2006/relationships/image" Target="media/image5.jpeg"/><Relationship Id="rId46" Type="http://schemas.openxmlformats.org/officeDocument/2006/relationships/header" Target="header21.xml"/><Relationship Id="rId59" Type="http://schemas.openxmlformats.org/officeDocument/2006/relationships/header" Target="header30.xml"/><Relationship Id="rId67" Type="http://schemas.openxmlformats.org/officeDocument/2006/relationships/header" Target="header36.xml"/><Relationship Id="rId103" Type="http://schemas.openxmlformats.org/officeDocument/2006/relationships/hyperlink" Target="http://www.comcare.gov.au/annual_report_2016-17/annual_performance_statement/overview" TargetMode="External"/><Relationship Id="rId108" Type="http://schemas.openxmlformats.org/officeDocument/2006/relationships/header" Target="header65.xml"/><Relationship Id="rId116" Type="http://schemas.openxmlformats.org/officeDocument/2006/relationships/hyperlink" Target="https://www.fwc.gov.au/annual-report-2016-17/3-performance/annual-performance-statement" TargetMode="External"/><Relationship Id="rId124" Type="http://schemas.openxmlformats.org/officeDocument/2006/relationships/header" Target="header75.xml"/><Relationship Id="rId129" Type="http://schemas.openxmlformats.org/officeDocument/2006/relationships/hyperlink" Target="https://www.fairwork.gov.au/annual-reports/annual-report-2016-17/default" TargetMode="External"/><Relationship Id="rId137" Type="http://schemas.openxmlformats.org/officeDocument/2006/relationships/header" Target="header84.xml"/><Relationship Id="rId20" Type="http://schemas.openxmlformats.org/officeDocument/2006/relationships/hyperlink" Target="http://www.itsanhonour.gov.au" TargetMode="External"/><Relationship Id="rId41" Type="http://schemas.openxmlformats.org/officeDocument/2006/relationships/footer" Target="footer7.xml"/><Relationship Id="rId54" Type="http://schemas.openxmlformats.org/officeDocument/2006/relationships/footer" Target="footer11.xml"/><Relationship Id="rId62" Type="http://schemas.openxmlformats.org/officeDocument/2006/relationships/header" Target="header32.xml"/><Relationship Id="rId70" Type="http://schemas.openxmlformats.org/officeDocument/2006/relationships/header" Target="header38.xml"/><Relationship Id="rId75" Type="http://schemas.openxmlformats.org/officeDocument/2006/relationships/header" Target="header42.xml"/><Relationship Id="rId83" Type="http://schemas.openxmlformats.org/officeDocument/2006/relationships/header" Target="header47.xml"/><Relationship Id="rId88" Type="http://schemas.openxmlformats.org/officeDocument/2006/relationships/header" Target="header51.xml"/><Relationship Id="rId91" Type="http://schemas.openxmlformats.org/officeDocument/2006/relationships/hyperlink" Target="https://www.abcc.gov.au/about/accountability-and-reporting/corporate-plan-2016-17" TargetMode="External"/><Relationship Id="rId96" Type="http://schemas.openxmlformats.org/officeDocument/2006/relationships/header" Target="header56.xml"/><Relationship Id="rId111" Type="http://schemas.openxmlformats.org/officeDocument/2006/relationships/header" Target="header67.xml"/><Relationship Id="rId132" Type="http://schemas.openxmlformats.org/officeDocument/2006/relationships/header" Target="header80.xml"/><Relationship Id="rId140" Type="http://schemas.openxmlformats.org/officeDocument/2006/relationships/footer" Target="footer27.xml"/><Relationship Id="rId145" Type="http://schemas.openxmlformats.org/officeDocument/2006/relationships/header" Target="header8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4.xml"/><Relationship Id="rId36" Type="http://schemas.openxmlformats.org/officeDocument/2006/relationships/header" Target="header15.xml"/><Relationship Id="rId49" Type="http://schemas.openxmlformats.org/officeDocument/2006/relationships/header" Target="header23.xml"/><Relationship Id="rId57" Type="http://schemas.openxmlformats.org/officeDocument/2006/relationships/header" Target="header28.xml"/><Relationship Id="rId106" Type="http://schemas.openxmlformats.org/officeDocument/2006/relationships/header" Target="header63.xml"/><Relationship Id="rId114" Type="http://schemas.openxmlformats.org/officeDocument/2006/relationships/hyperlink" Target="http://www.fwc.gov.au" TargetMode="External"/><Relationship Id="rId119" Type="http://schemas.openxmlformats.org/officeDocument/2006/relationships/header" Target="header71.xml"/><Relationship Id="rId127" Type="http://schemas.openxmlformats.org/officeDocument/2006/relationships/footer" Target="footer25.xml"/><Relationship Id="rId10" Type="http://schemas.openxmlformats.org/officeDocument/2006/relationships/header" Target="header1.xml"/><Relationship Id="rId31" Type="http://schemas.openxmlformats.org/officeDocument/2006/relationships/header" Target="header11.xml"/><Relationship Id="rId44" Type="http://schemas.openxmlformats.org/officeDocument/2006/relationships/header" Target="header19.xml"/><Relationship Id="rId52" Type="http://schemas.openxmlformats.org/officeDocument/2006/relationships/header" Target="header25.xml"/><Relationship Id="rId60" Type="http://schemas.openxmlformats.org/officeDocument/2006/relationships/footer" Target="footer13.xml"/><Relationship Id="rId65" Type="http://schemas.openxmlformats.org/officeDocument/2006/relationships/header" Target="header34.xml"/><Relationship Id="rId73" Type="http://schemas.openxmlformats.org/officeDocument/2006/relationships/header" Target="header41.xml"/><Relationship Id="rId78" Type="http://schemas.openxmlformats.org/officeDocument/2006/relationships/footer" Target="footer17.xml"/><Relationship Id="rId81" Type="http://schemas.openxmlformats.org/officeDocument/2006/relationships/header" Target="header45.xml"/><Relationship Id="rId86" Type="http://schemas.openxmlformats.org/officeDocument/2006/relationships/footer" Target="footer18.xml"/><Relationship Id="rId94" Type="http://schemas.openxmlformats.org/officeDocument/2006/relationships/header" Target="header54.xml"/><Relationship Id="rId99" Type="http://schemas.openxmlformats.org/officeDocument/2006/relationships/header" Target="header58.xml"/><Relationship Id="rId101" Type="http://schemas.openxmlformats.org/officeDocument/2006/relationships/header" Target="header60.xml"/><Relationship Id="rId122" Type="http://schemas.openxmlformats.org/officeDocument/2006/relationships/header" Target="header74.xml"/><Relationship Id="rId130" Type="http://schemas.openxmlformats.org/officeDocument/2006/relationships/header" Target="header78.xml"/><Relationship Id="rId135" Type="http://schemas.openxmlformats.org/officeDocument/2006/relationships/header" Target="header83.xml"/><Relationship Id="rId143" Type="http://schemas.openxmlformats.org/officeDocument/2006/relationships/header" Target="header87.xml"/><Relationship Id="rId14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header" Target="header16.xml"/><Relationship Id="rId109" Type="http://schemas.openxmlformats.org/officeDocument/2006/relationships/footer" Target="footer22.xml"/><Relationship Id="rId34" Type="http://schemas.openxmlformats.org/officeDocument/2006/relationships/header" Target="header13.xml"/><Relationship Id="rId50" Type="http://schemas.openxmlformats.org/officeDocument/2006/relationships/header" Target="header24.xml"/><Relationship Id="rId55" Type="http://schemas.openxmlformats.org/officeDocument/2006/relationships/header" Target="header27.xml"/><Relationship Id="rId76" Type="http://schemas.openxmlformats.org/officeDocument/2006/relationships/header" Target="header43.xml"/><Relationship Id="rId97" Type="http://schemas.openxmlformats.org/officeDocument/2006/relationships/header" Target="header57.xml"/><Relationship Id="rId104" Type="http://schemas.openxmlformats.org/officeDocument/2006/relationships/header" Target="header61.xml"/><Relationship Id="rId120" Type="http://schemas.openxmlformats.org/officeDocument/2006/relationships/header" Target="header72.xml"/><Relationship Id="rId125" Type="http://schemas.openxmlformats.org/officeDocument/2006/relationships/header" Target="header76.xml"/><Relationship Id="rId141" Type="http://schemas.openxmlformats.org/officeDocument/2006/relationships/hyperlink" Target="https://www.safeworkaustralia.gov.au/about-us/corporate-plan" TargetMode="External"/><Relationship Id="rId146" Type="http://schemas.openxmlformats.org/officeDocument/2006/relationships/header" Target="header90.xml"/><Relationship Id="rId7" Type="http://schemas.openxmlformats.org/officeDocument/2006/relationships/footnotes" Target="footnotes.xml"/><Relationship Id="rId71" Type="http://schemas.openxmlformats.org/officeDocument/2006/relationships/header" Target="header39.xml"/><Relationship Id="rId92" Type="http://schemas.openxmlformats.org/officeDocument/2006/relationships/hyperlink" Target="https://www.abcc.gov.au/about/accountability-and-reporting/annual-report-series/abcc-annual-report-2016-17" TargetMode="External"/><Relationship Id="rId2" Type="http://schemas.openxmlformats.org/officeDocument/2006/relationships/customXml" Target="../customXml/item2.xml"/><Relationship Id="rId29" Type="http://schemas.openxmlformats.org/officeDocument/2006/relationships/hyperlink" Target="http://www.budget.gov.au" TargetMode="External"/><Relationship Id="rId24" Type="http://schemas.openxmlformats.org/officeDocument/2006/relationships/image" Target="media/image4.jpeg"/><Relationship Id="rId40" Type="http://schemas.openxmlformats.org/officeDocument/2006/relationships/header" Target="header17.xml"/><Relationship Id="rId45" Type="http://schemas.openxmlformats.org/officeDocument/2006/relationships/header" Target="header20.xml"/><Relationship Id="rId66" Type="http://schemas.openxmlformats.org/officeDocument/2006/relationships/header" Target="header35.xml"/><Relationship Id="rId87" Type="http://schemas.openxmlformats.org/officeDocument/2006/relationships/header" Target="header50.xml"/><Relationship Id="rId110" Type="http://schemas.openxmlformats.org/officeDocument/2006/relationships/header" Target="header66.xml"/><Relationship Id="rId115" Type="http://schemas.openxmlformats.org/officeDocument/2006/relationships/hyperlink" Target="https://www.fwc.gov.au/about-us/news-and-events/corporate-plan-2017-18-published" TargetMode="External"/><Relationship Id="rId131" Type="http://schemas.openxmlformats.org/officeDocument/2006/relationships/header" Target="header79.xml"/><Relationship Id="rId136" Type="http://schemas.openxmlformats.org/officeDocument/2006/relationships/footer" Target="footer26.xml"/><Relationship Id="rId61" Type="http://schemas.openxmlformats.org/officeDocument/2006/relationships/header" Target="header31.xml"/><Relationship Id="rId82" Type="http://schemas.openxmlformats.org/officeDocument/2006/relationships/header" Target="header46.xml"/><Relationship Id="rId19" Type="http://schemas.openxmlformats.org/officeDocument/2006/relationships/hyperlink" Target="http://creativecommons.org/licenses/by/3.0/au/deed.en" TargetMode="External"/><Relationship Id="rId14" Type="http://schemas.openxmlformats.org/officeDocument/2006/relationships/header" Target="header3.xml"/><Relationship Id="rId30" Type="http://schemas.openxmlformats.org/officeDocument/2006/relationships/header" Target="header10.xml"/><Relationship Id="rId35" Type="http://schemas.openxmlformats.org/officeDocument/2006/relationships/header" Target="header14.xml"/><Relationship Id="rId56" Type="http://schemas.openxmlformats.org/officeDocument/2006/relationships/footer" Target="footer12.xml"/><Relationship Id="rId77" Type="http://schemas.openxmlformats.org/officeDocument/2006/relationships/header" Target="header44.xml"/><Relationship Id="rId100" Type="http://schemas.openxmlformats.org/officeDocument/2006/relationships/header" Target="header59.xml"/><Relationship Id="rId105" Type="http://schemas.openxmlformats.org/officeDocument/2006/relationships/header" Target="header62.xml"/><Relationship Id="rId126" Type="http://schemas.openxmlformats.org/officeDocument/2006/relationships/header" Target="header77.xml"/><Relationship Id="rId147" Type="http://schemas.openxmlformats.org/officeDocument/2006/relationships/header" Target="header91.xml"/><Relationship Id="rId8" Type="http://schemas.openxmlformats.org/officeDocument/2006/relationships/endnotes" Target="endnotes.xml"/><Relationship Id="rId51" Type="http://schemas.openxmlformats.org/officeDocument/2006/relationships/footer" Target="footer10.xml"/><Relationship Id="rId72" Type="http://schemas.openxmlformats.org/officeDocument/2006/relationships/header" Target="header40.xml"/><Relationship Id="rId93" Type="http://schemas.openxmlformats.org/officeDocument/2006/relationships/header" Target="header53.xml"/><Relationship Id="rId98" Type="http://schemas.openxmlformats.org/officeDocument/2006/relationships/footer" Target="footer20.xml"/><Relationship Id="rId121" Type="http://schemas.openxmlformats.org/officeDocument/2006/relationships/header" Target="header73.xml"/><Relationship Id="rId142" Type="http://schemas.openxmlformats.org/officeDocument/2006/relationships/hyperlink" Target="https://www.safeworkaustralia.gov.au/book/safe-work-australia-annual-report-2016-1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2.xml><?xml version="1.0" encoding="utf-8"?>
<ds:datastoreItem xmlns:ds="http://schemas.openxmlformats.org/officeDocument/2006/customXml" ds:itemID="{593631BF-73CC-4880-A319-BDAD7A5A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37D10EA5.dotm</Template>
  <TotalTime>0</TotalTime>
  <Pages>180</Pages>
  <Words>35169</Words>
  <Characters>221781</Characters>
  <Application>Microsoft Office Word</Application>
  <DocSecurity>0</DocSecurity>
  <Lines>1848</Lines>
  <Paragraphs>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256438</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2018-05-08T01:22:00Z</dcterms:created>
  <dcterms:modified xsi:type="dcterms:W3CDTF">2018-05-08T01:23:00Z</dcterms:modified>
</cp:coreProperties>
</file>