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7FD735" w14:textId="77777777" w:rsidR="00633CA5" w:rsidRDefault="00633CA5" w:rsidP="00633CA5">
      <w:pPr>
        <w:pStyle w:val="Heading1"/>
      </w:pPr>
      <w:bookmarkStart w:id="0" w:name="_Toc511635322"/>
      <w:bookmarkStart w:id="1" w:name="_Toc511651071"/>
      <w:bookmarkStart w:id="2" w:name="_GoBack"/>
      <w:bookmarkEnd w:id="2"/>
      <w:r w:rsidRPr="00834F9A">
        <w:t>Portfolio glossary</w:t>
      </w:r>
      <w:bookmarkEnd w:id="0"/>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9"/>
        <w:gridCol w:w="5850"/>
      </w:tblGrid>
      <w:tr w:rsidR="0037175A" w14:paraId="6A6A487F" w14:textId="77777777" w:rsidTr="00E01B4E">
        <w:trPr>
          <w:trHeight w:val="144"/>
        </w:trPr>
        <w:tc>
          <w:tcPr>
            <w:tcW w:w="2069" w:type="dxa"/>
            <w:tcBorders>
              <w:top w:val="single" w:sz="4" w:space="0" w:color="auto"/>
              <w:left w:val="single" w:sz="4" w:space="0" w:color="auto"/>
              <w:bottom w:val="single" w:sz="4" w:space="0" w:color="auto"/>
              <w:right w:val="single" w:sz="4" w:space="0" w:color="auto"/>
            </w:tcBorders>
            <w:hideMark/>
          </w:tcPr>
          <w:p w14:paraId="296FE173" w14:textId="77777777" w:rsidR="0037175A" w:rsidRDefault="0037175A" w:rsidP="00E01B4E">
            <w:pPr>
              <w:pStyle w:val="TableTextLeft"/>
              <w:spacing w:line="276" w:lineRule="auto"/>
              <w:rPr>
                <w:lang w:eastAsia="en-US"/>
              </w:rPr>
            </w:pPr>
            <w:r>
              <w:rPr>
                <w:lang w:eastAsia="en-US"/>
              </w:rPr>
              <w:t xml:space="preserve">Additional Estimates </w:t>
            </w:r>
          </w:p>
        </w:tc>
        <w:tc>
          <w:tcPr>
            <w:tcW w:w="5850" w:type="dxa"/>
            <w:tcBorders>
              <w:top w:val="single" w:sz="4" w:space="0" w:color="auto"/>
              <w:left w:val="single" w:sz="4" w:space="0" w:color="auto"/>
              <w:bottom w:val="single" w:sz="4" w:space="0" w:color="auto"/>
              <w:right w:val="single" w:sz="4" w:space="0" w:color="auto"/>
            </w:tcBorders>
            <w:hideMark/>
          </w:tcPr>
          <w:p w14:paraId="4428C069" w14:textId="77777777" w:rsidR="0037175A" w:rsidRDefault="0037175A" w:rsidP="00E01B4E">
            <w:pPr>
              <w:pStyle w:val="TableTextLeft"/>
              <w:spacing w:line="276" w:lineRule="auto"/>
              <w:rPr>
                <w:lang w:eastAsia="en-US"/>
              </w:rPr>
            </w:pPr>
            <w:r>
              <w:rPr>
                <w:lang w:eastAsia="en-US"/>
              </w:rPr>
              <w:t xml:space="preserve">Where amounts appropriated at Budget time are insufficient, Parliament may appropriate more funds to portfolios through the Additional Estimates Acts. </w:t>
            </w:r>
          </w:p>
        </w:tc>
      </w:tr>
      <w:tr w:rsidR="0037175A" w14:paraId="5A796506" w14:textId="77777777" w:rsidTr="00E01B4E">
        <w:trPr>
          <w:trHeight w:val="144"/>
        </w:trPr>
        <w:tc>
          <w:tcPr>
            <w:tcW w:w="2069" w:type="dxa"/>
            <w:tcBorders>
              <w:top w:val="single" w:sz="4" w:space="0" w:color="auto"/>
              <w:left w:val="single" w:sz="4" w:space="0" w:color="auto"/>
              <w:bottom w:val="single" w:sz="4" w:space="0" w:color="auto"/>
              <w:right w:val="single" w:sz="4" w:space="0" w:color="auto"/>
            </w:tcBorders>
            <w:hideMark/>
          </w:tcPr>
          <w:p w14:paraId="0A6C0D80" w14:textId="77777777" w:rsidR="0037175A" w:rsidRDefault="0037175A" w:rsidP="00E01B4E">
            <w:pPr>
              <w:pStyle w:val="TableTextLeft"/>
              <w:spacing w:line="276" w:lineRule="auto"/>
              <w:rPr>
                <w:lang w:eastAsia="en-US"/>
              </w:rPr>
            </w:pPr>
            <w:r>
              <w:rPr>
                <w:lang w:eastAsia="en-US"/>
              </w:rPr>
              <w:t>Additional Estimates Bills or Acts</w:t>
            </w:r>
          </w:p>
        </w:tc>
        <w:tc>
          <w:tcPr>
            <w:tcW w:w="5850" w:type="dxa"/>
            <w:tcBorders>
              <w:top w:val="single" w:sz="4" w:space="0" w:color="auto"/>
              <w:left w:val="single" w:sz="4" w:space="0" w:color="auto"/>
              <w:bottom w:val="single" w:sz="4" w:space="0" w:color="auto"/>
              <w:right w:val="single" w:sz="4" w:space="0" w:color="auto"/>
            </w:tcBorders>
            <w:hideMark/>
          </w:tcPr>
          <w:p w14:paraId="6E4EA769" w14:textId="77777777" w:rsidR="0037175A" w:rsidRDefault="0037175A" w:rsidP="00E01B4E">
            <w:pPr>
              <w:pStyle w:val="TableTextLeft"/>
              <w:spacing w:line="276" w:lineRule="auto"/>
              <w:rPr>
                <w:lang w:eastAsia="en-US"/>
              </w:rPr>
            </w:pPr>
            <w:r>
              <w:rPr>
                <w:lang w:eastAsia="en-US"/>
              </w:rPr>
              <w:t>These are Appropriation Bills 3 and 4, and a separate Bill for the Parliamentary Departments [Appropriations (Parliamentary Departments) Bill (No. 2)]. These Bills are introduced into Parliament sometime after the Budget Bills.</w:t>
            </w:r>
          </w:p>
        </w:tc>
      </w:tr>
      <w:tr w:rsidR="0037175A" w14:paraId="6767120D" w14:textId="77777777" w:rsidTr="00E01B4E">
        <w:trPr>
          <w:trHeight w:val="144"/>
        </w:trPr>
        <w:tc>
          <w:tcPr>
            <w:tcW w:w="2069" w:type="dxa"/>
            <w:tcBorders>
              <w:top w:val="single" w:sz="4" w:space="0" w:color="auto"/>
              <w:left w:val="single" w:sz="4" w:space="0" w:color="auto"/>
              <w:bottom w:val="single" w:sz="4" w:space="0" w:color="auto"/>
              <w:right w:val="single" w:sz="4" w:space="0" w:color="auto"/>
            </w:tcBorders>
            <w:hideMark/>
          </w:tcPr>
          <w:p w14:paraId="7E257702" w14:textId="77777777" w:rsidR="0037175A" w:rsidRDefault="0037175A" w:rsidP="00E01B4E">
            <w:pPr>
              <w:pStyle w:val="TableTextLeft"/>
              <w:spacing w:line="276" w:lineRule="auto"/>
              <w:rPr>
                <w:lang w:eastAsia="en-US"/>
              </w:rPr>
            </w:pPr>
            <w:r>
              <w:rPr>
                <w:lang w:eastAsia="en-US"/>
              </w:rPr>
              <w:t>Administered Items</w:t>
            </w:r>
          </w:p>
        </w:tc>
        <w:tc>
          <w:tcPr>
            <w:tcW w:w="5850" w:type="dxa"/>
            <w:tcBorders>
              <w:top w:val="single" w:sz="4" w:space="0" w:color="auto"/>
              <w:left w:val="single" w:sz="4" w:space="0" w:color="auto"/>
              <w:bottom w:val="single" w:sz="4" w:space="0" w:color="auto"/>
              <w:right w:val="single" w:sz="4" w:space="0" w:color="auto"/>
            </w:tcBorders>
            <w:hideMark/>
          </w:tcPr>
          <w:p w14:paraId="7E539424" w14:textId="77777777" w:rsidR="0037175A" w:rsidRDefault="0037175A" w:rsidP="00E01B4E">
            <w:pPr>
              <w:pStyle w:val="TableTextLeft"/>
              <w:spacing w:line="276" w:lineRule="auto"/>
              <w:rPr>
                <w:lang w:eastAsia="en-US"/>
              </w:rPr>
            </w:pPr>
            <w:r>
              <w:rPr>
                <w:lang w:eastAsia="en-US"/>
              </w:rPr>
              <w:t>Expenses, revenues, assets or liabilities managed by agencies on behalf of the Commonwealth. Agencies do not control administered items. Administered expenses include grants, subsidies and benefits. In many cases, administered expenses fund the delivery of third party outputs.</w:t>
            </w:r>
          </w:p>
        </w:tc>
      </w:tr>
      <w:tr w:rsidR="0037175A" w14:paraId="49A6950A" w14:textId="77777777" w:rsidTr="00E01B4E">
        <w:trPr>
          <w:trHeight w:val="144"/>
        </w:trPr>
        <w:tc>
          <w:tcPr>
            <w:tcW w:w="2069" w:type="dxa"/>
            <w:tcBorders>
              <w:top w:val="single" w:sz="4" w:space="0" w:color="auto"/>
              <w:left w:val="single" w:sz="4" w:space="0" w:color="auto"/>
              <w:bottom w:val="single" w:sz="4" w:space="0" w:color="auto"/>
              <w:right w:val="single" w:sz="4" w:space="0" w:color="auto"/>
            </w:tcBorders>
            <w:hideMark/>
          </w:tcPr>
          <w:p w14:paraId="782C68FE" w14:textId="77777777" w:rsidR="0037175A" w:rsidRDefault="0037175A" w:rsidP="00E01B4E">
            <w:pPr>
              <w:pStyle w:val="TableTextLeft"/>
              <w:spacing w:line="276" w:lineRule="auto"/>
              <w:rPr>
                <w:lang w:eastAsia="en-US"/>
              </w:rPr>
            </w:pPr>
            <w:r>
              <w:rPr>
                <w:lang w:eastAsia="en-US"/>
              </w:rPr>
              <w:t>Appropriation</w:t>
            </w:r>
          </w:p>
        </w:tc>
        <w:tc>
          <w:tcPr>
            <w:tcW w:w="5850" w:type="dxa"/>
            <w:tcBorders>
              <w:top w:val="single" w:sz="4" w:space="0" w:color="auto"/>
              <w:left w:val="single" w:sz="4" w:space="0" w:color="auto"/>
              <w:bottom w:val="single" w:sz="4" w:space="0" w:color="auto"/>
              <w:right w:val="single" w:sz="4" w:space="0" w:color="auto"/>
            </w:tcBorders>
            <w:hideMark/>
          </w:tcPr>
          <w:p w14:paraId="5AC4C42B" w14:textId="77777777" w:rsidR="0037175A" w:rsidRDefault="0037175A" w:rsidP="00E01B4E">
            <w:pPr>
              <w:pStyle w:val="TableTextLeft"/>
              <w:spacing w:line="276" w:lineRule="auto"/>
              <w:rPr>
                <w:lang w:eastAsia="en-US"/>
              </w:rPr>
            </w:pPr>
            <w:r>
              <w:rPr>
                <w:lang w:eastAsia="en-US"/>
              </w:rPr>
              <w:t>An authorisation by Parliament to spend monies from the Consolidated Revenue Fund for a particular purpose.</w:t>
            </w:r>
          </w:p>
        </w:tc>
      </w:tr>
      <w:tr w:rsidR="0037175A" w14:paraId="261E234E" w14:textId="77777777" w:rsidTr="00E01B4E">
        <w:trPr>
          <w:trHeight w:val="144"/>
        </w:trPr>
        <w:tc>
          <w:tcPr>
            <w:tcW w:w="2069" w:type="dxa"/>
            <w:tcBorders>
              <w:top w:val="single" w:sz="4" w:space="0" w:color="auto"/>
              <w:left w:val="single" w:sz="4" w:space="0" w:color="auto"/>
              <w:bottom w:val="single" w:sz="4" w:space="0" w:color="auto"/>
              <w:right w:val="single" w:sz="4" w:space="0" w:color="auto"/>
            </w:tcBorders>
            <w:hideMark/>
          </w:tcPr>
          <w:p w14:paraId="16B07E4C" w14:textId="77777777" w:rsidR="0037175A" w:rsidRDefault="0037175A" w:rsidP="00E01B4E">
            <w:pPr>
              <w:pStyle w:val="TableTextLeft"/>
              <w:spacing w:line="276" w:lineRule="auto"/>
              <w:rPr>
                <w:lang w:eastAsia="en-US"/>
              </w:rPr>
            </w:pPr>
            <w:r>
              <w:rPr>
                <w:lang w:eastAsia="en-US"/>
              </w:rPr>
              <w:t>Annual Appropriation</w:t>
            </w:r>
          </w:p>
        </w:tc>
        <w:tc>
          <w:tcPr>
            <w:tcW w:w="5850" w:type="dxa"/>
            <w:tcBorders>
              <w:top w:val="single" w:sz="4" w:space="0" w:color="auto"/>
              <w:left w:val="single" w:sz="4" w:space="0" w:color="auto"/>
              <w:bottom w:val="single" w:sz="4" w:space="0" w:color="auto"/>
              <w:right w:val="single" w:sz="4" w:space="0" w:color="auto"/>
            </w:tcBorders>
            <w:hideMark/>
          </w:tcPr>
          <w:p w14:paraId="0BE9DF09" w14:textId="77777777" w:rsidR="0037175A" w:rsidRDefault="0037175A" w:rsidP="00E01B4E">
            <w:pPr>
              <w:pStyle w:val="TableTextLeft"/>
              <w:spacing w:line="276" w:lineRule="auto"/>
              <w:rPr>
                <w:lang w:eastAsia="en-US"/>
              </w:rPr>
            </w:pPr>
            <w:r>
              <w:rPr>
                <w:lang w:eastAsia="en-US"/>
              </w:rPr>
              <w:t>Two Appropriation Bills are introduced into Parliament in May and comprise the Budget for the financial year beginning 1 July. Further Bills are introduced later in the financial year as part of the additional estimates. Parliamentary departments have their own appropriations.</w:t>
            </w:r>
          </w:p>
        </w:tc>
      </w:tr>
      <w:tr w:rsidR="0037175A" w14:paraId="5C4B8740" w14:textId="77777777" w:rsidTr="00E01B4E">
        <w:trPr>
          <w:trHeight w:val="144"/>
        </w:trPr>
        <w:tc>
          <w:tcPr>
            <w:tcW w:w="2069" w:type="dxa"/>
            <w:tcBorders>
              <w:top w:val="single" w:sz="4" w:space="0" w:color="auto"/>
              <w:left w:val="single" w:sz="4" w:space="0" w:color="auto"/>
              <w:bottom w:val="single" w:sz="4" w:space="0" w:color="auto"/>
              <w:right w:val="single" w:sz="4" w:space="0" w:color="auto"/>
            </w:tcBorders>
            <w:hideMark/>
          </w:tcPr>
          <w:p w14:paraId="6D3D224D" w14:textId="77777777" w:rsidR="0037175A" w:rsidRDefault="0037175A" w:rsidP="00E01B4E">
            <w:pPr>
              <w:pStyle w:val="TableTextLeft"/>
              <w:spacing w:line="276" w:lineRule="auto"/>
              <w:rPr>
                <w:lang w:eastAsia="en-US"/>
              </w:rPr>
            </w:pPr>
            <w:r>
              <w:rPr>
                <w:lang w:eastAsia="en-US"/>
              </w:rPr>
              <w:t>Assets</w:t>
            </w:r>
          </w:p>
        </w:tc>
        <w:tc>
          <w:tcPr>
            <w:tcW w:w="5850" w:type="dxa"/>
            <w:tcBorders>
              <w:top w:val="single" w:sz="4" w:space="0" w:color="auto"/>
              <w:left w:val="single" w:sz="4" w:space="0" w:color="auto"/>
              <w:bottom w:val="single" w:sz="4" w:space="0" w:color="auto"/>
              <w:right w:val="single" w:sz="4" w:space="0" w:color="auto"/>
            </w:tcBorders>
            <w:hideMark/>
          </w:tcPr>
          <w:p w14:paraId="5D59E24D" w14:textId="77777777" w:rsidR="0037175A" w:rsidRDefault="0037175A" w:rsidP="00E01B4E">
            <w:pPr>
              <w:pStyle w:val="TableTextLeft"/>
              <w:spacing w:line="276" w:lineRule="auto"/>
              <w:rPr>
                <w:lang w:eastAsia="en-US"/>
              </w:rPr>
            </w:pPr>
            <w:r>
              <w:rPr>
                <w:lang w:eastAsia="en-US"/>
              </w:rPr>
              <w:t xml:space="preserve">Assets are physical objects and legal rights expected to provide benefits in the future, or alternatively items of value owned by an Agency. </w:t>
            </w:r>
          </w:p>
        </w:tc>
      </w:tr>
      <w:tr w:rsidR="0037175A" w14:paraId="2FF0AA36" w14:textId="77777777" w:rsidTr="00E01B4E">
        <w:trPr>
          <w:trHeight w:val="144"/>
        </w:trPr>
        <w:tc>
          <w:tcPr>
            <w:tcW w:w="2069" w:type="dxa"/>
            <w:tcBorders>
              <w:top w:val="single" w:sz="4" w:space="0" w:color="auto"/>
              <w:left w:val="single" w:sz="4" w:space="0" w:color="auto"/>
              <w:bottom w:val="single" w:sz="4" w:space="0" w:color="auto"/>
              <w:right w:val="single" w:sz="4" w:space="0" w:color="auto"/>
            </w:tcBorders>
            <w:hideMark/>
          </w:tcPr>
          <w:p w14:paraId="589095F0" w14:textId="77777777" w:rsidR="0037175A" w:rsidRDefault="0037175A" w:rsidP="00E01B4E">
            <w:pPr>
              <w:pStyle w:val="TableTextLeft"/>
              <w:spacing w:line="276" w:lineRule="auto"/>
              <w:rPr>
                <w:lang w:eastAsia="en-US"/>
              </w:rPr>
            </w:pPr>
            <w:r>
              <w:rPr>
                <w:lang w:eastAsia="en-US"/>
              </w:rPr>
              <w:t>Capital expenditure</w:t>
            </w:r>
          </w:p>
        </w:tc>
        <w:tc>
          <w:tcPr>
            <w:tcW w:w="5850" w:type="dxa"/>
            <w:tcBorders>
              <w:top w:val="single" w:sz="4" w:space="0" w:color="auto"/>
              <w:left w:val="single" w:sz="4" w:space="0" w:color="auto"/>
              <w:bottom w:val="single" w:sz="4" w:space="0" w:color="auto"/>
              <w:right w:val="single" w:sz="4" w:space="0" w:color="auto"/>
            </w:tcBorders>
            <w:hideMark/>
          </w:tcPr>
          <w:p w14:paraId="3DD50369" w14:textId="77777777" w:rsidR="0037175A" w:rsidRDefault="0037175A" w:rsidP="00E01B4E">
            <w:pPr>
              <w:pStyle w:val="TableTextLeft"/>
              <w:spacing w:line="276" w:lineRule="auto"/>
              <w:rPr>
                <w:lang w:eastAsia="en-US"/>
              </w:rPr>
            </w:pPr>
            <w:r>
              <w:rPr>
                <w:lang w:eastAsia="en-US"/>
              </w:rPr>
              <w:t>Expenditure by an agency on capital projects, for example purchasing a building.</w:t>
            </w:r>
          </w:p>
        </w:tc>
      </w:tr>
      <w:tr w:rsidR="0037175A" w14:paraId="36B1E505" w14:textId="77777777" w:rsidTr="00E01B4E">
        <w:trPr>
          <w:trHeight w:val="144"/>
        </w:trPr>
        <w:tc>
          <w:tcPr>
            <w:tcW w:w="2069" w:type="dxa"/>
            <w:tcBorders>
              <w:top w:val="single" w:sz="4" w:space="0" w:color="auto"/>
              <w:left w:val="single" w:sz="4" w:space="0" w:color="auto"/>
              <w:bottom w:val="single" w:sz="4" w:space="0" w:color="auto"/>
              <w:right w:val="single" w:sz="4" w:space="0" w:color="auto"/>
            </w:tcBorders>
            <w:hideMark/>
          </w:tcPr>
          <w:p w14:paraId="3EBEB601" w14:textId="77777777" w:rsidR="0037175A" w:rsidRDefault="0037175A" w:rsidP="00E01B4E">
            <w:pPr>
              <w:pStyle w:val="TableTextLeft"/>
              <w:spacing w:line="276" w:lineRule="auto"/>
              <w:rPr>
                <w:lang w:eastAsia="en-US"/>
              </w:rPr>
            </w:pPr>
            <w:r>
              <w:rPr>
                <w:lang w:eastAsia="en-US"/>
              </w:rPr>
              <w:t>Consolidated Revenue Fund</w:t>
            </w:r>
          </w:p>
        </w:tc>
        <w:tc>
          <w:tcPr>
            <w:tcW w:w="5850" w:type="dxa"/>
            <w:tcBorders>
              <w:top w:val="single" w:sz="4" w:space="0" w:color="auto"/>
              <w:left w:val="single" w:sz="4" w:space="0" w:color="auto"/>
              <w:bottom w:val="single" w:sz="4" w:space="0" w:color="auto"/>
              <w:right w:val="single" w:sz="4" w:space="0" w:color="auto"/>
            </w:tcBorders>
            <w:hideMark/>
          </w:tcPr>
          <w:p w14:paraId="35591CC8" w14:textId="77777777" w:rsidR="0037175A" w:rsidRDefault="0037175A" w:rsidP="00E01B4E">
            <w:pPr>
              <w:pStyle w:val="TableTextLeft"/>
              <w:spacing w:line="276" w:lineRule="auto"/>
              <w:rPr>
                <w:lang w:eastAsia="en-US"/>
              </w:rPr>
            </w:pPr>
            <w:r>
              <w:rPr>
                <w:lang w:eastAsia="en-US"/>
              </w:rPr>
              <w:t xml:space="preserve">Section 81 of the Constitution stipulates that all revenue raised or money received by the Commonwealth forms the one consolidated revenue fund (CRF). The CRF is not a bank account. The Official Public Account reflects most of the operations of the CRF. </w:t>
            </w:r>
          </w:p>
        </w:tc>
      </w:tr>
      <w:tr w:rsidR="0037175A" w14:paraId="4BCCE724" w14:textId="77777777" w:rsidTr="00E01B4E">
        <w:trPr>
          <w:trHeight w:val="144"/>
        </w:trPr>
        <w:tc>
          <w:tcPr>
            <w:tcW w:w="2069" w:type="dxa"/>
            <w:tcBorders>
              <w:top w:val="single" w:sz="4" w:space="0" w:color="auto"/>
              <w:left w:val="single" w:sz="4" w:space="0" w:color="auto"/>
              <w:bottom w:val="single" w:sz="4" w:space="0" w:color="auto"/>
              <w:right w:val="single" w:sz="4" w:space="0" w:color="auto"/>
            </w:tcBorders>
            <w:hideMark/>
          </w:tcPr>
          <w:p w14:paraId="61ABCBC7" w14:textId="77777777" w:rsidR="0037175A" w:rsidRDefault="0037175A" w:rsidP="00E01B4E">
            <w:pPr>
              <w:pStyle w:val="TableTextLeft"/>
              <w:spacing w:line="276" w:lineRule="auto"/>
              <w:rPr>
                <w:lang w:eastAsia="en-US"/>
              </w:rPr>
            </w:pPr>
            <w:r>
              <w:rPr>
                <w:lang w:eastAsia="en-US"/>
              </w:rPr>
              <w:t>Departmental items</w:t>
            </w:r>
          </w:p>
        </w:tc>
        <w:tc>
          <w:tcPr>
            <w:tcW w:w="5850" w:type="dxa"/>
            <w:tcBorders>
              <w:top w:val="single" w:sz="4" w:space="0" w:color="auto"/>
              <w:left w:val="single" w:sz="4" w:space="0" w:color="auto"/>
              <w:bottom w:val="single" w:sz="4" w:space="0" w:color="auto"/>
              <w:right w:val="single" w:sz="4" w:space="0" w:color="auto"/>
            </w:tcBorders>
            <w:hideMark/>
          </w:tcPr>
          <w:p w14:paraId="16B57EC4" w14:textId="77777777" w:rsidR="0037175A" w:rsidRDefault="0037175A" w:rsidP="00E01B4E">
            <w:pPr>
              <w:pStyle w:val="TableTextLeft"/>
              <w:spacing w:line="276" w:lineRule="auto"/>
              <w:rPr>
                <w:lang w:eastAsia="en-US"/>
              </w:rPr>
            </w:pPr>
            <w:r>
              <w:rPr>
                <w:lang w:eastAsia="en-US"/>
              </w:rPr>
              <w:t xml:space="preserve">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 </w:t>
            </w:r>
          </w:p>
        </w:tc>
      </w:tr>
      <w:tr w:rsidR="0037175A" w14:paraId="1667DE23" w14:textId="77777777" w:rsidTr="00E01B4E">
        <w:trPr>
          <w:trHeight w:val="144"/>
        </w:trPr>
        <w:tc>
          <w:tcPr>
            <w:tcW w:w="2069" w:type="dxa"/>
            <w:tcBorders>
              <w:top w:val="single" w:sz="4" w:space="0" w:color="auto"/>
              <w:left w:val="single" w:sz="4" w:space="0" w:color="auto"/>
              <w:bottom w:val="single" w:sz="4" w:space="0" w:color="auto"/>
              <w:right w:val="single" w:sz="4" w:space="0" w:color="auto"/>
            </w:tcBorders>
            <w:hideMark/>
          </w:tcPr>
          <w:p w14:paraId="0ECC23ED" w14:textId="77777777" w:rsidR="0037175A" w:rsidRDefault="0037175A" w:rsidP="00E01B4E">
            <w:pPr>
              <w:pStyle w:val="TableTextLeft"/>
              <w:spacing w:line="276" w:lineRule="auto"/>
              <w:rPr>
                <w:lang w:eastAsia="en-US"/>
              </w:rPr>
            </w:pPr>
            <w:r>
              <w:rPr>
                <w:lang w:eastAsia="en-US"/>
              </w:rPr>
              <w:t>Depreciation</w:t>
            </w:r>
          </w:p>
        </w:tc>
        <w:tc>
          <w:tcPr>
            <w:tcW w:w="5850" w:type="dxa"/>
            <w:tcBorders>
              <w:top w:val="single" w:sz="4" w:space="0" w:color="auto"/>
              <w:left w:val="single" w:sz="4" w:space="0" w:color="auto"/>
              <w:bottom w:val="single" w:sz="4" w:space="0" w:color="auto"/>
              <w:right w:val="single" w:sz="4" w:space="0" w:color="auto"/>
            </w:tcBorders>
            <w:hideMark/>
          </w:tcPr>
          <w:p w14:paraId="488AF864" w14:textId="77777777" w:rsidR="0037175A" w:rsidRDefault="0037175A" w:rsidP="00E01B4E">
            <w:pPr>
              <w:pStyle w:val="TableTextLeft"/>
              <w:spacing w:line="276" w:lineRule="auto"/>
              <w:rPr>
                <w:lang w:eastAsia="en-US"/>
              </w:rPr>
            </w:pPr>
            <w:r>
              <w:rPr>
                <w:lang w:eastAsia="en-US"/>
              </w:rPr>
              <w:t>Apportionment of an asset’s capital value as an expense over its estimated useful life to take account of normal usage, obsolescence, or the passage of time.</w:t>
            </w:r>
          </w:p>
        </w:tc>
      </w:tr>
      <w:tr w:rsidR="0037175A" w14:paraId="07EC6F0D" w14:textId="77777777" w:rsidTr="00E01B4E">
        <w:trPr>
          <w:trHeight w:val="144"/>
        </w:trPr>
        <w:tc>
          <w:tcPr>
            <w:tcW w:w="2069" w:type="dxa"/>
            <w:tcBorders>
              <w:top w:val="single" w:sz="4" w:space="0" w:color="auto"/>
              <w:left w:val="single" w:sz="4" w:space="0" w:color="auto"/>
              <w:bottom w:val="single" w:sz="4" w:space="0" w:color="auto"/>
              <w:right w:val="single" w:sz="4" w:space="0" w:color="auto"/>
            </w:tcBorders>
            <w:hideMark/>
          </w:tcPr>
          <w:p w14:paraId="29C194F8" w14:textId="77777777" w:rsidR="0037175A" w:rsidRDefault="0037175A" w:rsidP="00E01B4E">
            <w:pPr>
              <w:pStyle w:val="TableTextLeft"/>
              <w:spacing w:line="276" w:lineRule="auto"/>
              <w:rPr>
                <w:lang w:eastAsia="en-US"/>
              </w:rPr>
            </w:pPr>
            <w:r>
              <w:rPr>
                <w:lang w:eastAsia="en-US"/>
              </w:rPr>
              <w:t>Equity or net assets</w:t>
            </w:r>
          </w:p>
        </w:tc>
        <w:tc>
          <w:tcPr>
            <w:tcW w:w="5850" w:type="dxa"/>
            <w:tcBorders>
              <w:top w:val="single" w:sz="4" w:space="0" w:color="auto"/>
              <w:left w:val="single" w:sz="4" w:space="0" w:color="auto"/>
              <w:bottom w:val="single" w:sz="4" w:space="0" w:color="auto"/>
              <w:right w:val="single" w:sz="4" w:space="0" w:color="auto"/>
            </w:tcBorders>
            <w:hideMark/>
          </w:tcPr>
          <w:p w14:paraId="027CC70A" w14:textId="77777777" w:rsidR="0037175A" w:rsidRDefault="0037175A" w:rsidP="00E01B4E">
            <w:pPr>
              <w:pStyle w:val="TableTextLeft"/>
              <w:spacing w:line="276" w:lineRule="auto"/>
              <w:rPr>
                <w:lang w:eastAsia="en-US"/>
              </w:rPr>
            </w:pPr>
            <w:r>
              <w:rPr>
                <w:lang w:eastAsia="en-US"/>
              </w:rPr>
              <w:t>Residual interest in the assets of an entity after deduction of its liabilities.</w:t>
            </w:r>
          </w:p>
        </w:tc>
      </w:tr>
      <w:tr w:rsidR="0037175A" w14:paraId="6DECB5B6" w14:textId="77777777" w:rsidTr="00E01B4E">
        <w:trPr>
          <w:trHeight w:val="144"/>
        </w:trPr>
        <w:tc>
          <w:tcPr>
            <w:tcW w:w="2069" w:type="dxa"/>
            <w:tcBorders>
              <w:top w:val="single" w:sz="4" w:space="0" w:color="auto"/>
              <w:left w:val="single" w:sz="4" w:space="0" w:color="auto"/>
              <w:bottom w:val="single" w:sz="4" w:space="0" w:color="auto"/>
              <w:right w:val="single" w:sz="4" w:space="0" w:color="auto"/>
            </w:tcBorders>
            <w:hideMark/>
          </w:tcPr>
          <w:p w14:paraId="146D03D8" w14:textId="77777777" w:rsidR="0037175A" w:rsidRDefault="0037175A" w:rsidP="00E01B4E">
            <w:pPr>
              <w:pStyle w:val="TableTextLeft"/>
              <w:spacing w:line="276" w:lineRule="auto"/>
              <w:rPr>
                <w:lang w:eastAsia="en-US"/>
              </w:rPr>
            </w:pPr>
            <w:r>
              <w:rPr>
                <w:lang w:eastAsia="en-US"/>
              </w:rPr>
              <w:t>Expenses</w:t>
            </w:r>
          </w:p>
        </w:tc>
        <w:tc>
          <w:tcPr>
            <w:tcW w:w="5850" w:type="dxa"/>
            <w:tcBorders>
              <w:top w:val="single" w:sz="4" w:space="0" w:color="auto"/>
              <w:left w:val="single" w:sz="4" w:space="0" w:color="auto"/>
              <w:bottom w:val="single" w:sz="4" w:space="0" w:color="auto"/>
              <w:right w:val="single" w:sz="4" w:space="0" w:color="auto"/>
            </w:tcBorders>
            <w:hideMark/>
          </w:tcPr>
          <w:p w14:paraId="35392FD4" w14:textId="77777777" w:rsidR="0037175A" w:rsidRDefault="0037175A" w:rsidP="00E01B4E">
            <w:pPr>
              <w:pStyle w:val="TableTextLeft"/>
              <w:spacing w:line="276" w:lineRule="auto"/>
              <w:rPr>
                <w:lang w:eastAsia="en-US"/>
              </w:rPr>
            </w:pPr>
            <w:r>
              <w:rPr>
                <w:lang w:eastAsia="en-US"/>
              </w:rPr>
              <w:t>Total value of all of the resources consumed in producing goods and services or the loss of future economic benefits in the form of reductions in assets or increases in liabilities of an entity.</w:t>
            </w:r>
          </w:p>
        </w:tc>
      </w:tr>
      <w:tr w:rsidR="0037175A" w14:paraId="2C1C5F42" w14:textId="77777777" w:rsidTr="00E01B4E">
        <w:trPr>
          <w:trHeight w:val="1057"/>
        </w:trPr>
        <w:tc>
          <w:tcPr>
            <w:tcW w:w="2069" w:type="dxa"/>
            <w:tcBorders>
              <w:top w:val="single" w:sz="4" w:space="0" w:color="auto"/>
              <w:left w:val="single" w:sz="4" w:space="0" w:color="auto"/>
              <w:bottom w:val="single" w:sz="4" w:space="0" w:color="auto"/>
              <w:right w:val="single" w:sz="4" w:space="0" w:color="auto"/>
            </w:tcBorders>
            <w:hideMark/>
          </w:tcPr>
          <w:p w14:paraId="2D03F992" w14:textId="77777777" w:rsidR="0037175A" w:rsidRDefault="0037175A" w:rsidP="00E01B4E">
            <w:pPr>
              <w:pStyle w:val="TableTextLeft"/>
              <w:spacing w:line="276" w:lineRule="auto"/>
              <w:rPr>
                <w:lang w:eastAsia="en-US"/>
              </w:rPr>
            </w:pPr>
            <w:r>
              <w:rPr>
                <w:lang w:eastAsia="en-US"/>
              </w:rPr>
              <w:t>Forward estimates</w:t>
            </w:r>
          </w:p>
        </w:tc>
        <w:tc>
          <w:tcPr>
            <w:tcW w:w="5850" w:type="dxa"/>
            <w:tcBorders>
              <w:top w:val="single" w:sz="4" w:space="0" w:color="auto"/>
              <w:left w:val="single" w:sz="4" w:space="0" w:color="auto"/>
              <w:bottom w:val="single" w:sz="4" w:space="0" w:color="auto"/>
              <w:right w:val="single" w:sz="4" w:space="0" w:color="auto"/>
            </w:tcBorders>
            <w:hideMark/>
          </w:tcPr>
          <w:p w14:paraId="0C8A2E3C" w14:textId="77777777" w:rsidR="0037175A" w:rsidRDefault="0037175A" w:rsidP="00E01B4E">
            <w:pPr>
              <w:pStyle w:val="TableTextLeft"/>
              <w:spacing w:line="276" w:lineRule="auto"/>
              <w:rPr>
                <w:lang w:eastAsia="en-US"/>
              </w:rPr>
            </w:pPr>
            <w:r>
              <w:rPr>
                <w:lang w:eastAsia="en-US"/>
              </w:rPr>
              <w:t xml:space="preserve">A system of rolling three year financial estimates. After the budget is passed, the first year of the forward estimates becomes the base for the next year’s budget bid, and another out-year is added to the forward estimates. </w:t>
            </w:r>
          </w:p>
        </w:tc>
      </w:tr>
      <w:tr w:rsidR="0037175A" w14:paraId="69366A45" w14:textId="77777777" w:rsidTr="00E01B4E">
        <w:trPr>
          <w:trHeight w:val="827"/>
        </w:trPr>
        <w:tc>
          <w:tcPr>
            <w:tcW w:w="2069" w:type="dxa"/>
            <w:tcBorders>
              <w:top w:val="single" w:sz="4" w:space="0" w:color="auto"/>
              <w:left w:val="single" w:sz="4" w:space="0" w:color="auto"/>
              <w:bottom w:val="single" w:sz="4" w:space="0" w:color="auto"/>
              <w:right w:val="single" w:sz="4" w:space="0" w:color="auto"/>
            </w:tcBorders>
            <w:hideMark/>
          </w:tcPr>
          <w:p w14:paraId="577F27F0" w14:textId="77777777" w:rsidR="0037175A" w:rsidRDefault="0037175A" w:rsidP="00E01B4E">
            <w:pPr>
              <w:pStyle w:val="TableTextLeft"/>
              <w:spacing w:line="276" w:lineRule="auto"/>
              <w:rPr>
                <w:lang w:eastAsia="en-US"/>
              </w:rPr>
            </w:pPr>
            <w:r>
              <w:rPr>
                <w:lang w:eastAsia="en-US"/>
              </w:rPr>
              <w:lastRenderedPageBreak/>
              <w:t>Liabilities</w:t>
            </w:r>
          </w:p>
        </w:tc>
        <w:tc>
          <w:tcPr>
            <w:tcW w:w="5850" w:type="dxa"/>
            <w:tcBorders>
              <w:top w:val="single" w:sz="4" w:space="0" w:color="auto"/>
              <w:left w:val="single" w:sz="4" w:space="0" w:color="auto"/>
              <w:bottom w:val="single" w:sz="4" w:space="0" w:color="auto"/>
              <w:right w:val="single" w:sz="4" w:space="0" w:color="auto"/>
            </w:tcBorders>
            <w:hideMark/>
          </w:tcPr>
          <w:p w14:paraId="442C0E89" w14:textId="77777777" w:rsidR="0037175A" w:rsidRDefault="0037175A" w:rsidP="00E01B4E">
            <w:pPr>
              <w:pStyle w:val="TableTextLeft"/>
              <w:spacing w:line="276" w:lineRule="auto"/>
              <w:rPr>
                <w:lang w:eastAsia="en-US"/>
              </w:rPr>
            </w:pPr>
            <w:r>
              <w:rPr>
                <w:lang w:eastAsia="en-US"/>
              </w:rPr>
              <w:t>Liabilities represent amounts owing on goods or services that have been received but not yet paid for. A liability shows the future commitment of the Agency’s assets.</w:t>
            </w:r>
          </w:p>
        </w:tc>
      </w:tr>
      <w:tr w:rsidR="0037175A" w14:paraId="0C33AD8F" w14:textId="77777777" w:rsidTr="00E01B4E">
        <w:trPr>
          <w:trHeight w:val="352"/>
        </w:trPr>
        <w:tc>
          <w:tcPr>
            <w:tcW w:w="2069" w:type="dxa"/>
            <w:tcBorders>
              <w:top w:val="single" w:sz="4" w:space="0" w:color="auto"/>
              <w:left w:val="single" w:sz="4" w:space="0" w:color="auto"/>
              <w:bottom w:val="single" w:sz="4" w:space="0" w:color="auto"/>
              <w:right w:val="single" w:sz="4" w:space="0" w:color="auto"/>
            </w:tcBorders>
            <w:hideMark/>
          </w:tcPr>
          <w:p w14:paraId="6797C45D" w14:textId="77777777" w:rsidR="0037175A" w:rsidRDefault="0037175A" w:rsidP="00E01B4E">
            <w:pPr>
              <w:pStyle w:val="TableTextLeft"/>
              <w:spacing w:line="276" w:lineRule="auto"/>
              <w:rPr>
                <w:lang w:eastAsia="en-US"/>
              </w:rPr>
            </w:pPr>
            <w:r>
              <w:rPr>
                <w:lang w:eastAsia="en-US"/>
              </w:rPr>
              <w:t>Measure</w:t>
            </w:r>
          </w:p>
        </w:tc>
        <w:tc>
          <w:tcPr>
            <w:tcW w:w="5850" w:type="dxa"/>
            <w:tcBorders>
              <w:top w:val="single" w:sz="4" w:space="0" w:color="auto"/>
              <w:left w:val="single" w:sz="4" w:space="0" w:color="auto"/>
              <w:bottom w:val="single" w:sz="4" w:space="0" w:color="auto"/>
              <w:right w:val="single" w:sz="4" w:space="0" w:color="auto"/>
            </w:tcBorders>
            <w:hideMark/>
          </w:tcPr>
          <w:p w14:paraId="445501D2" w14:textId="77777777" w:rsidR="0037175A" w:rsidRDefault="0037175A" w:rsidP="00E01B4E">
            <w:pPr>
              <w:pStyle w:val="TableTextLeft"/>
              <w:spacing w:line="276" w:lineRule="auto"/>
              <w:rPr>
                <w:lang w:eastAsia="en-US"/>
              </w:rPr>
            </w:pPr>
            <w:r>
              <w:rPr>
                <w:lang w:eastAsia="en-US"/>
              </w:rPr>
              <w:t xml:space="preserve">A new Government policy or savings decision with financial impacts. </w:t>
            </w:r>
          </w:p>
        </w:tc>
      </w:tr>
      <w:tr w:rsidR="0037175A" w14:paraId="12F1DAFD" w14:textId="77777777" w:rsidTr="0037175A">
        <w:trPr>
          <w:trHeight w:val="995"/>
        </w:trPr>
        <w:tc>
          <w:tcPr>
            <w:tcW w:w="2069" w:type="dxa"/>
            <w:tcBorders>
              <w:top w:val="single" w:sz="4" w:space="0" w:color="auto"/>
              <w:left w:val="single" w:sz="4" w:space="0" w:color="auto"/>
              <w:bottom w:val="single" w:sz="4" w:space="0" w:color="auto"/>
              <w:right w:val="single" w:sz="4" w:space="0" w:color="auto"/>
            </w:tcBorders>
            <w:hideMark/>
          </w:tcPr>
          <w:p w14:paraId="3595F960" w14:textId="77777777" w:rsidR="0037175A" w:rsidRDefault="0037175A" w:rsidP="00E01B4E">
            <w:pPr>
              <w:pStyle w:val="TableTextLeft"/>
              <w:spacing w:line="276" w:lineRule="auto"/>
              <w:rPr>
                <w:lang w:eastAsia="en-US"/>
              </w:rPr>
            </w:pPr>
            <w:r>
              <w:rPr>
                <w:lang w:eastAsia="en-US"/>
              </w:rPr>
              <w:t>Net annotated appropriation (Section 74 Receipts)</w:t>
            </w:r>
          </w:p>
        </w:tc>
        <w:tc>
          <w:tcPr>
            <w:tcW w:w="5850" w:type="dxa"/>
            <w:tcBorders>
              <w:top w:val="single" w:sz="4" w:space="0" w:color="auto"/>
              <w:left w:val="single" w:sz="4" w:space="0" w:color="auto"/>
              <w:bottom w:val="single" w:sz="4" w:space="0" w:color="auto"/>
              <w:right w:val="single" w:sz="4" w:space="0" w:color="auto"/>
            </w:tcBorders>
            <w:hideMark/>
          </w:tcPr>
          <w:p w14:paraId="558CBB14" w14:textId="77777777" w:rsidR="0037175A" w:rsidRDefault="0037175A" w:rsidP="00E01B4E">
            <w:pPr>
              <w:pStyle w:val="TableTextLeft"/>
              <w:spacing w:line="276" w:lineRule="auto"/>
              <w:rPr>
                <w:lang w:eastAsia="en-US"/>
              </w:rPr>
            </w:pPr>
            <w:r>
              <w:rPr>
                <w:lang w:eastAsia="en-US"/>
              </w:rPr>
              <w:t>Section 74 receipts, also known as net annotated appropriations, are a form of appropriation which allows a department access to certain money it receives in payment of services. These monies are known as Section 74 Receipts, reflecting their authority under Section 74 of the PGPA Act.</w:t>
            </w:r>
          </w:p>
        </w:tc>
      </w:tr>
      <w:tr w:rsidR="0037175A" w14:paraId="0A9B2F3A" w14:textId="77777777" w:rsidTr="00E01B4E">
        <w:trPr>
          <w:trHeight w:val="352"/>
        </w:trPr>
        <w:tc>
          <w:tcPr>
            <w:tcW w:w="2069" w:type="dxa"/>
            <w:tcBorders>
              <w:top w:val="single" w:sz="4" w:space="0" w:color="auto"/>
              <w:left w:val="single" w:sz="4" w:space="0" w:color="auto"/>
              <w:bottom w:val="single" w:sz="4" w:space="0" w:color="auto"/>
              <w:right w:val="single" w:sz="4" w:space="0" w:color="auto"/>
            </w:tcBorders>
            <w:hideMark/>
          </w:tcPr>
          <w:p w14:paraId="636AE4E3" w14:textId="77777777" w:rsidR="0037175A" w:rsidRDefault="0037175A" w:rsidP="00E01B4E">
            <w:pPr>
              <w:pStyle w:val="TableTextLeft"/>
              <w:spacing w:line="276" w:lineRule="auto"/>
              <w:rPr>
                <w:lang w:eastAsia="en-US"/>
              </w:rPr>
            </w:pPr>
            <w:r>
              <w:rPr>
                <w:lang w:eastAsia="en-US"/>
              </w:rPr>
              <w:t>Operating result</w:t>
            </w:r>
          </w:p>
        </w:tc>
        <w:tc>
          <w:tcPr>
            <w:tcW w:w="5850" w:type="dxa"/>
            <w:tcBorders>
              <w:top w:val="single" w:sz="4" w:space="0" w:color="auto"/>
              <w:left w:val="single" w:sz="4" w:space="0" w:color="auto"/>
              <w:bottom w:val="single" w:sz="4" w:space="0" w:color="auto"/>
              <w:right w:val="single" w:sz="4" w:space="0" w:color="auto"/>
            </w:tcBorders>
            <w:hideMark/>
          </w:tcPr>
          <w:p w14:paraId="16DBD586" w14:textId="77777777" w:rsidR="0037175A" w:rsidRDefault="0037175A" w:rsidP="00E01B4E">
            <w:pPr>
              <w:pStyle w:val="TableTextLeft"/>
              <w:spacing w:line="276" w:lineRule="auto"/>
              <w:rPr>
                <w:lang w:eastAsia="en-US"/>
              </w:rPr>
            </w:pPr>
            <w:r>
              <w:rPr>
                <w:lang w:eastAsia="en-US"/>
              </w:rPr>
              <w:t xml:space="preserve">Equals revenue less expenses. </w:t>
            </w:r>
          </w:p>
        </w:tc>
      </w:tr>
      <w:tr w:rsidR="0037175A" w14:paraId="1A79A9CF" w14:textId="77777777" w:rsidTr="0037175A">
        <w:trPr>
          <w:cantSplit/>
          <w:trHeight w:val="1014"/>
        </w:trPr>
        <w:tc>
          <w:tcPr>
            <w:tcW w:w="2069" w:type="dxa"/>
            <w:tcBorders>
              <w:top w:val="single" w:sz="4" w:space="0" w:color="auto"/>
              <w:left w:val="single" w:sz="4" w:space="0" w:color="auto"/>
              <w:bottom w:val="single" w:sz="4" w:space="0" w:color="auto"/>
              <w:right w:val="single" w:sz="4" w:space="0" w:color="auto"/>
            </w:tcBorders>
            <w:hideMark/>
          </w:tcPr>
          <w:p w14:paraId="7E6F8AB9" w14:textId="77777777" w:rsidR="0037175A" w:rsidRDefault="0037175A" w:rsidP="00E01B4E">
            <w:pPr>
              <w:pStyle w:val="TableTextLeft"/>
              <w:spacing w:line="276" w:lineRule="auto"/>
              <w:rPr>
                <w:lang w:eastAsia="en-US"/>
              </w:rPr>
            </w:pPr>
            <w:r>
              <w:rPr>
                <w:lang w:eastAsia="en-US"/>
              </w:rPr>
              <w:t>Outcomes</w:t>
            </w:r>
          </w:p>
        </w:tc>
        <w:tc>
          <w:tcPr>
            <w:tcW w:w="5850" w:type="dxa"/>
            <w:tcBorders>
              <w:top w:val="single" w:sz="4" w:space="0" w:color="auto"/>
              <w:left w:val="single" w:sz="4" w:space="0" w:color="auto"/>
              <w:bottom w:val="single" w:sz="4" w:space="0" w:color="auto"/>
              <w:right w:val="single" w:sz="4" w:space="0" w:color="auto"/>
            </w:tcBorders>
            <w:hideMark/>
          </w:tcPr>
          <w:p w14:paraId="1829E66D" w14:textId="77777777" w:rsidR="0037175A" w:rsidRDefault="0037175A" w:rsidP="00E01B4E">
            <w:pPr>
              <w:pStyle w:val="TableTextLeft"/>
              <w:spacing w:line="276" w:lineRule="auto"/>
              <w:rPr>
                <w:lang w:eastAsia="en-US"/>
              </w:rPr>
            </w:pPr>
            <w:r>
              <w:rPr>
                <w:lang w:eastAsia="en-US"/>
              </w:rPr>
              <w:t>The government's objectives in each portfolio area. Outcomes are desired results, impacts or consequences for the Australian community as influenced by the actions of the Australian Government. Actual outcomes are assessments of the end-results or impacts actually achieved.</w:t>
            </w:r>
          </w:p>
        </w:tc>
      </w:tr>
      <w:tr w:rsidR="0037175A" w14:paraId="79C359A9" w14:textId="77777777" w:rsidTr="00E01B4E">
        <w:trPr>
          <w:trHeight w:val="583"/>
        </w:trPr>
        <w:tc>
          <w:tcPr>
            <w:tcW w:w="2069" w:type="dxa"/>
            <w:tcBorders>
              <w:top w:val="single" w:sz="4" w:space="0" w:color="auto"/>
              <w:left w:val="single" w:sz="4" w:space="0" w:color="auto"/>
              <w:bottom w:val="single" w:sz="4" w:space="0" w:color="auto"/>
              <w:right w:val="single" w:sz="4" w:space="0" w:color="auto"/>
            </w:tcBorders>
            <w:hideMark/>
          </w:tcPr>
          <w:p w14:paraId="4874253E" w14:textId="77777777" w:rsidR="0037175A" w:rsidRDefault="0037175A" w:rsidP="00E01B4E">
            <w:pPr>
              <w:pStyle w:val="TableTextLeft"/>
              <w:spacing w:line="276" w:lineRule="auto"/>
              <w:rPr>
                <w:lang w:eastAsia="en-US"/>
              </w:rPr>
            </w:pPr>
            <w:r>
              <w:rPr>
                <w:lang w:eastAsia="en-US"/>
              </w:rPr>
              <w:t>Performance measure</w:t>
            </w:r>
          </w:p>
        </w:tc>
        <w:tc>
          <w:tcPr>
            <w:tcW w:w="5850" w:type="dxa"/>
            <w:tcBorders>
              <w:top w:val="single" w:sz="4" w:space="0" w:color="auto"/>
              <w:left w:val="single" w:sz="4" w:space="0" w:color="auto"/>
              <w:bottom w:val="single" w:sz="4" w:space="0" w:color="auto"/>
              <w:right w:val="single" w:sz="4" w:space="0" w:color="auto"/>
            </w:tcBorders>
            <w:hideMark/>
          </w:tcPr>
          <w:p w14:paraId="2AC59A76" w14:textId="77777777" w:rsidR="0037175A" w:rsidRDefault="0037175A" w:rsidP="00E01B4E">
            <w:pPr>
              <w:pStyle w:val="TableTextLeft"/>
              <w:spacing w:line="276" w:lineRule="auto"/>
              <w:rPr>
                <w:lang w:eastAsia="en-US"/>
              </w:rPr>
            </w:pPr>
            <w:r>
              <w:rPr>
                <w:lang w:eastAsia="en-US"/>
              </w:rPr>
              <w:t>Measures the joint or independent contribution of outputs and administered items to the achievement of their specified outcome.</w:t>
            </w:r>
          </w:p>
        </w:tc>
      </w:tr>
      <w:tr w:rsidR="0037175A" w14:paraId="5F97BF96" w14:textId="77777777" w:rsidTr="0037175A">
        <w:trPr>
          <w:trHeight w:val="952"/>
        </w:trPr>
        <w:tc>
          <w:tcPr>
            <w:tcW w:w="2069" w:type="dxa"/>
            <w:tcBorders>
              <w:top w:val="single" w:sz="4" w:space="0" w:color="auto"/>
              <w:left w:val="single" w:sz="4" w:space="0" w:color="auto"/>
              <w:bottom w:val="single" w:sz="4" w:space="0" w:color="auto"/>
              <w:right w:val="single" w:sz="4" w:space="0" w:color="auto"/>
            </w:tcBorders>
            <w:hideMark/>
          </w:tcPr>
          <w:p w14:paraId="56539C75" w14:textId="77777777" w:rsidR="0037175A" w:rsidRDefault="0037175A" w:rsidP="00E01B4E">
            <w:pPr>
              <w:pStyle w:val="TableTextLeft"/>
              <w:spacing w:line="276" w:lineRule="auto"/>
              <w:rPr>
                <w:lang w:eastAsia="en-US"/>
              </w:rPr>
            </w:pPr>
            <w:r>
              <w:rPr>
                <w:lang w:eastAsia="en-US"/>
              </w:rPr>
              <w:t>Portfolio</w:t>
            </w:r>
          </w:p>
        </w:tc>
        <w:tc>
          <w:tcPr>
            <w:tcW w:w="5850" w:type="dxa"/>
            <w:tcBorders>
              <w:top w:val="single" w:sz="4" w:space="0" w:color="auto"/>
              <w:left w:val="single" w:sz="4" w:space="0" w:color="auto"/>
              <w:bottom w:val="single" w:sz="4" w:space="0" w:color="auto"/>
              <w:right w:val="single" w:sz="4" w:space="0" w:color="auto"/>
            </w:tcBorders>
            <w:hideMark/>
          </w:tcPr>
          <w:p w14:paraId="60A61C47" w14:textId="77777777" w:rsidR="0037175A" w:rsidRDefault="0037175A" w:rsidP="00E01B4E">
            <w:pPr>
              <w:pStyle w:val="TableTextLeft"/>
              <w:spacing w:line="276" w:lineRule="auto"/>
              <w:rPr>
                <w:lang w:eastAsia="en-US"/>
              </w:rPr>
            </w:pPr>
            <w:r>
              <w:rPr>
                <w:lang w:eastAsia="en-US"/>
              </w:rPr>
              <w:t>A Minister’s area of responsibility as a member of Cabinet. A portfolio consists of one or more Departments of State (</w:t>
            </w:r>
            <w:proofErr w:type="spellStart"/>
            <w:r>
              <w:rPr>
                <w:lang w:eastAsia="en-US"/>
              </w:rPr>
              <w:t>ie</w:t>
            </w:r>
            <w:proofErr w:type="spellEnd"/>
            <w:r>
              <w:rPr>
                <w:lang w:eastAsia="en-US"/>
              </w:rPr>
              <w:t xml:space="preserve"> the portfolio departments) and a number of entities with similar general objectives and outcomes.</w:t>
            </w:r>
          </w:p>
        </w:tc>
      </w:tr>
      <w:tr w:rsidR="0037175A" w14:paraId="5F87E72C" w14:textId="77777777" w:rsidTr="0037175A">
        <w:trPr>
          <w:trHeight w:val="768"/>
        </w:trPr>
        <w:tc>
          <w:tcPr>
            <w:tcW w:w="2069" w:type="dxa"/>
            <w:tcBorders>
              <w:top w:val="single" w:sz="4" w:space="0" w:color="auto"/>
              <w:left w:val="single" w:sz="4" w:space="0" w:color="auto"/>
              <w:bottom w:val="single" w:sz="4" w:space="0" w:color="auto"/>
              <w:right w:val="single" w:sz="4" w:space="0" w:color="auto"/>
            </w:tcBorders>
            <w:hideMark/>
          </w:tcPr>
          <w:p w14:paraId="5B9DB7A1" w14:textId="77777777" w:rsidR="0037175A" w:rsidRDefault="0037175A" w:rsidP="00E01B4E">
            <w:pPr>
              <w:pStyle w:val="TableTextLeft"/>
              <w:spacing w:line="276" w:lineRule="auto"/>
              <w:rPr>
                <w:lang w:eastAsia="en-US"/>
              </w:rPr>
            </w:pPr>
            <w:r>
              <w:rPr>
                <w:lang w:eastAsia="en-US"/>
              </w:rPr>
              <w:t>Program</w:t>
            </w:r>
          </w:p>
        </w:tc>
        <w:tc>
          <w:tcPr>
            <w:tcW w:w="5850" w:type="dxa"/>
            <w:tcBorders>
              <w:top w:val="single" w:sz="4" w:space="0" w:color="auto"/>
              <w:left w:val="single" w:sz="4" w:space="0" w:color="auto"/>
              <w:bottom w:val="single" w:sz="4" w:space="0" w:color="auto"/>
              <w:right w:val="single" w:sz="4" w:space="0" w:color="auto"/>
            </w:tcBorders>
            <w:hideMark/>
          </w:tcPr>
          <w:p w14:paraId="4C9A8908" w14:textId="77777777" w:rsidR="0037175A" w:rsidRDefault="0037175A" w:rsidP="00E01B4E">
            <w:pPr>
              <w:pStyle w:val="TableTextLeft"/>
              <w:spacing w:line="276" w:lineRule="auto"/>
              <w:rPr>
                <w:lang w:eastAsia="en-US"/>
              </w:rPr>
            </w:pPr>
            <w:r>
              <w:rPr>
                <w:lang w:eastAsia="en-US"/>
              </w:rPr>
              <w:t xml:space="preserve">Entities deliver programs, which </w:t>
            </w:r>
            <w:proofErr w:type="gramStart"/>
            <w:r>
              <w:rPr>
                <w:lang w:eastAsia="en-US"/>
              </w:rPr>
              <w:t>are government actions</w:t>
            </w:r>
            <w:proofErr w:type="gramEnd"/>
            <w:r>
              <w:rPr>
                <w:lang w:eastAsia="en-US"/>
              </w:rPr>
              <w:t xml:space="preserve"> taken to deliver the stated outcomes. Entities are required to identify the programs which contribute to government outcomes over the Budget and forward years.</w:t>
            </w:r>
          </w:p>
        </w:tc>
      </w:tr>
      <w:tr w:rsidR="0037175A" w14:paraId="53602665" w14:textId="77777777" w:rsidTr="00E01B4E">
        <w:trPr>
          <w:trHeight w:val="1301"/>
        </w:trPr>
        <w:tc>
          <w:tcPr>
            <w:tcW w:w="2069" w:type="dxa"/>
            <w:tcBorders>
              <w:top w:val="single" w:sz="4" w:space="0" w:color="auto"/>
              <w:left w:val="single" w:sz="4" w:space="0" w:color="auto"/>
              <w:bottom w:val="single" w:sz="4" w:space="0" w:color="auto"/>
              <w:right w:val="single" w:sz="4" w:space="0" w:color="auto"/>
            </w:tcBorders>
            <w:hideMark/>
          </w:tcPr>
          <w:p w14:paraId="7BBC7911" w14:textId="77777777" w:rsidR="0037175A" w:rsidRDefault="0037175A" w:rsidP="00E01B4E">
            <w:pPr>
              <w:pStyle w:val="TableTextLeft"/>
              <w:spacing w:line="276" w:lineRule="auto"/>
              <w:rPr>
                <w:lang w:eastAsia="en-US"/>
              </w:rPr>
            </w:pPr>
            <w:r>
              <w:rPr>
                <w:lang w:eastAsia="en-US"/>
              </w:rPr>
              <w:t>Receipts</w:t>
            </w:r>
          </w:p>
        </w:tc>
        <w:tc>
          <w:tcPr>
            <w:tcW w:w="5850" w:type="dxa"/>
            <w:tcBorders>
              <w:top w:val="single" w:sz="4" w:space="0" w:color="auto"/>
              <w:left w:val="single" w:sz="4" w:space="0" w:color="auto"/>
              <w:bottom w:val="single" w:sz="4" w:space="0" w:color="auto"/>
              <w:right w:val="single" w:sz="4" w:space="0" w:color="auto"/>
            </w:tcBorders>
            <w:hideMark/>
          </w:tcPr>
          <w:p w14:paraId="087D8B92" w14:textId="77777777" w:rsidR="0037175A" w:rsidRDefault="0037175A" w:rsidP="00E01B4E">
            <w:pPr>
              <w:pStyle w:val="TableTextLeft"/>
              <w:spacing w:line="276" w:lineRule="auto"/>
              <w:rPr>
                <w:lang w:eastAsia="en-US"/>
              </w:rPr>
            </w:pPr>
            <w:r>
              <w:rPr>
                <w:lang w:eastAsia="en-US"/>
              </w:rPr>
              <w:t xml:space="preserve">The total or gross amount received by the Australian Government. Each receipt item is </w:t>
            </w:r>
            <w:proofErr w:type="gramStart"/>
            <w:r>
              <w:rPr>
                <w:lang w:eastAsia="en-US"/>
              </w:rPr>
              <w:t>either revenue</w:t>
            </w:r>
            <w:proofErr w:type="gramEnd"/>
            <w:r>
              <w:rPr>
                <w:lang w:eastAsia="en-US"/>
              </w:rPr>
              <w:t>, an offset within outlays, or a financing transaction. Receipts include taxes, interest, charges for goods and services, borrowings and Government Business Enterprise (GBE) dividends received.</w:t>
            </w:r>
          </w:p>
        </w:tc>
      </w:tr>
      <w:tr w:rsidR="0037175A" w14:paraId="0B37B047" w14:textId="77777777" w:rsidTr="00E01B4E">
        <w:trPr>
          <w:trHeight w:val="597"/>
        </w:trPr>
        <w:tc>
          <w:tcPr>
            <w:tcW w:w="2069" w:type="dxa"/>
            <w:tcBorders>
              <w:top w:val="single" w:sz="4" w:space="0" w:color="auto"/>
              <w:left w:val="single" w:sz="4" w:space="0" w:color="auto"/>
              <w:bottom w:val="single" w:sz="4" w:space="0" w:color="auto"/>
              <w:right w:val="single" w:sz="4" w:space="0" w:color="auto"/>
            </w:tcBorders>
            <w:hideMark/>
          </w:tcPr>
          <w:p w14:paraId="2AADE009" w14:textId="77777777" w:rsidR="0037175A" w:rsidRDefault="0037175A" w:rsidP="00E01B4E">
            <w:pPr>
              <w:pStyle w:val="TableTextLeft"/>
              <w:spacing w:line="276" w:lineRule="auto"/>
              <w:rPr>
                <w:lang w:eastAsia="en-US"/>
              </w:rPr>
            </w:pPr>
            <w:r>
              <w:rPr>
                <w:lang w:eastAsia="en-US"/>
              </w:rPr>
              <w:t>Revenue</w:t>
            </w:r>
          </w:p>
        </w:tc>
        <w:tc>
          <w:tcPr>
            <w:tcW w:w="5850" w:type="dxa"/>
            <w:tcBorders>
              <w:top w:val="single" w:sz="4" w:space="0" w:color="auto"/>
              <w:left w:val="single" w:sz="4" w:space="0" w:color="auto"/>
              <w:bottom w:val="single" w:sz="4" w:space="0" w:color="auto"/>
              <w:right w:val="single" w:sz="4" w:space="0" w:color="auto"/>
            </w:tcBorders>
            <w:hideMark/>
          </w:tcPr>
          <w:p w14:paraId="6B788FF6" w14:textId="77777777" w:rsidR="0037175A" w:rsidRDefault="0037175A" w:rsidP="00E01B4E">
            <w:pPr>
              <w:pStyle w:val="TableTextLeft"/>
              <w:spacing w:line="276" w:lineRule="auto"/>
              <w:rPr>
                <w:lang w:eastAsia="en-US"/>
              </w:rPr>
            </w:pPr>
            <w:r>
              <w:rPr>
                <w:lang w:eastAsia="en-US"/>
              </w:rPr>
              <w:t>Total value of resources earned or received to cover the production of goods and services.</w:t>
            </w:r>
          </w:p>
        </w:tc>
      </w:tr>
      <w:tr w:rsidR="0037175A" w14:paraId="5C11570F" w14:textId="77777777" w:rsidTr="00E01B4E">
        <w:trPr>
          <w:trHeight w:val="1615"/>
        </w:trPr>
        <w:tc>
          <w:tcPr>
            <w:tcW w:w="2069" w:type="dxa"/>
            <w:tcBorders>
              <w:top w:val="single" w:sz="4" w:space="0" w:color="auto"/>
              <w:left w:val="single" w:sz="4" w:space="0" w:color="auto"/>
              <w:bottom w:val="single" w:sz="4" w:space="0" w:color="auto"/>
              <w:right w:val="single" w:sz="4" w:space="0" w:color="auto"/>
            </w:tcBorders>
            <w:hideMark/>
          </w:tcPr>
          <w:p w14:paraId="72725A73" w14:textId="77777777" w:rsidR="0037175A" w:rsidRDefault="0037175A" w:rsidP="00E01B4E">
            <w:pPr>
              <w:pStyle w:val="TableTextLeft"/>
              <w:spacing w:line="276" w:lineRule="auto"/>
              <w:rPr>
                <w:lang w:eastAsia="en-US"/>
              </w:rPr>
            </w:pPr>
            <w:r>
              <w:rPr>
                <w:lang w:eastAsia="en-US"/>
              </w:rPr>
              <w:t>Special Appropriations (including Standing Appropriations)</w:t>
            </w:r>
          </w:p>
        </w:tc>
        <w:tc>
          <w:tcPr>
            <w:tcW w:w="5850" w:type="dxa"/>
            <w:tcBorders>
              <w:top w:val="single" w:sz="4" w:space="0" w:color="auto"/>
              <w:left w:val="single" w:sz="4" w:space="0" w:color="auto"/>
              <w:bottom w:val="single" w:sz="4" w:space="0" w:color="auto"/>
              <w:right w:val="single" w:sz="4" w:space="0" w:color="auto"/>
            </w:tcBorders>
            <w:hideMark/>
          </w:tcPr>
          <w:p w14:paraId="2804D2A2" w14:textId="77777777" w:rsidR="0037175A" w:rsidRDefault="0037175A" w:rsidP="00E01B4E">
            <w:pPr>
              <w:pStyle w:val="TableTextLeft"/>
              <w:spacing w:line="276" w:lineRule="auto"/>
              <w:rPr>
                <w:lang w:eastAsia="en-US"/>
              </w:rPr>
            </w:pPr>
            <w:r>
              <w:rPr>
                <w:lang w:eastAsia="en-US"/>
              </w:rPr>
              <w:t>An amount of money appropriated by a particular Act of Parliament for a specific purpose and number of years. For special appropriations the authority to withdraw funds from the Consolidated Revenue Fund does not generally cease at the end of the financial year. Standing appropriations are a sub-category consisting of ongoing special appropriations—the amount appropriated will depend on circumstances specified in the legislation.</w:t>
            </w:r>
          </w:p>
        </w:tc>
      </w:tr>
    </w:tbl>
    <w:p w14:paraId="2045BBDC" w14:textId="77777777" w:rsidR="000C3B86" w:rsidRPr="000C3B86" w:rsidRDefault="000C3B86" w:rsidP="0037175A"/>
    <w:sectPr w:rsidR="000C3B86" w:rsidRPr="000C3B86" w:rsidSect="0037175A">
      <w:headerReference w:type="even" r:id="rId13"/>
      <w:headerReference w:type="default" r:id="rId14"/>
      <w:headerReference w:type="first" r:id="rId15"/>
      <w:footnotePr>
        <w:numRestart w:val="eachPage"/>
      </w:footnotePr>
      <w:type w:val="oddPage"/>
      <w:pgSz w:w="11906" w:h="16838" w:code="9"/>
      <w:pgMar w:top="2466" w:right="2098" w:bottom="2127" w:left="2098" w:header="1899" w:footer="18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98F8D3" w14:textId="77777777" w:rsidR="008A3DA4" w:rsidRDefault="008A3DA4" w:rsidP="00C07DEC">
      <w:r>
        <w:separator/>
      </w:r>
    </w:p>
  </w:endnote>
  <w:endnote w:type="continuationSeparator" w:id="0">
    <w:p w14:paraId="75891516" w14:textId="77777777" w:rsidR="008A3DA4" w:rsidRDefault="008A3DA4" w:rsidP="00C0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old">
    <w:altName w:val="Arial"/>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EE9B10" w14:textId="77777777" w:rsidR="008A3DA4" w:rsidRDefault="008A3DA4" w:rsidP="00C07DEC">
      <w:r>
        <w:separator/>
      </w:r>
    </w:p>
  </w:footnote>
  <w:footnote w:type="continuationSeparator" w:id="0">
    <w:p w14:paraId="1E7A06B6" w14:textId="77777777" w:rsidR="008A3DA4" w:rsidRDefault="008A3DA4" w:rsidP="00C07D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5DECA" w14:textId="77777777" w:rsidR="008A3DA4" w:rsidRDefault="008A3DA4" w:rsidP="00361259">
    <w:pPr>
      <w:pStyle w:val="HeaderEven"/>
    </w:pPr>
    <w:r>
      <w:t>Glossary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E2A6C" w14:textId="77777777" w:rsidR="008A3DA4" w:rsidRDefault="008A3DA4" w:rsidP="00361259">
    <w:pPr>
      <w:pStyle w:val="HeaderOdd"/>
    </w:pPr>
    <w:r>
      <w:t>Index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9CBE02" w14:textId="77777777" w:rsidR="008A3DA4" w:rsidRPr="00970E65" w:rsidRDefault="008A3DA4" w:rsidP="00970E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79FD"/>
    <w:multiLevelType w:val="hybridMultilevel"/>
    <w:tmpl w:val="69C4EEDE"/>
    <w:lvl w:ilvl="0" w:tplc="5DA05EFC">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4">
    <w:nsid w:val="10BE0756"/>
    <w:multiLevelType w:val="hybridMultilevel"/>
    <w:tmpl w:val="BB564968"/>
    <w:lvl w:ilvl="0" w:tplc="93BADE1A">
      <w:start w:val="1"/>
      <w:numFmt w:val="decimal"/>
      <w:pStyle w:val="TableTextNumbered"/>
      <w:lvlText w:val="%1."/>
      <w:lvlJc w:val="left"/>
      <w:pPr>
        <w:ind w:left="360" w:hanging="360"/>
      </w:pPr>
      <w:rPr>
        <w:rFonts w:cs="Times New Roman"/>
        <w:bCs w:val="0"/>
        <w:i w:val="0"/>
        <w:iCs w:val="0"/>
        <w: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nsid w:val="2541789B"/>
    <w:multiLevelType w:val="multilevel"/>
    <w:tmpl w:val="49C09A1E"/>
    <w:lvl w:ilvl="0">
      <w:start w:val="1"/>
      <w:numFmt w:val="decimal"/>
      <w:lvlText w:val="%1."/>
      <w:lvlJc w:val="left"/>
      <w:pPr>
        <w:tabs>
          <w:tab w:val="num" w:pos="283"/>
        </w:tabs>
        <w:ind w:left="283" w:hanging="283"/>
      </w:pPr>
      <w:rPr>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6">
    <w:nsid w:val="26D02E4E"/>
    <w:multiLevelType w:val="hybridMultilevel"/>
    <w:tmpl w:val="6178CD8A"/>
    <w:lvl w:ilvl="0" w:tplc="5DA05EFC">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7">
    <w:nsid w:val="27035C5D"/>
    <w:multiLevelType w:val="hybridMultilevel"/>
    <w:tmpl w:val="A24CA6E2"/>
    <w:lvl w:ilvl="0" w:tplc="C7C0BE74">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9">
    <w:nsid w:val="361503D5"/>
    <w:multiLevelType w:val="hybridMultilevel"/>
    <w:tmpl w:val="C19AC01E"/>
    <w:lvl w:ilvl="0" w:tplc="8E306B24">
      <w:start w:val="1"/>
      <w:numFmt w:val="bullet"/>
      <w:pStyle w:val="Bullets"/>
      <w:lvlText w:val=""/>
      <w:lvlJc w:val="left"/>
      <w:pPr>
        <w:tabs>
          <w:tab w:val="num" w:pos="284"/>
        </w:tabs>
        <w:ind w:left="284" w:hanging="284"/>
      </w:pPr>
      <w:rPr>
        <w:rFonts w:ascii="Wingdings" w:hAnsi="Wingdings"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2">
    <w:nsid w:val="412F7471"/>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5">
    <w:nsid w:val="5C317F5A"/>
    <w:multiLevelType w:val="multilevel"/>
    <w:tmpl w:val="C39CD40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7">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3"/>
  </w:num>
  <w:num w:numId="2">
    <w:abstractNumId w:val="2"/>
  </w:num>
  <w:num w:numId="3">
    <w:abstractNumId w:val="16"/>
  </w:num>
  <w:num w:numId="4">
    <w:abstractNumId w:val="11"/>
  </w:num>
  <w:num w:numId="5">
    <w:abstractNumId w:val="17"/>
  </w:num>
  <w:num w:numId="6">
    <w:abstractNumId w:val="8"/>
  </w:num>
  <w:num w:numId="7">
    <w:abstractNumId w:val="14"/>
  </w:num>
  <w:num w:numId="8">
    <w:abstractNumId w:val="11"/>
    <w:lvlOverride w:ilvl="0">
      <w:startOverride w:val="1"/>
    </w:lvlOverride>
  </w:num>
  <w:num w:numId="9">
    <w:abstractNumId w:val="11"/>
    <w:lvlOverride w:ilvl="0">
      <w:startOverride w:val="1"/>
    </w:lvlOverride>
  </w:num>
  <w:num w:numId="10">
    <w:abstractNumId w:val="1"/>
  </w:num>
  <w:num w:numId="11">
    <w:abstractNumId w:val="7"/>
  </w:num>
  <w:num w:numId="12">
    <w:abstractNumId w:val="11"/>
    <w:lvlOverride w:ilvl="0">
      <w:startOverride w:val="1"/>
    </w:lvlOverride>
  </w:num>
  <w:num w:numId="13">
    <w:abstractNumId w:val="11"/>
    <w:lvlOverride w:ilvl="0">
      <w:startOverride w:val="1"/>
    </w:lvlOverride>
  </w:num>
  <w:num w:numId="14">
    <w:abstractNumId w:val="6"/>
  </w:num>
  <w:num w:numId="15">
    <w:abstractNumId w:val="11"/>
    <w:lvlOverride w:ilvl="0">
      <w:startOverride w:val="1"/>
    </w:lvlOverride>
  </w:num>
  <w:num w:numId="16">
    <w:abstractNumId w:val="11"/>
    <w:lvlOverride w:ilvl="0">
      <w:startOverride w:val="1"/>
    </w:lvlOverride>
  </w:num>
  <w:num w:numId="17">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1"/>
    <w:lvlOverride w:ilvl="0">
      <w:startOverride w:val="1"/>
    </w:lvlOverride>
  </w:num>
  <w:num w:numId="22">
    <w:abstractNumId w:val="11"/>
    <w:lvlOverride w:ilvl="0">
      <w:startOverride w:val="1"/>
    </w:lvlOverride>
  </w:num>
  <w:num w:numId="23">
    <w:abstractNumId w:val="15"/>
  </w:num>
  <w:num w:numId="24">
    <w:abstractNumId w:val="11"/>
    <w:lvlOverride w:ilvl="0">
      <w:startOverride w:val="1"/>
    </w:lvlOverride>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4"/>
    <w:lvlOverride w:ilvl="0">
      <w:startOverride w:val="1"/>
    </w:lvlOverride>
  </w:num>
  <w:num w:numId="29">
    <w:abstractNumId w:val="11"/>
    <w:lvlOverride w:ilvl="0">
      <w:startOverride w:val="1"/>
    </w:lvlOverride>
  </w:num>
  <w:num w:numId="30">
    <w:abstractNumId w:val="0"/>
  </w:num>
  <w:num w:numId="31">
    <w:abstractNumId w:val="11"/>
    <w:lvlOverride w:ilvl="0">
      <w:startOverride w:val="1"/>
    </w:lvlOverride>
  </w:num>
  <w:num w:numId="32">
    <w:abstractNumId w:val="11"/>
    <w:lvlOverride w:ilvl="0">
      <w:startOverride w:val="1"/>
    </w:lvlOverride>
  </w:num>
  <w:num w:numId="33">
    <w:abstractNumId w:val="11"/>
    <w:lvlOverride w:ilvl="0">
      <w:startOverride w:val="1"/>
    </w:lvlOverride>
  </w:num>
  <w:num w:numId="34">
    <w:abstractNumId w:val="11"/>
    <w:lvlOverride w:ilvl="0">
      <w:startOverride w:val="1"/>
    </w:lvlOverride>
  </w:num>
  <w:num w:numId="35">
    <w:abstractNumId w:val="11"/>
    <w:lvlOverride w:ilvl="0">
      <w:startOverride w:val="1"/>
    </w:lvlOverride>
  </w:num>
  <w:num w:numId="36">
    <w:abstractNumId w:val="11"/>
    <w:lvlOverride w:ilvl="0">
      <w:startOverride w:val="1"/>
    </w:lvlOverride>
  </w:num>
  <w:num w:numId="37">
    <w:abstractNumId w:val="9"/>
    <w:lvlOverride w:ilvl="0"/>
    <w:lvlOverride w:ilvl="1"/>
    <w:lvlOverride w:ilvl="2"/>
    <w:lvlOverride w:ilvl="3"/>
    <w:lvlOverride w:ilvl="4"/>
    <w:lvlOverride w:ilvl="5"/>
    <w:lvlOverride w:ilvl="6"/>
    <w:lvlOverride w:ilvl="7"/>
    <w:lvlOverride w:ilvl="8"/>
  </w:num>
  <w:num w:numId="38">
    <w:abstractNumId w:val="5"/>
  </w:num>
  <w:num w:numId="39">
    <w:abstractNumId w:val="11"/>
    <w:lvlOverride w:ilvl="0">
      <w:startOverride w:val="1"/>
    </w:lvlOverride>
  </w:num>
  <w:num w:numId="40">
    <w:abstractNumId w:val="11"/>
    <w:lvlOverride w:ilvl="0">
      <w:startOverride w:val="1"/>
    </w:lvlOverride>
  </w:num>
  <w:num w:numId="41">
    <w:abstractNumId w:val="11"/>
    <w:lvlOverride w:ilvl="0">
      <w:startOverride w:val="1"/>
    </w:lvlOverride>
  </w:num>
  <w:num w:numId="42">
    <w:abstractNumId w:val="11"/>
    <w:lvlOverride w:ilvl="0">
      <w:startOverride w:val="1"/>
    </w:lvlOverride>
  </w:num>
  <w:num w:numId="43">
    <w:abstractNumId w:val="11"/>
    <w:lvlOverride w:ilvl="0">
      <w:startOverride w:val="1"/>
    </w:lvlOverride>
  </w:num>
  <w:num w:numId="44">
    <w:abstractNumId w:val="11"/>
    <w:lvlOverride w:ilvl="0">
      <w:startOverride w:val="1"/>
    </w:lvlOverride>
  </w:num>
  <w:num w:numId="45">
    <w:abstractNumId w:val="11"/>
    <w:lvlOverride w:ilvl="0">
      <w:startOverride w:val="1"/>
    </w:lvlOverride>
  </w:num>
  <w:num w:numId="46">
    <w:abstractNumId w:val="11"/>
    <w:lvlOverride w:ilvl="0">
      <w:startOverride w:val="1"/>
    </w:lvlOverride>
  </w:num>
  <w:num w:numId="47">
    <w:abstractNumId w:val="11"/>
    <w:lvlOverride w:ilvl="0">
      <w:startOverride w:val="1"/>
    </w:lvlOverride>
  </w:num>
  <w:num w:numId="48">
    <w:abstractNumId w:val="11"/>
    <w:lvlOverride w:ilvl="0">
      <w:startOverride w:val="1"/>
    </w:lvlOverride>
  </w:num>
  <w:num w:numId="49">
    <w:abstractNumId w:val="11"/>
    <w:lvlOverride w:ilvl="0">
      <w:startOverride w:val="1"/>
    </w:lvlOverride>
  </w:num>
  <w:num w:numId="50">
    <w:abstractNumId w:val="11"/>
    <w:lvlOverride w:ilvl="0">
      <w:startOverride w:val="1"/>
    </w:lvlOverride>
  </w:num>
  <w:num w:numId="51">
    <w:abstractNumId w:val="11"/>
    <w:lvlOverride w:ilvl="0">
      <w:startOverride w:val="1"/>
    </w:lvlOverride>
  </w:num>
  <w:num w:numId="52">
    <w:abstractNumId w:val="11"/>
    <w:lvlOverride w:ilvl="0">
      <w:startOverride w:val="1"/>
    </w:lvlOverride>
  </w:num>
  <w:num w:numId="53">
    <w:abstractNumId w:val="11"/>
    <w:lvlOverride w:ilvl="0">
      <w:startOverride w:val="1"/>
    </w:lvlOverride>
  </w:num>
  <w:num w:numId="54">
    <w:abstractNumId w:val="11"/>
    <w:lvlOverride w:ilvl="0">
      <w:startOverride w:val="1"/>
    </w:lvlOverride>
  </w:num>
  <w:num w:numId="55">
    <w:abstractNumId w:val="11"/>
    <w:lvlOverride w:ilvl="0">
      <w:startOverride w:val="1"/>
    </w:lvlOverride>
  </w:num>
  <w:num w:numId="56">
    <w:abstractNumId w:val="11"/>
    <w:lvlOverride w:ilvl="0">
      <w:startOverride w:val="1"/>
    </w:lvlOverride>
  </w:num>
  <w:num w:numId="57">
    <w:abstractNumId w:val="11"/>
    <w:lvlOverride w:ilvl="0">
      <w:startOverride w:val="1"/>
    </w:lvlOverride>
  </w:num>
  <w:num w:numId="58">
    <w:abstractNumId w:val="4"/>
    <w:lvlOverride w:ilvl="0">
      <w:startOverride w:val="1"/>
    </w:lvlOverride>
  </w:num>
  <w:num w:numId="59">
    <w:abstractNumId w:val="11"/>
    <w:lvlOverride w:ilvl="0">
      <w:startOverride w:val="1"/>
    </w:lvlOverride>
  </w:num>
  <w:num w:numId="60">
    <w:abstractNumId w:val="11"/>
    <w:lvlOverride w:ilvl="0">
      <w:startOverride w:val="1"/>
    </w:lvlOverride>
  </w:num>
  <w:num w:numId="61">
    <w:abstractNumId w:val="11"/>
    <w:lvlOverride w:ilvl="0">
      <w:startOverride w:val="1"/>
    </w:lvlOverride>
  </w:num>
  <w:num w:numId="62">
    <w:abstractNumId w:val="4"/>
  </w:num>
  <w:num w:numId="63">
    <w:abstractNumId w:val="11"/>
    <w:lvlOverride w:ilvl="0">
      <w:startOverride w:val="1"/>
    </w:lvlOverride>
  </w:num>
  <w:num w:numId="64">
    <w:abstractNumId w:val="11"/>
    <w:lvlOverride w:ilvl="0">
      <w:startOverride w:val="1"/>
    </w:lvlOverride>
  </w:num>
  <w:num w:numId="65">
    <w:abstractNumId w:val="11"/>
    <w:lvlOverride w:ilvl="0">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rawingGridHorizontalSpacing w:val="100"/>
  <w:displayHorizontalDrawingGridEvery w:val="2"/>
  <w:noPunctuationKerning/>
  <w:characterSpacingControl w:val="doNotCompress"/>
  <w:hdrShapeDefaults>
    <o:shapedefaults v:ext="edit" spidmax="3074"/>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57F"/>
    <w:rsid w:val="000000C3"/>
    <w:rsid w:val="0000101C"/>
    <w:rsid w:val="0000358C"/>
    <w:rsid w:val="00003AC4"/>
    <w:rsid w:val="00006AE4"/>
    <w:rsid w:val="0000711B"/>
    <w:rsid w:val="00011782"/>
    <w:rsid w:val="0001294C"/>
    <w:rsid w:val="00012BB0"/>
    <w:rsid w:val="00013D25"/>
    <w:rsid w:val="0001438C"/>
    <w:rsid w:val="00016D95"/>
    <w:rsid w:val="00017619"/>
    <w:rsid w:val="000203CB"/>
    <w:rsid w:val="00020573"/>
    <w:rsid w:val="0002112D"/>
    <w:rsid w:val="000216BF"/>
    <w:rsid w:val="00021DA6"/>
    <w:rsid w:val="000220B0"/>
    <w:rsid w:val="00026EE3"/>
    <w:rsid w:val="000274FF"/>
    <w:rsid w:val="000300D7"/>
    <w:rsid w:val="000304FC"/>
    <w:rsid w:val="00030CC3"/>
    <w:rsid w:val="00030FDA"/>
    <w:rsid w:val="0003144B"/>
    <w:rsid w:val="00032C97"/>
    <w:rsid w:val="0003384E"/>
    <w:rsid w:val="00033C86"/>
    <w:rsid w:val="00034EEC"/>
    <w:rsid w:val="0003503B"/>
    <w:rsid w:val="00035246"/>
    <w:rsid w:val="00036095"/>
    <w:rsid w:val="000364F3"/>
    <w:rsid w:val="000366AE"/>
    <w:rsid w:val="000369AC"/>
    <w:rsid w:val="00036CD7"/>
    <w:rsid w:val="0003724F"/>
    <w:rsid w:val="00037BA1"/>
    <w:rsid w:val="00040D67"/>
    <w:rsid w:val="000413D4"/>
    <w:rsid w:val="00042FDD"/>
    <w:rsid w:val="00044CF1"/>
    <w:rsid w:val="0004509D"/>
    <w:rsid w:val="00045667"/>
    <w:rsid w:val="000473D8"/>
    <w:rsid w:val="00054A04"/>
    <w:rsid w:val="00054CC3"/>
    <w:rsid w:val="00055900"/>
    <w:rsid w:val="0005600E"/>
    <w:rsid w:val="00056260"/>
    <w:rsid w:val="0005722F"/>
    <w:rsid w:val="000606CB"/>
    <w:rsid w:val="00060890"/>
    <w:rsid w:val="00061D03"/>
    <w:rsid w:val="00061E07"/>
    <w:rsid w:val="00061FD8"/>
    <w:rsid w:val="00063C44"/>
    <w:rsid w:val="00063CE1"/>
    <w:rsid w:val="000641DA"/>
    <w:rsid w:val="00065053"/>
    <w:rsid w:val="000655E4"/>
    <w:rsid w:val="000656AD"/>
    <w:rsid w:val="00065C71"/>
    <w:rsid w:val="00066BBA"/>
    <w:rsid w:val="000671B7"/>
    <w:rsid w:val="00067B6F"/>
    <w:rsid w:val="00067E1D"/>
    <w:rsid w:val="0007064C"/>
    <w:rsid w:val="000712EE"/>
    <w:rsid w:val="00071BB7"/>
    <w:rsid w:val="000725C0"/>
    <w:rsid w:val="00074CE6"/>
    <w:rsid w:val="000768A5"/>
    <w:rsid w:val="00077277"/>
    <w:rsid w:val="0007743A"/>
    <w:rsid w:val="00080069"/>
    <w:rsid w:val="00080F4F"/>
    <w:rsid w:val="00081C68"/>
    <w:rsid w:val="00082159"/>
    <w:rsid w:val="0008449F"/>
    <w:rsid w:val="00090A43"/>
    <w:rsid w:val="000924A7"/>
    <w:rsid w:val="00094B28"/>
    <w:rsid w:val="00094B9A"/>
    <w:rsid w:val="00096568"/>
    <w:rsid w:val="00096DEE"/>
    <w:rsid w:val="00097063"/>
    <w:rsid w:val="00097336"/>
    <w:rsid w:val="000975DA"/>
    <w:rsid w:val="000A1920"/>
    <w:rsid w:val="000A1A89"/>
    <w:rsid w:val="000A1C91"/>
    <w:rsid w:val="000A237A"/>
    <w:rsid w:val="000A24C4"/>
    <w:rsid w:val="000A345B"/>
    <w:rsid w:val="000A3530"/>
    <w:rsid w:val="000A372A"/>
    <w:rsid w:val="000A395D"/>
    <w:rsid w:val="000A532C"/>
    <w:rsid w:val="000A56A5"/>
    <w:rsid w:val="000A5C86"/>
    <w:rsid w:val="000A623A"/>
    <w:rsid w:val="000A6897"/>
    <w:rsid w:val="000A6D23"/>
    <w:rsid w:val="000A6DBE"/>
    <w:rsid w:val="000A7E1F"/>
    <w:rsid w:val="000B0916"/>
    <w:rsid w:val="000B1FC4"/>
    <w:rsid w:val="000B21D6"/>
    <w:rsid w:val="000B2404"/>
    <w:rsid w:val="000B36D8"/>
    <w:rsid w:val="000B3B7D"/>
    <w:rsid w:val="000B6E38"/>
    <w:rsid w:val="000C056F"/>
    <w:rsid w:val="000C0C76"/>
    <w:rsid w:val="000C1442"/>
    <w:rsid w:val="000C1928"/>
    <w:rsid w:val="000C19B3"/>
    <w:rsid w:val="000C19EF"/>
    <w:rsid w:val="000C2620"/>
    <w:rsid w:val="000C2D7D"/>
    <w:rsid w:val="000C3B86"/>
    <w:rsid w:val="000C4A46"/>
    <w:rsid w:val="000C55A6"/>
    <w:rsid w:val="000C6A39"/>
    <w:rsid w:val="000C6FB8"/>
    <w:rsid w:val="000C747B"/>
    <w:rsid w:val="000D13E5"/>
    <w:rsid w:val="000D4262"/>
    <w:rsid w:val="000D43DE"/>
    <w:rsid w:val="000D4F26"/>
    <w:rsid w:val="000D58A1"/>
    <w:rsid w:val="000D5CE4"/>
    <w:rsid w:val="000D7E54"/>
    <w:rsid w:val="000E04C6"/>
    <w:rsid w:val="000E0A85"/>
    <w:rsid w:val="000E2F5F"/>
    <w:rsid w:val="000E54CA"/>
    <w:rsid w:val="000E68E3"/>
    <w:rsid w:val="000E6DDB"/>
    <w:rsid w:val="000E74A6"/>
    <w:rsid w:val="000F01A7"/>
    <w:rsid w:val="000F03B1"/>
    <w:rsid w:val="000F08AE"/>
    <w:rsid w:val="000F2D33"/>
    <w:rsid w:val="000F43F4"/>
    <w:rsid w:val="000F440E"/>
    <w:rsid w:val="000F6647"/>
    <w:rsid w:val="000F73B7"/>
    <w:rsid w:val="000F794F"/>
    <w:rsid w:val="000F7AB7"/>
    <w:rsid w:val="000F7E7B"/>
    <w:rsid w:val="001002F8"/>
    <w:rsid w:val="0010135F"/>
    <w:rsid w:val="00102654"/>
    <w:rsid w:val="001028CC"/>
    <w:rsid w:val="00104457"/>
    <w:rsid w:val="001045F9"/>
    <w:rsid w:val="0010472B"/>
    <w:rsid w:val="0010657F"/>
    <w:rsid w:val="0010759A"/>
    <w:rsid w:val="00107F05"/>
    <w:rsid w:val="00111159"/>
    <w:rsid w:val="001129DC"/>
    <w:rsid w:val="00112D0F"/>
    <w:rsid w:val="001133E0"/>
    <w:rsid w:val="00114B6B"/>
    <w:rsid w:val="00115DE5"/>
    <w:rsid w:val="001163D6"/>
    <w:rsid w:val="0011726A"/>
    <w:rsid w:val="0012022D"/>
    <w:rsid w:val="00120B5E"/>
    <w:rsid w:val="0012108F"/>
    <w:rsid w:val="00121EB0"/>
    <w:rsid w:val="0012228D"/>
    <w:rsid w:val="001229F2"/>
    <w:rsid w:val="00123218"/>
    <w:rsid w:val="001237BA"/>
    <w:rsid w:val="00123925"/>
    <w:rsid w:val="00123E0B"/>
    <w:rsid w:val="00126641"/>
    <w:rsid w:val="0013171A"/>
    <w:rsid w:val="00131EE3"/>
    <w:rsid w:val="00132F9E"/>
    <w:rsid w:val="001338A6"/>
    <w:rsid w:val="00133D3A"/>
    <w:rsid w:val="00133D90"/>
    <w:rsid w:val="00134628"/>
    <w:rsid w:val="001352EE"/>
    <w:rsid w:val="00135505"/>
    <w:rsid w:val="001364A7"/>
    <w:rsid w:val="00136827"/>
    <w:rsid w:val="00136A19"/>
    <w:rsid w:val="00136D5B"/>
    <w:rsid w:val="001375D4"/>
    <w:rsid w:val="001405B1"/>
    <w:rsid w:val="00143E88"/>
    <w:rsid w:val="001455D8"/>
    <w:rsid w:val="00146B5E"/>
    <w:rsid w:val="0014790A"/>
    <w:rsid w:val="00150D90"/>
    <w:rsid w:val="00151ABB"/>
    <w:rsid w:val="00154447"/>
    <w:rsid w:val="001549BE"/>
    <w:rsid w:val="00154CDE"/>
    <w:rsid w:val="00154F5B"/>
    <w:rsid w:val="00161DAC"/>
    <w:rsid w:val="00161F7D"/>
    <w:rsid w:val="00162359"/>
    <w:rsid w:val="00162B55"/>
    <w:rsid w:val="00162D8B"/>
    <w:rsid w:val="00163101"/>
    <w:rsid w:val="001634A8"/>
    <w:rsid w:val="001638E9"/>
    <w:rsid w:val="00165824"/>
    <w:rsid w:val="001666EA"/>
    <w:rsid w:val="0017111A"/>
    <w:rsid w:val="00171A85"/>
    <w:rsid w:val="001731F8"/>
    <w:rsid w:val="00173F5C"/>
    <w:rsid w:val="00174186"/>
    <w:rsid w:val="00174565"/>
    <w:rsid w:val="00175BB3"/>
    <w:rsid w:val="001771B4"/>
    <w:rsid w:val="00177A9A"/>
    <w:rsid w:val="001808A4"/>
    <w:rsid w:val="00180FF3"/>
    <w:rsid w:val="001815A5"/>
    <w:rsid w:val="001816A2"/>
    <w:rsid w:val="00181F30"/>
    <w:rsid w:val="00182740"/>
    <w:rsid w:val="00184071"/>
    <w:rsid w:val="00185A3B"/>
    <w:rsid w:val="00186850"/>
    <w:rsid w:val="001904A5"/>
    <w:rsid w:val="00191347"/>
    <w:rsid w:val="001923C8"/>
    <w:rsid w:val="001939FF"/>
    <w:rsid w:val="00194DE8"/>
    <w:rsid w:val="00197990"/>
    <w:rsid w:val="001A0106"/>
    <w:rsid w:val="001A02CB"/>
    <w:rsid w:val="001A11DB"/>
    <w:rsid w:val="001A2D6D"/>
    <w:rsid w:val="001A33F4"/>
    <w:rsid w:val="001A58AB"/>
    <w:rsid w:val="001A6256"/>
    <w:rsid w:val="001A6F29"/>
    <w:rsid w:val="001A789B"/>
    <w:rsid w:val="001B03CC"/>
    <w:rsid w:val="001B0C75"/>
    <w:rsid w:val="001B2A29"/>
    <w:rsid w:val="001B368E"/>
    <w:rsid w:val="001B44C2"/>
    <w:rsid w:val="001B4EC1"/>
    <w:rsid w:val="001B659F"/>
    <w:rsid w:val="001B7399"/>
    <w:rsid w:val="001B7655"/>
    <w:rsid w:val="001B7BAD"/>
    <w:rsid w:val="001B7F09"/>
    <w:rsid w:val="001C1166"/>
    <w:rsid w:val="001C261E"/>
    <w:rsid w:val="001C3AC7"/>
    <w:rsid w:val="001C5557"/>
    <w:rsid w:val="001C5D98"/>
    <w:rsid w:val="001C66B0"/>
    <w:rsid w:val="001C6D8C"/>
    <w:rsid w:val="001C7B78"/>
    <w:rsid w:val="001C7FB4"/>
    <w:rsid w:val="001D0750"/>
    <w:rsid w:val="001D0BA6"/>
    <w:rsid w:val="001D1903"/>
    <w:rsid w:val="001D1942"/>
    <w:rsid w:val="001D1DDB"/>
    <w:rsid w:val="001D53EA"/>
    <w:rsid w:val="001D6F7C"/>
    <w:rsid w:val="001E0156"/>
    <w:rsid w:val="001E12A5"/>
    <w:rsid w:val="001E1BF9"/>
    <w:rsid w:val="001E1EDB"/>
    <w:rsid w:val="001E3A18"/>
    <w:rsid w:val="001E664F"/>
    <w:rsid w:val="001E7093"/>
    <w:rsid w:val="001E717D"/>
    <w:rsid w:val="001E71F5"/>
    <w:rsid w:val="001E7D86"/>
    <w:rsid w:val="001F377B"/>
    <w:rsid w:val="001F3CF9"/>
    <w:rsid w:val="001F4BC5"/>
    <w:rsid w:val="001F55E5"/>
    <w:rsid w:val="001F5CB9"/>
    <w:rsid w:val="00200DC3"/>
    <w:rsid w:val="002011E2"/>
    <w:rsid w:val="00201BB9"/>
    <w:rsid w:val="00202925"/>
    <w:rsid w:val="00202C70"/>
    <w:rsid w:val="002047CC"/>
    <w:rsid w:val="002050B0"/>
    <w:rsid w:val="00205D80"/>
    <w:rsid w:val="00206B18"/>
    <w:rsid w:val="00210874"/>
    <w:rsid w:val="0021093F"/>
    <w:rsid w:val="00211A19"/>
    <w:rsid w:val="002133CA"/>
    <w:rsid w:val="002146B5"/>
    <w:rsid w:val="00215783"/>
    <w:rsid w:val="0021644B"/>
    <w:rsid w:val="00216DC9"/>
    <w:rsid w:val="00217CA0"/>
    <w:rsid w:val="002202EB"/>
    <w:rsid w:val="0022045F"/>
    <w:rsid w:val="00220FCF"/>
    <w:rsid w:val="00221705"/>
    <w:rsid w:val="00221972"/>
    <w:rsid w:val="002231C8"/>
    <w:rsid w:val="00224154"/>
    <w:rsid w:val="00230194"/>
    <w:rsid w:val="00231923"/>
    <w:rsid w:val="002329C3"/>
    <w:rsid w:val="002332AE"/>
    <w:rsid w:val="002333C2"/>
    <w:rsid w:val="00234040"/>
    <w:rsid w:val="00235D67"/>
    <w:rsid w:val="0023626B"/>
    <w:rsid w:val="00237EDC"/>
    <w:rsid w:val="00240B29"/>
    <w:rsid w:val="00242F07"/>
    <w:rsid w:val="00243020"/>
    <w:rsid w:val="00244D22"/>
    <w:rsid w:val="002451AD"/>
    <w:rsid w:val="00246C09"/>
    <w:rsid w:val="002470E4"/>
    <w:rsid w:val="00247262"/>
    <w:rsid w:val="00254380"/>
    <w:rsid w:val="0025616B"/>
    <w:rsid w:val="00257285"/>
    <w:rsid w:val="00257632"/>
    <w:rsid w:val="00257F11"/>
    <w:rsid w:val="00257FF4"/>
    <w:rsid w:val="002608CE"/>
    <w:rsid w:val="00261660"/>
    <w:rsid w:val="0026279C"/>
    <w:rsid w:val="00262CD3"/>
    <w:rsid w:val="0026326B"/>
    <w:rsid w:val="00265289"/>
    <w:rsid w:val="00265B2C"/>
    <w:rsid w:val="00266613"/>
    <w:rsid w:val="00266FE9"/>
    <w:rsid w:val="00272396"/>
    <w:rsid w:val="002723F9"/>
    <w:rsid w:val="002738DC"/>
    <w:rsid w:val="00273D98"/>
    <w:rsid w:val="0027427B"/>
    <w:rsid w:val="0027614D"/>
    <w:rsid w:val="0027651A"/>
    <w:rsid w:val="0028001E"/>
    <w:rsid w:val="00281CF6"/>
    <w:rsid w:val="0028359B"/>
    <w:rsid w:val="00284441"/>
    <w:rsid w:val="00284B28"/>
    <w:rsid w:val="002857FE"/>
    <w:rsid w:val="00287867"/>
    <w:rsid w:val="00290933"/>
    <w:rsid w:val="00291E57"/>
    <w:rsid w:val="00292D6A"/>
    <w:rsid w:val="0029312A"/>
    <w:rsid w:val="0029325C"/>
    <w:rsid w:val="00293B2D"/>
    <w:rsid w:val="00293B46"/>
    <w:rsid w:val="002960B7"/>
    <w:rsid w:val="00297643"/>
    <w:rsid w:val="00297824"/>
    <w:rsid w:val="002A153F"/>
    <w:rsid w:val="002A32FD"/>
    <w:rsid w:val="002A40DC"/>
    <w:rsid w:val="002A4B3C"/>
    <w:rsid w:val="002A5329"/>
    <w:rsid w:val="002A5C2D"/>
    <w:rsid w:val="002A61E5"/>
    <w:rsid w:val="002A74DD"/>
    <w:rsid w:val="002A7FC8"/>
    <w:rsid w:val="002B0A81"/>
    <w:rsid w:val="002B1CE7"/>
    <w:rsid w:val="002B2F0F"/>
    <w:rsid w:val="002B595D"/>
    <w:rsid w:val="002B5F6A"/>
    <w:rsid w:val="002B779E"/>
    <w:rsid w:val="002B7D6F"/>
    <w:rsid w:val="002B7D78"/>
    <w:rsid w:val="002C0552"/>
    <w:rsid w:val="002C0961"/>
    <w:rsid w:val="002C1CF7"/>
    <w:rsid w:val="002C1D11"/>
    <w:rsid w:val="002C25D0"/>
    <w:rsid w:val="002C280B"/>
    <w:rsid w:val="002C2DB0"/>
    <w:rsid w:val="002C3D9C"/>
    <w:rsid w:val="002C4D41"/>
    <w:rsid w:val="002C75B0"/>
    <w:rsid w:val="002C7703"/>
    <w:rsid w:val="002C7A63"/>
    <w:rsid w:val="002D0153"/>
    <w:rsid w:val="002D1634"/>
    <w:rsid w:val="002D403A"/>
    <w:rsid w:val="002D4262"/>
    <w:rsid w:val="002D46B7"/>
    <w:rsid w:val="002E0158"/>
    <w:rsid w:val="002E1064"/>
    <w:rsid w:val="002E2551"/>
    <w:rsid w:val="002E323F"/>
    <w:rsid w:val="002E50D0"/>
    <w:rsid w:val="002E5554"/>
    <w:rsid w:val="002F1B12"/>
    <w:rsid w:val="002F367A"/>
    <w:rsid w:val="002F46D7"/>
    <w:rsid w:val="002F530C"/>
    <w:rsid w:val="002F591B"/>
    <w:rsid w:val="002F5A3C"/>
    <w:rsid w:val="002F7B47"/>
    <w:rsid w:val="00300013"/>
    <w:rsid w:val="0030032D"/>
    <w:rsid w:val="003006F8"/>
    <w:rsid w:val="00300A6D"/>
    <w:rsid w:val="00300BF2"/>
    <w:rsid w:val="00300D89"/>
    <w:rsid w:val="003027C1"/>
    <w:rsid w:val="00302A25"/>
    <w:rsid w:val="003048C0"/>
    <w:rsid w:val="00304C13"/>
    <w:rsid w:val="00305131"/>
    <w:rsid w:val="00305718"/>
    <w:rsid w:val="00305EC5"/>
    <w:rsid w:val="00306107"/>
    <w:rsid w:val="0030668E"/>
    <w:rsid w:val="003077B8"/>
    <w:rsid w:val="003111F8"/>
    <w:rsid w:val="0031204A"/>
    <w:rsid w:val="0031272B"/>
    <w:rsid w:val="00315435"/>
    <w:rsid w:val="00315627"/>
    <w:rsid w:val="0032038C"/>
    <w:rsid w:val="00321889"/>
    <w:rsid w:val="0032312E"/>
    <w:rsid w:val="003242D6"/>
    <w:rsid w:val="00325879"/>
    <w:rsid w:val="00325C5E"/>
    <w:rsid w:val="00326665"/>
    <w:rsid w:val="0032738E"/>
    <w:rsid w:val="00331B40"/>
    <w:rsid w:val="00331C5F"/>
    <w:rsid w:val="00333074"/>
    <w:rsid w:val="00333223"/>
    <w:rsid w:val="00333A43"/>
    <w:rsid w:val="00334F7E"/>
    <w:rsid w:val="003364C1"/>
    <w:rsid w:val="00337F82"/>
    <w:rsid w:val="00340128"/>
    <w:rsid w:val="00340640"/>
    <w:rsid w:val="00342243"/>
    <w:rsid w:val="00342D9E"/>
    <w:rsid w:val="003435D6"/>
    <w:rsid w:val="003458E0"/>
    <w:rsid w:val="00345CCD"/>
    <w:rsid w:val="00345F13"/>
    <w:rsid w:val="0034703E"/>
    <w:rsid w:val="003511CE"/>
    <w:rsid w:val="00351909"/>
    <w:rsid w:val="0035241F"/>
    <w:rsid w:val="00352BE0"/>
    <w:rsid w:val="0035333E"/>
    <w:rsid w:val="003538F0"/>
    <w:rsid w:val="0035788E"/>
    <w:rsid w:val="00357DAE"/>
    <w:rsid w:val="003602A5"/>
    <w:rsid w:val="00361259"/>
    <w:rsid w:val="00361429"/>
    <w:rsid w:val="00362AA7"/>
    <w:rsid w:val="003637D3"/>
    <w:rsid w:val="00363B11"/>
    <w:rsid w:val="00365F1F"/>
    <w:rsid w:val="003672D6"/>
    <w:rsid w:val="003705BF"/>
    <w:rsid w:val="00370935"/>
    <w:rsid w:val="0037175A"/>
    <w:rsid w:val="00371A93"/>
    <w:rsid w:val="00371C1A"/>
    <w:rsid w:val="003721B7"/>
    <w:rsid w:val="00375E52"/>
    <w:rsid w:val="00380888"/>
    <w:rsid w:val="00380D9F"/>
    <w:rsid w:val="00380E3F"/>
    <w:rsid w:val="003819E1"/>
    <w:rsid w:val="00382234"/>
    <w:rsid w:val="0038672F"/>
    <w:rsid w:val="00386BC9"/>
    <w:rsid w:val="00386F24"/>
    <w:rsid w:val="003876AB"/>
    <w:rsid w:val="00387957"/>
    <w:rsid w:val="0039053D"/>
    <w:rsid w:val="003905C6"/>
    <w:rsid w:val="00392ACA"/>
    <w:rsid w:val="00392BA6"/>
    <w:rsid w:val="00392C31"/>
    <w:rsid w:val="0039449C"/>
    <w:rsid w:val="00395036"/>
    <w:rsid w:val="0039616A"/>
    <w:rsid w:val="0039684C"/>
    <w:rsid w:val="00397F26"/>
    <w:rsid w:val="003A0290"/>
    <w:rsid w:val="003A25BB"/>
    <w:rsid w:val="003A300D"/>
    <w:rsid w:val="003A34BF"/>
    <w:rsid w:val="003A3E7B"/>
    <w:rsid w:val="003A646B"/>
    <w:rsid w:val="003A67F4"/>
    <w:rsid w:val="003A7067"/>
    <w:rsid w:val="003B09F6"/>
    <w:rsid w:val="003B0D03"/>
    <w:rsid w:val="003B1A10"/>
    <w:rsid w:val="003B1F0A"/>
    <w:rsid w:val="003B2C1F"/>
    <w:rsid w:val="003B2FE3"/>
    <w:rsid w:val="003B329D"/>
    <w:rsid w:val="003B4548"/>
    <w:rsid w:val="003B5533"/>
    <w:rsid w:val="003B5A85"/>
    <w:rsid w:val="003B71EE"/>
    <w:rsid w:val="003B7621"/>
    <w:rsid w:val="003B7C64"/>
    <w:rsid w:val="003B7C6E"/>
    <w:rsid w:val="003C0593"/>
    <w:rsid w:val="003C13A6"/>
    <w:rsid w:val="003C15EE"/>
    <w:rsid w:val="003C1EB4"/>
    <w:rsid w:val="003C32DD"/>
    <w:rsid w:val="003C4E3A"/>
    <w:rsid w:val="003C5A25"/>
    <w:rsid w:val="003D0E1C"/>
    <w:rsid w:val="003D1E47"/>
    <w:rsid w:val="003D3662"/>
    <w:rsid w:val="003D3C14"/>
    <w:rsid w:val="003D4188"/>
    <w:rsid w:val="003D4557"/>
    <w:rsid w:val="003D4DFB"/>
    <w:rsid w:val="003D53BE"/>
    <w:rsid w:val="003D543D"/>
    <w:rsid w:val="003D59FD"/>
    <w:rsid w:val="003D6968"/>
    <w:rsid w:val="003E10B8"/>
    <w:rsid w:val="003E122D"/>
    <w:rsid w:val="003E13F5"/>
    <w:rsid w:val="003E1978"/>
    <w:rsid w:val="003E2B5E"/>
    <w:rsid w:val="003E3FF4"/>
    <w:rsid w:val="003E4E15"/>
    <w:rsid w:val="003E5AE8"/>
    <w:rsid w:val="003E7035"/>
    <w:rsid w:val="003F07EE"/>
    <w:rsid w:val="003F29F2"/>
    <w:rsid w:val="003F3839"/>
    <w:rsid w:val="003F3C77"/>
    <w:rsid w:val="003F47DF"/>
    <w:rsid w:val="003F5E4A"/>
    <w:rsid w:val="003F6209"/>
    <w:rsid w:val="0040314A"/>
    <w:rsid w:val="00405DA6"/>
    <w:rsid w:val="00405DAB"/>
    <w:rsid w:val="00405E90"/>
    <w:rsid w:val="004065CE"/>
    <w:rsid w:val="00406802"/>
    <w:rsid w:val="004072E4"/>
    <w:rsid w:val="004101B0"/>
    <w:rsid w:val="004105DD"/>
    <w:rsid w:val="00410DCE"/>
    <w:rsid w:val="00412C0B"/>
    <w:rsid w:val="0041404E"/>
    <w:rsid w:val="0041429D"/>
    <w:rsid w:val="004147D0"/>
    <w:rsid w:val="00414E1F"/>
    <w:rsid w:val="0041581E"/>
    <w:rsid w:val="004160AC"/>
    <w:rsid w:val="00416415"/>
    <w:rsid w:val="00416801"/>
    <w:rsid w:val="004170C0"/>
    <w:rsid w:val="0041765C"/>
    <w:rsid w:val="00420837"/>
    <w:rsid w:val="00421EEC"/>
    <w:rsid w:val="004228B4"/>
    <w:rsid w:val="00422933"/>
    <w:rsid w:val="00422F4B"/>
    <w:rsid w:val="00423003"/>
    <w:rsid w:val="004248B4"/>
    <w:rsid w:val="00424C66"/>
    <w:rsid w:val="0042526D"/>
    <w:rsid w:val="004254A2"/>
    <w:rsid w:val="004261DC"/>
    <w:rsid w:val="00426D71"/>
    <w:rsid w:val="00430256"/>
    <w:rsid w:val="00430E3D"/>
    <w:rsid w:val="0043194D"/>
    <w:rsid w:val="00431BF1"/>
    <w:rsid w:val="004326C9"/>
    <w:rsid w:val="00433463"/>
    <w:rsid w:val="00433D22"/>
    <w:rsid w:val="004342F8"/>
    <w:rsid w:val="00434A2F"/>
    <w:rsid w:val="0044083A"/>
    <w:rsid w:val="004408FA"/>
    <w:rsid w:val="004441EF"/>
    <w:rsid w:val="00444F3D"/>
    <w:rsid w:val="0044552A"/>
    <w:rsid w:val="00445663"/>
    <w:rsid w:val="00446612"/>
    <w:rsid w:val="004508F6"/>
    <w:rsid w:val="00450E44"/>
    <w:rsid w:val="00451501"/>
    <w:rsid w:val="00451678"/>
    <w:rsid w:val="004528D0"/>
    <w:rsid w:val="00453C86"/>
    <w:rsid w:val="00454564"/>
    <w:rsid w:val="00455DEE"/>
    <w:rsid w:val="004562E5"/>
    <w:rsid w:val="00457BC3"/>
    <w:rsid w:val="0046034D"/>
    <w:rsid w:val="004610A8"/>
    <w:rsid w:val="00461801"/>
    <w:rsid w:val="00461C1E"/>
    <w:rsid w:val="00462272"/>
    <w:rsid w:val="0046390C"/>
    <w:rsid w:val="00463EBC"/>
    <w:rsid w:val="00464569"/>
    <w:rsid w:val="00465757"/>
    <w:rsid w:val="00465D4E"/>
    <w:rsid w:val="00466381"/>
    <w:rsid w:val="00467393"/>
    <w:rsid w:val="00467BDD"/>
    <w:rsid w:val="00470C04"/>
    <w:rsid w:val="004717F6"/>
    <w:rsid w:val="0047364D"/>
    <w:rsid w:val="00473DB1"/>
    <w:rsid w:val="0047481E"/>
    <w:rsid w:val="00474918"/>
    <w:rsid w:val="00475EAF"/>
    <w:rsid w:val="0047681C"/>
    <w:rsid w:val="00476DF3"/>
    <w:rsid w:val="00480020"/>
    <w:rsid w:val="004815F8"/>
    <w:rsid w:val="00481E32"/>
    <w:rsid w:val="004831ED"/>
    <w:rsid w:val="004831FC"/>
    <w:rsid w:val="004836A7"/>
    <w:rsid w:val="0048396B"/>
    <w:rsid w:val="004847B4"/>
    <w:rsid w:val="00484921"/>
    <w:rsid w:val="004851CC"/>
    <w:rsid w:val="0048522F"/>
    <w:rsid w:val="00486614"/>
    <w:rsid w:val="00487E11"/>
    <w:rsid w:val="00487FB8"/>
    <w:rsid w:val="004900FE"/>
    <w:rsid w:val="004919D4"/>
    <w:rsid w:val="00491FB2"/>
    <w:rsid w:val="0049212C"/>
    <w:rsid w:val="00494464"/>
    <w:rsid w:val="00495C39"/>
    <w:rsid w:val="004A1224"/>
    <w:rsid w:val="004A247B"/>
    <w:rsid w:val="004A28C5"/>
    <w:rsid w:val="004A2F59"/>
    <w:rsid w:val="004A64B4"/>
    <w:rsid w:val="004A660C"/>
    <w:rsid w:val="004A6B44"/>
    <w:rsid w:val="004A6E0E"/>
    <w:rsid w:val="004B0B19"/>
    <w:rsid w:val="004B1E81"/>
    <w:rsid w:val="004B35F0"/>
    <w:rsid w:val="004B37A7"/>
    <w:rsid w:val="004B4426"/>
    <w:rsid w:val="004B44E1"/>
    <w:rsid w:val="004B5F2A"/>
    <w:rsid w:val="004B742C"/>
    <w:rsid w:val="004B74B2"/>
    <w:rsid w:val="004C103D"/>
    <w:rsid w:val="004C1303"/>
    <w:rsid w:val="004C1399"/>
    <w:rsid w:val="004C1C09"/>
    <w:rsid w:val="004C2A17"/>
    <w:rsid w:val="004C2B0E"/>
    <w:rsid w:val="004C40AC"/>
    <w:rsid w:val="004C5507"/>
    <w:rsid w:val="004D1E1A"/>
    <w:rsid w:val="004D1EFF"/>
    <w:rsid w:val="004D23A9"/>
    <w:rsid w:val="004D2683"/>
    <w:rsid w:val="004D29F5"/>
    <w:rsid w:val="004D2F90"/>
    <w:rsid w:val="004D33FA"/>
    <w:rsid w:val="004D3FB9"/>
    <w:rsid w:val="004D7804"/>
    <w:rsid w:val="004E0308"/>
    <w:rsid w:val="004E2825"/>
    <w:rsid w:val="004E3079"/>
    <w:rsid w:val="004E310F"/>
    <w:rsid w:val="004E3276"/>
    <w:rsid w:val="004E3836"/>
    <w:rsid w:val="004E62E4"/>
    <w:rsid w:val="004E688E"/>
    <w:rsid w:val="004E7C41"/>
    <w:rsid w:val="004F0E90"/>
    <w:rsid w:val="004F0F5B"/>
    <w:rsid w:val="004F117E"/>
    <w:rsid w:val="004F22B8"/>
    <w:rsid w:val="004F2437"/>
    <w:rsid w:val="004F4624"/>
    <w:rsid w:val="004F5573"/>
    <w:rsid w:val="004F5D8B"/>
    <w:rsid w:val="004F634F"/>
    <w:rsid w:val="004F7556"/>
    <w:rsid w:val="00500700"/>
    <w:rsid w:val="0050141B"/>
    <w:rsid w:val="005015F4"/>
    <w:rsid w:val="00502638"/>
    <w:rsid w:val="005029BC"/>
    <w:rsid w:val="00502B87"/>
    <w:rsid w:val="0050346A"/>
    <w:rsid w:val="00504472"/>
    <w:rsid w:val="005048E3"/>
    <w:rsid w:val="00505A77"/>
    <w:rsid w:val="00505CB3"/>
    <w:rsid w:val="005067C7"/>
    <w:rsid w:val="00506EB0"/>
    <w:rsid w:val="0050798C"/>
    <w:rsid w:val="0051207B"/>
    <w:rsid w:val="005136CD"/>
    <w:rsid w:val="00514B1A"/>
    <w:rsid w:val="005150C5"/>
    <w:rsid w:val="00517351"/>
    <w:rsid w:val="00521860"/>
    <w:rsid w:val="00521D74"/>
    <w:rsid w:val="005222CC"/>
    <w:rsid w:val="00522622"/>
    <w:rsid w:val="00522BC8"/>
    <w:rsid w:val="00523B5E"/>
    <w:rsid w:val="005250EE"/>
    <w:rsid w:val="00525AB1"/>
    <w:rsid w:val="00526B01"/>
    <w:rsid w:val="00526C61"/>
    <w:rsid w:val="00527492"/>
    <w:rsid w:val="005277F5"/>
    <w:rsid w:val="005310C1"/>
    <w:rsid w:val="00531934"/>
    <w:rsid w:val="00532994"/>
    <w:rsid w:val="005329BE"/>
    <w:rsid w:val="00533515"/>
    <w:rsid w:val="005342DE"/>
    <w:rsid w:val="00534AC0"/>
    <w:rsid w:val="00535557"/>
    <w:rsid w:val="0053606A"/>
    <w:rsid w:val="005369C0"/>
    <w:rsid w:val="00536B92"/>
    <w:rsid w:val="00540B25"/>
    <w:rsid w:val="00540D82"/>
    <w:rsid w:val="00541254"/>
    <w:rsid w:val="005421CC"/>
    <w:rsid w:val="00542BA5"/>
    <w:rsid w:val="00543F53"/>
    <w:rsid w:val="00544841"/>
    <w:rsid w:val="00547CD4"/>
    <w:rsid w:val="00547EB8"/>
    <w:rsid w:val="0055067B"/>
    <w:rsid w:val="00550884"/>
    <w:rsid w:val="00552FC2"/>
    <w:rsid w:val="00553DA2"/>
    <w:rsid w:val="005543FB"/>
    <w:rsid w:val="00555623"/>
    <w:rsid w:val="005562DC"/>
    <w:rsid w:val="00556725"/>
    <w:rsid w:val="00557A85"/>
    <w:rsid w:val="005606B5"/>
    <w:rsid w:val="00560E2D"/>
    <w:rsid w:val="005615C1"/>
    <w:rsid w:val="00562BAD"/>
    <w:rsid w:val="005630B5"/>
    <w:rsid w:val="0056365E"/>
    <w:rsid w:val="00565C77"/>
    <w:rsid w:val="00565D57"/>
    <w:rsid w:val="00566181"/>
    <w:rsid w:val="00566275"/>
    <w:rsid w:val="00566D5F"/>
    <w:rsid w:val="005708BD"/>
    <w:rsid w:val="0057317E"/>
    <w:rsid w:val="005731D3"/>
    <w:rsid w:val="00573C7D"/>
    <w:rsid w:val="00574906"/>
    <w:rsid w:val="00574951"/>
    <w:rsid w:val="00574E9E"/>
    <w:rsid w:val="005752BC"/>
    <w:rsid w:val="0057622F"/>
    <w:rsid w:val="00577977"/>
    <w:rsid w:val="005813D2"/>
    <w:rsid w:val="00581719"/>
    <w:rsid w:val="00581D30"/>
    <w:rsid w:val="00583362"/>
    <w:rsid w:val="00584245"/>
    <w:rsid w:val="00584C2D"/>
    <w:rsid w:val="00584D80"/>
    <w:rsid w:val="00586535"/>
    <w:rsid w:val="00586BB5"/>
    <w:rsid w:val="00586DFB"/>
    <w:rsid w:val="00587C83"/>
    <w:rsid w:val="005905BC"/>
    <w:rsid w:val="00590B75"/>
    <w:rsid w:val="00590DAA"/>
    <w:rsid w:val="0059205C"/>
    <w:rsid w:val="00592349"/>
    <w:rsid w:val="00596F3F"/>
    <w:rsid w:val="00597EEF"/>
    <w:rsid w:val="005A1C4E"/>
    <w:rsid w:val="005A3678"/>
    <w:rsid w:val="005A3E93"/>
    <w:rsid w:val="005A4A1A"/>
    <w:rsid w:val="005A61D3"/>
    <w:rsid w:val="005A7C0B"/>
    <w:rsid w:val="005A7E70"/>
    <w:rsid w:val="005B1A53"/>
    <w:rsid w:val="005B2AF7"/>
    <w:rsid w:val="005B40E8"/>
    <w:rsid w:val="005B5286"/>
    <w:rsid w:val="005B6DAA"/>
    <w:rsid w:val="005B7314"/>
    <w:rsid w:val="005B7C27"/>
    <w:rsid w:val="005B7D8B"/>
    <w:rsid w:val="005C03F6"/>
    <w:rsid w:val="005C0475"/>
    <w:rsid w:val="005C1569"/>
    <w:rsid w:val="005C3C1A"/>
    <w:rsid w:val="005C437B"/>
    <w:rsid w:val="005C4604"/>
    <w:rsid w:val="005C46D8"/>
    <w:rsid w:val="005C4B26"/>
    <w:rsid w:val="005C4BEE"/>
    <w:rsid w:val="005C6E74"/>
    <w:rsid w:val="005C732E"/>
    <w:rsid w:val="005C781C"/>
    <w:rsid w:val="005D13ED"/>
    <w:rsid w:val="005D181E"/>
    <w:rsid w:val="005D330E"/>
    <w:rsid w:val="005D5EFC"/>
    <w:rsid w:val="005D7A35"/>
    <w:rsid w:val="005E034F"/>
    <w:rsid w:val="005E09A7"/>
    <w:rsid w:val="005E198B"/>
    <w:rsid w:val="005E19D9"/>
    <w:rsid w:val="005E1D35"/>
    <w:rsid w:val="005E2A31"/>
    <w:rsid w:val="005E3D2F"/>
    <w:rsid w:val="005E43B5"/>
    <w:rsid w:val="005E442F"/>
    <w:rsid w:val="005E54A3"/>
    <w:rsid w:val="005E5625"/>
    <w:rsid w:val="005E61D8"/>
    <w:rsid w:val="005E6F2B"/>
    <w:rsid w:val="005E7E2C"/>
    <w:rsid w:val="005F0E30"/>
    <w:rsid w:val="005F1ADE"/>
    <w:rsid w:val="005F29CD"/>
    <w:rsid w:val="005F3175"/>
    <w:rsid w:val="005F3436"/>
    <w:rsid w:val="005F3506"/>
    <w:rsid w:val="005F41D8"/>
    <w:rsid w:val="005F4739"/>
    <w:rsid w:val="005F6228"/>
    <w:rsid w:val="005F642B"/>
    <w:rsid w:val="005F67FC"/>
    <w:rsid w:val="0060089B"/>
    <w:rsid w:val="00601630"/>
    <w:rsid w:val="006026E1"/>
    <w:rsid w:val="00603A90"/>
    <w:rsid w:val="00605163"/>
    <w:rsid w:val="006065BF"/>
    <w:rsid w:val="006070EA"/>
    <w:rsid w:val="00607ABE"/>
    <w:rsid w:val="00607F53"/>
    <w:rsid w:val="006103D0"/>
    <w:rsid w:val="0061103A"/>
    <w:rsid w:val="00611EAE"/>
    <w:rsid w:val="0061364A"/>
    <w:rsid w:val="00613BEA"/>
    <w:rsid w:val="0061402C"/>
    <w:rsid w:val="0061595F"/>
    <w:rsid w:val="00615A79"/>
    <w:rsid w:val="00616179"/>
    <w:rsid w:val="0061675B"/>
    <w:rsid w:val="006204F0"/>
    <w:rsid w:val="0062052B"/>
    <w:rsid w:val="00621A51"/>
    <w:rsid w:val="00621A86"/>
    <w:rsid w:val="00622841"/>
    <w:rsid w:val="00623401"/>
    <w:rsid w:val="0062385F"/>
    <w:rsid w:val="00625B6A"/>
    <w:rsid w:val="00625C40"/>
    <w:rsid w:val="00627E7C"/>
    <w:rsid w:val="00630CFF"/>
    <w:rsid w:val="00631369"/>
    <w:rsid w:val="00632481"/>
    <w:rsid w:val="0063262D"/>
    <w:rsid w:val="0063268B"/>
    <w:rsid w:val="006335F1"/>
    <w:rsid w:val="00633CA5"/>
    <w:rsid w:val="00634673"/>
    <w:rsid w:val="006366E3"/>
    <w:rsid w:val="00637BBD"/>
    <w:rsid w:val="00640D17"/>
    <w:rsid w:val="00641937"/>
    <w:rsid w:val="00641960"/>
    <w:rsid w:val="00641A99"/>
    <w:rsid w:val="00642768"/>
    <w:rsid w:val="00642A84"/>
    <w:rsid w:val="00645E69"/>
    <w:rsid w:val="00646130"/>
    <w:rsid w:val="00646ACE"/>
    <w:rsid w:val="006474C0"/>
    <w:rsid w:val="00647927"/>
    <w:rsid w:val="006515B5"/>
    <w:rsid w:val="00652B9B"/>
    <w:rsid w:val="00652F78"/>
    <w:rsid w:val="00653743"/>
    <w:rsid w:val="00653DD9"/>
    <w:rsid w:val="00654E6A"/>
    <w:rsid w:val="006551FC"/>
    <w:rsid w:val="006575F3"/>
    <w:rsid w:val="00660871"/>
    <w:rsid w:val="00662809"/>
    <w:rsid w:val="00663823"/>
    <w:rsid w:val="00664E08"/>
    <w:rsid w:val="006650D0"/>
    <w:rsid w:val="00665E43"/>
    <w:rsid w:val="0066774D"/>
    <w:rsid w:val="00667F42"/>
    <w:rsid w:val="00671284"/>
    <w:rsid w:val="00672459"/>
    <w:rsid w:val="006727FC"/>
    <w:rsid w:val="00672FAF"/>
    <w:rsid w:val="00673906"/>
    <w:rsid w:val="006754AC"/>
    <w:rsid w:val="006756CD"/>
    <w:rsid w:val="00676E5B"/>
    <w:rsid w:val="00677D6B"/>
    <w:rsid w:val="00680795"/>
    <w:rsid w:val="00682713"/>
    <w:rsid w:val="00683451"/>
    <w:rsid w:val="00683579"/>
    <w:rsid w:val="006854CE"/>
    <w:rsid w:val="00686A76"/>
    <w:rsid w:val="00686B47"/>
    <w:rsid w:val="0068790B"/>
    <w:rsid w:val="006906E4"/>
    <w:rsid w:val="006912E6"/>
    <w:rsid w:val="00691747"/>
    <w:rsid w:val="00691C54"/>
    <w:rsid w:val="00691E49"/>
    <w:rsid w:val="006922DC"/>
    <w:rsid w:val="006941DD"/>
    <w:rsid w:val="0069466B"/>
    <w:rsid w:val="00694795"/>
    <w:rsid w:val="006A257C"/>
    <w:rsid w:val="006A2615"/>
    <w:rsid w:val="006A36A4"/>
    <w:rsid w:val="006A4158"/>
    <w:rsid w:val="006A4AA7"/>
    <w:rsid w:val="006A4E15"/>
    <w:rsid w:val="006A5866"/>
    <w:rsid w:val="006A5E4F"/>
    <w:rsid w:val="006A643C"/>
    <w:rsid w:val="006B0F54"/>
    <w:rsid w:val="006B25EC"/>
    <w:rsid w:val="006B415B"/>
    <w:rsid w:val="006B4C95"/>
    <w:rsid w:val="006B4CBA"/>
    <w:rsid w:val="006B72F3"/>
    <w:rsid w:val="006B7542"/>
    <w:rsid w:val="006C0A59"/>
    <w:rsid w:val="006C1468"/>
    <w:rsid w:val="006C19EE"/>
    <w:rsid w:val="006C1CBE"/>
    <w:rsid w:val="006C2E46"/>
    <w:rsid w:val="006C3B05"/>
    <w:rsid w:val="006C4E45"/>
    <w:rsid w:val="006C5EE1"/>
    <w:rsid w:val="006C61B1"/>
    <w:rsid w:val="006C6DB8"/>
    <w:rsid w:val="006D01F4"/>
    <w:rsid w:val="006D0669"/>
    <w:rsid w:val="006D1D4E"/>
    <w:rsid w:val="006D3771"/>
    <w:rsid w:val="006D440A"/>
    <w:rsid w:val="006D5599"/>
    <w:rsid w:val="006D592F"/>
    <w:rsid w:val="006D62BE"/>
    <w:rsid w:val="006D7B71"/>
    <w:rsid w:val="006E0006"/>
    <w:rsid w:val="006E01BB"/>
    <w:rsid w:val="006E02D3"/>
    <w:rsid w:val="006E0DF6"/>
    <w:rsid w:val="006E1BDE"/>
    <w:rsid w:val="006E1FAD"/>
    <w:rsid w:val="006E336C"/>
    <w:rsid w:val="006E35A9"/>
    <w:rsid w:val="006E3B9E"/>
    <w:rsid w:val="006E4A27"/>
    <w:rsid w:val="006E5828"/>
    <w:rsid w:val="006E6BB9"/>
    <w:rsid w:val="006E784F"/>
    <w:rsid w:val="006E79B2"/>
    <w:rsid w:val="006F0B4F"/>
    <w:rsid w:val="006F0E97"/>
    <w:rsid w:val="006F10B8"/>
    <w:rsid w:val="006F2DF3"/>
    <w:rsid w:val="006F2DF9"/>
    <w:rsid w:val="006F3C6F"/>
    <w:rsid w:val="006F41C6"/>
    <w:rsid w:val="006F5DD9"/>
    <w:rsid w:val="006F6FA2"/>
    <w:rsid w:val="007001D0"/>
    <w:rsid w:val="00700662"/>
    <w:rsid w:val="00700CE3"/>
    <w:rsid w:val="00701498"/>
    <w:rsid w:val="00701E70"/>
    <w:rsid w:val="00702EC1"/>
    <w:rsid w:val="00704509"/>
    <w:rsid w:val="007046C7"/>
    <w:rsid w:val="00704F47"/>
    <w:rsid w:val="00705BC0"/>
    <w:rsid w:val="007072C2"/>
    <w:rsid w:val="0070746B"/>
    <w:rsid w:val="007075CA"/>
    <w:rsid w:val="007078CE"/>
    <w:rsid w:val="00710385"/>
    <w:rsid w:val="00710C02"/>
    <w:rsid w:val="0071151E"/>
    <w:rsid w:val="007118AC"/>
    <w:rsid w:val="00711FC7"/>
    <w:rsid w:val="0071482B"/>
    <w:rsid w:val="00714C8F"/>
    <w:rsid w:val="00715A32"/>
    <w:rsid w:val="00716F57"/>
    <w:rsid w:val="00717912"/>
    <w:rsid w:val="00717A74"/>
    <w:rsid w:val="00720898"/>
    <w:rsid w:val="00720EA2"/>
    <w:rsid w:val="007212DF"/>
    <w:rsid w:val="00721409"/>
    <w:rsid w:val="00721CE0"/>
    <w:rsid w:val="007221A2"/>
    <w:rsid w:val="00722935"/>
    <w:rsid w:val="007240D4"/>
    <w:rsid w:val="00727815"/>
    <w:rsid w:val="007301A7"/>
    <w:rsid w:val="00730E31"/>
    <w:rsid w:val="00730E5A"/>
    <w:rsid w:val="00731266"/>
    <w:rsid w:val="007317F5"/>
    <w:rsid w:val="007346F8"/>
    <w:rsid w:val="00734D66"/>
    <w:rsid w:val="00734E06"/>
    <w:rsid w:val="00736E9D"/>
    <w:rsid w:val="007370A2"/>
    <w:rsid w:val="007373FA"/>
    <w:rsid w:val="00737870"/>
    <w:rsid w:val="00737E7D"/>
    <w:rsid w:val="0074063F"/>
    <w:rsid w:val="00740EF1"/>
    <w:rsid w:val="0074250E"/>
    <w:rsid w:val="007437BA"/>
    <w:rsid w:val="007444E7"/>
    <w:rsid w:val="00744C77"/>
    <w:rsid w:val="00744DBD"/>
    <w:rsid w:val="00745398"/>
    <w:rsid w:val="007456D4"/>
    <w:rsid w:val="007467F0"/>
    <w:rsid w:val="00747090"/>
    <w:rsid w:val="00747B90"/>
    <w:rsid w:val="00747FC3"/>
    <w:rsid w:val="00754870"/>
    <w:rsid w:val="00755F84"/>
    <w:rsid w:val="007561F0"/>
    <w:rsid w:val="00756632"/>
    <w:rsid w:val="0075754A"/>
    <w:rsid w:val="00760554"/>
    <w:rsid w:val="0076083D"/>
    <w:rsid w:val="00761DC2"/>
    <w:rsid w:val="007620FB"/>
    <w:rsid w:val="00762929"/>
    <w:rsid w:val="00762B1E"/>
    <w:rsid w:val="00764B94"/>
    <w:rsid w:val="007652E2"/>
    <w:rsid w:val="00765A82"/>
    <w:rsid w:val="00766434"/>
    <w:rsid w:val="00770E10"/>
    <w:rsid w:val="00771E5C"/>
    <w:rsid w:val="00772107"/>
    <w:rsid w:val="00773E30"/>
    <w:rsid w:val="007742FF"/>
    <w:rsid w:val="00774A83"/>
    <w:rsid w:val="00775146"/>
    <w:rsid w:val="0077566D"/>
    <w:rsid w:val="00776097"/>
    <w:rsid w:val="007766A5"/>
    <w:rsid w:val="00776E39"/>
    <w:rsid w:val="0078016D"/>
    <w:rsid w:val="007803BB"/>
    <w:rsid w:val="00781778"/>
    <w:rsid w:val="00782098"/>
    <w:rsid w:val="00786231"/>
    <w:rsid w:val="00787FE4"/>
    <w:rsid w:val="007900CB"/>
    <w:rsid w:val="007905B2"/>
    <w:rsid w:val="00790E9B"/>
    <w:rsid w:val="007917E7"/>
    <w:rsid w:val="007927C6"/>
    <w:rsid w:val="0079348E"/>
    <w:rsid w:val="00793EEB"/>
    <w:rsid w:val="0079405B"/>
    <w:rsid w:val="0079555A"/>
    <w:rsid w:val="00795679"/>
    <w:rsid w:val="0079797F"/>
    <w:rsid w:val="00797B21"/>
    <w:rsid w:val="007A05F4"/>
    <w:rsid w:val="007A0BB9"/>
    <w:rsid w:val="007A14E8"/>
    <w:rsid w:val="007A1D73"/>
    <w:rsid w:val="007A4023"/>
    <w:rsid w:val="007A5445"/>
    <w:rsid w:val="007A5A94"/>
    <w:rsid w:val="007A5E11"/>
    <w:rsid w:val="007A6C47"/>
    <w:rsid w:val="007A7F42"/>
    <w:rsid w:val="007B31F7"/>
    <w:rsid w:val="007B347F"/>
    <w:rsid w:val="007B39F6"/>
    <w:rsid w:val="007B3E27"/>
    <w:rsid w:val="007B47E0"/>
    <w:rsid w:val="007B5A98"/>
    <w:rsid w:val="007B5E30"/>
    <w:rsid w:val="007B5F81"/>
    <w:rsid w:val="007C1DB0"/>
    <w:rsid w:val="007C2270"/>
    <w:rsid w:val="007C27D4"/>
    <w:rsid w:val="007C4CCE"/>
    <w:rsid w:val="007C570A"/>
    <w:rsid w:val="007C75DF"/>
    <w:rsid w:val="007C7D49"/>
    <w:rsid w:val="007C7DE5"/>
    <w:rsid w:val="007D0EEB"/>
    <w:rsid w:val="007D1D99"/>
    <w:rsid w:val="007D4D2A"/>
    <w:rsid w:val="007D763D"/>
    <w:rsid w:val="007E00B1"/>
    <w:rsid w:val="007E0749"/>
    <w:rsid w:val="007E269B"/>
    <w:rsid w:val="007E2F87"/>
    <w:rsid w:val="007E334F"/>
    <w:rsid w:val="007E4155"/>
    <w:rsid w:val="007E482B"/>
    <w:rsid w:val="007E57B5"/>
    <w:rsid w:val="007E5D39"/>
    <w:rsid w:val="007E66C8"/>
    <w:rsid w:val="007E67BD"/>
    <w:rsid w:val="007E6BBD"/>
    <w:rsid w:val="007F06E1"/>
    <w:rsid w:val="007F0C09"/>
    <w:rsid w:val="007F0E49"/>
    <w:rsid w:val="007F3E75"/>
    <w:rsid w:val="007F517F"/>
    <w:rsid w:val="007F6391"/>
    <w:rsid w:val="007F6FB8"/>
    <w:rsid w:val="007F7481"/>
    <w:rsid w:val="007F76FF"/>
    <w:rsid w:val="00801491"/>
    <w:rsid w:val="008015A7"/>
    <w:rsid w:val="00801EF6"/>
    <w:rsid w:val="00802AEC"/>
    <w:rsid w:val="00803099"/>
    <w:rsid w:val="0080406C"/>
    <w:rsid w:val="0080562C"/>
    <w:rsid w:val="00806357"/>
    <w:rsid w:val="0080718B"/>
    <w:rsid w:val="008071D0"/>
    <w:rsid w:val="0080771E"/>
    <w:rsid w:val="0081066B"/>
    <w:rsid w:val="00810809"/>
    <w:rsid w:val="00810C6A"/>
    <w:rsid w:val="00810C86"/>
    <w:rsid w:val="00812350"/>
    <w:rsid w:val="00812369"/>
    <w:rsid w:val="00812741"/>
    <w:rsid w:val="008128E3"/>
    <w:rsid w:val="00815871"/>
    <w:rsid w:val="00816B7D"/>
    <w:rsid w:val="00821789"/>
    <w:rsid w:val="0082180B"/>
    <w:rsid w:val="00821BC9"/>
    <w:rsid w:val="008223E4"/>
    <w:rsid w:val="00825147"/>
    <w:rsid w:val="00825880"/>
    <w:rsid w:val="00825D4F"/>
    <w:rsid w:val="00830017"/>
    <w:rsid w:val="00830787"/>
    <w:rsid w:val="00830DC9"/>
    <w:rsid w:val="00831489"/>
    <w:rsid w:val="0083394A"/>
    <w:rsid w:val="00833A6A"/>
    <w:rsid w:val="00833E2F"/>
    <w:rsid w:val="00834F9A"/>
    <w:rsid w:val="008350DA"/>
    <w:rsid w:val="008368F3"/>
    <w:rsid w:val="008377C1"/>
    <w:rsid w:val="008400A8"/>
    <w:rsid w:val="0084156A"/>
    <w:rsid w:val="00841941"/>
    <w:rsid w:val="008427B1"/>
    <w:rsid w:val="008449FF"/>
    <w:rsid w:val="0084601D"/>
    <w:rsid w:val="008462FB"/>
    <w:rsid w:val="00846C73"/>
    <w:rsid w:val="00847E43"/>
    <w:rsid w:val="00850462"/>
    <w:rsid w:val="0085161D"/>
    <w:rsid w:val="008541AA"/>
    <w:rsid w:val="00855597"/>
    <w:rsid w:val="00855780"/>
    <w:rsid w:val="00856178"/>
    <w:rsid w:val="0085666B"/>
    <w:rsid w:val="00856C69"/>
    <w:rsid w:val="008570AB"/>
    <w:rsid w:val="00862545"/>
    <w:rsid w:val="00862F0B"/>
    <w:rsid w:val="008653B5"/>
    <w:rsid w:val="00865A76"/>
    <w:rsid w:val="008663D7"/>
    <w:rsid w:val="0086730B"/>
    <w:rsid w:val="008679E6"/>
    <w:rsid w:val="00867A0F"/>
    <w:rsid w:val="00871811"/>
    <w:rsid w:val="00872E1F"/>
    <w:rsid w:val="00873942"/>
    <w:rsid w:val="0087400E"/>
    <w:rsid w:val="00875CE3"/>
    <w:rsid w:val="00880558"/>
    <w:rsid w:val="00881DF6"/>
    <w:rsid w:val="00883894"/>
    <w:rsid w:val="00883E8C"/>
    <w:rsid w:val="008847A3"/>
    <w:rsid w:val="00885DA2"/>
    <w:rsid w:val="00885E03"/>
    <w:rsid w:val="00885E17"/>
    <w:rsid w:val="008861F3"/>
    <w:rsid w:val="00886342"/>
    <w:rsid w:val="008875DE"/>
    <w:rsid w:val="0089092F"/>
    <w:rsid w:val="00891DC5"/>
    <w:rsid w:val="00893594"/>
    <w:rsid w:val="008935FC"/>
    <w:rsid w:val="00894726"/>
    <w:rsid w:val="008947EA"/>
    <w:rsid w:val="00894ABF"/>
    <w:rsid w:val="00894CEE"/>
    <w:rsid w:val="00896419"/>
    <w:rsid w:val="00896FF4"/>
    <w:rsid w:val="008A0E85"/>
    <w:rsid w:val="008A15CB"/>
    <w:rsid w:val="008A1DDE"/>
    <w:rsid w:val="008A371D"/>
    <w:rsid w:val="008A3DA4"/>
    <w:rsid w:val="008A3FC8"/>
    <w:rsid w:val="008A5443"/>
    <w:rsid w:val="008A55A8"/>
    <w:rsid w:val="008A5F01"/>
    <w:rsid w:val="008A6B66"/>
    <w:rsid w:val="008A7078"/>
    <w:rsid w:val="008B0969"/>
    <w:rsid w:val="008B11D0"/>
    <w:rsid w:val="008B1CD7"/>
    <w:rsid w:val="008B32B6"/>
    <w:rsid w:val="008B4464"/>
    <w:rsid w:val="008B4BF2"/>
    <w:rsid w:val="008B56E5"/>
    <w:rsid w:val="008B5AFD"/>
    <w:rsid w:val="008B6650"/>
    <w:rsid w:val="008B729C"/>
    <w:rsid w:val="008B7A4E"/>
    <w:rsid w:val="008C1506"/>
    <w:rsid w:val="008C2D30"/>
    <w:rsid w:val="008C33F2"/>
    <w:rsid w:val="008C42C4"/>
    <w:rsid w:val="008C6AE3"/>
    <w:rsid w:val="008C6C92"/>
    <w:rsid w:val="008C77F7"/>
    <w:rsid w:val="008C78B5"/>
    <w:rsid w:val="008D03AA"/>
    <w:rsid w:val="008D0AE4"/>
    <w:rsid w:val="008D1B0D"/>
    <w:rsid w:val="008D20E6"/>
    <w:rsid w:val="008D2F52"/>
    <w:rsid w:val="008D3687"/>
    <w:rsid w:val="008D3E19"/>
    <w:rsid w:val="008D52E2"/>
    <w:rsid w:val="008D57A4"/>
    <w:rsid w:val="008D5F06"/>
    <w:rsid w:val="008D6B57"/>
    <w:rsid w:val="008D74C3"/>
    <w:rsid w:val="008D7DFC"/>
    <w:rsid w:val="008E00FD"/>
    <w:rsid w:val="008E07C6"/>
    <w:rsid w:val="008E2B21"/>
    <w:rsid w:val="008E33EA"/>
    <w:rsid w:val="008E4180"/>
    <w:rsid w:val="008E5BB7"/>
    <w:rsid w:val="008E5F84"/>
    <w:rsid w:val="008E6A1B"/>
    <w:rsid w:val="008E6FF6"/>
    <w:rsid w:val="008E72E5"/>
    <w:rsid w:val="008E79F9"/>
    <w:rsid w:val="008E7DCC"/>
    <w:rsid w:val="008F0EA9"/>
    <w:rsid w:val="008F1B1E"/>
    <w:rsid w:val="008F2A2D"/>
    <w:rsid w:val="008F2B7E"/>
    <w:rsid w:val="008F31DF"/>
    <w:rsid w:val="008F38F6"/>
    <w:rsid w:val="008F411D"/>
    <w:rsid w:val="008F4D31"/>
    <w:rsid w:val="008F53F5"/>
    <w:rsid w:val="008F56A2"/>
    <w:rsid w:val="008F5FF0"/>
    <w:rsid w:val="008F61F2"/>
    <w:rsid w:val="008F63BC"/>
    <w:rsid w:val="008F6485"/>
    <w:rsid w:val="008F710C"/>
    <w:rsid w:val="008F797E"/>
    <w:rsid w:val="008F7B17"/>
    <w:rsid w:val="008F7F78"/>
    <w:rsid w:val="00900316"/>
    <w:rsid w:val="0090122A"/>
    <w:rsid w:val="009017A1"/>
    <w:rsid w:val="00901F73"/>
    <w:rsid w:val="0090394F"/>
    <w:rsid w:val="009054D3"/>
    <w:rsid w:val="00905587"/>
    <w:rsid w:val="00905722"/>
    <w:rsid w:val="009067FF"/>
    <w:rsid w:val="00907B9D"/>
    <w:rsid w:val="00910CFA"/>
    <w:rsid w:val="009125D2"/>
    <w:rsid w:val="00914774"/>
    <w:rsid w:val="00915E3F"/>
    <w:rsid w:val="00915F49"/>
    <w:rsid w:val="00915F97"/>
    <w:rsid w:val="00921473"/>
    <w:rsid w:val="0092273F"/>
    <w:rsid w:val="009238F1"/>
    <w:rsid w:val="00923B55"/>
    <w:rsid w:val="009249B4"/>
    <w:rsid w:val="0092525C"/>
    <w:rsid w:val="00926716"/>
    <w:rsid w:val="009270DB"/>
    <w:rsid w:val="00927A97"/>
    <w:rsid w:val="00930974"/>
    <w:rsid w:val="00930BEB"/>
    <w:rsid w:val="00931196"/>
    <w:rsid w:val="009323DF"/>
    <w:rsid w:val="00932AFC"/>
    <w:rsid w:val="0093389C"/>
    <w:rsid w:val="00933A7D"/>
    <w:rsid w:val="00933DA9"/>
    <w:rsid w:val="009346A1"/>
    <w:rsid w:val="0093491F"/>
    <w:rsid w:val="00935E14"/>
    <w:rsid w:val="009402ED"/>
    <w:rsid w:val="00941E4F"/>
    <w:rsid w:val="00942454"/>
    <w:rsid w:val="0094480E"/>
    <w:rsid w:val="00947B5B"/>
    <w:rsid w:val="00950281"/>
    <w:rsid w:val="0095134D"/>
    <w:rsid w:val="00951BD3"/>
    <w:rsid w:val="009529FD"/>
    <w:rsid w:val="00952B8F"/>
    <w:rsid w:val="00953A2D"/>
    <w:rsid w:val="0095401E"/>
    <w:rsid w:val="0095569B"/>
    <w:rsid w:val="009559F2"/>
    <w:rsid w:val="009562CC"/>
    <w:rsid w:val="00957310"/>
    <w:rsid w:val="0095750D"/>
    <w:rsid w:val="009576BF"/>
    <w:rsid w:val="00961A93"/>
    <w:rsid w:val="00962B8F"/>
    <w:rsid w:val="009637E4"/>
    <w:rsid w:val="00964464"/>
    <w:rsid w:val="00965665"/>
    <w:rsid w:val="0096632E"/>
    <w:rsid w:val="00966D4F"/>
    <w:rsid w:val="00967290"/>
    <w:rsid w:val="00970E65"/>
    <w:rsid w:val="0097102C"/>
    <w:rsid w:val="00971CBF"/>
    <w:rsid w:val="00971F52"/>
    <w:rsid w:val="0097202E"/>
    <w:rsid w:val="00972E0B"/>
    <w:rsid w:val="0097462D"/>
    <w:rsid w:val="009748F0"/>
    <w:rsid w:val="00974A7C"/>
    <w:rsid w:val="00974E25"/>
    <w:rsid w:val="0097587B"/>
    <w:rsid w:val="009766FE"/>
    <w:rsid w:val="00977715"/>
    <w:rsid w:val="00980439"/>
    <w:rsid w:val="00982444"/>
    <w:rsid w:val="00982A7F"/>
    <w:rsid w:val="00982BA7"/>
    <w:rsid w:val="00982D92"/>
    <w:rsid w:val="00982F10"/>
    <w:rsid w:val="009834A0"/>
    <w:rsid w:val="009843A8"/>
    <w:rsid w:val="00984993"/>
    <w:rsid w:val="00984CA2"/>
    <w:rsid w:val="00984CA5"/>
    <w:rsid w:val="009854F1"/>
    <w:rsid w:val="00985AAE"/>
    <w:rsid w:val="0098714A"/>
    <w:rsid w:val="009907F5"/>
    <w:rsid w:val="00992448"/>
    <w:rsid w:val="00993EA1"/>
    <w:rsid w:val="0099496C"/>
    <w:rsid w:val="00996569"/>
    <w:rsid w:val="00996927"/>
    <w:rsid w:val="00996BD3"/>
    <w:rsid w:val="00997BE8"/>
    <w:rsid w:val="009A057B"/>
    <w:rsid w:val="009A05AD"/>
    <w:rsid w:val="009A06F0"/>
    <w:rsid w:val="009A14DE"/>
    <w:rsid w:val="009A40DD"/>
    <w:rsid w:val="009A4CA7"/>
    <w:rsid w:val="009A72B5"/>
    <w:rsid w:val="009A7821"/>
    <w:rsid w:val="009A7BC2"/>
    <w:rsid w:val="009B011E"/>
    <w:rsid w:val="009B1897"/>
    <w:rsid w:val="009B1BB7"/>
    <w:rsid w:val="009B1C51"/>
    <w:rsid w:val="009B3707"/>
    <w:rsid w:val="009B48D4"/>
    <w:rsid w:val="009B7359"/>
    <w:rsid w:val="009B751B"/>
    <w:rsid w:val="009C0992"/>
    <w:rsid w:val="009C0C48"/>
    <w:rsid w:val="009C1830"/>
    <w:rsid w:val="009C23DA"/>
    <w:rsid w:val="009C24B3"/>
    <w:rsid w:val="009C2C09"/>
    <w:rsid w:val="009C2E5A"/>
    <w:rsid w:val="009C6214"/>
    <w:rsid w:val="009C672A"/>
    <w:rsid w:val="009C7B18"/>
    <w:rsid w:val="009C7D55"/>
    <w:rsid w:val="009C7F52"/>
    <w:rsid w:val="009D07F2"/>
    <w:rsid w:val="009D1884"/>
    <w:rsid w:val="009D24A3"/>
    <w:rsid w:val="009D2FD6"/>
    <w:rsid w:val="009D3295"/>
    <w:rsid w:val="009D3665"/>
    <w:rsid w:val="009D3C84"/>
    <w:rsid w:val="009D40C6"/>
    <w:rsid w:val="009D54F3"/>
    <w:rsid w:val="009D6969"/>
    <w:rsid w:val="009D7470"/>
    <w:rsid w:val="009D7A58"/>
    <w:rsid w:val="009E0828"/>
    <w:rsid w:val="009E0CED"/>
    <w:rsid w:val="009E17A2"/>
    <w:rsid w:val="009E2D23"/>
    <w:rsid w:val="009E4043"/>
    <w:rsid w:val="009E43C1"/>
    <w:rsid w:val="009E6D06"/>
    <w:rsid w:val="009E6DF1"/>
    <w:rsid w:val="009F0659"/>
    <w:rsid w:val="009F3BA0"/>
    <w:rsid w:val="009F3F5D"/>
    <w:rsid w:val="009F43CB"/>
    <w:rsid w:val="009F4CB9"/>
    <w:rsid w:val="009F76A1"/>
    <w:rsid w:val="00A01C02"/>
    <w:rsid w:val="00A02077"/>
    <w:rsid w:val="00A02D24"/>
    <w:rsid w:val="00A05074"/>
    <w:rsid w:val="00A05113"/>
    <w:rsid w:val="00A054DC"/>
    <w:rsid w:val="00A069AE"/>
    <w:rsid w:val="00A06EB5"/>
    <w:rsid w:val="00A10389"/>
    <w:rsid w:val="00A10912"/>
    <w:rsid w:val="00A1133E"/>
    <w:rsid w:val="00A11888"/>
    <w:rsid w:val="00A11E62"/>
    <w:rsid w:val="00A11E8F"/>
    <w:rsid w:val="00A12369"/>
    <w:rsid w:val="00A13522"/>
    <w:rsid w:val="00A14357"/>
    <w:rsid w:val="00A1524F"/>
    <w:rsid w:val="00A15E63"/>
    <w:rsid w:val="00A167D9"/>
    <w:rsid w:val="00A16E03"/>
    <w:rsid w:val="00A17672"/>
    <w:rsid w:val="00A20A6B"/>
    <w:rsid w:val="00A20C5D"/>
    <w:rsid w:val="00A222CA"/>
    <w:rsid w:val="00A225E3"/>
    <w:rsid w:val="00A23915"/>
    <w:rsid w:val="00A239CC"/>
    <w:rsid w:val="00A23BC2"/>
    <w:rsid w:val="00A248C9"/>
    <w:rsid w:val="00A27774"/>
    <w:rsid w:val="00A279AC"/>
    <w:rsid w:val="00A3044F"/>
    <w:rsid w:val="00A30C5D"/>
    <w:rsid w:val="00A310F1"/>
    <w:rsid w:val="00A31C68"/>
    <w:rsid w:val="00A325AE"/>
    <w:rsid w:val="00A326A6"/>
    <w:rsid w:val="00A34F7B"/>
    <w:rsid w:val="00A3571A"/>
    <w:rsid w:val="00A35FAA"/>
    <w:rsid w:val="00A364F1"/>
    <w:rsid w:val="00A40163"/>
    <w:rsid w:val="00A4028C"/>
    <w:rsid w:val="00A409BC"/>
    <w:rsid w:val="00A42F6D"/>
    <w:rsid w:val="00A44612"/>
    <w:rsid w:val="00A44720"/>
    <w:rsid w:val="00A46164"/>
    <w:rsid w:val="00A46A8E"/>
    <w:rsid w:val="00A509AF"/>
    <w:rsid w:val="00A50DEF"/>
    <w:rsid w:val="00A51337"/>
    <w:rsid w:val="00A537E5"/>
    <w:rsid w:val="00A540A5"/>
    <w:rsid w:val="00A54248"/>
    <w:rsid w:val="00A54553"/>
    <w:rsid w:val="00A55B6F"/>
    <w:rsid w:val="00A56AEB"/>
    <w:rsid w:val="00A615E6"/>
    <w:rsid w:val="00A61BD0"/>
    <w:rsid w:val="00A61DB5"/>
    <w:rsid w:val="00A6388E"/>
    <w:rsid w:val="00A64FD7"/>
    <w:rsid w:val="00A6581A"/>
    <w:rsid w:val="00A6662D"/>
    <w:rsid w:val="00A70398"/>
    <w:rsid w:val="00A709AD"/>
    <w:rsid w:val="00A72DA9"/>
    <w:rsid w:val="00A733CB"/>
    <w:rsid w:val="00A739DF"/>
    <w:rsid w:val="00A740A0"/>
    <w:rsid w:val="00A74455"/>
    <w:rsid w:val="00A751AD"/>
    <w:rsid w:val="00A773CD"/>
    <w:rsid w:val="00A775CF"/>
    <w:rsid w:val="00A77853"/>
    <w:rsid w:val="00A77FAF"/>
    <w:rsid w:val="00A805EB"/>
    <w:rsid w:val="00A80C87"/>
    <w:rsid w:val="00A81EED"/>
    <w:rsid w:val="00A84503"/>
    <w:rsid w:val="00A867DA"/>
    <w:rsid w:val="00A86E10"/>
    <w:rsid w:val="00A8782F"/>
    <w:rsid w:val="00A9013E"/>
    <w:rsid w:val="00A9167D"/>
    <w:rsid w:val="00A92D25"/>
    <w:rsid w:val="00A9401F"/>
    <w:rsid w:val="00A94689"/>
    <w:rsid w:val="00A94DDB"/>
    <w:rsid w:val="00A94F82"/>
    <w:rsid w:val="00A965CD"/>
    <w:rsid w:val="00AA1BEC"/>
    <w:rsid w:val="00AA2465"/>
    <w:rsid w:val="00AA27AA"/>
    <w:rsid w:val="00AA2DF3"/>
    <w:rsid w:val="00AA4761"/>
    <w:rsid w:val="00AA50BC"/>
    <w:rsid w:val="00AA5639"/>
    <w:rsid w:val="00AA6AE4"/>
    <w:rsid w:val="00AB179B"/>
    <w:rsid w:val="00AB24E7"/>
    <w:rsid w:val="00AB26DA"/>
    <w:rsid w:val="00AB2BE1"/>
    <w:rsid w:val="00AB3237"/>
    <w:rsid w:val="00AB3917"/>
    <w:rsid w:val="00AB3A2D"/>
    <w:rsid w:val="00AB4AC8"/>
    <w:rsid w:val="00AB5AE6"/>
    <w:rsid w:val="00AB5E21"/>
    <w:rsid w:val="00AB6F0E"/>
    <w:rsid w:val="00AB75AE"/>
    <w:rsid w:val="00AB76EC"/>
    <w:rsid w:val="00AB7933"/>
    <w:rsid w:val="00AC037D"/>
    <w:rsid w:val="00AC13C9"/>
    <w:rsid w:val="00AC3071"/>
    <w:rsid w:val="00AC3A08"/>
    <w:rsid w:val="00AC3D18"/>
    <w:rsid w:val="00AC6332"/>
    <w:rsid w:val="00AD0664"/>
    <w:rsid w:val="00AD10CF"/>
    <w:rsid w:val="00AD2090"/>
    <w:rsid w:val="00AD2FC0"/>
    <w:rsid w:val="00AD35EA"/>
    <w:rsid w:val="00AD3854"/>
    <w:rsid w:val="00AD3BC7"/>
    <w:rsid w:val="00AD42E2"/>
    <w:rsid w:val="00AD4967"/>
    <w:rsid w:val="00AD562E"/>
    <w:rsid w:val="00AD58C9"/>
    <w:rsid w:val="00AD5B1B"/>
    <w:rsid w:val="00AD66BE"/>
    <w:rsid w:val="00AD6DB9"/>
    <w:rsid w:val="00AE1918"/>
    <w:rsid w:val="00AE2459"/>
    <w:rsid w:val="00AE29C2"/>
    <w:rsid w:val="00AE3D23"/>
    <w:rsid w:val="00AE4EC8"/>
    <w:rsid w:val="00AE4EF5"/>
    <w:rsid w:val="00AE517C"/>
    <w:rsid w:val="00AE599E"/>
    <w:rsid w:val="00AE5D9F"/>
    <w:rsid w:val="00AE5F15"/>
    <w:rsid w:val="00AE61C0"/>
    <w:rsid w:val="00AE76C9"/>
    <w:rsid w:val="00AE7FF4"/>
    <w:rsid w:val="00AF06B4"/>
    <w:rsid w:val="00AF0C7E"/>
    <w:rsid w:val="00AF0EB2"/>
    <w:rsid w:val="00AF2791"/>
    <w:rsid w:val="00AF2EF5"/>
    <w:rsid w:val="00AF3117"/>
    <w:rsid w:val="00AF326B"/>
    <w:rsid w:val="00AF32F0"/>
    <w:rsid w:val="00AF3811"/>
    <w:rsid w:val="00AF418D"/>
    <w:rsid w:val="00AF5563"/>
    <w:rsid w:val="00AF560E"/>
    <w:rsid w:val="00AF5C37"/>
    <w:rsid w:val="00AF6220"/>
    <w:rsid w:val="00AF6672"/>
    <w:rsid w:val="00AF70EE"/>
    <w:rsid w:val="00AF7618"/>
    <w:rsid w:val="00B009A9"/>
    <w:rsid w:val="00B00B01"/>
    <w:rsid w:val="00B04550"/>
    <w:rsid w:val="00B04964"/>
    <w:rsid w:val="00B04CBD"/>
    <w:rsid w:val="00B05F34"/>
    <w:rsid w:val="00B076AF"/>
    <w:rsid w:val="00B10605"/>
    <w:rsid w:val="00B10F95"/>
    <w:rsid w:val="00B11B0A"/>
    <w:rsid w:val="00B11DAB"/>
    <w:rsid w:val="00B12331"/>
    <w:rsid w:val="00B15819"/>
    <w:rsid w:val="00B15B71"/>
    <w:rsid w:val="00B166C6"/>
    <w:rsid w:val="00B21941"/>
    <w:rsid w:val="00B21EB4"/>
    <w:rsid w:val="00B22A5B"/>
    <w:rsid w:val="00B2691D"/>
    <w:rsid w:val="00B26C44"/>
    <w:rsid w:val="00B27820"/>
    <w:rsid w:val="00B30944"/>
    <w:rsid w:val="00B3104B"/>
    <w:rsid w:val="00B32AAC"/>
    <w:rsid w:val="00B33F4D"/>
    <w:rsid w:val="00B36CFC"/>
    <w:rsid w:val="00B37148"/>
    <w:rsid w:val="00B37AFC"/>
    <w:rsid w:val="00B40754"/>
    <w:rsid w:val="00B4084B"/>
    <w:rsid w:val="00B42B56"/>
    <w:rsid w:val="00B45864"/>
    <w:rsid w:val="00B460B5"/>
    <w:rsid w:val="00B464BE"/>
    <w:rsid w:val="00B46881"/>
    <w:rsid w:val="00B47F4C"/>
    <w:rsid w:val="00B50958"/>
    <w:rsid w:val="00B51526"/>
    <w:rsid w:val="00B52818"/>
    <w:rsid w:val="00B535AA"/>
    <w:rsid w:val="00B54B57"/>
    <w:rsid w:val="00B567D8"/>
    <w:rsid w:val="00B60F6F"/>
    <w:rsid w:val="00B61A52"/>
    <w:rsid w:val="00B6230B"/>
    <w:rsid w:val="00B63C3C"/>
    <w:rsid w:val="00B64DE4"/>
    <w:rsid w:val="00B65561"/>
    <w:rsid w:val="00B676B8"/>
    <w:rsid w:val="00B70250"/>
    <w:rsid w:val="00B70C9E"/>
    <w:rsid w:val="00B71222"/>
    <w:rsid w:val="00B7358B"/>
    <w:rsid w:val="00B7388C"/>
    <w:rsid w:val="00B73E0D"/>
    <w:rsid w:val="00B7521F"/>
    <w:rsid w:val="00B76B62"/>
    <w:rsid w:val="00B77D3D"/>
    <w:rsid w:val="00B830A1"/>
    <w:rsid w:val="00B83160"/>
    <w:rsid w:val="00B834F1"/>
    <w:rsid w:val="00B8365B"/>
    <w:rsid w:val="00B83705"/>
    <w:rsid w:val="00B83CA0"/>
    <w:rsid w:val="00B84243"/>
    <w:rsid w:val="00B8507A"/>
    <w:rsid w:val="00B85C34"/>
    <w:rsid w:val="00B85C63"/>
    <w:rsid w:val="00B86CCD"/>
    <w:rsid w:val="00B876C0"/>
    <w:rsid w:val="00B87806"/>
    <w:rsid w:val="00B916B3"/>
    <w:rsid w:val="00B93884"/>
    <w:rsid w:val="00B94405"/>
    <w:rsid w:val="00B94A65"/>
    <w:rsid w:val="00B94ADF"/>
    <w:rsid w:val="00B94FB4"/>
    <w:rsid w:val="00B956BD"/>
    <w:rsid w:val="00B95D2D"/>
    <w:rsid w:val="00B9607C"/>
    <w:rsid w:val="00B9676C"/>
    <w:rsid w:val="00BA0141"/>
    <w:rsid w:val="00BA0966"/>
    <w:rsid w:val="00BA0F2F"/>
    <w:rsid w:val="00BA1607"/>
    <w:rsid w:val="00BA379F"/>
    <w:rsid w:val="00BA470A"/>
    <w:rsid w:val="00BA5898"/>
    <w:rsid w:val="00BA6777"/>
    <w:rsid w:val="00BB2A98"/>
    <w:rsid w:val="00BB3AB5"/>
    <w:rsid w:val="00BB3DA8"/>
    <w:rsid w:val="00BB47F0"/>
    <w:rsid w:val="00BB498B"/>
    <w:rsid w:val="00BB6D23"/>
    <w:rsid w:val="00BB721D"/>
    <w:rsid w:val="00BB7455"/>
    <w:rsid w:val="00BC2C65"/>
    <w:rsid w:val="00BC3CAB"/>
    <w:rsid w:val="00BC42CE"/>
    <w:rsid w:val="00BC45CF"/>
    <w:rsid w:val="00BC46BA"/>
    <w:rsid w:val="00BC6702"/>
    <w:rsid w:val="00BC6756"/>
    <w:rsid w:val="00BD1E84"/>
    <w:rsid w:val="00BD210E"/>
    <w:rsid w:val="00BD40CB"/>
    <w:rsid w:val="00BD4954"/>
    <w:rsid w:val="00BD78D5"/>
    <w:rsid w:val="00BE0A68"/>
    <w:rsid w:val="00BE0F7C"/>
    <w:rsid w:val="00BE0FE5"/>
    <w:rsid w:val="00BE1D7C"/>
    <w:rsid w:val="00BE537C"/>
    <w:rsid w:val="00BE5382"/>
    <w:rsid w:val="00BE6D85"/>
    <w:rsid w:val="00BE70B3"/>
    <w:rsid w:val="00BE7D58"/>
    <w:rsid w:val="00BF0270"/>
    <w:rsid w:val="00BF0E14"/>
    <w:rsid w:val="00BF164E"/>
    <w:rsid w:val="00BF1A33"/>
    <w:rsid w:val="00BF1D86"/>
    <w:rsid w:val="00BF23C3"/>
    <w:rsid w:val="00BF3D35"/>
    <w:rsid w:val="00BF46F9"/>
    <w:rsid w:val="00BF51E9"/>
    <w:rsid w:val="00BF675B"/>
    <w:rsid w:val="00BF6D42"/>
    <w:rsid w:val="00BF7ED9"/>
    <w:rsid w:val="00C00AA5"/>
    <w:rsid w:val="00C01AF6"/>
    <w:rsid w:val="00C02450"/>
    <w:rsid w:val="00C066AF"/>
    <w:rsid w:val="00C07DEC"/>
    <w:rsid w:val="00C1005F"/>
    <w:rsid w:val="00C1068B"/>
    <w:rsid w:val="00C107D2"/>
    <w:rsid w:val="00C108F1"/>
    <w:rsid w:val="00C11F05"/>
    <w:rsid w:val="00C11F2F"/>
    <w:rsid w:val="00C122D5"/>
    <w:rsid w:val="00C12D0A"/>
    <w:rsid w:val="00C13681"/>
    <w:rsid w:val="00C13DA0"/>
    <w:rsid w:val="00C1522D"/>
    <w:rsid w:val="00C152B0"/>
    <w:rsid w:val="00C15DEF"/>
    <w:rsid w:val="00C20E76"/>
    <w:rsid w:val="00C22639"/>
    <w:rsid w:val="00C23647"/>
    <w:rsid w:val="00C2476F"/>
    <w:rsid w:val="00C2641F"/>
    <w:rsid w:val="00C276B1"/>
    <w:rsid w:val="00C3009E"/>
    <w:rsid w:val="00C31E81"/>
    <w:rsid w:val="00C3239B"/>
    <w:rsid w:val="00C3249E"/>
    <w:rsid w:val="00C3303C"/>
    <w:rsid w:val="00C3324A"/>
    <w:rsid w:val="00C342CD"/>
    <w:rsid w:val="00C34390"/>
    <w:rsid w:val="00C345F8"/>
    <w:rsid w:val="00C34C59"/>
    <w:rsid w:val="00C359BA"/>
    <w:rsid w:val="00C36775"/>
    <w:rsid w:val="00C40689"/>
    <w:rsid w:val="00C41D55"/>
    <w:rsid w:val="00C428E6"/>
    <w:rsid w:val="00C42D37"/>
    <w:rsid w:val="00C431A3"/>
    <w:rsid w:val="00C44BE3"/>
    <w:rsid w:val="00C44C1D"/>
    <w:rsid w:val="00C450A9"/>
    <w:rsid w:val="00C45903"/>
    <w:rsid w:val="00C46D0E"/>
    <w:rsid w:val="00C5333D"/>
    <w:rsid w:val="00C53EF2"/>
    <w:rsid w:val="00C55846"/>
    <w:rsid w:val="00C560C8"/>
    <w:rsid w:val="00C6076D"/>
    <w:rsid w:val="00C6305B"/>
    <w:rsid w:val="00C63109"/>
    <w:rsid w:val="00C63C1F"/>
    <w:rsid w:val="00C63ED7"/>
    <w:rsid w:val="00C676DE"/>
    <w:rsid w:val="00C676F0"/>
    <w:rsid w:val="00C705DA"/>
    <w:rsid w:val="00C7356F"/>
    <w:rsid w:val="00C74126"/>
    <w:rsid w:val="00C74C39"/>
    <w:rsid w:val="00C74DA9"/>
    <w:rsid w:val="00C753BA"/>
    <w:rsid w:val="00C7638D"/>
    <w:rsid w:val="00C763EA"/>
    <w:rsid w:val="00C77417"/>
    <w:rsid w:val="00C8049D"/>
    <w:rsid w:val="00C827AD"/>
    <w:rsid w:val="00C828AB"/>
    <w:rsid w:val="00C83AC2"/>
    <w:rsid w:val="00C854F5"/>
    <w:rsid w:val="00C85E77"/>
    <w:rsid w:val="00C86131"/>
    <w:rsid w:val="00C86278"/>
    <w:rsid w:val="00C86D90"/>
    <w:rsid w:val="00C872C5"/>
    <w:rsid w:val="00C8748F"/>
    <w:rsid w:val="00C87FB8"/>
    <w:rsid w:val="00C91347"/>
    <w:rsid w:val="00C91CF4"/>
    <w:rsid w:val="00C92123"/>
    <w:rsid w:val="00C9328C"/>
    <w:rsid w:val="00C95596"/>
    <w:rsid w:val="00C95850"/>
    <w:rsid w:val="00C95B85"/>
    <w:rsid w:val="00C978F2"/>
    <w:rsid w:val="00C97F24"/>
    <w:rsid w:val="00C97F3F"/>
    <w:rsid w:val="00CA0B5E"/>
    <w:rsid w:val="00CA0F4F"/>
    <w:rsid w:val="00CA15D7"/>
    <w:rsid w:val="00CA2F21"/>
    <w:rsid w:val="00CA3214"/>
    <w:rsid w:val="00CA42AB"/>
    <w:rsid w:val="00CA450E"/>
    <w:rsid w:val="00CA475B"/>
    <w:rsid w:val="00CA4819"/>
    <w:rsid w:val="00CA49A3"/>
    <w:rsid w:val="00CA5F42"/>
    <w:rsid w:val="00CA600B"/>
    <w:rsid w:val="00CA709C"/>
    <w:rsid w:val="00CB1F59"/>
    <w:rsid w:val="00CB388E"/>
    <w:rsid w:val="00CB4589"/>
    <w:rsid w:val="00CB54F0"/>
    <w:rsid w:val="00CB5AEC"/>
    <w:rsid w:val="00CB60C9"/>
    <w:rsid w:val="00CB62C0"/>
    <w:rsid w:val="00CB648F"/>
    <w:rsid w:val="00CB6D24"/>
    <w:rsid w:val="00CB73D2"/>
    <w:rsid w:val="00CB795F"/>
    <w:rsid w:val="00CC0486"/>
    <w:rsid w:val="00CC0B67"/>
    <w:rsid w:val="00CC4867"/>
    <w:rsid w:val="00CC5AB0"/>
    <w:rsid w:val="00CC630F"/>
    <w:rsid w:val="00CC6AFF"/>
    <w:rsid w:val="00CC7ED8"/>
    <w:rsid w:val="00CC7F08"/>
    <w:rsid w:val="00CD1BF3"/>
    <w:rsid w:val="00CD3382"/>
    <w:rsid w:val="00CE0085"/>
    <w:rsid w:val="00CE0472"/>
    <w:rsid w:val="00CE179F"/>
    <w:rsid w:val="00CE2B6C"/>
    <w:rsid w:val="00CE2C1A"/>
    <w:rsid w:val="00CE33FB"/>
    <w:rsid w:val="00CE3F53"/>
    <w:rsid w:val="00CE4134"/>
    <w:rsid w:val="00CE558E"/>
    <w:rsid w:val="00CE5774"/>
    <w:rsid w:val="00CE7933"/>
    <w:rsid w:val="00CF0B6D"/>
    <w:rsid w:val="00CF164C"/>
    <w:rsid w:val="00CF2C6F"/>
    <w:rsid w:val="00CF4131"/>
    <w:rsid w:val="00CF5085"/>
    <w:rsid w:val="00CF5D6B"/>
    <w:rsid w:val="00CF5FDC"/>
    <w:rsid w:val="00D00382"/>
    <w:rsid w:val="00D0086A"/>
    <w:rsid w:val="00D02EF1"/>
    <w:rsid w:val="00D05719"/>
    <w:rsid w:val="00D0607B"/>
    <w:rsid w:val="00D07A8D"/>
    <w:rsid w:val="00D1024D"/>
    <w:rsid w:val="00D11533"/>
    <w:rsid w:val="00D11F5B"/>
    <w:rsid w:val="00D120BF"/>
    <w:rsid w:val="00D143EC"/>
    <w:rsid w:val="00D1469B"/>
    <w:rsid w:val="00D15792"/>
    <w:rsid w:val="00D1741D"/>
    <w:rsid w:val="00D174C3"/>
    <w:rsid w:val="00D17D15"/>
    <w:rsid w:val="00D17E55"/>
    <w:rsid w:val="00D2179B"/>
    <w:rsid w:val="00D22699"/>
    <w:rsid w:val="00D2316C"/>
    <w:rsid w:val="00D23531"/>
    <w:rsid w:val="00D24D0C"/>
    <w:rsid w:val="00D24FF4"/>
    <w:rsid w:val="00D30A84"/>
    <w:rsid w:val="00D30CBA"/>
    <w:rsid w:val="00D323B5"/>
    <w:rsid w:val="00D327B7"/>
    <w:rsid w:val="00D32819"/>
    <w:rsid w:val="00D3564F"/>
    <w:rsid w:val="00D36333"/>
    <w:rsid w:val="00D37097"/>
    <w:rsid w:val="00D37C36"/>
    <w:rsid w:val="00D4187B"/>
    <w:rsid w:val="00D428B3"/>
    <w:rsid w:val="00D4320B"/>
    <w:rsid w:val="00D43E58"/>
    <w:rsid w:val="00D44D21"/>
    <w:rsid w:val="00D44EA4"/>
    <w:rsid w:val="00D456C4"/>
    <w:rsid w:val="00D459CF"/>
    <w:rsid w:val="00D46A7B"/>
    <w:rsid w:val="00D50C9B"/>
    <w:rsid w:val="00D53543"/>
    <w:rsid w:val="00D549BF"/>
    <w:rsid w:val="00D551E1"/>
    <w:rsid w:val="00D55763"/>
    <w:rsid w:val="00D5708A"/>
    <w:rsid w:val="00D576B5"/>
    <w:rsid w:val="00D57849"/>
    <w:rsid w:val="00D579C5"/>
    <w:rsid w:val="00D60439"/>
    <w:rsid w:val="00D6199A"/>
    <w:rsid w:val="00D62AB4"/>
    <w:rsid w:val="00D634BA"/>
    <w:rsid w:val="00D6661E"/>
    <w:rsid w:val="00D6714F"/>
    <w:rsid w:val="00D70BF5"/>
    <w:rsid w:val="00D70EB2"/>
    <w:rsid w:val="00D715EF"/>
    <w:rsid w:val="00D720BB"/>
    <w:rsid w:val="00D729FE"/>
    <w:rsid w:val="00D7336B"/>
    <w:rsid w:val="00D73896"/>
    <w:rsid w:val="00D74812"/>
    <w:rsid w:val="00D75924"/>
    <w:rsid w:val="00D75DD0"/>
    <w:rsid w:val="00D7602E"/>
    <w:rsid w:val="00D76996"/>
    <w:rsid w:val="00D77C45"/>
    <w:rsid w:val="00D81071"/>
    <w:rsid w:val="00D82879"/>
    <w:rsid w:val="00D829A2"/>
    <w:rsid w:val="00D83B82"/>
    <w:rsid w:val="00D85D3F"/>
    <w:rsid w:val="00D87479"/>
    <w:rsid w:val="00D9150D"/>
    <w:rsid w:val="00D92B42"/>
    <w:rsid w:val="00D961F2"/>
    <w:rsid w:val="00D97687"/>
    <w:rsid w:val="00D9775E"/>
    <w:rsid w:val="00DA00A2"/>
    <w:rsid w:val="00DA1610"/>
    <w:rsid w:val="00DA18BF"/>
    <w:rsid w:val="00DA1A11"/>
    <w:rsid w:val="00DA1BEF"/>
    <w:rsid w:val="00DA28A8"/>
    <w:rsid w:val="00DA3143"/>
    <w:rsid w:val="00DA486F"/>
    <w:rsid w:val="00DA4EAE"/>
    <w:rsid w:val="00DA6854"/>
    <w:rsid w:val="00DA6D4F"/>
    <w:rsid w:val="00DA6FB4"/>
    <w:rsid w:val="00DA7AC3"/>
    <w:rsid w:val="00DA7B65"/>
    <w:rsid w:val="00DB10A8"/>
    <w:rsid w:val="00DB22B0"/>
    <w:rsid w:val="00DB446B"/>
    <w:rsid w:val="00DB4C98"/>
    <w:rsid w:val="00DB584E"/>
    <w:rsid w:val="00DB69D9"/>
    <w:rsid w:val="00DC16AF"/>
    <w:rsid w:val="00DC32EC"/>
    <w:rsid w:val="00DC4099"/>
    <w:rsid w:val="00DC4790"/>
    <w:rsid w:val="00DC5D5A"/>
    <w:rsid w:val="00DC6737"/>
    <w:rsid w:val="00DD051E"/>
    <w:rsid w:val="00DD05B3"/>
    <w:rsid w:val="00DD0BA0"/>
    <w:rsid w:val="00DD1046"/>
    <w:rsid w:val="00DD77C7"/>
    <w:rsid w:val="00DD7B40"/>
    <w:rsid w:val="00DE117E"/>
    <w:rsid w:val="00DE1987"/>
    <w:rsid w:val="00DE1EF9"/>
    <w:rsid w:val="00DE2A71"/>
    <w:rsid w:val="00DE36CF"/>
    <w:rsid w:val="00DE42BA"/>
    <w:rsid w:val="00DE50C2"/>
    <w:rsid w:val="00DE566F"/>
    <w:rsid w:val="00DE5DF9"/>
    <w:rsid w:val="00DE5DFA"/>
    <w:rsid w:val="00DE5E0C"/>
    <w:rsid w:val="00DE69D7"/>
    <w:rsid w:val="00DF0728"/>
    <w:rsid w:val="00DF1ADC"/>
    <w:rsid w:val="00DF2249"/>
    <w:rsid w:val="00DF2347"/>
    <w:rsid w:val="00DF2C5D"/>
    <w:rsid w:val="00DF30D5"/>
    <w:rsid w:val="00DF363A"/>
    <w:rsid w:val="00DF4173"/>
    <w:rsid w:val="00DF53E8"/>
    <w:rsid w:val="00DF61C8"/>
    <w:rsid w:val="00DF6323"/>
    <w:rsid w:val="00DF6B26"/>
    <w:rsid w:val="00DF744E"/>
    <w:rsid w:val="00E00258"/>
    <w:rsid w:val="00E0068F"/>
    <w:rsid w:val="00E01B4E"/>
    <w:rsid w:val="00E01B7C"/>
    <w:rsid w:val="00E048ED"/>
    <w:rsid w:val="00E054BA"/>
    <w:rsid w:val="00E05967"/>
    <w:rsid w:val="00E06F9F"/>
    <w:rsid w:val="00E072EF"/>
    <w:rsid w:val="00E1099E"/>
    <w:rsid w:val="00E10D3F"/>
    <w:rsid w:val="00E1129E"/>
    <w:rsid w:val="00E120DB"/>
    <w:rsid w:val="00E121DD"/>
    <w:rsid w:val="00E12AFE"/>
    <w:rsid w:val="00E15917"/>
    <w:rsid w:val="00E15A7E"/>
    <w:rsid w:val="00E160CA"/>
    <w:rsid w:val="00E1675C"/>
    <w:rsid w:val="00E16977"/>
    <w:rsid w:val="00E16BE1"/>
    <w:rsid w:val="00E1773B"/>
    <w:rsid w:val="00E17DAB"/>
    <w:rsid w:val="00E20209"/>
    <w:rsid w:val="00E20628"/>
    <w:rsid w:val="00E2103B"/>
    <w:rsid w:val="00E22A07"/>
    <w:rsid w:val="00E235C3"/>
    <w:rsid w:val="00E23A6E"/>
    <w:rsid w:val="00E247DD"/>
    <w:rsid w:val="00E253F7"/>
    <w:rsid w:val="00E26003"/>
    <w:rsid w:val="00E26086"/>
    <w:rsid w:val="00E273FF"/>
    <w:rsid w:val="00E27B91"/>
    <w:rsid w:val="00E306E7"/>
    <w:rsid w:val="00E30E1D"/>
    <w:rsid w:val="00E30FE2"/>
    <w:rsid w:val="00E335C8"/>
    <w:rsid w:val="00E372E2"/>
    <w:rsid w:val="00E37BA9"/>
    <w:rsid w:val="00E37F9B"/>
    <w:rsid w:val="00E42411"/>
    <w:rsid w:val="00E42A9B"/>
    <w:rsid w:val="00E42C8A"/>
    <w:rsid w:val="00E43257"/>
    <w:rsid w:val="00E436F2"/>
    <w:rsid w:val="00E43965"/>
    <w:rsid w:val="00E43E3B"/>
    <w:rsid w:val="00E4452C"/>
    <w:rsid w:val="00E4582E"/>
    <w:rsid w:val="00E46611"/>
    <w:rsid w:val="00E46AB8"/>
    <w:rsid w:val="00E473B3"/>
    <w:rsid w:val="00E50E8D"/>
    <w:rsid w:val="00E51F1C"/>
    <w:rsid w:val="00E52161"/>
    <w:rsid w:val="00E53F1A"/>
    <w:rsid w:val="00E54185"/>
    <w:rsid w:val="00E5444F"/>
    <w:rsid w:val="00E55ABA"/>
    <w:rsid w:val="00E56D63"/>
    <w:rsid w:val="00E56F48"/>
    <w:rsid w:val="00E57CA7"/>
    <w:rsid w:val="00E61C5E"/>
    <w:rsid w:val="00E61EC0"/>
    <w:rsid w:val="00E62415"/>
    <w:rsid w:val="00E62B36"/>
    <w:rsid w:val="00E62DF5"/>
    <w:rsid w:val="00E63BDC"/>
    <w:rsid w:val="00E647C8"/>
    <w:rsid w:val="00E67C82"/>
    <w:rsid w:val="00E701B5"/>
    <w:rsid w:val="00E702CE"/>
    <w:rsid w:val="00E70F0A"/>
    <w:rsid w:val="00E71844"/>
    <w:rsid w:val="00E72219"/>
    <w:rsid w:val="00E731D7"/>
    <w:rsid w:val="00E7371B"/>
    <w:rsid w:val="00E73765"/>
    <w:rsid w:val="00E74ACE"/>
    <w:rsid w:val="00E751A3"/>
    <w:rsid w:val="00E77C06"/>
    <w:rsid w:val="00E831F7"/>
    <w:rsid w:val="00E835D7"/>
    <w:rsid w:val="00E855E0"/>
    <w:rsid w:val="00E860B7"/>
    <w:rsid w:val="00E86EC0"/>
    <w:rsid w:val="00E8780D"/>
    <w:rsid w:val="00E9221F"/>
    <w:rsid w:val="00E9293F"/>
    <w:rsid w:val="00E93759"/>
    <w:rsid w:val="00E94499"/>
    <w:rsid w:val="00E95DB8"/>
    <w:rsid w:val="00E95E3B"/>
    <w:rsid w:val="00E97527"/>
    <w:rsid w:val="00EA166E"/>
    <w:rsid w:val="00EA186C"/>
    <w:rsid w:val="00EA281D"/>
    <w:rsid w:val="00EA46A8"/>
    <w:rsid w:val="00EA5A9E"/>
    <w:rsid w:val="00EA6556"/>
    <w:rsid w:val="00EA6842"/>
    <w:rsid w:val="00EA6D25"/>
    <w:rsid w:val="00EA6E28"/>
    <w:rsid w:val="00EB04DE"/>
    <w:rsid w:val="00EB1B80"/>
    <w:rsid w:val="00EB1D03"/>
    <w:rsid w:val="00EB4C26"/>
    <w:rsid w:val="00EB5127"/>
    <w:rsid w:val="00EB53F2"/>
    <w:rsid w:val="00EB7803"/>
    <w:rsid w:val="00EC0295"/>
    <w:rsid w:val="00EC0454"/>
    <w:rsid w:val="00EC19FA"/>
    <w:rsid w:val="00EC1C86"/>
    <w:rsid w:val="00EC2948"/>
    <w:rsid w:val="00EC49DB"/>
    <w:rsid w:val="00EC5F86"/>
    <w:rsid w:val="00EC6E14"/>
    <w:rsid w:val="00ED0940"/>
    <w:rsid w:val="00ED25CE"/>
    <w:rsid w:val="00ED3A55"/>
    <w:rsid w:val="00ED402C"/>
    <w:rsid w:val="00ED511B"/>
    <w:rsid w:val="00ED6CF7"/>
    <w:rsid w:val="00ED7D37"/>
    <w:rsid w:val="00ED7D5C"/>
    <w:rsid w:val="00EE0ACF"/>
    <w:rsid w:val="00EE22E3"/>
    <w:rsid w:val="00EE2ED0"/>
    <w:rsid w:val="00EE37DE"/>
    <w:rsid w:val="00EE4B45"/>
    <w:rsid w:val="00EE5994"/>
    <w:rsid w:val="00EE67C5"/>
    <w:rsid w:val="00EE77F8"/>
    <w:rsid w:val="00EF18EF"/>
    <w:rsid w:val="00EF1DF5"/>
    <w:rsid w:val="00EF4031"/>
    <w:rsid w:val="00EF45CE"/>
    <w:rsid w:val="00EF695C"/>
    <w:rsid w:val="00F00984"/>
    <w:rsid w:val="00F01FF7"/>
    <w:rsid w:val="00F05908"/>
    <w:rsid w:val="00F10305"/>
    <w:rsid w:val="00F1076B"/>
    <w:rsid w:val="00F10D71"/>
    <w:rsid w:val="00F11B9B"/>
    <w:rsid w:val="00F11D20"/>
    <w:rsid w:val="00F120D0"/>
    <w:rsid w:val="00F13C2A"/>
    <w:rsid w:val="00F13E0D"/>
    <w:rsid w:val="00F147C7"/>
    <w:rsid w:val="00F15DFF"/>
    <w:rsid w:val="00F20B6E"/>
    <w:rsid w:val="00F20FF5"/>
    <w:rsid w:val="00F217FD"/>
    <w:rsid w:val="00F21C66"/>
    <w:rsid w:val="00F229F9"/>
    <w:rsid w:val="00F248EC"/>
    <w:rsid w:val="00F24BCF"/>
    <w:rsid w:val="00F24C64"/>
    <w:rsid w:val="00F2639B"/>
    <w:rsid w:val="00F271F4"/>
    <w:rsid w:val="00F276EE"/>
    <w:rsid w:val="00F31292"/>
    <w:rsid w:val="00F3255F"/>
    <w:rsid w:val="00F326FA"/>
    <w:rsid w:val="00F32C94"/>
    <w:rsid w:val="00F33271"/>
    <w:rsid w:val="00F3510E"/>
    <w:rsid w:val="00F35B8D"/>
    <w:rsid w:val="00F373DC"/>
    <w:rsid w:val="00F37EF3"/>
    <w:rsid w:val="00F403D6"/>
    <w:rsid w:val="00F40782"/>
    <w:rsid w:val="00F422EF"/>
    <w:rsid w:val="00F42894"/>
    <w:rsid w:val="00F43E26"/>
    <w:rsid w:val="00F45CF2"/>
    <w:rsid w:val="00F470EA"/>
    <w:rsid w:val="00F47A11"/>
    <w:rsid w:val="00F47B25"/>
    <w:rsid w:val="00F506AE"/>
    <w:rsid w:val="00F51346"/>
    <w:rsid w:val="00F51E99"/>
    <w:rsid w:val="00F5235B"/>
    <w:rsid w:val="00F54947"/>
    <w:rsid w:val="00F54F7B"/>
    <w:rsid w:val="00F55CD7"/>
    <w:rsid w:val="00F560DC"/>
    <w:rsid w:val="00F56916"/>
    <w:rsid w:val="00F56AD0"/>
    <w:rsid w:val="00F56B36"/>
    <w:rsid w:val="00F56CB1"/>
    <w:rsid w:val="00F626C2"/>
    <w:rsid w:val="00F630EF"/>
    <w:rsid w:val="00F63F85"/>
    <w:rsid w:val="00F65819"/>
    <w:rsid w:val="00F65DB0"/>
    <w:rsid w:val="00F66D7A"/>
    <w:rsid w:val="00F67A6B"/>
    <w:rsid w:val="00F71634"/>
    <w:rsid w:val="00F71E7F"/>
    <w:rsid w:val="00F7244F"/>
    <w:rsid w:val="00F724D8"/>
    <w:rsid w:val="00F72962"/>
    <w:rsid w:val="00F72D23"/>
    <w:rsid w:val="00F73E25"/>
    <w:rsid w:val="00F743D8"/>
    <w:rsid w:val="00F74CB0"/>
    <w:rsid w:val="00F75495"/>
    <w:rsid w:val="00F7639C"/>
    <w:rsid w:val="00F765EB"/>
    <w:rsid w:val="00F773A0"/>
    <w:rsid w:val="00F81CE4"/>
    <w:rsid w:val="00F81F40"/>
    <w:rsid w:val="00F835E5"/>
    <w:rsid w:val="00F85F00"/>
    <w:rsid w:val="00F86601"/>
    <w:rsid w:val="00F8673B"/>
    <w:rsid w:val="00F908F8"/>
    <w:rsid w:val="00F92442"/>
    <w:rsid w:val="00F926C8"/>
    <w:rsid w:val="00F939DB"/>
    <w:rsid w:val="00F964B0"/>
    <w:rsid w:val="00F97C6F"/>
    <w:rsid w:val="00F97D2D"/>
    <w:rsid w:val="00FA05A4"/>
    <w:rsid w:val="00FA115C"/>
    <w:rsid w:val="00FA2F87"/>
    <w:rsid w:val="00FA30C2"/>
    <w:rsid w:val="00FA63B6"/>
    <w:rsid w:val="00FA6958"/>
    <w:rsid w:val="00FA6E71"/>
    <w:rsid w:val="00FA7135"/>
    <w:rsid w:val="00FA784C"/>
    <w:rsid w:val="00FB06E1"/>
    <w:rsid w:val="00FB0CA2"/>
    <w:rsid w:val="00FB1A25"/>
    <w:rsid w:val="00FB3E15"/>
    <w:rsid w:val="00FB6912"/>
    <w:rsid w:val="00FB6B43"/>
    <w:rsid w:val="00FC00DD"/>
    <w:rsid w:val="00FC0A72"/>
    <w:rsid w:val="00FC0FF9"/>
    <w:rsid w:val="00FC1247"/>
    <w:rsid w:val="00FC13E2"/>
    <w:rsid w:val="00FC14D9"/>
    <w:rsid w:val="00FC1C66"/>
    <w:rsid w:val="00FC27D4"/>
    <w:rsid w:val="00FC359B"/>
    <w:rsid w:val="00FC3BD2"/>
    <w:rsid w:val="00FC3CD4"/>
    <w:rsid w:val="00FC4A5D"/>
    <w:rsid w:val="00FC4E2A"/>
    <w:rsid w:val="00FC596F"/>
    <w:rsid w:val="00FC6D39"/>
    <w:rsid w:val="00FC6F4F"/>
    <w:rsid w:val="00FD07FC"/>
    <w:rsid w:val="00FD1B30"/>
    <w:rsid w:val="00FD32B1"/>
    <w:rsid w:val="00FD3D3E"/>
    <w:rsid w:val="00FD4975"/>
    <w:rsid w:val="00FD4BE2"/>
    <w:rsid w:val="00FD5051"/>
    <w:rsid w:val="00FD5958"/>
    <w:rsid w:val="00FD5A0F"/>
    <w:rsid w:val="00FD756D"/>
    <w:rsid w:val="00FD7972"/>
    <w:rsid w:val="00FD79EA"/>
    <w:rsid w:val="00FE0499"/>
    <w:rsid w:val="00FE059A"/>
    <w:rsid w:val="00FE0781"/>
    <w:rsid w:val="00FE2828"/>
    <w:rsid w:val="00FE29AF"/>
    <w:rsid w:val="00FE395C"/>
    <w:rsid w:val="00FE3DE9"/>
    <w:rsid w:val="00FE40C1"/>
    <w:rsid w:val="00FE54AE"/>
    <w:rsid w:val="00FE561A"/>
    <w:rsid w:val="00FF1E56"/>
    <w:rsid w:val="00FF2122"/>
    <w:rsid w:val="00FF2339"/>
    <w:rsid w:val="00FF2430"/>
    <w:rsid w:val="00FF26B9"/>
    <w:rsid w:val="00FF33AA"/>
    <w:rsid w:val="00FF371D"/>
    <w:rsid w:val="00FF4315"/>
    <w:rsid w:val="00FF4B33"/>
    <w:rsid w:val="00FF5A80"/>
    <w:rsid w:val="00FF637D"/>
    <w:rsid w:val="00FF64CF"/>
    <w:rsid w:val="00FF68FF"/>
    <w:rsid w:val="00FF6B5D"/>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14FB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annotation text" w:uiPriority="99"/>
    <w:lsdException w:name="header" w:uiPriority="99"/>
    <w:lsdException w:name="footer" w:uiPriority="99"/>
    <w:lsdException w:name="caption" w:qFormat="1"/>
    <w:lsdException w:name="envelope address" w:semiHidden="1"/>
    <w:lsdException w:name="envelope return" w:semiHidden="1"/>
    <w:lsdException w:name="line number"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Hyperlink" w:uiPriority="99"/>
    <w:lsdException w:name="Strong" w:qFormat="1"/>
    <w:lsdException w:name="Emphasis" w:semiHidden="1" w:qFormat="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648F"/>
    <w:pPr>
      <w:spacing w:after="240" w:line="260" w:lineRule="exact"/>
    </w:pPr>
    <w:rPr>
      <w:rFonts w:ascii="Book Antiqua" w:hAnsi="Book Antiqua"/>
    </w:rPr>
  </w:style>
  <w:style w:type="paragraph" w:styleId="Heading1">
    <w:name w:val="heading 1"/>
    <w:basedOn w:val="HeadingBase"/>
    <w:next w:val="Normal"/>
    <w:link w:val="Heading1Char"/>
    <w:qFormat/>
    <w:rsid w:val="002A32FD"/>
    <w:pPr>
      <w:spacing w:after="360"/>
      <w:jc w:val="center"/>
      <w:outlineLvl w:val="0"/>
    </w:pPr>
    <w:rPr>
      <w:b/>
      <w:smallCaps/>
      <w:kern w:val="28"/>
      <w:sz w:val="34"/>
    </w:rPr>
  </w:style>
  <w:style w:type="paragraph" w:styleId="Heading2">
    <w:name w:val="heading 2"/>
    <w:basedOn w:val="HeadingBase"/>
    <w:next w:val="Normal"/>
    <w:link w:val="Heading2Char"/>
    <w:qFormat/>
    <w:rsid w:val="00883894"/>
    <w:pPr>
      <w:spacing w:after="48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C5F86"/>
    <w:pPr>
      <w:spacing w:after="120"/>
      <w:outlineLvl w:val="4"/>
    </w:pPr>
    <w:rPr>
      <w:b/>
      <w:bCs/>
      <w:iCs/>
      <w:sz w:val="20"/>
      <w:szCs w:val="26"/>
    </w:rPr>
  </w:style>
  <w:style w:type="paragraph" w:styleId="Heading6">
    <w:name w:val="heading 6"/>
    <w:basedOn w:val="HeadingBase"/>
    <w:next w:val="Normal"/>
    <w:qFormat/>
    <w:rsid w:val="00EC5F86"/>
    <w:pPr>
      <w:spacing w:after="120"/>
      <w:outlineLvl w:val="5"/>
    </w:pPr>
    <w:rPr>
      <w:bCs/>
      <w:sz w:val="20"/>
      <w:szCs w:val="22"/>
    </w:rPr>
  </w:style>
  <w:style w:type="paragraph" w:styleId="Heading7">
    <w:name w:val="heading 7"/>
    <w:basedOn w:val="HeadingBase"/>
    <w:next w:val="Normal"/>
    <w:unhideWhenUsed/>
    <w:qFormat/>
    <w:rsid w:val="00EC5F86"/>
    <w:pPr>
      <w:spacing w:after="100"/>
      <w:outlineLvl w:val="6"/>
    </w:pPr>
    <w:rPr>
      <w:sz w:val="18"/>
      <w:szCs w:val="24"/>
    </w:rPr>
  </w:style>
  <w:style w:type="paragraph" w:styleId="Heading8">
    <w:name w:val="heading 8"/>
    <w:basedOn w:val="HeadingBase"/>
    <w:next w:val="Normal"/>
    <w:unhideWhenUsed/>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semiHidden/>
    <w:rsid w:val="00EC5F86"/>
    <w:rPr>
      <w:i/>
      <w:color w:val="FF0000"/>
      <w:lang w:val="x-none" w:eastAsia="x-none"/>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AD42E2"/>
    <w:pPr>
      <w:spacing w:after="20"/>
    </w:pPr>
    <w:rPr>
      <w:b/>
      <w:color w:val="000000"/>
      <w:sz w:val="20"/>
      <w:lang w:val="x-none" w:eastAsia="x-none"/>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rPr>
      <w:lang w:val="x-none" w:eastAsia="x-none"/>
    </w:rPr>
  </w:style>
  <w:style w:type="paragraph" w:customStyle="1" w:styleId="Dash">
    <w:name w:val="Dash"/>
    <w:basedOn w:val="Normal"/>
    <w:rsid w:val="00EC5F86"/>
    <w:pPr>
      <w:numPr>
        <w:ilvl w:val="1"/>
        <w:numId w:val="2"/>
      </w:numPr>
    </w:pPr>
  </w:style>
  <w:style w:type="paragraph" w:customStyle="1" w:styleId="DoubleDot">
    <w:name w:val="Double Dot"/>
    <w:basedOn w:val="Normal"/>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pPr>
      <w:spacing w:line="240" w:lineRule="auto"/>
    </w:pPr>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ChartandTableFootnote"/>
    <w:next w:val="Normal"/>
    <w:rsid w:val="00136A19"/>
    <w:pPr>
      <w:numPr>
        <w:numId w:val="4"/>
      </w:numPr>
      <w:contextualSpacing/>
    </w:p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FootnoteText"/>
    <w:next w:val="Normal"/>
    <w:link w:val="ChartandTableFootnoteChar"/>
    <w:rsid w:val="00F81F40"/>
    <w:pPr>
      <w:spacing w:before="120" w:after="120"/>
      <w:ind w:left="0" w:firstLine="0"/>
    </w:pPr>
    <w:rPr>
      <w:color w:val="000000"/>
      <w:sz w:val="16"/>
      <w:lang w:val="x-none" w:eastAsia="x-none"/>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2A32FD"/>
    <w:pPr>
      <w:spacing w:after="600"/>
      <w:jc w:val="center"/>
    </w:pPr>
    <w:rPr>
      <w:b/>
      <w:smallCaps/>
      <w:sz w:val="34"/>
    </w:rPr>
  </w:style>
  <w:style w:type="paragraph" w:customStyle="1" w:styleId="FigureHeading">
    <w:name w:val="Figure Heading"/>
    <w:basedOn w:val="HeadingBase"/>
    <w:next w:val="ChartGraphic"/>
    <w:rsid w:val="007B47E0"/>
    <w:pPr>
      <w:spacing w:after="120"/>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pPr>
      <w:spacing w:before="120" w:after="120" w:line="240" w:lineRule="auto"/>
    </w:pPr>
  </w:style>
  <w:style w:type="paragraph" w:customStyle="1" w:styleId="TableGraphic">
    <w:name w:val="Table Graphic"/>
    <w:basedOn w:val="Normal"/>
    <w:next w:val="Normal"/>
    <w:rsid w:val="00EC5F86"/>
    <w:pPr>
      <w:spacing w:after="0" w:line="240" w:lineRule="auto"/>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EC5F86"/>
    <w:pPr>
      <w:spacing w:before="60" w:after="60" w:line="240" w:lineRule="auto"/>
    </w:pPr>
    <w:rPr>
      <w:rFonts w:ascii="Arial" w:hAnsi="Arial"/>
      <w:sz w:val="18"/>
    </w:rPr>
  </w:style>
  <w:style w:type="paragraph" w:customStyle="1" w:styleId="TableColumnHeadingBase">
    <w:name w:val="Table Column Heading Base"/>
    <w:basedOn w:val="Normal"/>
    <w:rsid w:val="00EC5F86"/>
    <w:pPr>
      <w:spacing w:before="60" w:after="60" w:line="240" w:lineRule="auto"/>
    </w:pPr>
    <w:rPr>
      <w:rFonts w:ascii="Arial" w:hAnsi="Arial"/>
      <w:b/>
    </w:rPr>
  </w:style>
  <w:style w:type="paragraph" w:customStyle="1" w:styleId="TableTextLeft">
    <w:name w:val="Table Text Left"/>
    <w:basedOn w:val="TableTextBase"/>
    <w:link w:val="TableTextLeftChar"/>
    <w:rsid w:val="006912E6"/>
    <w:rPr>
      <w:sz w:val="17"/>
    </w:rPr>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EC5F86"/>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semiHidden/>
    <w:rsid w:val="00EC5F86"/>
    <w:pPr>
      <w:numPr>
        <w:numId w:val="5"/>
      </w:numPr>
    </w:pPr>
  </w:style>
  <w:style w:type="paragraph" w:styleId="Title">
    <w:name w:val="Title"/>
    <w:basedOn w:val="Normal"/>
    <w:qFormat/>
    <w:rsid w:val="00883894"/>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B166C6"/>
    <w:pPr>
      <w:spacing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rPr>
      <w:lang w:val="x-none" w:eastAsia="x-none"/>
    </w:r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EC5F86"/>
    <w:pPr>
      <w:tabs>
        <w:tab w:val="center" w:pos="4153"/>
        <w:tab w:val="right" w:pos="8306"/>
      </w:tabs>
    </w:pPr>
    <w:rPr>
      <w:lang w:val="x-none" w:eastAsia="x-none"/>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semiHidden/>
    <w:rsid w:val="00EC5F86"/>
    <w:rPr>
      <w:sz w:val="16"/>
      <w:szCs w:val="16"/>
    </w:rPr>
  </w:style>
  <w:style w:type="paragraph" w:styleId="CommentText">
    <w:name w:val="annotation text"/>
    <w:basedOn w:val="Normal"/>
    <w:link w:val="CommentTextChar"/>
    <w:uiPriority w:val="99"/>
    <w:semiHidden/>
    <w:rsid w:val="00EC5F86"/>
    <w:rPr>
      <w:lang w:val="x-none" w:eastAsia="x-none"/>
    </w:rPr>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rsid w:val="00EC5F86"/>
    <w:rPr>
      <w:vertAlign w:val="superscript"/>
    </w:rPr>
  </w:style>
  <w:style w:type="paragraph" w:styleId="FootnoteText">
    <w:name w:val="footnote text"/>
    <w:basedOn w:val="Normal"/>
    <w:link w:val="FootnoteTextChar"/>
    <w:rsid w:val="007078CE"/>
    <w:pPr>
      <w:tabs>
        <w:tab w:val="left" w:pos="284"/>
      </w:tabs>
      <w:spacing w:after="0" w:line="240" w:lineRule="auto"/>
      <w:ind w:left="113" w:hanging="113"/>
    </w:pPr>
    <w:rPr>
      <w:rFonts w:ascii="Arial" w:hAnsi="Arial"/>
      <w:sz w:val="17"/>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pPr>
      <w:spacing w:before="120"/>
    </w:pPr>
    <w:rPr>
      <w:rFonts w:ascii="Arial" w:hAnsi="Arial" w:cs="Arial"/>
      <w:b/>
      <w:bCs/>
      <w:sz w:val="24"/>
      <w:szCs w:val="24"/>
    </w:rPr>
  </w:style>
  <w:style w:type="paragraph" w:styleId="TOC1">
    <w:name w:val="toc 1"/>
    <w:basedOn w:val="HeaderBase"/>
    <w:next w:val="Normal"/>
    <w:uiPriority w:val="39"/>
    <w:rsid w:val="000C2620"/>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EC5F86"/>
    <w:pPr>
      <w:tabs>
        <w:tab w:val="right" w:leader="dot" w:pos="7700"/>
      </w:tabs>
      <w:spacing w:before="80"/>
      <w:ind w:right="851"/>
    </w:pPr>
    <w:rPr>
      <w:sz w:val="20"/>
    </w:rPr>
  </w:style>
  <w:style w:type="paragraph" w:styleId="TOC3">
    <w:name w:val="toc 3"/>
    <w:basedOn w:val="HeadingBase"/>
    <w:next w:val="Normal"/>
    <w:uiPriority w:val="39"/>
    <w:rsid w:val="00EC5F86"/>
    <w:pPr>
      <w:tabs>
        <w:tab w:val="right" w:leader="dot" w:pos="7700"/>
      </w:tabs>
      <w:spacing w:before="120"/>
      <w:ind w:right="851"/>
    </w:pPr>
    <w:rPr>
      <w:b/>
      <w:sz w:val="20"/>
    </w:rPr>
  </w:style>
  <w:style w:type="paragraph" w:styleId="TOC4">
    <w:name w:val="toc 4"/>
    <w:basedOn w:val="HeadingBase"/>
    <w:next w:val="Normal"/>
    <w:uiPriority w:val="39"/>
    <w:rsid w:val="00EC5F86"/>
    <w:pPr>
      <w:tabs>
        <w:tab w:val="right" w:leader="dot" w:pos="7700"/>
      </w:tabs>
      <w:spacing w:before="40"/>
      <w:ind w:right="851"/>
    </w:pPr>
    <w:rPr>
      <w:sz w:val="20"/>
    </w:rPr>
  </w:style>
  <w:style w:type="paragraph" w:styleId="TOC5">
    <w:name w:val="toc 5"/>
    <w:basedOn w:val="Normal"/>
    <w:next w:val="Normal"/>
    <w:autoRedefine/>
    <w:uiPriority w:val="39"/>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before="120" w:after="20" w:line="240" w:lineRule="auto"/>
      <w:jc w:val="center"/>
    </w:pPr>
    <w:rPr>
      <w:rFonts w:ascii="Arial" w:hAnsi="Arial"/>
      <w:b/>
    </w:rPr>
  </w:style>
  <w:style w:type="table" w:styleId="TableGrid">
    <w:name w:val="Table Grid"/>
    <w:basedOn w:val="TableNormal"/>
    <w:rsid w:val="00EC5F86"/>
    <w:pPr>
      <w:spacing w:after="240" w:line="260" w:lineRule="exac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smallCaps w:val="0"/>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6F2DF3"/>
    <w:pPr>
      <w:spacing w:after="0" w:line="240" w:lineRule="auto"/>
      <w:jc w:val="center"/>
    </w:pPr>
    <w:rPr>
      <w:rFonts w:ascii="Arial" w:hAnsi="Arial"/>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semiHidden/>
    <w:rsid w:val="00A02D24"/>
    <w:rPr>
      <w:rFonts w:ascii="Book Antiqua" w:hAnsi="Book Antiqua"/>
      <w:i/>
      <w:color w:val="FF0000"/>
    </w:rPr>
  </w:style>
  <w:style w:type="paragraph" w:customStyle="1" w:styleId="Crest">
    <w:name w:val="Crest"/>
    <w:basedOn w:val="Normal"/>
    <w:next w:val="TransmittalStyle1"/>
    <w:semiHidden/>
    <w:rsid w:val="00021DA6"/>
    <w:pPr>
      <w:spacing w:after="0" w:line="240" w:lineRule="auto"/>
      <w:jc w:val="center"/>
    </w:pPr>
  </w:style>
  <w:style w:type="character" w:styleId="Hyperlink">
    <w:name w:val="Hyperlink"/>
    <w:uiPriority w:val="99"/>
    <w:rsid w:val="00A364F1"/>
    <w:rPr>
      <w:color w:val="000000"/>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after="120" w:line="240" w:lineRule="auto"/>
    </w:pPr>
    <w:rPr>
      <w:b/>
      <w:sz w:val="22"/>
    </w:rPr>
  </w:style>
  <w:style w:type="paragraph" w:customStyle="1" w:styleId="TableColumnOutgroupSubheading">
    <w:name w:val="Table Column Outgroup Subheading"/>
    <w:basedOn w:val="Normal"/>
    <w:rsid w:val="00EC5F86"/>
    <w:pPr>
      <w:spacing w:before="60" w:after="120" w:line="240" w:lineRule="auto"/>
      <w:jc w:val="center"/>
    </w:pPr>
  </w:style>
  <w:style w:type="paragraph" w:customStyle="1" w:styleId="TableTextBullet">
    <w:name w:val="Table Text Bullet"/>
    <w:basedOn w:val="TableTextBase"/>
    <w:rsid w:val="006912E6"/>
    <w:pPr>
      <w:numPr>
        <w:numId w:val="6"/>
      </w:numPr>
    </w:pPr>
    <w:rPr>
      <w:sz w:val="17"/>
    </w:rPr>
  </w:style>
  <w:style w:type="paragraph" w:customStyle="1" w:styleId="Exampletextdash">
    <w:name w:val="Example text dash"/>
    <w:basedOn w:val="Exampletextbullet"/>
    <w:semiHidden/>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AD42E2"/>
    <w:rPr>
      <w:rFonts w:ascii="Arial" w:hAnsi="Arial"/>
      <w:b/>
      <w:color w:val="000000"/>
      <w:lang w:val="x-none" w:eastAsia="x-none"/>
    </w:rPr>
  </w:style>
  <w:style w:type="character" w:customStyle="1" w:styleId="TableTextBaseChar">
    <w:name w:val="Table Text Base Char"/>
    <w:link w:val="TableTextBase"/>
    <w:rsid w:val="00637BBD"/>
    <w:rPr>
      <w:rFonts w:ascii="Arial" w:hAnsi="Arial"/>
      <w:sz w:val="18"/>
      <w:lang w:val="en-AU" w:eastAsia="en-AU" w:bidi="ar-SA"/>
    </w:rPr>
  </w:style>
  <w:style w:type="character" w:customStyle="1" w:styleId="TableTextLeftChar">
    <w:name w:val="Table Text Left Char"/>
    <w:link w:val="TableTextLeft"/>
    <w:rsid w:val="006912E6"/>
    <w:rPr>
      <w:rFonts w:ascii="Arial" w:hAnsi="Arial"/>
      <w:sz w:val="17"/>
    </w:rPr>
  </w:style>
  <w:style w:type="paragraph" w:styleId="ListParagraph">
    <w:name w:val="List Paragraph"/>
    <w:basedOn w:val="Normal"/>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F81F40"/>
    <w:rPr>
      <w:rFonts w:ascii="Arial" w:hAnsi="Arial"/>
      <w:color w:val="000000"/>
      <w:sz w:val="16"/>
      <w:lang w:val="x-none" w:eastAsia="x-none"/>
    </w:rPr>
  </w:style>
  <w:style w:type="paragraph" w:customStyle="1" w:styleId="PartHeading">
    <w:name w:val="Part Heading"/>
    <w:basedOn w:val="Title"/>
    <w:next w:val="Normal"/>
    <w:rsid w:val="007437BA"/>
    <w:pPr>
      <w:spacing w:after="480"/>
      <w:outlineLvl w:val="9"/>
    </w:pPr>
  </w:style>
  <w:style w:type="character" w:customStyle="1" w:styleId="BulletChar">
    <w:name w:val="Bullet Char"/>
    <w:link w:val="Bullet"/>
    <w:rsid w:val="00FD5958"/>
    <w:rPr>
      <w:rFonts w:ascii="Book Antiqua" w:hAnsi="Book Antiqua"/>
      <w:lang w:val="x-none" w:eastAsia="x-none"/>
    </w:rPr>
  </w:style>
  <w:style w:type="paragraph" w:customStyle="1" w:styleId="BoxTextBase">
    <w:name w:val="Box Text Base"/>
    <w:basedOn w:val="Normal"/>
    <w:rsid w:val="00EC5F86"/>
    <w:pPr>
      <w:spacing w:after="120"/>
    </w:pPr>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before="120" w:after="120" w:line="280" w:lineRule="exact"/>
    </w:pPr>
    <w:rPr>
      <w:rFonts w:ascii="Arial" w:hAnsi="Arial" w:cs="Arial"/>
      <w:b/>
    </w:rPr>
  </w:style>
  <w:style w:type="paragraph" w:customStyle="1" w:styleId="ProgramHeading">
    <w:name w:val="Program Heading"/>
    <w:basedOn w:val="HeadingBase"/>
    <w:rsid w:val="00EC5F86"/>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semiHidden/>
    <w:rsid w:val="001B0C75"/>
    <w:rPr>
      <w:rFonts w:ascii="Book Antiqua" w:hAnsi="Book Antiqua"/>
    </w:rPr>
  </w:style>
  <w:style w:type="paragraph" w:customStyle="1" w:styleId="ExampleText0">
    <w:name w:val="Example Text"/>
    <w:basedOn w:val="Normal"/>
    <w:uiPriority w:val="99"/>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605163"/>
    <w:rPr>
      <w:rFonts w:ascii="Arial" w:hAnsi="Arial"/>
    </w:rPr>
  </w:style>
  <w:style w:type="character" w:styleId="Strong">
    <w:name w:val="Strong"/>
    <w:semiHidden/>
    <w:qFormat/>
    <w:rsid w:val="00B2691D"/>
    <w:rPr>
      <w:b/>
      <w:bCs/>
    </w:rPr>
  </w:style>
  <w:style w:type="paragraph" w:styleId="BodyText">
    <w:name w:val="Body Text"/>
    <w:basedOn w:val="Normal"/>
    <w:link w:val="BodyTextChar"/>
    <w:qFormat/>
    <w:rsid w:val="00F71634"/>
    <w:pPr>
      <w:spacing w:after="120" w:line="240" w:lineRule="auto"/>
    </w:pPr>
    <w:rPr>
      <w:rFonts w:ascii="Cambria" w:eastAsia="Cambria" w:hAnsi="Cambria"/>
      <w:sz w:val="22"/>
      <w:szCs w:val="22"/>
      <w:lang w:val="x-none" w:eastAsia="en-US"/>
    </w:rPr>
  </w:style>
  <w:style w:type="character" w:customStyle="1" w:styleId="BodyTextChar">
    <w:name w:val="Body Text Char"/>
    <w:link w:val="BodyText"/>
    <w:rsid w:val="00F71634"/>
    <w:rPr>
      <w:rFonts w:ascii="Cambria" w:eastAsia="Cambria" w:hAnsi="Cambria"/>
      <w:sz w:val="22"/>
      <w:szCs w:val="22"/>
      <w:lang w:eastAsia="en-US"/>
    </w:rPr>
  </w:style>
  <w:style w:type="paragraph" w:customStyle="1" w:styleId="Heading2NoTOC">
    <w:name w:val="Heading 2 No TOC"/>
    <w:basedOn w:val="Heading2"/>
    <w:qFormat/>
    <w:rsid w:val="002A32FD"/>
    <w:pPr>
      <w:spacing w:after="360"/>
    </w:pPr>
  </w:style>
  <w:style w:type="paragraph" w:customStyle="1" w:styleId="Heading1-TOC">
    <w:name w:val="Heading 1 - TOC"/>
    <w:basedOn w:val="Heading1"/>
    <w:rsid w:val="006B7542"/>
  </w:style>
  <w:style w:type="paragraph" w:customStyle="1" w:styleId="PartHeading-TOC">
    <w:name w:val="Part Heading - TOC"/>
    <w:basedOn w:val="PartHeading"/>
    <w:rsid w:val="006B7542"/>
  </w:style>
  <w:style w:type="paragraph" w:customStyle="1" w:styleId="Heading4-NoTOC">
    <w:name w:val="Heading 4 - No TOC"/>
    <w:basedOn w:val="Heading4"/>
    <w:rsid w:val="00834F9A"/>
    <w:pPr>
      <w:outlineLvl w:val="9"/>
    </w:pPr>
  </w:style>
  <w:style w:type="character" w:customStyle="1" w:styleId="FootnoteTextChar">
    <w:name w:val="Footnote Text Char"/>
    <w:link w:val="FootnoteText"/>
    <w:rsid w:val="00A54553"/>
    <w:rPr>
      <w:rFonts w:ascii="Arial" w:hAnsi="Arial"/>
      <w:sz w:val="17"/>
    </w:rPr>
  </w:style>
  <w:style w:type="paragraph" w:customStyle="1" w:styleId="TableTextNumbered">
    <w:name w:val="Table Text Numbered"/>
    <w:basedOn w:val="TableTextLeft"/>
    <w:qFormat/>
    <w:rsid w:val="001C6D8C"/>
    <w:pPr>
      <w:numPr>
        <w:numId w:val="19"/>
      </w:numPr>
      <w:tabs>
        <w:tab w:val="num" w:pos="360"/>
      </w:tabs>
      <w:ind w:left="0" w:firstLine="0"/>
    </w:pPr>
    <w:rPr>
      <w:rFonts w:cs="Arial"/>
    </w:rPr>
  </w:style>
  <w:style w:type="paragraph" w:customStyle="1" w:styleId="Tabletextjustified0">
    <w:name w:val="Table text justified"/>
    <w:basedOn w:val="Normal"/>
    <w:semiHidden/>
    <w:rsid w:val="008350DA"/>
    <w:pPr>
      <w:spacing w:before="100" w:after="100" w:line="250" w:lineRule="exact"/>
      <w:jc w:val="both"/>
    </w:pPr>
    <w:rPr>
      <w:rFonts w:ascii="Arial" w:hAnsi="Arial" w:cs="Arial"/>
      <w:sz w:val="18"/>
    </w:rPr>
  </w:style>
  <w:style w:type="character" w:customStyle="1" w:styleId="Heading1Char">
    <w:name w:val="Heading 1 Char"/>
    <w:link w:val="Heading1"/>
    <w:rsid w:val="00240B29"/>
    <w:rPr>
      <w:rFonts w:ascii="Arial" w:hAnsi="Arial"/>
      <w:b/>
      <w:smallCaps/>
      <w:kern w:val="28"/>
      <w:sz w:val="34"/>
    </w:rPr>
  </w:style>
  <w:style w:type="character" w:customStyle="1" w:styleId="Heading2Char">
    <w:name w:val="Heading 2 Char"/>
    <w:link w:val="Heading2"/>
    <w:rsid w:val="00240B29"/>
    <w:rPr>
      <w:rFonts w:ascii="Arial" w:hAnsi="Arial"/>
      <w:sz w:val="30"/>
    </w:rPr>
  </w:style>
  <w:style w:type="character" w:customStyle="1" w:styleId="Heading4Char">
    <w:name w:val="Heading 4 Char"/>
    <w:link w:val="Heading4"/>
    <w:rsid w:val="00240B29"/>
    <w:rPr>
      <w:rFonts w:ascii="Arial" w:hAnsi="Arial"/>
      <w:b/>
      <w:sz w:val="22"/>
    </w:rPr>
  </w:style>
  <w:style w:type="character" w:customStyle="1" w:styleId="Heading5Char">
    <w:name w:val="Heading 5 Char"/>
    <w:link w:val="Heading5"/>
    <w:rsid w:val="00240B29"/>
    <w:rPr>
      <w:rFonts w:ascii="Arial" w:hAnsi="Arial"/>
      <w:b/>
      <w:bCs/>
      <w:iCs/>
      <w:szCs w:val="26"/>
    </w:rPr>
  </w:style>
  <w:style w:type="paragraph" w:customStyle="1" w:styleId="Tabletext">
    <w:name w:val="Table text"/>
    <w:basedOn w:val="Normal"/>
    <w:qFormat/>
    <w:rsid w:val="001405B1"/>
    <w:pPr>
      <w:spacing w:before="60" w:after="60" w:line="240" w:lineRule="auto"/>
    </w:pPr>
    <w:rPr>
      <w:rFonts w:ascii="Calibri" w:eastAsia="Cambria" w:hAnsi="Calibri"/>
      <w:color w:val="4A4848"/>
      <w:sz w:val="22"/>
      <w:szCs w:val="22"/>
      <w:lang w:eastAsia="en-US"/>
    </w:rPr>
  </w:style>
  <w:style w:type="character" w:customStyle="1" w:styleId="BulletsChar">
    <w:name w:val="Bullets Char"/>
    <w:link w:val="Bullets"/>
    <w:locked/>
    <w:rsid w:val="00E56F48"/>
    <w:rPr>
      <w:rFonts w:ascii="Book Antiqua" w:hAnsi="Book Antiqua" w:cs="Arial"/>
      <w:color w:val="000000"/>
      <w:szCs w:val="16"/>
      <w:lang w:eastAsia="en-US"/>
    </w:rPr>
  </w:style>
  <w:style w:type="paragraph" w:customStyle="1" w:styleId="Bullets">
    <w:name w:val="Bullets"/>
    <w:basedOn w:val="Normal"/>
    <w:link w:val="BulletsChar"/>
    <w:qFormat/>
    <w:rsid w:val="00E56F48"/>
    <w:pPr>
      <w:numPr>
        <w:numId w:val="37"/>
      </w:numPr>
      <w:spacing w:after="80" w:line="240" w:lineRule="auto"/>
    </w:pPr>
    <w:rPr>
      <w:rFonts w:cs="Arial"/>
      <w:color w:val="000000"/>
      <w:szCs w:val="16"/>
      <w:lang w:eastAsia="en-US"/>
    </w:rPr>
  </w:style>
  <w:style w:type="paragraph" w:styleId="NormalWeb">
    <w:name w:val="Normal (Web)"/>
    <w:basedOn w:val="Normal"/>
    <w:uiPriority w:val="99"/>
    <w:semiHidden/>
    <w:unhideWhenUsed/>
    <w:rsid w:val="002C3D9C"/>
    <w:pPr>
      <w:spacing w:before="100" w:beforeAutospacing="1" w:after="100" w:afterAutospacing="1" w:line="240" w:lineRule="auto"/>
    </w:pPr>
    <w:rPr>
      <w:rFonts w:ascii="Times New Roman" w:hAnsi="Times New Roman"/>
      <w:sz w:val="24"/>
      <w:szCs w:val="24"/>
    </w:rPr>
  </w:style>
  <w:style w:type="paragraph" w:customStyle="1" w:styleId="Default">
    <w:name w:val="Default"/>
    <w:rsid w:val="0010759A"/>
    <w:pPr>
      <w:autoSpaceDE w:val="0"/>
      <w:autoSpaceDN w:val="0"/>
      <w:adjustRightInd w:val="0"/>
    </w:pPr>
    <w:rPr>
      <w:rFonts w:ascii="Book Antiqua" w:hAnsi="Book Antiqua" w:cs="Book Antiqu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annotation text" w:uiPriority="99"/>
    <w:lsdException w:name="header" w:uiPriority="99"/>
    <w:lsdException w:name="footer" w:uiPriority="99"/>
    <w:lsdException w:name="caption" w:qFormat="1"/>
    <w:lsdException w:name="envelope address" w:semiHidden="1"/>
    <w:lsdException w:name="envelope return" w:semiHidden="1"/>
    <w:lsdException w:name="line number"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Hyperlink" w:uiPriority="99"/>
    <w:lsdException w:name="Strong" w:qFormat="1"/>
    <w:lsdException w:name="Emphasis" w:semiHidden="1" w:qFormat="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648F"/>
    <w:pPr>
      <w:spacing w:after="240" w:line="260" w:lineRule="exact"/>
    </w:pPr>
    <w:rPr>
      <w:rFonts w:ascii="Book Antiqua" w:hAnsi="Book Antiqua"/>
    </w:rPr>
  </w:style>
  <w:style w:type="paragraph" w:styleId="Heading1">
    <w:name w:val="heading 1"/>
    <w:basedOn w:val="HeadingBase"/>
    <w:next w:val="Normal"/>
    <w:link w:val="Heading1Char"/>
    <w:qFormat/>
    <w:rsid w:val="002A32FD"/>
    <w:pPr>
      <w:spacing w:after="360"/>
      <w:jc w:val="center"/>
      <w:outlineLvl w:val="0"/>
    </w:pPr>
    <w:rPr>
      <w:b/>
      <w:smallCaps/>
      <w:kern w:val="28"/>
      <w:sz w:val="34"/>
    </w:rPr>
  </w:style>
  <w:style w:type="paragraph" w:styleId="Heading2">
    <w:name w:val="heading 2"/>
    <w:basedOn w:val="HeadingBase"/>
    <w:next w:val="Normal"/>
    <w:link w:val="Heading2Char"/>
    <w:qFormat/>
    <w:rsid w:val="00883894"/>
    <w:pPr>
      <w:spacing w:after="48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C5F86"/>
    <w:pPr>
      <w:spacing w:after="120"/>
      <w:outlineLvl w:val="4"/>
    </w:pPr>
    <w:rPr>
      <w:b/>
      <w:bCs/>
      <w:iCs/>
      <w:sz w:val="20"/>
      <w:szCs w:val="26"/>
    </w:rPr>
  </w:style>
  <w:style w:type="paragraph" w:styleId="Heading6">
    <w:name w:val="heading 6"/>
    <w:basedOn w:val="HeadingBase"/>
    <w:next w:val="Normal"/>
    <w:qFormat/>
    <w:rsid w:val="00EC5F86"/>
    <w:pPr>
      <w:spacing w:after="120"/>
      <w:outlineLvl w:val="5"/>
    </w:pPr>
    <w:rPr>
      <w:bCs/>
      <w:sz w:val="20"/>
      <w:szCs w:val="22"/>
    </w:rPr>
  </w:style>
  <w:style w:type="paragraph" w:styleId="Heading7">
    <w:name w:val="heading 7"/>
    <w:basedOn w:val="HeadingBase"/>
    <w:next w:val="Normal"/>
    <w:unhideWhenUsed/>
    <w:qFormat/>
    <w:rsid w:val="00EC5F86"/>
    <w:pPr>
      <w:spacing w:after="100"/>
      <w:outlineLvl w:val="6"/>
    </w:pPr>
    <w:rPr>
      <w:sz w:val="18"/>
      <w:szCs w:val="24"/>
    </w:rPr>
  </w:style>
  <w:style w:type="paragraph" w:styleId="Heading8">
    <w:name w:val="heading 8"/>
    <w:basedOn w:val="HeadingBase"/>
    <w:next w:val="Normal"/>
    <w:unhideWhenUsed/>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semiHidden/>
    <w:rsid w:val="00EC5F86"/>
    <w:rPr>
      <w:i/>
      <w:color w:val="FF0000"/>
      <w:lang w:val="x-none" w:eastAsia="x-none"/>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AD42E2"/>
    <w:pPr>
      <w:spacing w:after="20"/>
    </w:pPr>
    <w:rPr>
      <w:b/>
      <w:color w:val="000000"/>
      <w:sz w:val="20"/>
      <w:lang w:val="x-none" w:eastAsia="x-none"/>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rPr>
      <w:lang w:val="x-none" w:eastAsia="x-none"/>
    </w:rPr>
  </w:style>
  <w:style w:type="paragraph" w:customStyle="1" w:styleId="Dash">
    <w:name w:val="Dash"/>
    <w:basedOn w:val="Normal"/>
    <w:rsid w:val="00EC5F86"/>
    <w:pPr>
      <w:numPr>
        <w:ilvl w:val="1"/>
        <w:numId w:val="2"/>
      </w:numPr>
    </w:pPr>
  </w:style>
  <w:style w:type="paragraph" w:customStyle="1" w:styleId="DoubleDot">
    <w:name w:val="Double Dot"/>
    <w:basedOn w:val="Normal"/>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pPr>
      <w:spacing w:line="240" w:lineRule="auto"/>
    </w:pPr>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ChartandTableFootnote"/>
    <w:next w:val="Normal"/>
    <w:rsid w:val="00136A19"/>
    <w:pPr>
      <w:numPr>
        <w:numId w:val="4"/>
      </w:numPr>
      <w:contextualSpacing/>
    </w:p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FootnoteText"/>
    <w:next w:val="Normal"/>
    <w:link w:val="ChartandTableFootnoteChar"/>
    <w:rsid w:val="00F81F40"/>
    <w:pPr>
      <w:spacing w:before="120" w:after="120"/>
      <w:ind w:left="0" w:firstLine="0"/>
    </w:pPr>
    <w:rPr>
      <w:color w:val="000000"/>
      <w:sz w:val="16"/>
      <w:lang w:val="x-none" w:eastAsia="x-none"/>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2A32FD"/>
    <w:pPr>
      <w:spacing w:after="600"/>
      <w:jc w:val="center"/>
    </w:pPr>
    <w:rPr>
      <w:b/>
      <w:smallCaps/>
      <w:sz w:val="34"/>
    </w:rPr>
  </w:style>
  <w:style w:type="paragraph" w:customStyle="1" w:styleId="FigureHeading">
    <w:name w:val="Figure Heading"/>
    <w:basedOn w:val="HeadingBase"/>
    <w:next w:val="ChartGraphic"/>
    <w:rsid w:val="007B47E0"/>
    <w:pPr>
      <w:spacing w:after="120"/>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pPr>
      <w:spacing w:before="120" w:after="120" w:line="240" w:lineRule="auto"/>
    </w:pPr>
  </w:style>
  <w:style w:type="paragraph" w:customStyle="1" w:styleId="TableGraphic">
    <w:name w:val="Table Graphic"/>
    <w:basedOn w:val="Normal"/>
    <w:next w:val="Normal"/>
    <w:rsid w:val="00EC5F86"/>
    <w:pPr>
      <w:spacing w:after="0" w:line="240" w:lineRule="auto"/>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EC5F86"/>
    <w:pPr>
      <w:spacing w:before="60" w:after="60" w:line="240" w:lineRule="auto"/>
    </w:pPr>
    <w:rPr>
      <w:rFonts w:ascii="Arial" w:hAnsi="Arial"/>
      <w:sz w:val="18"/>
    </w:rPr>
  </w:style>
  <w:style w:type="paragraph" w:customStyle="1" w:styleId="TableColumnHeadingBase">
    <w:name w:val="Table Column Heading Base"/>
    <w:basedOn w:val="Normal"/>
    <w:rsid w:val="00EC5F86"/>
    <w:pPr>
      <w:spacing w:before="60" w:after="60" w:line="240" w:lineRule="auto"/>
    </w:pPr>
    <w:rPr>
      <w:rFonts w:ascii="Arial" w:hAnsi="Arial"/>
      <w:b/>
    </w:rPr>
  </w:style>
  <w:style w:type="paragraph" w:customStyle="1" w:styleId="TableTextLeft">
    <w:name w:val="Table Text Left"/>
    <w:basedOn w:val="TableTextBase"/>
    <w:link w:val="TableTextLeftChar"/>
    <w:rsid w:val="006912E6"/>
    <w:rPr>
      <w:sz w:val="17"/>
    </w:rPr>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EC5F86"/>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semiHidden/>
    <w:rsid w:val="00EC5F86"/>
    <w:pPr>
      <w:numPr>
        <w:numId w:val="5"/>
      </w:numPr>
    </w:pPr>
  </w:style>
  <w:style w:type="paragraph" w:styleId="Title">
    <w:name w:val="Title"/>
    <w:basedOn w:val="Normal"/>
    <w:qFormat/>
    <w:rsid w:val="00883894"/>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B166C6"/>
    <w:pPr>
      <w:spacing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rPr>
      <w:lang w:val="x-none" w:eastAsia="x-none"/>
    </w:r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EC5F86"/>
    <w:pPr>
      <w:tabs>
        <w:tab w:val="center" w:pos="4153"/>
        <w:tab w:val="right" w:pos="8306"/>
      </w:tabs>
    </w:pPr>
    <w:rPr>
      <w:lang w:val="x-none" w:eastAsia="x-none"/>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semiHidden/>
    <w:rsid w:val="00EC5F86"/>
    <w:rPr>
      <w:sz w:val="16"/>
      <w:szCs w:val="16"/>
    </w:rPr>
  </w:style>
  <w:style w:type="paragraph" w:styleId="CommentText">
    <w:name w:val="annotation text"/>
    <w:basedOn w:val="Normal"/>
    <w:link w:val="CommentTextChar"/>
    <w:uiPriority w:val="99"/>
    <w:semiHidden/>
    <w:rsid w:val="00EC5F86"/>
    <w:rPr>
      <w:lang w:val="x-none" w:eastAsia="x-none"/>
    </w:rPr>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rsid w:val="00EC5F86"/>
    <w:rPr>
      <w:vertAlign w:val="superscript"/>
    </w:rPr>
  </w:style>
  <w:style w:type="paragraph" w:styleId="FootnoteText">
    <w:name w:val="footnote text"/>
    <w:basedOn w:val="Normal"/>
    <w:link w:val="FootnoteTextChar"/>
    <w:rsid w:val="007078CE"/>
    <w:pPr>
      <w:tabs>
        <w:tab w:val="left" w:pos="284"/>
      </w:tabs>
      <w:spacing w:after="0" w:line="240" w:lineRule="auto"/>
      <w:ind w:left="113" w:hanging="113"/>
    </w:pPr>
    <w:rPr>
      <w:rFonts w:ascii="Arial" w:hAnsi="Arial"/>
      <w:sz w:val="17"/>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pPr>
      <w:spacing w:before="120"/>
    </w:pPr>
    <w:rPr>
      <w:rFonts w:ascii="Arial" w:hAnsi="Arial" w:cs="Arial"/>
      <w:b/>
      <w:bCs/>
      <w:sz w:val="24"/>
      <w:szCs w:val="24"/>
    </w:rPr>
  </w:style>
  <w:style w:type="paragraph" w:styleId="TOC1">
    <w:name w:val="toc 1"/>
    <w:basedOn w:val="HeaderBase"/>
    <w:next w:val="Normal"/>
    <w:uiPriority w:val="39"/>
    <w:rsid w:val="000C2620"/>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EC5F86"/>
    <w:pPr>
      <w:tabs>
        <w:tab w:val="right" w:leader="dot" w:pos="7700"/>
      </w:tabs>
      <w:spacing w:before="80"/>
      <w:ind w:right="851"/>
    </w:pPr>
    <w:rPr>
      <w:sz w:val="20"/>
    </w:rPr>
  </w:style>
  <w:style w:type="paragraph" w:styleId="TOC3">
    <w:name w:val="toc 3"/>
    <w:basedOn w:val="HeadingBase"/>
    <w:next w:val="Normal"/>
    <w:uiPriority w:val="39"/>
    <w:rsid w:val="00EC5F86"/>
    <w:pPr>
      <w:tabs>
        <w:tab w:val="right" w:leader="dot" w:pos="7700"/>
      </w:tabs>
      <w:spacing w:before="120"/>
      <w:ind w:right="851"/>
    </w:pPr>
    <w:rPr>
      <w:b/>
      <w:sz w:val="20"/>
    </w:rPr>
  </w:style>
  <w:style w:type="paragraph" w:styleId="TOC4">
    <w:name w:val="toc 4"/>
    <w:basedOn w:val="HeadingBase"/>
    <w:next w:val="Normal"/>
    <w:uiPriority w:val="39"/>
    <w:rsid w:val="00EC5F86"/>
    <w:pPr>
      <w:tabs>
        <w:tab w:val="right" w:leader="dot" w:pos="7700"/>
      </w:tabs>
      <w:spacing w:before="40"/>
      <w:ind w:right="851"/>
    </w:pPr>
    <w:rPr>
      <w:sz w:val="20"/>
    </w:rPr>
  </w:style>
  <w:style w:type="paragraph" w:styleId="TOC5">
    <w:name w:val="toc 5"/>
    <w:basedOn w:val="Normal"/>
    <w:next w:val="Normal"/>
    <w:autoRedefine/>
    <w:uiPriority w:val="39"/>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before="120" w:after="20" w:line="240" w:lineRule="auto"/>
      <w:jc w:val="center"/>
    </w:pPr>
    <w:rPr>
      <w:rFonts w:ascii="Arial" w:hAnsi="Arial"/>
      <w:b/>
    </w:rPr>
  </w:style>
  <w:style w:type="table" w:styleId="TableGrid">
    <w:name w:val="Table Grid"/>
    <w:basedOn w:val="TableNormal"/>
    <w:rsid w:val="00EC5F86"/>
    <w:pPr>
      <w:spacing w:after="240" w:line="260" w:lineRule="exac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smallCaps w:val="0"/>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6F2DF3"/>
    <w:pPr>
      <w:spacing w:after="0" w:line="240" w:lineRule="auto"/>
      <w:jc w:val="center"/>
    </w:pPr>
    <w:rPr>
      <w:rFonts w:ascii="Arial" w:hAnsi="Arial"/>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semiHidden/>
    <w:rsid w:val="00A02D24"/>
    <w:rPr>
      <w:rFonts w:ascii="Book Antiqua" w:hAnsi="Book Antiqua"/>
      <w:i/>
      <w:color w:val="FF0000"/>
    </w:rPr>
  </w:style>
  <w:style w:type="paragraph" w:customStyle="1" w:styleId="Crest">
    <w:name w:val="Crest"/>
    <w:basedOn w:val="Normal"/>
    <w:next w:val="TransmittalStyle1"/>
    <w:semiHidden/>
    <w:rsid w:val="00021DA6"/>
    <w:pPr>
      <w:spacing w:after="0" w:line="240" w:lineRule="auto"/>
      <w:jc w:val="center"/>
    </w:pPr>
  </w:style>
  <w:style w:type="character" w:styleId="Hyperlink">
    <w:name w:val="Hyperlink"/>
    <w:uiPriority w:val="99"/>
    <w:rsid w:val="00A364F1"/>
    <w:rPr>
      <w:color w:val="000000"/>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after="120" w:line="240" w:lineRule="auto"/>
    </w:pPr>
    <w:rPr>
      <w:b/>
      <w:sz w:val="22"/>
    </w:rPr>
  </w:style>
  <w:style w:type="paragraph" w:customStyle="1" w:styleId="TableColumnOutgroupSubheading">
    <w:name w:val="Table Column Outgroup Subheading"/>
    <w:basedOn w:val="Normal"/>
    <w:rsid w:val="00EC5F86"/>
    <w:pPr>
      <w:spacing w:before="60" w:after="120" w:line="240" w:lineRule="auto"/>
      <w:jc w:val="center"/>
    </w:pPr>
  </w:style>
  <w:style w:type="paragraph" w:customStyle="1" w:styleId="TableTextBullet">
    <w:name w:val="Table Text Bullet"/>
    <w:basedOn w:val="TableTextBase"/>
    <w:rsid w:val="006912E6"/>
    <w:pPr>
      <w:numPr>
        <w:numId w:val="6"/>
      </w:numPr>
    </w:pPr>
    <w:rPr>
      <w:sz w:val="17"/>
    </w:rPr>
  </w:style>
  <w:style w:type="paragraph" w:customStyle="1" w:styleId="Exampletextdash">
    <w:name w:val="Example text dash"/>
    <w:basedOn w:val="Exampletextbullet"/>
    <w:semiHidden/>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AD42E2"/>
    <w:rPr>
      <w:rFonts w:ascii="Arial" w:hAnsi="Arial"/>
      <w:b/>
      <w:color w:val="000000"/>
      <w:lang w:val="x-none" w:eastAsia="x-none"/>
    </w:rPr>
  </w:style>
  <w:style w:type="character" w:customStyle="1" w:styleId="TableTextBaseChar">
    <w:name w:val="Table Text Base Char"/>
    <w:link w:val="TableTextBase"/>
    <w:rsid w:val="00637BBD"/>
    <w:rPr>
      <w:rFonts w:ascii="Arial" w:hAnsi="Arial"/>
      <w:sz w:val="18"/>
      <w:lang w:val="en-AU" w:eastAsia="en-AU" w:bidi="ar-SA"/>
    </w:rPr>
  </w:style>
  <w:style w:type="character" w:customStyle="1" w:styleId="TableTextLeftChar">
    <w:name w:val="Table Text Left Char"/>
    <w:link w:val="TableTextLeft"/>
    <w:rsid w:val="006912E6"/>
    <w:rPr>
      <w:rFonts w:ascii="Arial" w:hAnsi="Arial"/>
      <w:sz w:val="17"/>
    </w:rPr>
  </w:style>
  <w:style w:type="paragraph" w:styleId="ListParagraph">
    <w:name w:val="List Paragraph"/>
    <w:basedOn w:val="Normal"/>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F81F40"/>
    <w:rPr>
      <w:rFonts w:ascii="Arial" w:hAnsi="Arial"/>
      <w:color w:val="000000"/>
      <w:sz w:val="16"/>
      <w:lang w:val="x-none" w:eastAsia="x-none"/>
    </w:rPr>
  </w:style>
  <w:style w:type="paragraph" w:customStyle="1" w:styleId="PartHeading">
    <w:name w:val="Part Heading"/>
    <w:basedOn w:val="Title"/>
    <w:next w:val="Normal"/>
    <w:rsid w:val="007437BA"/>
    <w:pPr>
      <w:spacing w:after="480"/>
      <w:outlineLvl w:val="9"/>
    </w:pPr>
  </w:style>
  <w:style w:type="character" w:customStyle="1" w:styleId="BulletChar">
    <w:name w:val="Bullet Char"/>
    <w:link w:val="Bullet"/>
    <w:rsid w:val="00FD5958"/>
    <w:rPr>
      <w:rFonts w:ascii="Book Antiqua" w:hAnsi="Book Antiqua"/>
      <w:lang w:val="x-none" w:eastAsia="x-none"/>
    </w:rPr>
  </w:style>
  <w:style w:type="paragraph" w:customStyle="1" w:styleId="BoxTextBase">
    <w:name w:val="Box Text Base"/>
    <w:basedOn w:val="Normal"/>
    <w:rsid w:val="00EC5F86"/>
    <w:pPr>
      <w:spacing w:after="120"/>
    </w:pPr>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before="120" w:after="120" w:line="280" w:lineRule="exact"/>
    </w:pPr>
    <w:rPr>
      <w:rFonts w:ascii="Arial" w:hAnsi="Arial" w:cs="Arial"/>
      <w:b/>
    </w:rPr>
  </w:style>
  <w:style w:type="paragraph" w:customStyle="1" w:styleId="ProgramHeading">
    <w:name w:val="Program Heading"/>
    <w:basedOn w:val="HeadingBase"/>
    <w:rsid w:val="00EC5F86"/>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semiHidden/>
    <w:rsid w:val="001B0C75"/>
    <w:rPr>
      <w:rFonts w:ascii="Book Antiqua" w:hAnsi="Book Antiqua"/>
    </w:rPr>
  </w:style>
  <w:style w:type="paragraph" w:customStyle="1" w:styleId="ExampleText0">
    <w:name w:val="Example Text"/>
    <w:basedOn w:val="Normal"/>
    <w:uiPriority w:val="99"/>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605163"/>
    <w:rPr>
      <w:rFonts w:ascii="Arial" w:hAnsi="Arial"/>
    </w:rPr>
  </w:style>
  <w:style w:type="character" w:styleId="Strong">
    <w:name w:val="Strong"/>
    <w:semiHidden/>
    <w:qFormat/>
    <w:rsid w:val="00B2691D"/>
    <w:rPr>
      <w:b/>
      <w:bCs/>
    </w:rPr>
  </w:style>
  <w:style w:type="paragraph" w:styleId="BodyText">
    <w:name w:val="Body Text"/>
    <w:basedOn w:val="Normal"/>
    <w:link w:val="BodyTextChar"/>
    <w:qFormat/>
    <w:rsid w:val="00F71634"/>
    <w:pPr>
      <w:spacing w:after="120" w:line="240" w:lineRule="auto"/>
    </w:pPr>
    <w:rPr>
      <w:rFonts w:ascii="Cambria" w:eastAsia="Cambria" w:hAnsi="Cambria"/>
      <w:sz w:val="22"/>
      <w:szCs w:val="22"/>
      <w:lang w:val="x-none" w:eastAsia="en-US"/>
    </w:rPr>
  </w:style>
  <w:style w:type="character" w:customStyle="1" w:styleId="BodyTextChar">
    <w:name w:val="Body Text Char"/>
    <w:link w:val="BodyText"/>
    <w:rsid w:val="00F71634"/>
    <w:rPr>
      <w:rFonts w:ascii="Cambria" w:eastAsia="Cambria" w:hAnsi="Cambria"/>
      <w:sz w:val="22"/>
      <w:szCs w:val="22"/>
      <w:lang w:eastAsia="en-US"/>
    </w:rPr>
  </w:style>
  <w:style w:type="paragraph" w:customStyle="1" w:styleId="Heading2NoTOC">
    <w:name w:val="Heading 2 No TOC"/>
    <w:basedOn w:val="Heading2"/>
    <w:qFormat/>
    <w:rsid w:val="002A32FD"/>
    <w:pPr>
      <w:spacing w:after="360"/>
    </w:pPr>
  </w:style>
  <w:style w:type="paragraph" w:customStyle="1" w:styleId="Heading1-TOC">
    <w:name w:val="Heading 1 - TOC"/>
    <w:basedOn w:val="Heading1"/>
    <w:rsid w:val="006B7542"/>
  </w:style>
  <w:style w:type="paragraph" w:customStyle="1" w:styleId="PartHeading-TOC">
    <w:name w:val="Part Heading - TOC"/>
    <w:basedOn w:val="PartHeading"/>
    <w:rsid w:val="006B7542"/>
  </w:style>
  <w:style w:type="paragraph" w:customStyle="1" w:styleId="Heading4-NoTOC">
    <w:name w:val="Heading 4 - No TOC"/>
    <w:basedOn w:val="Heading4"/>
    <w:rsid w:val="00834F9A"/>
    <w:pPr>
      <w:outlineLvl w:val="9"/>
    </w:pPr>
  </w:style>
  <w:style w:type="character" w:customStyle="1" w:styleId="FootnoteTextChar">
    <w:name w:val="Footnote Text Char"/>
    <w:link w:val="FootnoteText"/>
    <w:rsid w:val="00A54553"/>
    <w:rPr>
      <w:rFonts w:ascii="Arial" w:hAnsi="Arial"/>
      <w:sz w:val="17"/>
    </w:rPr>
  </w:style>
  <w:style w:type="paragraph" w:customStyle="1" w:styleId="TableTextNumbered">
    <w:name w:val="Table Text Numbered"/>
    <w:basedOn w:val="TableTextLeft"/>
    <w:qFormat/>
    <w:rsid w:val="001C6D8C"/>
    <w:pPr>
      <w:numPr>
        <w:numId w:val="19"/>
      </w:numPr>
      <w:tabs>
        <w:tab w:val="num" w:pos="360"/>
      </w:tabs>
      <w:ind w:left="0" w:firstLine="0"/>
    </w:pPr>
    <w:rPr>
      <w:rFonts w:cs="Arial"/>
    </w:rPr>
  </w:style>
  <w:style w:type="paragraph" w:customStyle="1" w:styleId="Tabletextjustified0">
    <w:name w:val="Table text justified"/>
    <w:basedOn w:val="Normal"/>
    <w:semiHidden/>
    <w:rsid w:val="008350DA"/>
    <w:pPr>
      <w:spacing w:before="100" w:after="100" w:line="250" w:lineRule="exact"/>
      <w:jc w:val="both"/>
    </w:pPr>
    <w:rPr>
      <w:rFonts w:ascii="Arial" w:hAnsi="Arial" w:cs="Arial"/>
      <w:sz w:val="18"/>
    </w:rPr>
  </w:style>
  <w:style w:type="character" w:customStyle="1" w:styleId="Heading1Char">
    <w:name w:val="Heading 1 Char"/>
    <w:link w:val="Heading1"/>
    <w:rsid w:val="00240B29"/>
    <w:rPr>
      <w:rFonts w:ascii="Arial" w:hAnsi="Arial"/>
      <w:b/>
      <w:smallCaps/>
      <w:kern w:val="28"/>
      <w:sz w:val="34"/>
    </w:rPr>
  </w:style>
  <w:style w:type="character" w:customStyle="1" w:styleId="Heading2Char">
    <w:name w:val="Heading 2 Char"/>
    <w:link w:val="Heading2"/>
    <w:rsid w:val="00240B29"/>
    <w:rPr>
      <w:rFonts w:ascii="Arial" w:hAnsi="Arial"/>
      <w:sz w:val="30"/>
    </w:rPr>
  </w:style>
  <w:style w:type="character" w:customStyle="1" w:styleId="Heading4Char">
    <w:name w:val="Heading 4 Char"/>
    <w:link w:val="Heading4"/>
    <w:rsid w:val="00240B29"/>
    <w:rPr>
      <w:rFonts w:ascii="Arial" w:hAnsi="Arial"/>
      <w:b/>
      <w:sz w:val="22"/>
    </w:rPr>
  </w:style>
  <w:style w:type="character" w:customStyle="1" w:styleId="Heading5Char">
    <w:name w:val="Heading 5 Char"/>
    <w:link w:val="Heading5"/>
    <w:rsid w:val="00240B29"/>
    <w:rPr>
      <w:rFonts w:ascii="Arial" w:hAnsi="Arial"/>
      <w:b/>
      <w:bCs/>
      <w:iCs/>
      <w:szCs w:val="26"/>
    </w:rPr>
  </w:style>
  <w:style w:type="paragraph" w:customStyle="1" w:styleId="Tabletext">
    <w:name w:val="Table text"/>
    <w:basedOn w:val="Normal"/>
    <w:qFormat/>
    <w:rsid w:val="001405B1"/>
    <w:pPr>
      <w:spacing w:before="60" w:after="60" w:line="240" w:lineRule="auto"/>
    </w:pPr>
    <w:rPr>
      <w:rFonts w:ascii="Calibri" w:eastAsia="Cambria" w:hAnsi="Calibri"/>
      <w:color w:val="4A4848"/>
      <w:sz w:val="22"/>
      <w:szCs w:val="22"/>
      <w:lang w:eastAsia="en-US"/>
    </w:rPr>
  </w:style>
  <w:style w:type="character" w:customStyle="1" w:styleId="BulletsChar">
    <w:name w:val="Bullets Char"/>
    <w:link w:val="Bullets"/>
    <w:locked/>
    <w:rsid w:val="00E56F48"/>
    <w:rPr>
      <w:rFonts w:ascii="Book Antiqua" w:hAnsi="Book Antiqua" w:cs="Arial"/>
      <w:color w:val="000000"/>
      <w:szCs w:val="16"/>
      <w:lang w:eastAsia="en-US"/>
    </w:rPr>
  </w:style>
  <w:style w:type="paragraph" w:customStyle="1" w:styleId="Bullets">
    <w:name w:val="Bullets"/>
    <w:basedOn w:val="Normal"/>
    <w:link w:val="BulletsChar"/>
    <w:qFormat/>
    <w:rsid w:val="00E56F48"/>
    <w:pPr>
      <w:numPr>
        <w:numId w:val="37"/>
      </w:numPr>
      <w:spacing w:after="80" w:line="240" w:lineRule="auto"/>
    </w:pPr>
    <w:rPr>
      <w:rFonts w:cs="Arial"/>
      <w:color w:val="000000"/>
      <w:szCs w:val="16"/>
      <w:lang w:eastAsia="en-US"/>
    </w:rPr>
  </w:style>
  <w:style w:type="paragraph" w:styleId="NormalWeb">
    <w:name w:val="Normal (Web)"/>
    <w:basedOn w:val="Normal"/>
    <w:uiPriority w:val="99"/>
    <w:semiHidden/>
    <w:unhideWhenUsed/>
    <w:rsid w:val="002C3D9C"/>
    <w:pPr>
      <w:spacing w:before="100" w:beforeAutospacing="1" w:after="100" w:afterAutospacing="1" w:line="240" w:lineRule="auto"/>
    </w:pPr>
    <w:rPr>
      <w:rFonts w:ascii="Times New Roman" w:hAnsi="Times New Roman"/>
      <w:sz w:val="24"/>
      <w:szCs w:val="24"/>
    </w:rPr>
  </w:style>
  <w:style w:type="paragraph" w:customStyle="1" w:styleId="Default">
    <w:name w:val="Default"/>
    <w:rsid w:val="0010759A"/>
    <w:pPr>
      <w:autoSpaceDE w:val="0"/>
      <w:autoSpaceDN w:val="0"/>
      <w:adjustRightInd w:val="0"/>
    </w:pPr>
    <w:rPr>
      <w:rFonts w:ascii="Book Antiqua" w:hAnsi="Book Antiqua" w:cs="Book Antiq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18">
      <w:bodyDiv w:val="1"/>
      <w:marLeft w:val="0"/>
      <w:marRight w:val="0"/>
      <w:marTop w:val="0"/>
      <w:marBottom w:val="0"/>
      <w:divBdr>
        <w:top w:val="none" w:sz="0" w:space="0" w:color="auto"/>
        <w:left w:val="none" w:sz="0" w:space="0" w:color="auto"/>
        <w:bottom w:val="none" w:sz="0" w:space="0" w:color="auto"/>
        <w:right w:val="none" w:sz="0" w:space="0" w:color="auto"/>
      </w:divBdr>
    </w:div>
    <w:div w:id="1511522">
      <w:bodyDiv w:val="1"/>
      <w:marLeft w:val="0"/>
      <w:marRight w:val="0"/>
      <w:marTop w:val="0"/>
      <w:marBottom w:val="0"/>
      <w:divBdr>
        <w:top w:val="none" w:sz="0" w:space="0" w:color="auto"/>
        <w:left w:val="none" w:sz="0" w:space="0" w:color="auto"/>
        <w:bottom w:val="none" w:sz="0" w:space="0" w:color="auto"/>
        <w:right w:val="none" w:sz="0" w:space="0" w:color="auto"/>
      </w:divBdr>
    </w:div>
    <w:div w:id="4092543">
      <w:bodyDiv w:val="1"/>
      <w:marLeft w:val="0"/>
      <w:marRight w:val="0"/>
      <w:marTop w:val="0"/>
      <w:marBottom w:val="0"/>
      <w:divBdr>
        <w:top w:val="none" w:sz="0" w:space="0" w:color="auto"/>
        <w:left w:val="none" w:sz="0" w:space="0" w:color="auto"/>
        <w:bottom w:val="none" w:sz="0" w:space="0" w:color="auto"/>
        <w:right w:val="none" w:sz="0" w:space="0" w:color="auto"/>
      </w:divBdr>
    </w:div>
    <w:div w:id="46994082">
      <w:bodyDiv w:val="1"/>
      <w:marLeft w:val="0"/>
      <w:marRight w:val="0"/>
      <w:marTop w:val="0"/>
      <w:marBottom w:val="0"/>
      <w:divBdr>
        <w:top w:val="none" w:sz="0" w:space="0" w:color="auto"/>
        <w:left w:val="none" w:sz="0" w:space="0" w:color="auto"/>
        <w:bottom w:val="none" w:sz="0" w:space="0" w:color="auto"/>
        <w:right w:val="none" w:sz="0" w:space="0" w:color="auto"/>
      </w:divBdr>
    </w:div>
    <w:div w:id="48647932">
      <w:bodyDiv w:val="1"/>
      <w:marLeft w:val="0"/>
      <w:marRight w:val="0"/>
      <w:marTop w:val="0"/>
      <w:marBottom w:val="0"/>
      <w:divBdr>
        <w:top w:val="none" w:sz="0" w:space="0" w:color="auto"/>
        <w:left w:val="none" w:sz="0" w:space="0" w:color="auto"/>
        <w:bottom w:val="none" w:sz="0" w:space="0" w:color="auto"/>
        <w:right w:val="none" w:sz="0" w:space="0" w:color="auto"/>
      </w:divBdr>
    </w:div>
    <w:div w:id="48771987">
      <w:bodyDiv w:val="1"/>
      <w:marLeft w:val="0"/>
      <w:marRight w:val="0"/>
      <w:marTop w:val="0"/>
      <w:marBottom w:val="0"/>
      <w:divBdr>
        <w:top w:val="none" w:sz="0" w:space="0" w:color="auto"/>
        <w:left w:val="none" w:sz="0" w:space="0" w:color="auto"/>
        <w:bottom w:val="none" w:sz="0" w:space="0" w:color="auto"/>
        <w:right w:val="none" w:sz="0" w:space="0" w:color="auto"/>
      </w:divBdr>
    </w:div>
    <w:div w:id="60636155">
      <w:bodyDiv w:val="1"/>
      <w:marLeft w:val="0"/>
      <w:marRight w:val="0"/>
      <w:marTop w:val="0"/>
      <w:marBottom w:val="0"/>
      <w:divBdr>
        <w:top w:val="none" w:sz="0" w:space="0" w:color="auto"/>
        <w:left w:val="none" w:sz="0" w:space="0" w:color="auto"/>
        <w:bottom w:val="none" w:sz="0" w:space="0" w:color="auto"/>
        <w:right w:val="none" w:sz="0" w:space="0" w:color="auto"/>
      </w:divBdr>
    </w:div>
    <w:div w:id="68773523">
      <w:bodyDiv w:val="1"/>
      <w:marLeft w:val="0"/>
      <w:marRight w:val="0"/>
      <w:marTop w:val="0"/>
      <w:marBottom w:val="0"/>
      <w:divBdr>
        <w:top w:val="none" w:sz="0" w:space="0" w:color="auto"/>
        <w:left w:val="none" w:sz="0" w:space="0" w:color="auto"/>
        <w:bottom w:val="none" w:sz="0" w:space="0" w:color="auto"/>
        <w:right w:val="none" w:sz="0" w:space="0" w:color="auto"/>
      </w:divBdr>
    </w:div>
    <w:div w:id="69739443">
      <w:bodyDiv w:val="1"/>
      <w:marLeft w:val="0"/>
      <w:marRight w:val="0"/>
      <w:marTop w:val="0"/>
      <w:marBottom w:val="0"/>
      <w:divBdr>
        <w:top w:val="none" w:sz="0" w:space="0" w:color="auto"/>
        <w:left w:val="none" w:sz="0" w:space="0" w:color="auto"/>
        <w:bottom w:val="none" w:sz="0" w:space="0" w:color="auto"/>
        <w:right w:val="none" w:sz="0" w:space="0" w:color="auto"/>
      </w:divBdr>
    </w:div>
    <w:div w:id="74936208">
      <w:bodyDiv w:val="1"/>
      <w:marLeft w:val="0"/>
      <w:marRight w:val="0"/>
      <w:marTop w:val="0"/>
      <w:marBottom w:val="0"/>
      <w:divBdr>
        <w:top w:val="none" w:sz="0" w:space="0" w:color="auto"/>
        <w:left w:val="none" w:sz="0" w:space="0" w:color="auto"/>
        <w:bottom w:val="none" w:sz="0" w:space="0" w:color="auto"/>
        <w:right w:val="none" w:sz="0" w:space="0" w:color="auto"/>
      </w:divBdr>
    </w:div>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84958336">
      <w:bodyDiv w:val="1"/>
      <w:marLeft w:val="0"/>
      <w:marRight w:val="0"/>
      <w:marTop w:val="0"/>
      <w:marBottom w:val="0"/>
      <w:divBdr>
        <w:top w:val="none" w:sz="0" w:space="0" w:color="auto"/>
        <w:left w:val="none" w:sz="0" w:space="0" w:color="auto"/>
        <w:bottom w:val="none" w:sz="0" w:space="0" w:color="auto"/>
        <w:right w:val="none" w:sz="0" w:space="0" w:color="auto"/>
      </w:divBdr>
    </w:div>
    <w:div w:id="103304270">
      <w:bodyDiv w:val="1"/>
      <w:marLeft w:val="0"/>
      <w:marRight w:val="0"/>
      <w:marTop w:val="0"/>
      <w:marBottom w:val="0"/>
      <w:divBdr>
        <w:top w:val="none" w:sz="0" w:space="0" w:color="auto"/>
        <w:left w:val="none" w:sz="0" w:space="0" w:color="auto"/>
        <w:bottom w:val="none" w:sz="0" w:space="0" w:color="auto"/>
        <w:right w:val="none" w:sz="0" w:space="0" w:color="auto"/>
      </w:divBdr>
    </w:div>
    <w:div w:id="111098648">
      <w:bodyDiv w:val="1"/>
      <w:marLeft w:val="0"/>
      <w:marRight w:val="0"/>
      <w:marTop w:val="0"/>
      <w:marBottom w:val="0"/>
      <w:divBdr>
        <w:top w:val="none" w:sz="0" w:space="0" w:color="auto"/>
        <w:left w:val="none" w:sz="0" w:space="0" w:color="auto"/>
        <w:bottom w:val="none" w:sz="0" w:space="0" w:color="auto"/>
        <w:right w:val="none" w:sz="0" w:space="0" w:color="auto"/>
      </w:divBdr>
    </w:div>
    <w:div w:id="117144073">
      <w:bodyDiv w:val="1"/>
      <w:marLeft w:val="0"/>
      <w:marRight w:val="0"/>
      <w:marTop w:val="0"/>
      <w:marBottom w:val="0"/>
      <w:divBdr>
        <w:top w:val="none" w:sz="0" w:space="0" w:color="auto"/>
        <w:left w:val="none" w:sz="0" w:space="0" w:color="auto"/>
        <w:bottom w:val="none" w:sz="0" w:space="0" w:color="auto"/>
        <w:right w:val="none" w:sz="0" w:space="0" w:color="auto"/>
      </w:divBdr>
    </w:div>
    <w:div w:id="124811312">
      <w:bodyDiv w:val="1"/>
      <w:marLeft w:val="0"/>
      <w:marRight w:val="0"/>
      <w:marTop w:val="0"/>
      <w:marBottom w:val="0"/>
      <w:divBdr>
        <w:top w:val="none" w:sz="0" w:space="0" w:color="auto"/>
        <w:left w:val="none" w:sz="0" w:space="0" w:color="auto"/>
        <w:bottom w:val="none" w:sz="0" w:space="0" w:color="auto"/>
        <w:right w:val="none" w:sz="0" w:space="0" w:color="auto"/>
      </w:divBdr>
    </w:div>
    <w:div w:id="131946949">
      <w:bodyDiv w:val="1"/>
      <w:marLeft w:val="0"/>
      <w:marRight w:val="0"/>
      <w:marTop w:val="0"/>
      <w:marBottom w:val="0"/>
      <w:divBdr>
        <w:top w:val="none" w:sz="0" w:space="0" w:color="auto"/>
        <w:left w:val="none" w:sz="0" w:space="0" w:color="auto"/>
        <w:bottom w:val="none" w:sz="0" w:space="0" w:color="auto"/>
        <w:right w:val="none" w:sz="0" w:space="0" w:color="auto"/>
      </w:divBdr>
    </w:div>
    <w:div w:id="143477004">
      <w:bodyDiv w:val="1"/>
      <w:marLeft w:val="0"/>
      <w:marRight w:val="0"/>
      <w:marTop w:val="0"/>
      <w:marBottom w:val="0"/>
      <w:divBdr>
        <w:top w:val="none" w:sz="0" w:space="0" w:color="auto"/>
        <w:left w:val="none" w:sz="0" w:space="0" w:color="auto"/>
        <w:bottom w:val="none" w:sz="0" w:space="0" w:color="auto"/>
        <w:right w:val="none" w:sz="0" w:space="0" w:color="auto"/>
      </w:divBdr>
    </w:div>
    <w:div w:id="151528778">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157233290">
      <w:bodyDiv w:val="1"/>
      <w:marLeft w:val="0"/>
      <w:marRight w:val="0"/>
      <w:marTop w:val="0"/>
      <w:marBottom w:val="0"/>
      <w:divBdr>
        <w:top w:val="none" w:sz="0" w:space="0" w:color="auto"/>
        <w:left w:val="none" w:sz="0" w:space="0" w:color="auto"/>
        <w:bottom w:val="none" w:sz="0" w:space="0" w:color="auto"/>
        <w:right w:val="none" w:sz="0" w:space="0" w:color="auto"/>
      </w:divBdr>
    </w:div>
    <w:div w:id="165021530">
      <w:bodyDiv w:val="1"/>
      <w:marLeft w:val="0"/>
      <w:marRight w:val="0"/>
      <w:marTop w:val="0"/>
      <w:marBottom w:val="0"/>
      <w:divBdr>
        <w:top w:val="none" w:sz="0" w:space="0" w:color="auto"/>
        <w:left w:val="none" w:sz="0" w:space="0" w:color="auto"/>
        <w:bottom w:val="none" w:sz="0" w:space="0" w:color="auto"/>
        <w:right w:val="none" w:sz="0" w:space="0" w:color="auto"/>
      </w:divBdr>
    </w:div>
    <w:div w:id="176694344">
      <w:bodyDiv w:val="1"/>
      <w:marLeft w:val="0"/>
      <w:marRight w:val="0"/>
      <w:marTop w:val="0"/>
      <w:marBottom w:val="0"/>
      <w:divBdr>
        <w:top w:val="none" w:sz="0" w:space="0" w:color="auto"/>
        <w:left w:val="none" w:sz="0" w:space="0" w:color="auto"/>
        <w:bottom w:val="none" w:sz="0" w:space="0" w:color="auto"/>
        <w:right w:val="none" w:sz="0" w:space="0" w:color="auto"/>
      </w:divBdr>
    </w:div>
    <w:div w:id="176772485">
      <w:bodyDiv w:val="1"/>
      <w:marLeft w:val="0"/>
      <w:marRight w:val="0"/>
      <w:marTop w:val="0"/>
      <w:marBottom w:val="0"/>
      <w:divBdr>
        <w:top w:val="none" w:sz="0" w:space="0" w:color="auto"/>
        <w:left w:val="none" w:sz="0" w:space="0" w:color="auto"/>
        <w:bottom w:val="none" w:sz="0" w:space="0" w:color="auto"/>
        <w:right w:val="none" w:sz="0" w:space="0" w:color="auto"/>
      </w:divBdr>
    </w:div>
    <w:div w:id="202404321">
      <w:bodyDiv w:val="1"/>
      <w:marLeft w:val="0"/>
      <w:marRight w:val="0"/>
      <w:marTop w:val="0"/>
      <w:marBottom w:val="0"/>
      <w:divBdr>
        <w:top w:val="none" w:sz="0" w:space="0" w:color="auto"/>
        <w:left w:val="none" w:sz="0" w:space="0" w:color="auto"/>
        <w:bottom w:val="none" w:sz="0" w:space="0" w:color="auto"/>
        <w:right w:val="none" w:sz="0" w:space="0" w:color="auto"/>
      </w:divBdr>
    </w:div>
    <w:div w:id="209808622">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46811627">
      <w:bodyDiv w:val="1"/>
      <w:marLeft w:val="0"/>
      <w:marRight w:val="0"/>
      <w:marTop w:val="0"/>
      <w:marBottom w:val="0"/>
      <w:divBdr>
        <w:top w:val="none" w:sz="0" w:space="0" w:color="auto"/>
        <w:left w:val="none" w:sz="0" w:space="0" w:color="auto"/>
        <w:bottom w:val="none" w:sz="0" w:space="0" w:color="auto"/>
        <w:right w:val="none" w:sz="0" w:space="0" w:color="auto"/>
      </w:divBdr>
    </w:div>
    <w:div w:id="248543807">
      <w:bodyDiv w:val="1"/>
      <w:marLeft w:val="0"/>
      <w:marRight w:val="0"/>
      <w:marTop w:val="0"/>
      <w:marBottom w:val="0"/>
      <w:divBdr>
        <w:top w:val="none" w:sz="0" w:space="0" w:color="auto"/>
        <w:left w:val="none" w:sz="0" w:space="0" w:color="auto"/>
        <w:bottom w:val="none" w:sz="0" w:space="0" w:color="auto"/>
        <w:right w:val="none" w:sz="0" w:space="0" w:color="auto"/>
      </w:divBdr>
    </w:div>
    <w:div w:id="282613456">
      <w:bodyDiv w:val="1"/>
      <w:marLeft w:val="0"/>
      <w:marRight w:val="0"/>
      <w:marTop w:val="0"/>
      <w:marBottom w:val="0"/>
      <w:divBdr>
        <w:top w:val="none" w:sz="0" w:space="0" w:color="auto"/>
        <w:left w:val="none" w:sz="0" w:space="0" w:color="auto"/>
        <w:bottom w:val="none" w:sz="0" w:space="0" w:color="auto"/>
        <w:right w:val="none" w:sz="0" w:space="0" w:color="auto"/>
      </w:divBdr>
    </w:div>
    <w:div w:id="288435899">
      <w:bodyDiv w:val="1"/>
      <w:marLeft w:val="0"/>
      <w:marRight w:val="0"/>
      <w:marTop w:val="0"/>
      <w:marBottom w:val="0"/>
      <w:divBdr>
        <w:top w:val="none" w:sz="0" w:space="0" w:color="auto"/>
        <w:left w:val="none" w:sz="0" w:space="0" w:color="auto"/>
        <w:bottom w:val="none" w:sz="0" w:space="0" w:color="auto"/>
        <w:right w:val="none" w:sz="0" w:space="0" w:color="auto"/>
      </w:divBdr>
    </w:div>
    <w:div w:id="294454088">
      <w:bodyDiv w:val="1"/>
      <w:marLeft w:val="0"/>
      <w:marRight w:val="0"/>
      <w:marTop w:val="0"/>
      <w:marBottom w:val="0"/>
      <w:divBdr>
        <w:top w:val="none" w:sz="0" w:space="0" w:color="auto"/>
        <w:left w:val="none" w:sz="0" w:space="0" w:color="auto"/>
        <w:bottom w:val="none" w:sz="0" w:space="0" w:color="auto"/>
        <w:right w:val="none" w:sz="0" w:space="0" w:color="auto"/>
      </w:divBdr>
    </w:div>
    <w:div w:id="297537179">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5016746">
      <w:bodyDiv w:val="1"/>
      <w:marLeft w:val="0"/>
      <w:marRight w:val="0"/>
      <w:marTop w:val="0"/>
      <w:marBottom w:val="0"/>
      <w:divBdr>
        <w:top w:val="none" w:sz="0" w:space="0" w:color="auto"/>
        <w:left w:val="none" w:sz="0" w:space="0" w:color="auto"/>
        <w:bottom w:val="none" w:sz="0" w:space="0" w:color="auto"/>
        <w:right w:val="none" w:sz="0" w:space="0" w:color="auto"/>
      </w:divBdr>
    </w:div>
    <w:div w:id="323898908">
      <w:bodyDiv w:val="1"/>
      <w:marLeft w:val="0"/>
      <w:marRight w:val="0"/>
      <w:marTop w:val="0"/>
      <w:marBottom w:val="0"/>
      <w:divBdr>
        <w:top w:val="none" w:sz="0" w:space="0" w:color="auto"/>
        <w:left w:val="none" w:sz="0" w:space="0" w:color="auto"/>
        <w:bottom w:val="none" w:sz="0" w:space="0" w:color="auto"/>
        <w:right w:val="none" w:sz="0" w:space="0" w:color="auto"/>
      </w:divBdr>
    </w:div>
    <w:div w:id="324091397">
      <w:bodyDiv w:val="1"/>
      <w:marLeft w:val="0"/>
      <w:marRight w:val="0"/>
      <w:marTop w:val="0"/>
      <w:marBottom w:val="0"/>
      <w:divBdr>
        <w:top w:val="none" w:sz="0" w:space="0" w:color="auto"/>
        <w:left w:val="none" w:sz="0" w:space="0" w:color="auto"/>
        <w:bottom w:val="none" w:sz="0" w:space="0" w:color="auto"/>
        <w:right w:val="none" w:sz="0" w:space="0" w:color="auto"/>
      </w:divBdr>
    </w:div>
    <w:div w:id="334840228">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47100394">
      <w:bodyDiv w:val="1"/>
      <w:marLeft w:val="0"/>
      <w:marRight w:val="0"/>
      <w:marTop w:val="0"/>
      <w:marBottom w:val="0"/>
      <w:divBdr>
        <w:top w:val="none" w:sz="0" w:space="0" w:color="auto"/>
        <w:left w:val="none" w:sz="0" w:space="0" w:color="auto"/>
        <w:bottom w:val="none" w:sz="0" w:space="0" w:color="auto"/>
        <w:right w:val="none" w:sz="0" w:space="0" w:color="auto"/>
      </w:divBdr>
    </w:div>
    <w:div w:id="347218032">
      <w:bodyDiv w:val="1"/>
      <w:marLeft w:val="0"/>
      <w:marRight w:val="0"/>
      <w:marTop w:val="0"/>
      <w:marBottom w:val="0"/>
      <w:divBdr>
        <w:top w:val="none" w:sz="0" w:space="0" w:color="auto"/>
        <w:left w:val="none" w:sz="0" w:space="0" w:color="auto"/>
        <w:bottom w:val="none" w:sz="0" w:space="0" w:color="auto"/>
        <w:right w:val="none" w:sz="0" w:space="0" w:color="auto"/>
      </w:divBdr>
    </w:div>
    <w:div w:id="352537720">
      <w:bodyDiv w:val="1"/>
      <w:marLeft w:val="0"/>
      <w:marRight w:val="0"/>
      <w:marTop w:val="0"/>
      <w:marBottom w:val="0"/>
      <w:divBdr>
        <w:top w:val="none" w:sz="0" w:space="0" w:color="auto"/>
        <w:left w:val="none" w:sz="0" w:space="0" w:color="auto"/>
        <w:bottom w:val="none" w:sz="0" w:space="0" w:color="auto"/>
        <w:right w:val="none" w:sz="0" w:space="0" w:color="auto"/>
      </w:divBdr>
    </w:div>
    <w:div w:id="353846561">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59551409">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389810438">
      <w:bodyDiv w:val="1"/>
      <w:marLeft w:val="0"/>
      <w:marRight w:val="0"/>
      <w:marTop w:val="0"/>
      <w:marBottom w:val="0"/>
      <w:divBdr>
        <w:top w:val="none" w:sz="0" w:space="0" w:color="auto"/>
        <w:left w:val="none" w:sz="0" w:space="0" w:color="auto"/>
        <w:bottom w:val="none" w:sz="0" w:space="0" w:color="auto"/>
        <w:right w:val="none" w:sz="0" w:space="0" w:color="auto"/>
      </w:divBdr>
    </w:div>
    <w:div w:id="398097397">
      <w:bodyDiv w:val="1"/>
      <w:marLeft w:val="0"/>
      <w:marRight w:val="0"/>
      <w:marTop w:val="0"/>
      <w:marBottom w:val="0"/>
      <w:divBdr>
        <w:top w:val="none" w:sz="0" w:space="0" w:color="auto"/>
        <w:left w:val="none" w:sz="0" w:space="0" w:color="auto"/>
        <w:bottom w:val="none" w:sz="0" w:space="0" w:color="auto"/>
        <w:right w:val="none" w:sz="0" w:space="0" w:color="auto"/>
      </w:divBdr>
    </w:div>
    <w:div w:id="400954678">
      <w:bodyDiv w:val="1"/>
      <w:marLeft w:val="0"/>
      <w:marRight w:val="0"/>
      <w:marTop w:val="0"/>
      <w:marBottom w:val="0"/>
      <w:divBdr>
        <w:top w:val="none" w:sz="0" w:space="0" w:color="auto"/>
        <w:left w:val="none" w:sz="0" w:space="0" w:color="auto"/>
        <w:bottom w:val="none" w:sz="0" w:space="0" w:color="auto"/>
        <w:right w:val="none" w:sz="0" w:space="0" w:color="auto"/>
      </w:divBdr>
    </w:div>
    <w:div w:id="404228606">
      <w:bodyDiv w:val="1"/>
      <w:marLeft w:val="0"/>
      <w:marRight w:val="0"/>
      <w:marTop w:val="0"/>
      <w:marBottom w:val="0"/>
      <w:divBdr>
        <w:top w:val="none" w:sz="0" w:space="0" w:color="auto"/>
        <w:left w:val="none" w:sz="0" w:space="0" w:color="auto"/>
        <w:bottom w:val="none" w:sz="0" w:space="0" w:color="auto"/>
        <w:right w:val="none" w:sz="0" w:space="0" w:color="auto"/>
      </w:divBdr>
    </w:div>
    <w:div w:id="411239424">
      <w:bodyDiv w:val="1"/>
      <w:marLeft w:val="0"/>
      <w:marRight w:val="0"/>
      <w:marTop w:val="0"/>
      <w:marBottom w:val="0"/>
      <w:divBdr>
        <w:top w:val="none" w:sz="0" w:space="0" w:color="auto"/>
        <w:left w:val="none" w:sz="0" w:space="0" w:color="auto"/>
        <w:bottom w:val="none" w:sz="0" w:space="0" w:color="auto"/>
        <w:right w:val="none" w:sz="0" w:space="0" w:color="auto"/>
      </w:divBdr>
    </w:div>
    <w:div w:id="422918706">
      <w:bodyDiv w:val="1"/>
      <w:marLeft w:val="0"/>
      <w:marRight w:val="0"/>
      <w:marTop w:val="0"/>
      <w:marBottom w:val="0"/>
      <w:divBdr>
        <w:top w:val="none" w:sz="0" w:space="0" w:color="auto"/>
        <w:left w:val="none" w:sz="0" w:space="0" w:color="auto"/>
        <w:bottom w:val="none" w:sz="0" w:space="0" w:color="auto"/>
        <w:right w:val="none" w:sz="0" w:space="0" w:color="auto"/>
      </w:divBdr>
    </w:div>
    <w:div w:id="444691158">
      <w:bodyDiv w:val="1"/>
      <w:marLeft w:val="0"/>
      <w:marRight w:val="0"/>
      <w:marTop w:val="0"/>
      <w:marBottom w:val="0"/>
      <w:divBdr>
        <w:top w:val="none" w:sz="0" w:space="0" w:color="auto"/>
        <w:left w:val="none" w:sz="0" w:space="0" w:color="auto"/>
        <w:bottom w:val="none" w:sz="0" w:space="0" w:color="auto"/>
        <w:right w:val="none" w:sz="0" w:space="0" w:color="auto"/>
      </w:divBdr>
    </w:div>
    <w:div w:id="455107154">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67402895">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2837378">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04633998">
      <w:bodyDiv w:val="1"/>
      <w:marLeft w:val="0"/>
      <w:marRight w:val="0"/>
      <w:marTop w:val="0"/>
      <w:marBottom w:val="0"/>
      <w:divBdr>
        <w:top w:val="none" w:sz="0" w:space="0" w:color="auto"/>
        <w:left w:val="none" w:sz="0" w:space="0" w:color="auto"/>
        <w:bottom w:val="none" w:sz="0" w:space="0" w:color="auto"/>
        <w:right w:val="none" w:sz="0" w:space="0" w:color="auto"/>
      </w:divBdr>
    </w:div>
    <w:div w:id="523712948">
      <w:bodyDiv w:val="1"/>
      <w:marLeft w:val="0"/>
      <w:marRight w:val="0"/>
      <w:marTop w:val="0"/>
      <w:marBottom w:val="0"/>
      <w:divBdr>
        <w:top w:val="none" w:sz="0" w:space="0" w:color="auto"/>
        <w:left w:val="none" w:sz="0" w:space="0" w:color="auto"/>
        <w:bottom w:val="none" w:sz="0" w:space="0" w:color="auto"/>
        <w:right w:val="none" w:sz="0" w:space="0" w:color="auto"/>
      </w:divBdr>
    </w:div>
    <w:div w:id="538707927">
      <w:bodyDiv w:val="1"/>
      <w:marLeft w:val="0"/>
      <w:marRight w:val="0"/>
      <w:marTop w:val="0"/>
      <w:marBottom w:val="0"/>
      <w:divBdr>
        <w:top w:val="none" w:sz="0" w:space="0" w:color="auto"/>
        <w:left w:val="none" w:sz="0" w:space="0" w:color="auto"/>
        <w:bottom w:val="none" w:sz="0" w:space="0" w:color="auto"/>
        <w:right w:val="none" w:sz="0" w:space="0" w:color="auto"/>
      </w:divBdr>
    </w:div>
    <w:div w:id="542180554">
      <w:bodyDiv w:val="1"/>
      <w:marLeft w:val="0"/>
      <w:marRight w:val="0"/>
      <w:marTop w:val="0"/>
      <w:marBottom w:val="0"/>
      <w:divBdr>
        <w:top w:val="none" w:sz="0" w:space="0" w:color="auto"/>
        <w:left w:val="none" w:sz="0" w:space="0" w:color="auto"/>
        <w:bottom w:val="none" w:sz="0" w:space="0" w:color="auto"/>
        <w:right w:val="none" w:sz="0" w:space="0" w:color="auto"/>
      </w:divBdr>
    </w:div>
    <w:div w:id="545217218">
      <w:bodyDiv w:val="1"/>
      <w:marLeft w:val="0"/>
      <w:marRight w:val="0"/>
      <w:marTop w:val="0"/>
      <w:marBottom w:val="0"/>
      <w:divBdr>
        <w:top w:val="none" w:sz="0" w:space="0" w:color="auto"/>
        <w:left w:val="none" w:sz="0" w:space="0" w:color="auto"/>
        <w:bottom w:val="none" w:sz="0" w:space="0" w:color="auto"/>
        <w:right w:val="none" w:sz="0" w:space="0" w:color="auto"/>
      </w:divBdr>
    </w:div>
    <w:div w:id="548223622">
      <w:bodyDiv w:val="1"/>
      <w:marLeft w:val="0"/>
      <w:marRight w:val="0"/>
      <w:marTop w:val="0"/>
      <w:marBottom w:val="0"/>
      <w:divBdr>
        <w:top w:val="none" w:sz="0" w:space="0" w:color="auto"/>
        <w:left w:val="none" w:sz="0" w:space="0" w:color="auto"/>
        <w:bottom w:val="none" w:sz="0" w:space="0" w:color="auto"/>
        <w:right w:val="none" w:sz="0" w:space="0" w:color="auto"/>
      </w:divBdr>
    </w:div>
    <w:div w:id="549076827">
      <w:bodyDiv w:val="1"/>
      <w:marLeft w:val="0"/>
      <w:marRight w:val="0"/>
      <w:marTop w:val="0"/>
      <w:marBottom w:val="0"/>
      <w:divBdr>
        <w:top w:val="none" w:sz="0" w:space="0" w:color="auto"/>
        <w:left w:val="none" w:sz="0" w:space="0" w:color="auto"/>
        <w:bottom w:val="none" w:sz="0" w:space="0" w:color="auto"/>
        <w:right w:val="none" w:sz="0" w:space="0" w:color="auto"/>
      </w:divBdr>
    </w:div>
    <w:div w:id="578371298">
      <w:bodyDiv w:val="1"/>
      <w:marLeft w:val="0"/>
      <w:marRight w:val="0"/>
      <w:marTop w:val="0"/>
      <w:marBottom w:val="0"/>
      <w:divBdr>
        <w:top w:val="none" w:sz="0" w:space="0" w:color="auto"/>
        <w:left w:val="none" w:sz="0" w:space="0" w:color="auto"/>
        <w:bottom w:val="none" w:sz="0" w:space="0" w:color="auto"/>
        <w:right w:val="none" w:sz="0" w:space="0" w:color="auto"/>
      </w:divBdr>
    </w:div>
    <w:div w:id="587423596">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04311099">
      <w:bodyDiv w:val="1"/>
      <w:marLeft w:val="0"/>
      <w:marRight w:val="0"/>
      <w:marTop w:val="0"/>
      <w:marBottom w:val="0"/>
      <w:divBdr>
        <w:top w:val="none" w:sz="0" w:space="0" w:color="auto"/>
        <w:left w:val="none" w:sz="0" w:space="0" w:color="auto"/>
        <w:bottom w:val="none" w:sz="0" w:space="0" w:color="auto"/>
        <w:right w:val="none" w:sz="0" w:space="0" w:color="auto"/>
      </w:divBdr>
    </w:div>
    <w:div w:id="613287557">
      <w:bodyDiv w:val="1"/>
      <w:marLeft w:val="0"/>
      <w:marRight w:val="0"/>
      <w:marTop w:val="0"/>
      <w:marBottom w:val="0"/>
      <w:divBdr>
        <w:top w:val="none" w:sz="0" w:space="0" w:color="auto"/>
        <w:left w:val="none" w:sz="0" w:space="0" w:color="auto"/>
        <w:bottom w:val="none" w:sz="0" w:space="0" w:color="auto"/>
        <w:right w:val="none" w:sz="0" w:space="0" w:color="auto"/>
      </w:divBdr>
    </w:div>
    <w:div w:id="624581491">
      <w:bodyDiv w:val="1"/>
      <w:marLeft w:val="0"/>
      <w:marRight w:val="0"/>
      <w:marTop w:val="0"/>
      <w:marBottom w:val="0"/>
      <w:divBdr>
        <w:top w:val="none" w:sz="0" w:space="0" w:color="auto"/>
        <w:left w:val="none" w:sz="0" w:space="0" w:color="auto"/>
        <w:bottom w:val="none" w:sz="0" w:space="0" w:color="auto"/>
        <w:right w:val="none" w:sz="0" w:space="0" w:color="auto"/>
      </w:divBdr>
    </w:div>
    <w:div w:id="632102078">
      <w:bodyDiv w:val="1"/>
      <w:marLeft w:val="0"/>
      <w:marRight w:val="0"/>
      <w:marTop w:val="0"/>
      <w:marBottom w:val="0"/>
      <w:divBdr>
        <w:top w:val="none" w:sz="0" w:space="0" w:color="auto"/>
        <w:left w:val="none" w:sz="0" w:space="0" w:color="auto"/>
        <w:bottom w:val="none" w:sz="0" w:space="0" w:color="auto"/>
        <w:right w:val="none" w:sz="0" w:space="0" w:color="auto"/>
      </w:divBdr>
    </w:div>
    <w:div w:id="632753465">
      <w:bodyDiv w:val="1"/>
      <w:marLeft w:val="0"/>
      <w:marRight w:val="0"/>
      <w:marTop w:val="0"/>
      <w:marBottom w:val="0"/>
      <w:divBdr>
        <w:top w:val="none" w:sz="0" w:space="0" w:color="auto"/>
        <w:left w:val="none" w:sz="0" w:space="0" w:color="auto"/>
        <w:bottom w:val="none" w:sz="0" w:space="0" w:color="auto"/>
        <w:right w:val="none" w:sz="0" w:space="0" w:color="auto"/>
      </w:divBdr>
    </w:div>
    <w:div w:id="632827094">
      <w:bodyDiv w:val="1"/>
      <w:marLeft w:val="0"/>
      <w:marRight w:val="0"/>
      <w:marTop w:val="0"/>
      <w:marBottom w:val="0"/>
      <w:divBdr>
        <w:top w:val="none" w:sz="0" w:space="0" w:color="auto"/>
        <w:left w:val="none" w:sz="0" w:space="0" w:color="auto"/>
        <w:bottom w:val="none" w:sz="0" w:space="0" w:color="auto"/>
        <w:right w:val="none" w:sz="0" w:space="0" w:color="auto"/>
      </w:divBdr>
    </w:div>
    <w:div w:id="634719873">
      <w:bodyDiv w:val="1"/>
      <w:marLeft w:val="0"/>
      <w:marRight w:val="0"/>
      <w:marTop w:val="0"/>
      <w:marBottom w:val="0"/>
      <w:divBdr>
        <w:top w:val="none" w:sz="0" w:space="0" w:color="auto"/>
        <w:left w:val="none" w:sz="0" w:space="0" w:color="auto"/>
        <w:bottom w:val="none" w:sz="0" w:space="0" w:color="auto"/>
        <w:right w:val="none" w:sz="0" w:space="0" w:color="auto"/>
      </w:divBdr>
    </w:div>
    <w:div w:id="636187277">
      <w:bodyDiv w:val="1"/>
      <w:marLeft w:val="0"/>
      <w:marRight w:val="0"/>
      <w:marTop w:val="0"/>
      <w:marBottom w:val="0"/>
      <w:divBdr>
        <w:top w:val="none" w:sz="0" w:space="0" w:color="auto"/>
        <w:left w:val="none" w:sz="0" w:space="0" w:color="auto"/>
        <w:bottom w:val="none" w:sz="0" w:space="0" w:color="auto"/>
        <w:right w:val="none" w:sz="0" w:space="0" w:color="auto"/>
      </w:divBdr>
    </w:div>
    <w:div w:id="663515176">
      <w:bodyDiv w:val="1"/>
      <w:marLeft w:val="0"/>
      <w:marRight w:val="0"/>
      <w:marTop w:val="0"/>
      <w:marBottom w:val="0"/>
      <w:divBdr>
        <w:top w:val="none" w:sz="0" w:space="0" w:color="auto"/>
        <w:left w:val="none" w:sz="0" w:space="0" w:color="auto"/>
        <w:bottom w:val="none" w:sz="0" w:space="0" w:color="auto"/>
        <w:right w:val="none" w:sz="0" w:space="0" w:color="auto"/>
      </w:divBdr>
    </w:div>
    <w:div w:id="668479819">
      <w:bodyDiv w:val="1"/>
      <w:marLeft w:val="0"/>
      <w:marRight w:val="0"/>
      <w:marTop w:val="0"/>
      <w:marBottom w:val="0"/>
      <w:divBdr>
        <w:top w:val="none" w:sz="0" w:space="0" w:color="auto"/>
        <w:left w:val="none" w:sz="0" w:space="0" w:color="auto"/>
        <w:bottom w:val="none" w:sz="0" w:space="0" w:color="auto"/>
        <w:right w:val="none" w:sz="0" w:space="0" w:color="auto"/>
      </w:divBdr>
    </w:div>
    <w:div w:id="668826436">
      <w:bodyDiv w:val="1"/>
      <w:marLeft w:val="0"/>
      <w:marRight w:val="0"/>
      <w:marTop w:val="0"/>
      <w:marBottom w:val="0"/>
      <w:divBdr>
        <w:top w:val="none" w:sz="0" w:space="0" w:color="auto"/>
        <w:left w:val="none" w:sz="0" w:space="0" w:color="auto"/>
        <w:bottom w:val="none" w:sz="0" w:space="0" w:color="auto"/>
        <w:right w:val="none" w:sz="0" w:space="0" w:color="auto"/>
      </w:divBdr>
    </w:div>
    <w:div w:id="672531989">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695934504">
      <w:bodyDiv w:val="1"/>
      <w:marLeft w:val="0"/>
      <w:marRight w:val="0"/>
      <w:marTop w:val="0"/>
      <w:marBottom w:val="0"/>
      <w:divBdr>
        <w:top w:val="none" w:sz="0" w:space="0" w:color="auto"/>
        <w:left w:val="none" w:sz="0" w:space="0" w:color="auto"/>
        <w:bottom w:val="none" w:sz="0" w:space="0" w:color="auto"/>
        <w:right w:val="none" w:sz="0" w:space="0" w:color="auto"/>
      </w:divBdr>
    </w:div>
    <w:div w:id="700519542">
      <w:bodyDiv w:val="1"/>
      <w:marLeft w:val="0"/>
      <w:marRight w:val="0"/>
      <w:marTop w:val="0"/>
      <w:marBottom w:val="0"/>
      <w:divBdr>
        <w:top w:val="none" w:sz="0" w:space="0" w:color="auto"/>
        <w:left w:val="none" w:sz="0" w:space="0" w:color="auto"/>
        <w:bottom w:val="none" w:sz="0" w:space="0" w:color="auto"/>
        <w:right w:val="none" w:sz="0" w:space="0" w:color="auto"/>
      </w:divBdr>
    </w:div>
    <w:div w:id="704915087">
      <w:bodyDiv w:val="1"/>
      <w:marLeft w:val="0"/>
      <w:marRight w:val="0"/>
      <w:marTop w:val="0"/>
      <w:marBottom w:val="0"/>
      <w:divBdr>
        <w:top w:val="none" w:sz="0" w:space="0" w:color="auto"/>
        <w:left w:val="none" w:sz="0" w:space="0" w:color="auto"/>
        <w:bottom w:val="none" w:sz="0" w:space="0" w:color="auto"/>
        <w:right w:val="none" w:sz="0" w:space="0" w:color="auto"/>
      </w:divBdr>
    </w:div>
    <w:div w:id="707681858">
      <w:bodyDiv w:val="1"/>
      <w:marLeft w:val="0"/>
      <w:marRight w:val="0"/>
      <w:marTop w:val="0"/>
      <w:marBottom w:val="0"/>
      <w:divBdr>
        <w:top w:val="none" w:sz="0" w:space="0" w:color="auto"/>
        <w:left w:val="none" w:sz="0" w:space="0" w:color="auto"/>
        <w:bottom w:val="none" w:sz="0" w:space="0" w:color="auto"/>
        <w:right w:val="none" w:sz="0" w:space="0" w:color="auto"/>
      </w:divBdr>
    </w:div>
    <w:div w:id="713235370">
      <w:bodyDiv w:val="1"/>
      <w:marLeft w:val="0"/>
      <w:marRight w:val="0"/>
      <w:marTop w:val="0"/>
      <w:marBottom w:val="0"/>
      <w:divBdr>
        <w:top w:val="none" w:sz="0" w:space="0" w:color="auto"/>
        <w:left w:val="none" w:sz="0" w:space="0" w:color="auto"/>
        <w:bottom w:val="none" w:sz="0" w:space="0" w:color="auto"/>
        <w:right w:val="none" w:sz="0" w:space="0" w:color="auto"/>
      </w:divBdr>
    </w:div>
    <w:div w:id="714735754">
      <w:bodyDiv w:val="1"/>
      <w:marLeft w:val="0"/>
      <w:marRight w:val="0"/>
      <w:marTop w:val="0"/>
      <w:marBottom w:val="0"/>
      <w:divBdr>
        <w:top w:val="none" w:sz="0" w:space="0" w:color="auto"/>
        <w:left w:val="none" w:sz="0" w:space="0" w:color="auto"/>
        <w:bottom w:val="none" w:sz="0" w:space="0" w:color="auto"/>
        <w:right w:val="none" w:sz="0" w:space="0" w:color="auto"/>
      </w:divBdr>
    </w:div>
    <w:div w:id="721173449">
      <w:bodyDiv w:val="1"/>
      <w:marLeft w:val="0"/>
      <w:marRight w:val="0"/>
      <w:marTop w:val="0"/>
      <w:marBottom w:val="0"/>
      <w:divBdr>
        <w:top w:val="none" w:sz="0" w:space="0" w:color="auto"/>
        <w:left w:val="none" w:sz="0" w:space="0" w:color="auto"/>
        <w:bottom w:val="none" w:sz="0" w:space="0" w:color="auto"/>
        <w:right w:val="none" w:sz="0" w:space="0" w:color="auto"/>
      </w:divBdr>
    </w:div>
    <w:div w:id="721563437">
      <w:bodyDiv w:val="1"/>
      <w:marLeft w:val="0"/>
      <w:marRight w:val="0"/>
      <w:marTop w:val="0"/>
      <w:marBottom w:val="0"/>
      <w:divBdr>
        <w:top w:val="none" w:sz="0" w:space="0" w:color="auto"/>
        <w:left w:val="none" w:sz="0" w:space="0" w:color="auto"/>
        <w:bottom w:val="none" w:sz="0" w:space="0" w:color="auto"/>
        <w:right w:val="none" w:sz="0" w:space="0" w:color="auto"/>
      </w:divBdr>
    </w:div>
    <w:div w:id="722170898">
      <w:bodyDiv w:val="1"/>
      <w:marLeft w:val="0"/>
      <w:marRight w:val="0"/>
      <w:marTop w:val="0"/>
      <w:marBottom w:val="0"/>
      <w:divBdr>
        <w:top w:val="none" w:sz="0" w:space="0" w:color="auto"/>
        <w:left w:val="none" w:sz="0" w:space="0" w:color="auto"/>
        <w:bottom w:val="none" w:sz="0" w:space="0" w:color="auto"/>
        <w:right w:val="none" w:sz="0" w:space="0" w:color="auto"/>
      </w:divBdr>
    </w:div>
    <w:div w:id="722679805">
      <w:bodyDiv w:val="1"/>
      <w:marLeft w:val="0"/>
      <w:marRight w:val="0"/>
      <w:marTop w:val="0"/>
      <w:marBottom w:val="0"/>
      <w:divBdr>
        <w:top w:val="none" w:sz="0" w:space="0" w:color="auto"/>
        <w:left w:val="none" w:sz="0" w:space="0" w:color="auto"/>
        <w:bottom w:val="none" w:sz="0" w:space="0" w:color="auto"/>
        <w:right w:val="none" w:sz="0" w:space="0" w:color="auto"/>
      </w:divBdr>
    </w:div>
    <w:div w:id="723025393">
      <w:bodyDiv w:val="1"/>
      <w:marLeft w:val="0"/>
      <w:marRight w:val="0"/>
      <w:marTop w:val="0"/>
      <w:marBottom w:val="0"/>
      <w:divBdr>
        <w:top w:val="none" w:sz="0" w:space="0" w:color="auto"/>
        <w:left w:val="none" w:sz="0" w:space="0" w:color="auto"/>
        <w:bottom w:val="none" w:sz="0" w:space="0" w:color="auto"/>
        <w:right w:val="none" w:sz="0" w:space="0" w:color="auto"/>
      </w:divBdr>
    </w:div>
    <w:div w:id="723991240">
      <w:bodyDiv w:val="1"/>
      <w:marLeft w:val="0"/>
      <w:marRight w:val="0"/>
      <w:marTop w:val="0"/>
      <w:marBottom w:val="0"/>
      <w:divBdr>
        <w:top w:val="none" w:sz="0" w:space="0" w:color="auto"/>
        <w:left w:val="none" w:sz="0" w:space="0" w:color="auto"/>
        <w:bottom w:val="none" w:sz="0" w:space="0" w:color="auto"/>
        <w:right w:val="none" w:sz="0" w:space="0" w:color="auto"/>
      </w:divBdr>
    </w:div>
    <w:div w:id="734818415">
      <w:bodyDiv w:val="1"/>
      <w:marLeft w:val="0"/>
      <w:marRight w:val="0"/>
      <w:marTop w:val="0"/>
      <w:marBottom w:val="0"/>
      <w:divBdr>
        <w:top w:val="none" w:sz="0" w:space="0" w:color="auto"/>
        <w:left w:val="none" w:sz="0" w:space="0" w:color="auto"/>
        <w:bottom w:val="none" w:sz="0" w:space="0" w:color="auto"/>
        <w:right w:val="none" w:sz="0" w:space="0" w:color="auto"/>
      </w:divBdr>
    </w:div>
    <w:div w:id="749892775">
      <w:bodyDiv w:val="1"/>
      <w:marLeft w:val="0"/>
      <w:marRight w:val="0"/>
      <w:marTop w:val="0"/>
      <w:marBottom w:val="0"/>
      <w:divBdr>
        <w:top w:val="none" w:sz="0" w:space="0" w:color="auto"/>
        <w:left w:val="none" w:sz="0" w:space="0" w:color="auto"/>
        <w:bottom w:val="none" w:sz="0" w:space="0" w:color="auto"/>
        <w:right w:val="none" w:sz="0" w:space="0" w:color="auto"/>
      </w:divBdr>
    </w:div>
    <w:div w:id="754983808">
      <w:bodyDiv w:val="1"/>
      <w:marLeft w:val="0"/>
      <w:marRight w:val="0"/>
      <w:marTop w:val="0"/>
      <w:marBottom w:val="0"/>
      <w:divBdr>
        <w:top w:val="none" w:sz="0" w:space="0" w:color="auto"/>
        <w:left w:val="none" w:sz="0" w:space="0" w:color="auto"/>
        <w:bottom w:val="none" w:sz="0" w:space="0" w:color="auto"/>
        <w:right w:val="none" w:sz="0" w:space="0" w:color="auto"/>
      </w:divBdr>
    </w:div>
    <w:div w:id="790168666">
      <w:bodyDiv w:val="1"/>
      <w:marLeft w:val="0"/>
      <w:marRight w:val="0"/>
      <w:marTop w:val="0"/>
      <w:marBottom w:val="0"/>
      <w:divBdr>
        <w:top w:val="none" w:sz="0" w:space="0" w:color="auto"/>
        <w:left w:val="none" w:sz="0" w:space="0" w:color="auto"/>
        <w:bottom w:val="none" w:sz="0" w:space="0" w:color="auto"/>
        <w:right w:val="none" w:sz="0" w:space="0" w:color="auto"/>
      </w:divBdr>
    </w:div>
    <w:div w:id="794566283">
      <w:bodyDiv w:val="1"/>
      <w:marLeft w:val="0"/>
      <w:marRight w:val="0"/>
      <w:marTop w:val="0"/>
      <w:marBottom w:val="0"/>
      <w:divBdr>
        <w:top w:val="none" w:sz="0" w:space="0" w:color="auto"/>
        <w:left w:val="none" w:sz="0" w:space="0" w:color="auto"/>
        <w:bottom w:val="none" w:sz="0" w:space="0" w:color="auto"/>
        <w:right w:val="none" w:sz="0" w:space="0" w:color="auto"/>
      </w:divBdr>
    </w:div>
    <w:div w:id="838035037">
      <w:bodyDiv w:val="1"/>
      <w:marLeft w:val="0"/>
      <w:marRight w:val="0"/>
      <w:marTop w:val="0"/>
      <w:marBottom w:val="0"/>
      <w:divBdr>
        <w:top w:val="none" w:sz="0" w:space="0" w:color="auto"/>
        <w:left w:val="none" w:sz="0" w:space="0" w:color="auto"/>
        <w:bottom w:val="none" w:sz="0" w:space="0" w:color="auto"/>
        <w:right w:val="none" w:sz="0" w:space="0" w:color="auto"/>
      </w:divBdr>
    </w:div>
    <w:div w:id="840587300">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57355194">
      <w:bodyDiv w:val="1"/>
      <w:marLeft w:val="0"/>
      <w:marRight w:val="0"/>
      <w:marTop w:val="0"/>
      <w:marBottom w:val="0"/>
      <w:divBdr>
        <w:top w:val="none" w:sz="0" w:space="0" w:color="auto"/>
        <w:left w:val="none" w:sz="0" w:space="0" w:color="auto"/>
        <w:bottom w:val="none" w:sz="0" w:space="0" w:color="auto"/>
        <w:right w:val="none" w:sz="0" w:space="0" w:color="auto"/>
      </w:divBdr>
    </w:div>
    <w:div w:id="858466791">
      <w:bodyDiv w:val="1"/>
      <w:marLeft w:val="0"/>
      <w:marRight w:val="0"/>
      <w:marTop w:val="0"/>
      <w:marBottom w:val="0"/>
      <w:divBdr>
        <w:top w:val="none" w:sz="0" w:space="0" w:color="auto"/>
        <w:left w:val="none" w:sz="0" w:space="0" w:color="auto"/>
        <w:bottom w:val="none" w:sz="0" w:space="0" w:color="auto"/>
        <w:right w:val="none" w:sz="0" w:space="0" w:color="auto"/>
      </w:divBdr>
    </w:div>
    <w:div w:id="861091068">
      <w:bodyDiv w:val="1"/>
      <w:marLeft w:val="0"/>
      <w:marRight w:val="0"/>
      <w:marTop w:val="0"/>
      <w:marBottom w:val="0"/>
      <w:divBdr>
        <w:top w:val="none" w:sz="0" w:space="0" w:color="auto"/>
        <w:left w:val="none" w:sz="0" w:space="0" w:color="auto"/>
        <w:bottom w:val="none" w:sz="0" w:space="0" w:color="auto"/>
        <w:right w:val="none" w:sz="0" w:space="0" w:color="auto"/>
      </w:divBdr>
    </w:div>
    <w:div w:id="86425369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871111391">
      <w:bodyDiv w:val="1"/>
      <w:marLeft w:val="0"/>
      <w:marRight w:val="0"/>
      <w:marTop w:val="0"/>
      <w:marBottom w:val="0"/>
      <w:divBdr>
        <w:top w:val="none" w:sz="0" w:space="0" w:color="auto"/>
        <w:left w:val="none" w:sz="0" w:space="0" w:color="auto"/>
        <w:bottom w:val="none" w:sz="0" w:space="0" w:color="auto"/>
        <w:right w:val="none" w:sz="0" w:space="0" w:color="auto"/>
      </w:divBdr>
    </w:div>
    <w:div w:id="877469050">
      <w:bodyDiv w:val="1"/>
      <w:marLeft w:val="0"/>
      <w:marRight w:val="0"/>
      <w:marTop w:val="0"/>
      <w:marBottom w:val="0"/>
      <w:divBdr>
        <w:top w:val="none" w:sz="0" w:space="0" w:color="auto"/>
        <w:left w:val="none" w:sz="0" w:space="0" w:color="auto"/>
        <w:bottom w:val="none" w:sz="0" w:space="0" w:color="auto"/>
        <w:right w:val="none" w:sz="0" w:space="0" w:color="auto"/>
      </w:divBdr>
    </w:div>
    <w:div w:id="880287485">
      <w:bodyDiv w:val="1"/>
      <w:marLeft w:val="0"/>
      <w:marRight w:val="0"/>
      <w:marTop w:val="0"/>
      <w:marBottom w:val="0"/>
      <w:divBdr>
        <w:top w:val="none" w:sz="0" w:space="0" w:color="auto"/>
        <w:left w:val="none" w:sz="0" w:space="0" w:color="auto"/>
        <w:bottom w:val="none" w:sz="0" w:space="0" w:color="auto"/>
        <w:right w:val="none" w:sz="0" w:space="0" w:color="auto"/>
      </w:divBdr>
    </w:div>
    <w:div w:id="890269271">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31887944">
      <w:bodyDiv w:val="1"/>
      <w:marLeft w:val="0"/>
      <w:marRight w:val="0"/>
      <w:marTop w:val="0"/>
      <w:marBottom w:val="0"/>
      <w:divBdr>
        <w:top w:val="none" w:sz="0" w:space="0" w:color="auto"/>
        <w:left w:val="none" w:sz="0" w:space="0" w:color="auto"/>
        <w:bottom w:val="none" w:sz="0" w:space="0" w:color="auto"/>
        <w:right w:val="none" w:sz="0" w:space="0" w:color="auto"/>
      </w:divBdr>
    </w:div>
    <w:div w:id="936865781">
      <w:bodyDiv w:val="1"/>
      <w:marLeft w:val="0"/>
      <w:marRight w:val="0"/>
      <w:marTop w:val="0"/>
      <w:marBottom w:val="0"/>
      <w:divBdr>
        <w:top w:val="none" w:sz="0" w:space="0" w:color="auto"/>
        <w:left w:val="none" w:sz="0" w:space="0" w:color="auto"/>
        <w:bottom w:val="none" w:sz="0" w:space="0" w:color="auto"/>
        <w:right w:val="none" w:sz="0" w:space="0" w:color="auto"/>
      </w:divBdr>
    </w:div>
    <w:div w:id="953829568">
      <w:bodyDiv w:val="1"/>
      <w:marLeft w:val="0"/>
      <w:marRight w:val="0"/>
      <w:marTop w:val="0"/>
      <w:marBottom w:val="0"/>
      <w:divBdr>
        <w:top w:val="none" w:sz="0" w:space="0" w:color="auto"/>
        <w:left w:val="none" w:sz="0" w:space="0" w:color="auto"/>
        <w:bottom w:val="none" w:sz="0" w:space="0" w:color="auto"/>
        <w:right w:val="none" w:sz="0" w:space="0" w:color="auto"/>
      </w:divBdr>
    </w:div>
    <w:div w:id="955058817">
      <w:bodyDiv w:val="1"/>
      <w:marLeft w:val="0"/>
      <w:marRight w:val="0"/>
      <w:marTop w:val="0"/>
      <w:marBottom w:val="0"/>
      <w:divBdr>
        <w:top w:val="none" w:sz="0" w:space="0" w:color="auto"/>
        <w:left w:val="none" w:sz="0" w:space="0" w:color="auto"/>
        <w:bottom w:val="none" w:sz="0" w:space="0" w:color="auto"/>
        <w:right w:val="none" w:sz="0" w:space="0" w:color="auto"/>
      </w:divBdr>
    </w:div>
    <w:div w:id="955794133">
      <w:bodyDiv w:val="1"/>
      <w:marLeft w:val="0"/>
      <w:marRight w:val="0"/>
      <w:marTop w:val="0"/>
      <w:marBottom w:val="0"/>
      <w:divBdr>
        <w:top w:val="none" w:sz="0" w:space="0" w:color="auto"/>
        <w:left w:val="none" w:sz="0" w:space="0" w:color="auto"/>
        <w:bottom w:val="none" w:sz="0" w:space="0" w:color="auto"/>
        <w:right w:val="none" w:sz="0" w:space="0" w:color="auto"/>
      </w:divBdr>
    </w:div>
    <w:div w:id="969019715">
      <w:bodyDiv w:val="1"/>
      <w:marLeft w:val="0"/>
      <w:marRight w:val="0"/>
      <w:marTop w:val="0"/>
      <w:marBottom w:val="0"/>
      <w:divBdr>
        <w:top w:val="none" w:sz="0" w:space="0" w:color="auto"/>
        <w:left w:val="none" w:sz="0" w:space="0" w:color="auto"/>
        <w:bottom w:val="none" w:sz="0" w:space="0" w:color="auto"/>
        <w:right w:val="none" w:sz="0" w:space="0" w:color="auto"/>
      </w:divBdr>
    </w:div>
    <w:div w:id="969167377">
      <w:bodyDiv w:val="1"/>
      <w:marLeft w:val="0"/>
      <w:marRight w:val="0"/>
      <w:marTop w:val="0"/>
      <w:marBottom w:val="0"/>
      <w:divBdr>
        <w:top w:val="none" w:sz="0" w:space="0" w:color="auto"/>
        <w:left w:val="none" w:sz="0" w:space="0" w:color="auto"/>
        <w:bottom w:val="none" w:sz="0" w:space="0" w:color="auto"/>
        <w:right w:val="none" w:sz="0" w:space="0" w:color="auto"/>
      </w:divBdr>
    </w:div>
    <w:div w:id="969558883">
      <w:bodyDiv w:val="1"/>
      <w:marLeft w:val="0"/>
      <w:marRight w:val="0"/>
      <w:marTop w:val="0"/>
      <w:marBottom w:val="0"/>
      <w:divBdr>
        <w:top w:val="none" w:sz="0" w:space="0" w:color="auto"/>
        <w:left w:val="none" w:sz="0" w:space="0" w:color="auto"/>
        <w:bottom w:val="none" w:sz="0" w:space="0" w:color="auto"/>
        <w:right w:val="none" w:sz="0" w:space="0" w:color="auto"/>
      </w:divBdr>
    </w:div>
    <w:div w:id="974531909">
      <w:bodyDiv w:val="1"/>
      <w:marLeft w:val="0"/>
      <w:marRight w:val="0"/>
      <w:marTop w:val="0"/>
      <w:marBottom w:val="0"/>
      <w:divBdr>
        <w:top w:val="none" w:sz="0" w:space="0" w:color="auto"/>
        <w:left w:val="none" w:sz="0" w:space="0" w:color="auto"/>
        <w:bottom w:val="none" w:sz="0" w:space="0" w:color="auto"/>
        <w:right w:val="none" w:sz="0" w:space="0" w:color="auto"/>
      </w:divBdr>
    </w:div>
    <w:div w:id="978875486">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997536736">
      <w:bodyDiv w:val="1"/>
      <w:marLeft w:val="0"/>
      <w:marRight w:val="0"/>
      <w:marTop w:val="0"/>
      <w:marBottom w:val="0"/>
      <w:divBdr>
        <w:top w:val="none" w:sz="0" w:space="0" w:color="auto"/>
        <w:left w:val="none" w:sz="0" w:space="0" w:color="auto"/>
        <w:bottom w:val="none" w:sz="0" w:space="0" w:color="auto"/>
        <w:right w:val="none" w:sz="0" w:space="0" w:color="auto"/>
      </w:divBdr>
    </w:div>
    <w:div w:id="999115246">
      <w:bodyDiv w:val="1"/>
      <w:marLeft w:val="0"/>
      <w:marRight w:val="0"/>
      <w:marTop w:val="0"/>
      <w:marBottom w:val="0"/>
      <w:divBdr>
        <w:top w:val="none" w:sz="0" w:space="0" w:color="auto"/>
        <w:left w:val="none" w:sz="0" w:space="0" w:color="auto"/>
        <w:bottom w:val="none" w:sz="0" w:space="0" w:color="auto"/>
        <w:right w:val="none" w:sz="0" w:space="0" w:color="auto"/>
      </w:divBdr>
    </w:div>
    <w:div w:id="1005471575">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34502045">
      <w:bodyDiv w:val="1"/>
      <w:marLeft w:val="0"/>
      <w:marRight w:val="0"/>
      <w:marTop w:val="0"/>
      <w:marBottom w:val="0"/>
      <w:divBdr>
        <w:top w:val="none" w:sz="0" w:space="0" w:color="auto"/>
        <w:left w:val="none" w:sz="0" w:space="0" w:color="auto"/>
        <w:bottom w:val="none" w:sz="0" w:space="0" w:color="auto"/>
        <w:right w:val="none" w:sz="0" w:space="0" w:color="auto"/>
      </w:divBdr>
    </w:div>
    <w:div w:id="1041201304">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52343919">
      <w:bodyDiv w:val="1"/>
      <w:marLeft w:val="0"/>
      <w:marRight w:val="0"/>
      <w:marTop w:val="0"/>
      <w:marBottom w:val="0"/>
      <w:divBdr>
        <w:top w:val="none" w:sz="0" w:space="0" w:color="auto"/>
        <w:left w:val="none" w:sz="0" w:space="0" w:color="auto"/>
        <w:bottom w:val="none" w:sz="0" w:space="0" w:color="auto"/>
        <w:right w:val="none" w:sz="0" w:space="0" w:color="auto"/>
      </w:divBdr>
    </w:div>
    <w:div w:id="1059402595">
      <w:bodyDiv w:val="1"/>
      <w:marLeft w:val="0"/>
      <w:marRight w:val="0"/>
      <w:marTop w:val="0"/>
      <w:marBottom w:val="0"/>
      <w:divBdr>
        <w:top w:val="none" w:sz="0" w:space="0" w:color="auto"/>
        <w:left w:val="none" w:sz="0" w:space="0" w:color="auto"/>
        <w:bottom w:val="none" w:sz="0" w:space="0" w:color="auto"/>
        <w:right w:val="none" w:sz="0" w:space="0" w:color="auto"/>
      </w:divBdr>
    </w:div>
    <w:div w:id="1061558757">
      <w:bodyDiv w:val="1"/>
      <w:marLeft w:val="0"/>
      <w:marRight w:val="0"/>
      <w:marTop w:val="0"/>
      <w:marBottom w:val="0"/>
      <w:divBdr>
        <w:top w:val="none" w:sz="0" w:space="0" w:color="auto"/>
        <w:left w:val="none" w:sz="0" w:space="0" w:color="auto"/>
        <w:bottom w:val="none" w:sz="0" w:space="0" w:color="auto"/>
        <w:right w:val="none" w:sz="0" w:space="0" w:color="auto"/>
      </w:divBdr>
    </w:div>
    <w:div w:id="1076825826">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095594351">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08542936">
      <w:bodyDiv w:val="1"/>
      <w:marLeft w:val="0"/>
      <w:marRight w:val="0"/>
      <w:marTop w:val="0"/>
      <w:marBottom w:val="0"/>
      <w:divBdr>
        <w:top w:val="none" w:sz="0" w:space="0" w:color="auto"/>
        <w:left w:val="none" w:sz="0" w:space="0" w:color="auto"/>
        <w:bottom w:val="none" w:sz="0" w:space="0" w:color="auto"/>
        <w:right w:val="none" w:sz="0" w:space="0" w:color="auto"/>
      </w:divBdr>
    </w:div>
    <w:div w:id="1118182482">
      <w:bodyDiv w:val="1"/>
      <w:marLeft w:val="0"/>
      <w:marRight w:val="0"/>
      <w:marTop w:val="0"/>
      <w:marBottom w:val="0"/>
      <w:divBdr>
        <w:top w:val="none" w:sz="0" w:space="0" w:color="auto"/>
        <w:left w:val="none" w:sz="0" w:space="0" w:color="auto"/>
        <w:bottom w:val="none" w:sz="0" w:space="0" w:color="auto"/>
        <w:right w:val="none" w:sz="0" w:space="0" w:color="auto"/>
      </w:divBdr>
    </w:div>
    <w:div w:id="1120682255">
      <w:bodyDiv w:val="1"/>
      <w:marLeft w:val="0"/>
      <w:marRight w:val="0"/>
      <w:marTop w:val="0"/>
      <w:marBottom w:val="0"/>
      <w:divBdr>
        <w:top w:val="none" w:sz="0" w:space="0" w:color="auto"/>
        <w:left w:val="none" w:sz="0" w:space="0" w:color="auto"/>
        <w:bottom w:val="none" w:sz="0" w:space="0" w:color="auto"/>
        <w:right w:val="none" w:sz="0" w:space="0" w:color="auto"/>
      </w:divBdr>
    </w:div>
    <w:div w:id="1121340712">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124040659">
      <w:bodyDiv w:val="1"/>
      <w:marLeft w:val="0"/>
      <w:marRight w:val="0"/>
      <w:marTop w:val="0"/>
      <w:marBottom w:val="0"/>
      <w:divBdr>
        <w:top w:val="none" w:sz="0" w:space="0" w:color="auto"/>
        <w:left w:val="none" w:sz="0" w:space="0" w:color="auto"/>
        <w:bottom w:val="none" w:sz="0" w:space="0" w:color="auto"/>
        <w:right w:val="none" w:sz="0" w:space="0" w:color="auto"/>
      </w:divBdr>
    </w:div>
    <w:div w:id="1140221240">
      <w:bodyDiv w:val="1"/>
      <w:marLeft w:val="0"/>
      <w:marRight w:val="0"/>
      <w:marTop w:val="0"/>
      <w:marBottom w:val="0"/>
      <w:divBdr>
        <w:top w:val="none" w:sz="0" w:space="0" w:color="auto"/>
        <w:left w:val="none" w:sz="0" w:space="0" w:color="auto"/>
        <w:bottom w:val="none" w:sz="0" w:space="0" w:color="auto"/>
        <w:right w:val="none" w:sz="0" w:space="0" w:color="auto"/>
      </w:divBdr>
    </w:div>
    <w:div w:id="1150050848">
      <w:bodyDiv w:val="1"/>
      <w:marLeft w:val="0"/>
      <w:marRight w:val="0"/>
      <w:marTop w:val="0"/>
      <w:marBottom w:val="0"/>
      <w:divBdr>
        <w:top w:val="none" w:sz="0" w:space="0" w:color="auto"/>
        <w:left w:val="none" w:sz="0" w:space="0" w:color="auto"/>
        <w:bottom w:val="none" w:sz="0" w:space="0" w:color="auto"/>
        <w:right w:val="none" w:sz="0" w:space="0" w:color="auto"/>
      </w:divBdr>
    </w:div>
    <w:div w:id="1151021388">
      <w:bodyDiv w:val="1"/>
      <w:marLeft w:val="0"/>
      <w:marRight w:val="0"/>
      <w:marTop w:val="0"/>
      <w:marBottom w:val="0"/>
      <w:divBdr>
        <w:top w:val="none" w:sz="0" w:space="0" w:color="auto"/>
        <w:left w:val="none" w:sz="0" w:space="0" w:color="auto"/>
        <w:bottom w:val="none" w:sz="0" w:space="0" w:color="auto"/>
        <w:right w:val="none" w:sz="0" w:space="0" w:color="auto"/>
      </w:divBdr>
    </w:div>
    <w:div w:id="1162938311">
      <w:bodyDiv w:val="1"/>
      <w:marLeft w:val="0"/>
      <w:marRight w:val="0"/>
      <w:marTop w:val="0"/>
      <w:marBottom w:val="0"/>
      <w:divBdr>
        <w:top w:val="none" w:sz="0" w:space="0" w:color="auto"/>
        <w:left w:val="none" w:sz="0" w:space="0" w:color="auto"/>
        <w:bottom w:val="none" w:sz="0" w:space="0" w:color="auto"/>
        <w:right w:val="none" w:sz="0" w:space="0" w:color="auto"/>
      </w:divBdr>
    </w:div>
    <w:div w:id="1185900487">
      <w:bodyDiv w:val="1"/>
      <w:marLeft w:val="0"/>
      <w:marRight w:val="0"/>
      <w:marTop w:val="0"/>
      <w:marBottom w:val="0"/>
      <w:divBdr>
        <w:top w:val="none" w:sz="0" w:space="0" w:color="auto"/>
        <w:left w:val="none" w:sz="0" w:space="0" w:color="auto"/>
        <w:bottom w:val="none" w:sz="0" w:space="0" w:color="auto"/>
        <w:right w:val="none" w:sz="0" w:space="0" w:color="auto"/>
      </w:divBdr>
    </w:div>
    <w:div w:id="1194223642">
      <w:bodyDiv w:val="1"/>
      <w:marLeft w:val="0"/>
      <w:marRight w:val="0"/>
      <w:marTop w:val="0"/>
      <w:marBottom w:val="0"/>
      <w:divBdr>
        <w:top w:val="none" w:sz="0" w:space="0" w:color="auto"/>
        <w:left w:val="none" w:sz="0" w:space="0" w:color="auto"/>
        <w:bottom w:val="none" w:sz="0" w:space="0" w:color="auto"/>
        <w:right w:val="none" w:sz="0" w:space="0" w:color="auto"/>
      </w:divBdr>
    </w:div>
    <w:div w:id="1211113273">
      <w:bodyDiv w:val="1"/>
      <w:marLeft w:val="0"/>
      <w:marRight w:val="0"/>
      <w:marTop w:val="0"/>
      <w:marBottom w:val="0"/>
      <w:divBdr>
        <w:top w:val="none" w:sz="0" w:space="0" w:color="auto"/>
        <w:left w:val="none" w:sz="0" w:space="0" w:color="auto"/>
        <w:bottom w:val="none" w:sz="0" w:space="0" w:color="auto"/>
        <w:right w:val="none" w:sz="0" w:space="0" w:color="auto"/>
      </w:divBdr>
    </w:div>
    <w:div w:id="1211961032">
      <w:bodyDiv w:val="1"/>
      <w:marLeft w:val="0"/>
      <w:marRight w:val="0"/>
      <w:marTop w:val="0"/>
      <w:marBottom w:val="0"/>
      <w:divBdr>
        <w:top w:val="none" w:sz="0" w:space="0" w:color="auto"/>
        <w:left w:val="none" w:sz="0" w:space="0" w:color="auto"/>
        <w:bottom w:val="none" w:sz="0" w:space="0" w:color="auto"/>
        <w:right w:val="none" w:sz="0" w:space="0" w:color="auto"/>
      </w:divBdr>
    </w:div>
    <w:div w:id="1220706163">
      <w:bodyDiv w:val="1"/>
      <w:marLeft w:val="0"/>
      <w:marRight w:val="0"/>
      <w:marTop w:val="0"/>
      <w:marBottom w:val="0"/>
      <w:divBdr>
        <w:top w:val="none" w:sz="0" w:space="0" w:color="auto"/>
        <w:left w:val="none" w:sz="0" w:space="0" w:color="auto"/>
        <w:bottom w:val="none" w:sz="0" w:space="0" w:color="auto"/>
        <w:right w:val="none" w:sz="0" w:space="0" w:color="auto"/>
      </w:divBdr>
    </w:div>
    <w:div w:id="1229147831">
      <w:bodyDiv w:val="1"/>
      <w:marLeft w:val="0"/>
      <w:marRight w:val="0"/>
      <w:marTop w:val="0"/>
      <w:marBottom w:val="0"/>
      <w:divBdr>
        <w:top w:val="none" w:sz="0" w:space="0" w:color="auto"/>
        <w:left w:val="none" w:sz="0" w:space="0" w:color="auto"/>
        <w:bottom w:val="none" w:sz="0" w:space="0" w:color="auto"/>
        <w:right w:val="none" w:sz="0" w:space="0" w:color="auto"/>
      </w:divBdr>
    </w:div>
    <w:div w:id="1250500954">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54631442">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01227030">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285629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331526332">
      <w:bodyDiv w:val="1"/>
      <w:marLeft w:val="0"/>
      <w:marRight w:val="0"/>
      <w:marTop w:val="0"/>
      <w:marBottom w:val="0"/>
      <w:divBdr>
        <w:top w:val="none" w:sz="0" w:space="0" w:color="auto"/>
        <w:left w:val="none" w:sz="0" w:space="0" w:color="auto"/>
        <w:bottom w:val="none" w:sz="0" w:space="0" w:color="auto"/>
        <w:right w:val="none" w:sz="0" w:space="0" w:color="auto"/>
      </w:divBdr>
    </w:div>
    <w:div w:id="1333609780">
      <w:bodyDiv w:val="1"/>
      <w:marLeft w:val="0"/>
      <w:marRight w:val="0"/>
      <w:marTop w:val="0"/>
      <w:marBottom w:val="0"/>
      <w:divBdr>
        <w:top w:val="none" w:sz="0" w:space="0" w:color="auto"/>
        <w:left w:val="none" w:sz="0" w:space="0" w:color="auto"/>
        <w:bottom w:val="none" w:sz="0" w:space="0" w:color="auto"/>
        <w:right w:val="none" w:sz="0" w:space="0" w:color="auto"/>
      </w:divBdr>
    </w:div>
    <w:div w:id="1337999133">
      <w:bodyDiv w:val="1"/>
      <w:marLeft w:val="0"/>
      <w:marRight w:val="0"/>
      <w:marTop w:val="0"/>
      <w:marBottom w:val="0"/>
      <w:divBdr>
        <w:top w:val="none" w:sz="0" w:space="0" w:color="auto"/>
        <w:left w:val="none" w:sz="0" w:space="0" w:color="auto"/>
        <w:bottom w:val="none" w:sz="0" w:space="0" w:color="auto"/>
        <w:right w:val="none" w:sz="0" w:space="0" w:color="auto"/>
      </w:divBdr>
    </w:div>
    <w:div w:id="1343168588">
      <w:bodyDiv w:val="1"/>
      <w:marLeft w:val="0"/>
      <w:marRight w:val="0"/>
      <w:marTop w:val="0"/>
      <w:marBottom w:val="0"/>
      <w:divBdr>
        <w:top w:val="none" w:sz="0" w:space="0" w:color="auto"/>
        <w:left w:val="none" w:sz="0" w:space="0" w:color="auto"/>
        <w:bottom w:val="none" w:sz="0" w:space="0" w:color="auto"/>
        <w:right w:val="none" w:sz="0" w:space="0" w:color="auto"/>
      </w:divBdr>
    </w:div>
    <w:div w:id="1368677491">
      <w:bodyDiv w:val="1"/>
      <w:marLeft w:val="0"/>
      <w:marRight w:val="0"/>
      <w:marTop w:val="0"/>
      <w:marBottom w:val="0"/>
      <w:divBdr>
        <w:top w:val="none" w:sz="0" w:space="0" w:color="auto"/>
        <w:left w:val="none" w:sz="0" w:space="0" w:color="auto"/>
        <w:bottom w:val="none" w:sz="0" w:space="0" w:color="auto"/>
        <w:right w:val="none" w:sz="0" w:space="0" w:color="auto"/>
      </w:divBdr>
    </w:div>
    <w:div w:id="1380935001">
      <w:bodyDiv w:val="1"/>
      <w:marLeft w:val="0"/>
      <w:marRight w:val="0"/>
      <w:marTop w:val="0"/>
      <w:marBottom w:val="0"/>
      <w:divBdr>
        <w:top w:val="none" w:sz="0" w:space="0" w:color="auto"/>
        <w:left w:val="none" w:sz="0" w:space="0" w:color="auto"/>
        <w:bottom w:val="none" w:sz="0" w:space="0" w:color="auto"/>
        <w:right w:val="none" w:sz="0" w:space="0" w:color="auto"/>
      </w:divBdr>
    </w:div>
    <w:div w:id="1389188192">
      <w:bodyDiv w:val="1"/>
      <w:marLeft w:val="0"/>
      <w:marRight w:val="0"/>
      <w:marTop w:val="0"/>
      <w:marBottom w:val="0"/>
      <w:divBdr>
        <w:top w:val="none" w:sz="0" w:space="0" w:color="auto"/>
        <w:left w:val="none" w:sz="0" w:space="0" w:color="auto"/>
        <w:bottom w:val="none" w:sz="0" w:space="0" w:color="auto"/>
        <w:right w:val="none" w:sz="0" w:space="0" w:color="auto"/>
      </w:divBdr>
    </w:div>
    <w:div w:id="1415010911">
      <w:bodyDiv w:val="1"/>
      <w:marLeft w:val="0"/>
      <w:marRight w:val="0"/>
      <w:marTop w:val="0"/>
      <w:marBottom w:val="0"/>
      <w:divBdr>
        <w:top w:val="none" w:sz="0" w:space="0" w:color="auto"/>
        <w:left w:val="none" w:sz="0" w:space="0" w:color="auto"/>
        <w:bottom w:val="none" w:sz="0" w:space="0" w:color="auto"/>
        <w:right w:val="none" w:sz="0" w:space="0" w:color="auto"/>
      </w:divBdr>
    </w:div>
    <w:div w:id="1434983187">
      <w:bodyDiv w:val="1"/>
      <w:marLeft w:val="0"/>
      <w:marRight w:val="0"/>
      <w:marTop w:val="0"/>
      <w:marBottom w:val="0"/>
      <w:divBdr>
        <w:top w:val="none" w:sz="0" w:space="0" w:color="auto"/>
        <w:left w:val="none" w:sz="0" w:space="0" w:color="auto"/>
        <w:bottom w:val="none" w:sz="0" w:space="0" w:color="auto"/>
        <w:right w:val="none" w:sz="0" w:space="0" w:color="auto"/>
      </w:divBdr>
    </w:div>
    <w:div w:id="1441798836">
      <w:bodyDiv w:val="1"/>
      <w:marLeft w:val="0"/>
      <w:marRight w:val="0"/>
      <w:marTop w:val="0"/>
      <w:marBottom w:val="0"/>
      <w:divBdr>
        <w:top w:val="none" w:sz="0" w:space="0" w:color="auto"/>
        <w:left w:val="none" w:sz="0" w:space="0" w:color="auto"/>
        <w:bottom w:val="none" w:sz="0" w:space="0" w:color="auto"/>
        <w:right w:val="none" w:sz="0" w:space="0" w:color="auto"/>
      </w:divBdr>
    </w:div>
    <w:div w:id="1445080438">
      <w:bodyDiv w:val="1"/>
      <w:marLeft w:val="0"/>
      <w:marRight w:val="0"/>
      <w:marTop w:val="0"/>
      <w:marBottom w:val="0"/>
      <w:divBdr>
        <w:top w:val="none" w:sz="0" w:space="0" w:color="auto"/>
        <w:left w:val="none" w:sz="0" w:space="0" w:color="auto"/>
        <w:bottom w:val="none" w:sz="0" w:space="0" w:color="auto"/>
        <w:right w:val="none" w:sz="0" w:space="0" w:color="auto"/>
      </w:divBdr>
    </w:div>
    <w:div w:id="1450971714">
      <w:bodyDiv w:val="1"/>
      <w:marLeft w:val="0"/>
      <w:marRight w:val="0"/>
      <w:marTop w:val="0"/>
      <w:marBottom w:val="0"/>
      <w:divBdr>
        <w:top w:val="none" w:sz="0" w:space="0" w:color="auto"/>
        <w:left w:val="none" w:sz="0" w:space="0" w:color="auto"/>
        <w:bottom w:val="none" w:sz="0" w:space="0" w:color="auto"/>
        <w:right w:val="none" w:sz="0" w:space="0" w:color="auto"/>
      </w:divBdr>
    </w:div>
    <w:div w:id="1454637265">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29686303">
      <w:bodyDiv w:val="1"/>
      <w:marLeft w:val="0"/>
      <w:marRight w:val="0"/>
      <w:marTop w:val="0"/>
      <w:marBottom w:val="0"/>
      <w:divBdr>
        <w:top w:val="none" w:sz="0" w:space="0" w:color="auto"/>
        <w:left w:val="none" w:sz="0" w:space="0" w:color="auto"/>
        <w:bottom w:val="none" w:sz="0" w:space="0" w:color="auto"/>
        <w:right w:val="none" w:sz="0" w:space="0" w:color="auto"/>
      </w:divBdr>
    </w:div>
    <w:div w:id="1547256159">
      <w:bodyDiv w:val="1"/>
      <w:marLeft w:val="0"/>
      <w:marRight w:val="0"/>
      <w:marTop w:val="0"/>
      <w:marBottom w:val="0"/>
      <w:divBdr>
        <w:top w:val="none" w:sz="0" w:space="0" w:color="auto"/>
        <w:left w:val="none" w:sz="0" w:space="0" w:color="auto"/>
        <w:bottom w:val="none" w:sz="0" w:space="0" w:color="auto"/>
        <w:right w:val="none" w:sz="0" w:space="0" w:color="auto"/>
      </w:divBdr>
    </w:div>
    <w:div w:id="1555308135">
      <w:bodyDiv w:val="1"/>
      <w:marLeft w:val="0"/>
      <w:marRight w:val="0"/>
      <w:marTop w:val="0"/>
      <w:marBottom w:val="0"/>
      <w:divBdr>
        <w:top w:val="none" w:sz="0" w:space="0" w:color="auto"/>
        <w:left w:val="none" w:sz="0" w:space="0" w:color="auto"/>
        <w:bottom w:val="none" w:sz="0" w:space="0" w:color="auto"/>
        <w:right w:val="none" w:sz="0" w:space="0" w:color="auto"/>
      </w:divBdr>
    </w:div>
    <w:div w:id="1567573351">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77744255">
      <w:bodyDiv w:val="1"/>
      <w:marLeft w:val="0"/>
      <w:marRight w:val="0"/>
      <w:marTop w:val="0"/>
      <w:marBottom w:val="0"/>
      <w:divBdr>
        <w:top w:val="none" w:sz="0" w:space="0" w:color="auto"/>
        <w:left w:val="none" w:sz="0" w:space="0" w:color="auto"/>
        <w:bottom w:val="none" w:sz="0" w:space="0" w:color="auto"/>
        <w:right w:val="none" w:sz="0" w:space="0" w:color="auto"/>
      </w:divBdr>
    </w:div>
    <w:div w:id="1593709324">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01067778">
      <w:bodyDiv w:val="1"/>
      <w:marLeft w:val="0"/>
      <w:marRight w:val="0"/>
      <w:marTop w:val="0"/>
      <w:marBottom w:val="0"/>
      <w:divBdr>
        <w:top w:val="none" w:sz="0" w:space="0" w:color="auto"/>
        <w:left w:val="none" w:sz="0" w:space="0" w:color="auto"/>
        <w:bottom w:val="none" w:sz="0" w:space="0" w:color="auto"/>
        <w:right w:val="none" w:sz="0" w:space="0" w:color="auto"/>
      </w:divBdr>
    </w:div>
    <w:div w:id="160861091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14825745">
      <w:bodyDiv w:val="1"/>
      <w:marLeft w:val="0"/>
      <w:marRight w:val="0"/>
      <w:marTop w:val="0"/>
      <w:marBottom w:val="0"/>
      <w:divBdr>
        <w:top w:val="none" w:sz="0" w:space="0" w:color="auto"/>
        <w:left w:val="none" w:sz="0" w:space="0" w:color="auto"/>
        <w:bottom w:val="none" w:sz="0" w:space="0" w:color="auto"/>
        <w:right w:val="none" w:sz="0" w:space="0" w:color="auto"/>
      </w:divBdr>
    </w:div>
    <w:div w:id="1616446077">
      <w:bodyDiv w:val="1"/>
      <w:marLeft w:val="0"/>
      <w:marRight w:val="0"/>
      <w:marTop w:val="0"/>
      <w:marBottom w:val="0"/>
      <w:divBdr>
        <w:top w:val="none" w:sz="0" w:space="0" w:color="auto"/>
        <w:left w:val="none" w:sz="0" w:space="0" w:color="auto"/>
        <w:bottom w:val="none" w:sz="0" w:space="0" w:color="auto"/>
        <w:right w:val="none" w:sz="0" w:space="0" w:color="auto"/>
      </w:divBdr>
    </w:div>
    <w:div w:id="1645819021">
      <w:bodyDiv w:val="1"/>
      <w:marLeft w:val="0"/>
      <w:marRight w:val="0"/>
      <w:marTop w:val="0"/>
      <w:marBottom w:val="0"/>
      <w:divBdr>
        <w:top w:val="none" w:sz="0" w:space="0" w:color="auto"/>
        <w:left w:val="none" w:sz="0" w:space="0" w:color="auto"/>
        <w:bottom w:val="none" w:sz="0" w:space="0" w:color="auto"/>
        <w:right w:val="none" w:sz="0" w:space="0" w:color="auto"/>
      </w:divBdr>
    </w:div>
    <w:div w:id="1651981044">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656953676">
      <w:bodyDiv w:val="1"/>
      <w:marLeft w:val="0"/>
      <w:marRight w:val="0"/>
      <w:marTop w:val="0"/>
      <w:marBottom w:val="0"/>
      <w:divBdr>
        <w:top w:val="none" w:sz="0" w:space="0" w:color="auto"/>
        <w:left w:val="none" w:sz="0" w:space="0" w:color="auto"/>
        <w:bottom w:val="none" w:sz="0" w:space="0" w:color="auto"/>
        <w:right w:val="none" w:sz="0" w:space="0" w:color="auto"/>
      </w:divBdr>
    </w:div>
    <w:div w:id="1658731772">
      <w:bodyDiv w:val="1"/>
      <w:marLeft w:val="0"/>
      <w:marRight w:val="0"/>
      <w:marTop w:val="0"/>
      <w:marBottom w:val="0"/>
      <w:divBdr>
        <w:top w:val="none" w:sz="0" w:space="0" w:color="auto"/>
        <w:left w:val="none" w:sz="0" w:space="0" w:color="auto"/>
        <w:bottom w:val="none" w:sz="0" w:space="0" w:color="auto"/>
        <w:right w:val="none" w:sz="0" w:space="0" w:color="auto"/>
      </w:divBdr>
    </w:div>
    <w:div w:id="1671444268">
      <w:bodyDiv w:val="1"/>
      <w:marLeft w:val="0"/>
      <w:marRight w:val="0"/>
      <w:marTop w:val="0"/>
      <w:marBottom w:val="0"/>
      <w:divBdr>
        <w:top w:val="none" w:sz="0" w:space="0" w:color="auto"/>
        <w:left w:val="none" w:sz="0" w:space="0" w:color="auto"/>
        <w:bottom w:val="none" w:sz="0" w:space="0" w:color="auto"/>
        <w:right w:val="none" w:sz="0" w:space="0" w:color="auto"/>
      </w:divBdr>
    </w:div>
    <w:div w:id="1679116924">
      <w:bodyDiv w:val="1"/>
      <w:marLeft w:val="0"/>
      <w:marRight w:val="0"/>
      <w:marTop w:val="0"/>
      <w:marBottom w:val="0"/>
      <w:divBdr>
        <w:top w:val="none" w:sz="0" w:space="0" w:color="auto"/>
        <w:left w:val="none" w:sz="0" w:space="0" w:color="auto"/>
        <w:bottom w:val="none" w:sz="0" w:space="0" w:color="auto"/>
        <w:right w:val="none" w:sz="0" w:space="0" w:color="auto"/>
      </w:divBdr>
    </w:div>
    <w:div w:id="1680349033">
      <w:bodyDiv w:val="1"/>
      <w:marLeft w:val="0"/>
      <w:marRight w:val="0"/>
      <w:marTop w:val="0"/>
      <w:marBottom w:val="0"/>
      <w:divBdr>
        <w:top w:val="none" w:sz="0" w:space="0" w:color="auto"/>
        <w:left w:val="none" w:sz="0" w:space="0" w:color="auto"/>
        <w:bottom w:val="none" w:sz="0" w:space="0" w:color="auto"/>
        <w:right w:val="none" w:sz="0" w:space="0" w:color="auto"/>
      </w:divBdr>
    </w:div>
    <w:div w:id="1682391561">
      <w:bodyDiv w:val="1"/>
      <w:marLeft w:val="0"/>
      <w:marRight w:val="0"/>
      <w:marTop w:val="0"/>
      <w:marBottom w:val="0"/>
      <w:divBdr>
        <w:top w:val="none" w:sz="0" w:space="0" w:color="auto"/>
        <w:left w:val="none" w:sz="0" w:space="0" w:color="auto"/>
        <w:bottom w:val="none" w:sz="0" w:space="0" w:color="auto"/>
        <w:right w:val="none" w:sz="0" w:space="0" w:color="auto"/>
      </w:divBdr>
    </w:div>
    <w:div w:id="1694726588">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08867222">
      <w:bodyDiv w:val="1"/>
      <w:marLeft w:val="0"/>
      <w:marRight w:val="0"/>
      <w:marTop w:val="0"/>
      <w:marBottom w:val="0"/>
      <w:divBdr>
        <w:top w:val="none" w:sz="0" w:space="0" w:color="auto"/>
        <w:left w:val="none" w:sz="0" w:space="0" w:color="auto"/>
        <w:bottom w:val="none" w:sz="0" w:space="0" w:color="auto"/>
        <w:right w:val="none" w:sz="0" w:space="0" w:color="auto"/>
      </w:divBdr>
    </w:div>
    <w:div w:id="1711302836">
      <w:bodyDiv w:val="1"/>
      <w:marLeft w:val="0"/>
      <w:marRight w:val="0"/>
      <w:marTop w:val="0"/>
      <w:marBottom w:val="0"/>
      <w:divBdr>
        <w:top w:val="none" w:sz="0" w:space="0" w:color="auto"/>
        <w:left w:val="none" w:sz="0" w:space="0" w:color="auto"/>
        <w:bottom w:val="none" w:sz="0" w:space="0" w:color="auto"/>
        <w:right w:val="none" w:sz="0" w:space="0" w:color="auto"/>
      </w:divBdr>
    </w:div>
    <w:div w:id="1719668700">
      <w:bodyDiv w:val="1"/>
      <w:marLeft w:val="0"/>
      <w:marRight w:val="0"/>
      <w:marTop w:val="0"/>
      <w:marBottom w:val="0"/>
      <w:divBdr>
        <w:top w:val="none" w:sz="0" w:space="0" w:color="auto"/>
        <w:left w:val="none" w:sz="0" w:space="0" w:color="auto"/>
        <w:bottom w:val="none" w:sz="0" w:space="0" w:color="auto"/>
        <w:right w:val="none" w:sz="0" w:space="0" w:color="auto"/>
      </w:divBdr>
    </w:div>
    <w:div w:id="1721398921">
      <w:bodyDiv w:val="1"/>
      <w:marLeft w:val="0"/>
      <w:marRight w:val="0"/>
      <w:marTop w:val="0"/>
      <w:marBottom w:val="0"/>
      <w:divBdr>
        <w:top w:val="none" w:sz="0" w:space="0" w:color="auto"/>
        <w:left w:val="none" w:sz="0" w:space="0" w:color="auto"/>
        <w:bottom w:val="none" w:sz="0" w:space="0" w:color="auto"/>
        <w:right w:val="none" w:sz="0" w:space="0" w:color="auto"/>
      </w:divBdr>
    </w:div>
    <w:div w:id="1730616581">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0637263">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65613604">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5436745">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798524101">
      <w:bodyDiv w:val="1"/>
      <w:marLeft w:val="0"/>
      <w:marRight w:val="0"/>
      <w:marTop w:val="0"/>
      <w:marBottom w:val="0"/>
      <w:divBdr>
        <w:top w:val="none" w:sz="0" w:space="0" w:color="auto"/>
        <w:left w:val="none" w:sz="0" w:space="0" w:color="auto"/>
        <w:bottom w:val="none" w:sz="0" w:space="0" w:color="auto"/>
        <w:right w:val="none" w:sz="0" w:space="0" w:color="auto"/>
      </w:divBdr>
    </w:div>
    <w:div w:id="1811903748">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855880062">
      <w:bodyDiv w:val="1"/>
      <w:marLeft w:val="0"/>
      <w:marRight w:val="0"/>
      <w:marTop w:val="0"/>
      <w:marBottom w:val="0"/>
      <w:divBdr>
        <w:top w:val="none" w:sz="0" w:space="0" w:color="auto"/>
        <w:left w:val="none" w:sz="0" w:space="0" w:color="auto"/>
        <w:bottom w:val="none" w:sz="0" w:space="0" w:color="auto"/>
        <w:right w:val="none" w:sz="0" w:space="0" w:color="auto"/>
      </w:divBdr>
    </w:div>
    <w:div w:id="1865551836">
      <w:bodyDiv w:val="1"/>
      <w:marLeft w:val="0"/>
      <w:marRight w:val="0"/>
      <w:marTop w:val="0"/>
      <w:marBottom w:val="0"/>
      <w:divBdr>
        <w:top w:val="none" w:sz="0" w:space="0" w:color="auto"/>
        <w:left w:val="none" w:sz="0" w:space="0" w:color="auto"/>
        <w:bottom w:val="none" w:sz="0" w:space="0" w:color="auto"/>
        <w:right w:val="none" w:sz="0" w:space="0" w:color="auto"/>
      </w:divBdr>
    </w:div>
    <w:div w:id="1873688306">
      <w:bodyDiv w:val="1"/>
      <w:marLeft w:val="0"/>
      <w:marRight w:val="0"/>
      <w:marTop w:val="0"/>
      <w:marBottom w:val="0"/>
      <w:divBdr>
        <w:top w:val="none" w:sz="0" w:space="0" w:color="auto"/>
        <w:left w:val="none" w:sz="0" w:space="0" w:color="auto"/>
        <w:bottom w:val="none" w:sz="0" w:space="0" w:color="auto"/>
        <w:right w:val="none" w:sz="0" w:space="0" w:color="auto"/>
      </w:divBdr>
    </w:div>
    <w:div w:id="1901746366">
      <w:bodyDiv w:val="1"/>
      <w:marLeft w:val="0"/>
      <w:marRight w:val="0"/>
      <w:marTop w:val="0"/>
      <w:marBottom w:val="0"/>
      <w:divBdr>
        <w:top w:val="none" w:sz="0" w:space="0" w:color="auto"/>
        <w:left w:val="none" w:sz="0" w:space="0" w:color="auto"/>
        <w:bottom w:val="none" w:sz="0" w:space="0" w:color="auto"/>
        <w:right w:val="none" w:sz="0" w:space="0" w:color="auto"/>
      </w:divBdr>
    </w:div>
    <w:div w:id="1902401753">
      <w:bodyDiv w:val="1"/>
      <w:marLeft w:val="0"/>
      <w:marRight w:val="0"/>
      <w:marTop w:val="0"/>
      <w:marBottom w:val="0"/>
      <w:divBdr>
        <w:top w:val="none" w:sz="0" w:space="0" w:color="auto"/>
        <w:left w:val="none" w:sz="0" w:space="0" w:color="auto"/>
        <w:bottom w:val="none" w:sz="0" w:space="0" w:color="auto"/>
        <w:right w:val="none" w:sz="0" w:space="0" w:color="auto"/>
      </w:divBdr>
    </w:div>
    <w:div w:id="1913155847">
      <w:bodyDiv w:val="1"/>
      <w:marLeft w:val="0"/>
      <w:marRight w:val="0"/>
      <w:marTop w:val="0"/>
      <w:marBottom w:val="0"/>
      <w:divBdr>
        <w:top w:val="none" w:sz="0" w:space="0" w:color="auto"/>
        <w:left w:val="none" w:sz="0" w:space="0" w:color="auto"/>
        <w:bottom w:val="none" w:sz="0" w:space="0" w:color="auto"/>
        <w:right w:val="none" w:sz="0" w:space="0" w:color="auto"/>
      </w:divBdr>
    </w:div>
    <w:div w:id="1917980858">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49043376">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1968269238">
      <w:bodyDiv w:val="1"/>
      <w:marLeft w:val="0"/>
      <w:marRight w:val="0"/>
      <w:marTop w:val="0"/>
      <w:marBottom w:val="0"/>
      <w:divBdr>
        <w:top w:val="none" w:sz="0" w:space="0" w:color="auto"/>
        <w:left w:val="none" w:sz="0" w:space="0" w:color="auto"/>
        <w:bottom w:val="none" w:sz="0" w:space="0" w:color="auto"/>
        <w:right w:val="none" w:sz="0" w:space="0" w:color="auto"/>
      </w:divBdr>
    </w:div>
    <w:div w:id="1975525567">
      <w:bodyDiv w:val="1"/>
      <w:marLeft w:val="0"/>
      <w:marRight w:val="0"/>
      <w:marTop w:val="0"/>
      <w:marBottom w:val="0"/>
      <w:divBdr>
        <w:top w:val="none" w:sz="0" w:space="0" w:color="auto"/>
        <w:left w:val="none" w:sz="0" w:space="0" w:color="auto"/>
        <w:bottom w:val="none" w:sz="0" w:space="0" w:color="auto"/>
        <w:right w:val="none" w:sz="0" w:space="0" w:color="auto"/>
      </w:divBdr>
    </w:div>
    <w:div w:id="1981424214">
      <w:bodyDiv w:val="1"/>
      <w:marLeft w:val="0"/>
      <w:marRight w:val="0"/>
      <w:marTop w:val="0"/>
      <w:marBottom w:val="0"/>
      <w:divBdr>
        <w:top w:val="none" w:sz="0" w:space="0" w:color="auto"/>
        <w:left w:val="none" w:sz="0" w:space="0" w:color="auto"/>
        <w:bottom w:val="none" w:sz="0" w:space="0" w:color="auto"/>
        <w:right w:val="none" w:sz="0" w:space="0" w:color="auto"/>
      </w:divBdr>
    </w:div>
    <w:div w:id="1987514185">
      <w:bodyDiv w:val="1"/>
      <w:marLeft w:val="0"/>
      <w:marRight w:val="0"/>
      <w:marTop w:val="0"/>
      <w:marBottom w:val="0"/>
      <w:divBdr>
        <w:top w:val="none" w:sz="0" w:space="0" w:color="auto"/>
        <w:left w:val="none" w:sz="0" w:space="0" w:color="auto"/>
        <w:bottom w:val="none" w:sz="0" w:space="0" w:color="auto"/>
        <w:right w:val="none" w:sz="0" w:space="0" w:color="auto"/>
      </w:divBdr>
    </w:div>
    <w:div w:id="1997345263">
      <w:bodyDiv w:val="1"/>
      <w:marLeft w:val="0"/>
      <w:marRight w:val="0"/>
      <w:marTop w:val="0"/>
      <w:marBottom w:val="0"/>
      <w:divBdr>
        <w:top w:val="none" w:sz="0" w:space="0" w:color="auto"/>
        <w:left w:val="none" w:sz="0" w:space="0" w:color="auto"/>
        <w:bottom w:val="none" w:sz="0" w:space="0" w:color="auto"/>
        <w:right w:val="none" w:sz="0" w:space="0" w:color="auto"/>
      </w:divBdr>
    </w:div>
    <w:div w:id="2000305533">
      <w:bodyDiv w:val="1"/>
      <w:marLeft w:val="0"/>
      <w:marRight w:val="0"/>
      <w:marTop w:val="0"/>
      <w:marBottom w:val="0"/>
      <w:divBdr>
        <w:top w:val="none" w:sz="0" w:space="0" w:color="auto"/>
        <w:left w:val="none" w:sz="0" w:space="0" w:color="auto"/>
        <w:bottom w:val="none" w:sz="0" w:space="0" w:color="auto"/>
        <w:right w:val="none" w:sz="0" w:space="0" w:color="auto"/>
      </w:divBdr>
    </w:div>
    <w:div w:id="2016346959">
      <w:bodyDiv w:val="1"/>
      <w:marLeft w:val="0"/>
      <w:marRight w:val="0"/>
      <w:marTop w:val="0"/>
      <w:marBottom w:val="0"/>
      <w:divBdr>
        <w:top w:val="none" w:sz="0" w:space="0" w:color="auto"/>
        <w:left w:val="none" w:sz="0" w:space="0" w:color="auto"/>
        <w:bottom w:val="none" w:sz="0" w:space="0" w:color="auto"/>
        <w:right w:val="none" w:sz="0" w:space="0" w:color="auto"/>
      </w:divBdr>
    </w:div>
    <w:div w:id="2021203444">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31685662">
      <w:bodyDiv w:val="1"/>
      <w:marLeft w:val="0"/>
      <w:marRight w:val="0"/>
      <w:marTop w:val="0"/>
      <w:marBottom w:val="0"/>
      <w:divBdr>
        <w:top w:val="none" w:sz="0" w:space="0" w:color="auto"/>
        <w:left w:val="none" w:sz="0" w:space="0" w:color="auto"/>
        <w:bottom w:val="none" w:sz="0" w:space="0" w:color="auto"/>
        <w:right w:val="none" w:sz="0" w:space="0" w:color="auto"/>
      </w:divBdr>
    </w:div>
    <w:div w:id="2032148922">
      <w:bodyDiv w:val="1"/>
      <w:marLeft w:val="0"/>
      <w:marRight w:val="0"/>
      <w:marTop w:val="0"/>
      <w:marBottom w:val="0"/>
      <w:divBdr>
        <w:top w:val="none" w:sz="0" w:space="0" w:color="auto"/>
        <w:left w:val="none" w:sz="0" w:space="0" w:color="auto"/>
        <w:bottom w:val="none" w:sz="0" w:space="0" w:color="auto"/>
        <w:right w:val="none" w:sz="0" w:space="0" w:color="auto"/>
      </w:divBdr>
    </w:div>
    <w:div w:id="2052220601">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 w:id="2078168651">
      <w:bodyDiv w:val="1"/>
      <w:marLeft w:val="0"/>
      <w:marRight w:val="0"/>
      <w:marTop w:val="0"/>
      <w:marBottom w:val="0"/>
      <w:divBdr>
        <w:top w:val="none" w:sz="0" w:space="0" w:color="auto"/>
        <w:left w:val="none" w:sz="0" w:space="0" w:color="auto"/>
        <w:bottom w:val="none" w:sz="0" w:space="0" w:color="auto"/>
        <w:right w:val="none" w:sz="0" w:space="0" w:color="auto"/>
      </w:divBdr>
    </w:div>
    <w:div w:id="2083218160">
      <w:bodyDiv w:val="1"/>
      <w:marLeft w:val="0"/>
      <w:marRight w:val="0"/>
      <w:marTop w:val="0"/>
      <w:marBottom w:val="0"/>
      <w:divBdr>
        <w:top w:val="none" w:sz="0" w:space="0" w:color="auto"/>
        <w:left w:val="none" w:sz="0" w:space="0" w:color="auto"/>
        <w:bottom w:val="none" w:sz="0" w:space="0" w:color="auto"/>
        <w:right w:val="none" w:sz="0" w:space="0" w:color="auto"/>
      </w:divBdr>
    </w:div>
    <w:div w:id="2090149311">
      <w:bodyDiv w:val="1"/>
      <w:marLeft w:val="0"/>
      <w:marRight w:val="0"/>
      <w:marTop w:val="0"/>
      <w:marBottom w:val="0"/>
      <w:divBdr>
        <w:top w:val="none" w:sz="0" w:space="0" w:color="auto"/>
        <w:left w:val="none" w:sz="0" w:space="0" w:color="auto"/>
        <w:bottom w:val="none" w:sz="0" w:space="0" w:color="auto"/>
        <w:right w:val="none" w:sz="0" w:space="0" w:color="auto"/>
      </w:divBdr>
    </w:div>
    <w:div w:id="2091804004">
      <w:bodyDiv w:val="1"/>
      <w:marLeft w:val="0"/>
      <w:marRight w:val="0"/>
      <w:marTop w:val="0"/>
      <w:marBottom w:val="0"/>
      <w:divBdr>
        <w:top w:val="none" w:sz="0" w:space="0" w:color="auto"/>
        <w:left w:val="none" w:sz="0" w:space="0" w:color="auto"/>
        <w:bottom w:val="none" w:sz="0" w:space="0" w:color="auto"/>
        <w:right w:val="none" w:sz="0" w:space="0" w:color="auto"/>
      </w:divBdr>
    </w:div>
    <w:div w:id="2093239247">
      <w:bodyDiv w:val="1"/>
      <w:marLeft w:val="0"/>
      <w:marRight w:val="0"/>
      <w:marTop w:val="0"/>
      <w:marBottom w:val="0"/>
      <w:divBdr>
        <w:top w:val="none" w:sz="0" w:space="0" w:color="auto"/>
        <w:left w:val="none" w:sz="0" w:space="0" w:color="auto"/>
        <w:bottom w:val="none" w:sz="0" w:space="0" w:color="auto"/>
        <w:right w:val="none" w:sz="0" w:space="0" w:color="auto"/>
      </w:divBdr>
    </w:div>
    <w:div w:id="2098280801">
      <w:bodyDiv w:val="1"/>
      <w:marLeft w:val="0"/>
      <w:marRight w:val="0"/>
      <w:marTop w:val="0"/>
      <w:marBottom w:val="0"/>
      <w:divBdr>
        <w:top w:val="none" w:sz="0" w:space="0" w:color="auto"/>
        <w:left w:val="none" w:sz="0" w:space="0" w:color="auto"/>
        <w:bottom w:val="none" w:sz="0" w:space="0" w:color="auto"/>
        <w:right w:val="none" w:sz="0" w:space="0" w:color="auto"/>
      </w:divBdr>
    </w:div>
    <w:div w:id="2102069263">
      <w:bodyDiv w:val="1"/>
      <w:marLeft w:val="0"/>
      <w:marRight w:val="0"/>
      <w:marTop w:val="0"/>
      <w:marBottom w:val="0"/>
      <w:divBdr>
        <w:top w:val="none" w:sz="0" w:space="0" w:color="auto"/>
        <w:left w:val="none" w:sz="0" w:space="0" w:color="auto"/>
        <w:bottom w:val="none" w:sz="0" w:space="0" w:color="auto"/>
        <w:right w:val="none" w:sz="0" w:space="0" w:color="auto"/>
      </w:divBdr>
    </w:div>
    <w:div w:id="2110419651">
      <w:bodyDiv w:val="1"/>
      <w:marLeft w:val="0"/>
      <w:marRight w:val="0"/>
      <w:marTop w:val="0"/>
      <w:marBottom w:val="0"/>
      <w:divBdr>
        <w:top w:val="none" w:sz="0" w:space="0" w:color="auto"/>
        <w:left w:val="none" w:sz="0" w:space="0" w:color="auto"/>
        <w:bottom w:val="none" w:sz="0" w:space="0" w:color="auto"/>
        <w:right w:val="none" w:sz="0" w:space="0" w:color="auto"/>
      </w:divBdr>
    </w:div>
    <w:div w:id="2117433520">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Publications\Portfolio%20Budget%20Statemen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54BC1C4B391D4BAE9CA6CFB620C1A6" ma:contentTypeVersion="0" ma:contentTypeDescription="Create a new document." ma:contentTypeScope="" ma:versionID="766aa25bd0d229f9d884af5818f4491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8E723-AF2D-4232-B5FF-594031DF8EFF}">
  <ds:schemaRefs>
    <ds:schemaRef ds:uri="http://schemas.microsoft.com/office/2006/metadata/longProperties"/>
  </ds:schemaRefs>
</ds:datastoreItem>
</file>

<file path=customXml/itemProps2.xml><?xml version="1.0" encoding="utf-8"?>
<ds:datastoreItem xmlns:ds="http://schemas.openxmlformats.org/officeDocument/2006/customXml" ds:itemID="{CB2E3E45-28CA-44D0-84D2-50DC8DB08D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3F5838B-9058-46E1-A341-9D9BF3B9EB86}">
  <ds:schemaRefs>
    <ds:schemaRef ds:uri="http://schemas.microsoft.com/sharepoint/v3/contenttype/forms"/>
  </ds:schemaRefs>
</ds:datastoreItem>
</file>

<file path=customXml/itemProps4.xml><?xml version="1.0" encoding="utf-8"?>
<ds:datastoreItem xmlns:ds="http://schemas.openxmlformats.org/officeDocument/2006/customXml" ds:itemID="{50BB3B59-42A9-489C-B76A-C50B7020F823}">
  <ds:schemaRefs>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purl.org/dc/terms/"/>
    <ds:schemaRef ds:uri="http://purl.org/dc/elements/1.1/"/>
    <ds:schemaRef ds:uri="http://schemas.openxmlformats.org/package/2006/metadata/core-properties"/>
    <ds:schemaRef ds:uri="http://purl.org/dc/dcmitype/"/>
  </ds:schemaRefs>
</ds:datastoreItem>
</file>

<file path=customXml/itemProps5.xml><?xml version="1.0" encoding="utf-8"?>
<ds:datastoreItem xmlns:ds="http://schemas.openxmlformats.org/officeDocument/2006/customXml" ds:itemID="{7363AB4D-B33D-412E-BC9B-A842C6A84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Portfolio Budget Statements</Template>
  <TotalTime>2</TotalTime>
  <Pages>2</Pages>
  <Words>760</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Portfolio Budget Statements</vt:lpstr>
    </vt:vector>
  </TitlesOfParts>
  <Company>Australian Government - The Treasury</Company>
  <LinksUpToDate>false</LinksUpToDate>
  <CharactersWithSpaces>5202</CharactersWithSpaces>
  <SharedDoc>false</SharedDoc>
  <HLinks>
    <vt:vector size="600" baseType="variant">
      <vt:variant>
        <vt:i4>7077924</vt:i4>
      </vt:variant>
      <vt:variant>
        <vt:i4>549</vt:i4>
      </vt:variant>
      <vt:variant>
        <vt:i4>0</vt:i4>
      </vt:variant>
      <vt:variant>
        <vt:i4>5</vt:i4>
      </vt:variant>
      <vt:variant>
        <vt:lpwstr>https://www.safeworkaustralia.gov.au/book/safe-work-australia-annual-report-2016-17</vt:lpwstr>
      </vt:variant>
      <vt:variant>
        <vt:lpwstr/>
      </vt:variant>
      <vt:variant>
        <vt:i4>5046336</vt:i4>
      </vt:variant>
      <vt:variant>
        <vt:i4>546</vt:i4>
      </vt:variant>
      <vt:variant>
        <vt:i4>0</vt:i4>
      </vt:variant>
      <vt:variant>
        <vt:i4>5</vt:i4>
      </vt:variant>
      <vt:variant>
        <vt:lpwstr>https://www.safeworkaustralia.gov.au/about-us/corporate-plan</vt:lpwstr>
      </vt:variant>
      <vt:variant>
        <vt:lpwstr/>
      </vt:variant>
      <vt:variant>
        <vt:i4>1376305</vt:i4>
      </vt:variant>
      <vt:variant>
        <vt:i4>539</vt:i4>
      </vt:variant>
      <vt:variant>
        <vt:i4>0</vt:i4>
      </vt:variant>
      <vt:variant>
        <vt:i4>5</vt:i4>
      </vt:variant>
      <vt:variant>
        <vt:lpwstr/>
      </vt:variant>
      <vt:variant>
        <vt:lpwstr>_Toc511828734</vt:lpwstr>
      </vt:variant>
      <vt:variant>
        <vt:i4>1376305</vt:i4>
      </vt:variant>
      <vt:variant>
        <vt:i4>533</vt:i4>
      </vt:variant>
      <vt:variant>
        <vt:i4>0</vt:i4>
      </vt:variant>
      <vt:variant>
        <vt:i4>5</vt:i4>
      </vt:variant>
      <vt:variant>
        <vt:lpwstr/>
      </vt:variant>
      <vt:variant>
        <vt:lpwstr>_Toc511828733</vt:lpwstr>
      </vt:variant>
      <vt:variant>
        <vt:i4>1376305</vt:i4>
      </vt:variant>
      <vt:variant>
        <vt:i4>527</vt:i4>
      </vt:variant>
      <vt:variant>
        <vt:i4>0</vt:i4>
      </vt:variant>
      <vt:variant>
        <vt:i4>5</vt:i4>
      </vt:variant>
      <vt:variant>
        <vt:lpwstr/>
      </vt:variant>
      <vt:variant>
        <vt:lpwstr>_Toc511828732</vt:lpwstr>
      </vt:variant>
      <vt:variant>
        <vt:i4>1376305</vt:i4>
      </vt:variant>
      <vt:variant>
        <vt:i4>521</vt:i4>
      </vt:variant>
      <vt:variant>
        <vt:i4>0</vt:i4>
      </vt:variant>
      <vt:variant>
        <vt:i4>5</vt:i4>
      </vt:variant>
      <vt:variant>
        <vt:lpwstr/>
      </vt:variant>
      <vt:variant>
        <vt:lpwstr>_Toc511828731</vt:lpwstr>
      </vt:variant>
      <vt:variant>
        <vt:i4>1376305</vt:i4>
      </vt:variant>
      <vt:variant>
        <vt:i4>515</vt:i4>
      </vt:variant>
      <vt:variant>
        <vt:i4>0</vt:i4>
      </vt:variant>
      <vt:variant>
        <vt:i4>5</vt:i4>
      </vt:variant>
      <vt:variant>
        <vt:lpwstr/>
      </vt:variant>
      <vt:variant>
        <vt:lpwstr>_Toc511828730</vt:lpwstr>
      </vt:variant>
      <vt:variant>
        <vt:i4>1310769</vt:i4>
      </vt:variant>
      <vt:variant>
        <vt:i4>509</vt:i4>
      </vt:variant>
      <vt:variant>
        <vt:i4>0</vt:i4>
      </vt:variant>
      <vt:variant>
        <vt:i4>5</vt:i4>
      </vt:variant>
      <vt:variant>
        <vt:lpwstr/>
      </vt:variant>
      <vt:variant>
        <vt:lpwstr>_Toc511828729</vt:lpwstr>
      </vt:variant>
      <vt:variant>
        <vt:i4>1310769</vt:i4>
      </vt:variant>
      <vt:variant>
        <vt:i4>503</vt:i4>
      </vt:variant>
      <vt:variant>
        <vt:i4>0</vt:i4>
      </vt:variant>
      <vt:variant>
        <vt:i4>5</vt:i4>
      </vt:variant>
      <vt:variant>
        <vt:lpwstr/>
      </vt:variant>
      <vt:variant>
        <vt:lpwstr>_Toc511828728</vt:lpwstr>
      </vt:variant>
      <vt:variant>
        <vt:i4>1310769</vt:i4>
      </vt:variant>
      <vt:variant>
        <vt:i4>497</vt:i4>
      </vt:variant>
      <vt:variant>
        <vt:i4>0</vt:i4>
      </vt:variant>
      <vt:variant>
        <vt:i4>5</vt:i4>
      </vt:variant>
      <vt:variant>
        <vt:lpwstr/>
      </vt:variant>
      <vt:variant>
        <vt:lpwstr>_Toc511828727</vt:lpwstr>
      </vt:variant>
      <vt:variant>
        <vt:i4>1310769</vt:i4>
      </vt:variant>
      <vt:variant>
        <vt:i4>491</vt:i4>
      </vt:variant>
      <vt:variant>
        <vt:i4>0</vt:i4>
      </vt:variant>
      <vt:variant>
        <vt:i4>5</vt:i4>
      </vt:variant>
      <vt:variant>
        <vt:lpwstr/>
      </vt:variant>
      <vt:variant>
        <vt:lpwstr>_Toc511828726</vt:lpwstr>
      </vt:variant>
      <vt:variant>
        <vt:i4>5439512</vt:i4>
      </vt:variant>
      <vt:variant>
        <vt:i4>486</vt:i4>
      </vt:variant>
      <vt:variant>
        <vt:i4>0</vt:i4>
      </vt:variant>
      <vt:variant>
        <vt:i4>5</vt:i4>
      </vt:variant>
      <vt:variant>
        <vt:lpwstr>https://www.fairwork.gov.au/annual-reports/annual-report-2016-17/default</vt:lpwstr>
      </vt:variant>
      <vt:variant>
        <vt:lpwstr/>
      </vt:variant>
      <vt:variant>
        <vt:i4>4587601</vt:i4>
      </vt:variant>
      <vt:variant>
        <vt:i4>483</vt:i4>
      </vt:variant>
      <vt:variant>
        <vt:i4>0</vt:i4>
      </vt:variant>
      <vt:variant>
        <vt:i4>5</vt:i4>
      </vt:variant>
      <vt:variant>
        <vt:lpwstr>http://www.fairwork.gov.au/about-us/our-vision/corporate-plan</vt:lpwstr>
      </vt:variant>
      <vt:variant>
        <vt:lpwstr/>
      </vt:variant>
      <vt:variant>
        <vt:i4>1179700</vt:i4>
      </vt:variant>
      <vt:variant>
        <vt:i4>476</vt:i4>
      </vt:variant>
      <vt:variant>
        <vt:i4>0</vt:i4>
      </vt:variant>
      <vt:variant>
        <vt:i4>5</vt:i4>
      </vt:variant>
      <vt:variant>
        <vt:lpwstr/>
      </vt:variant>
      <vt:variant>
        <vt:lpwstr>_Toc511765669</vt:lpwstr>
      </vt:variant>
      <vt:variant>
        <vt:i4>1179700</vt:i4>
      </vt:variant>
      <vt:variant>
        <vt:i4>470</vt:i4>
      </vt:variant>
      <vt:variant>
        <vt:i4>0</vt:i4>
      </vt:variant>
      <vt:variant>
        <vt:i4>5</vt:i4>
      </vt:variant>
      <vt:variant>
        <vt:lpwstr/>
      </vt:variant>
      <vt:variant>
        <vt:lpwstr>_Toc511765668</vt:lpwstr>
      </vt:variant>
      <vt:variant>
        <vt:i4>1179700</vt:i4>
      </vt:variant>
      <vt:variant>
        <vt:i4>464</vt:i4>
      </vt:variant>
      <vt:variant>
        <vt:i4>0</vt:i4>
      </vt:variant>
      <vt:variant>
        <vt:i4>5</vt:i4>
      </vt:variant>
      <vt:variant>
        <vt:lpwstr/>
      </vt:variant>
      <vt:variant>
        <vt:lpwstr>_Toc511765667</vt:lpwstr>
      </vt:variant>
      <vt:variant>
        <vt:i4>1179700</vt:i4>
      </vt:variant>
      <vt:variant>
        <vt:i4>458</vt:i4>
      </vt:variant>
      <vt:variant>
        <vt:i4>0</vt:i4>
      </vt:variant>
      <vt:variant>
        <vt:i4>5</vt:i4>
      </vt:variant>
      <vt:variant>
        <vt:lpwstr/>
      </vt:variant>
      <vt:variant>
        <vt:lpwstr>_Toc511765666</vt:lpwstr>
      </vt:variant>
      <vt:variant>
        <vt:i4>1179700</vt:i4>
      </vt:variant>
      <vt:variant>
        <vt:i4>452</vt:i4>
      </vt:variant>
      <vt:variant>
        <vt:i4>0</vt:i4>
      </vt:variant>
      <vt:variant>
        <vt:i4>5</vt:i4>
      </vt:variant>
      <vt:variant>
        <vt:lpwstr/>
      </vt:variant>
      <vt:variant>
        <vt:lpwstr>_Toc511765665</vt:lpwstr>
      </vt:variant>
      <vt:variant>
        <vt:i4>1179700</vt:i4>
      </vt:variant>
      <vt:variant>
        <vt:i4>446</vt:i4>
      </vt:variant>
      <vt:variant>
        <vt:i4>0</vt:i4>
      </vt:variant>
      <vt:variant>
        <vt:i4>5</vt:i4>
      </vt:variant>
      <vt:variant>
        <vt:lpwstr/>
      </vt:variant>
      <vt:variant>
        <vt:lpwstr>_Toc511765664</vt:lpwstr>
      </vt:variant>
      <vt:variant>
        <vt:i4>1179700</vt:i4>
      </vt:variant>
      <vt:variant>
        <vt:i4>440</vt:i4>
      </vt:variant>
      <vt:variant>
        <vt:i4>0</vt:i4>
      </vt:variant>
      <vt:variant>
        <vt:i4>5</vt:i4>
      </vt:variant>
      <vt:variant>
        <vt:lpwstr/>
      </vt:variant>
      <vt:variant>
        <vt:lpwstr>_Toc511765663</vt:lpwstr>
      </vt:variant>
      <vt:variant>
        <vt:i4>1179700</vt:i4>
      </vt:variant>
      <vt:variant>
        <vt:i4>434</vt:i4>
      </vt:variant>
      <vt:variant>
        <vt:i4>0</vt:i4>
      </vt:variant>
      <vt:variant>
        <vt:i4>5</vt:i4>
      </vt:variant>
      <vt:variant>
        <vt:lpwstr/>
      </vt:variant>
      <vt:variant>
        <vt:lpwstr>_Toc511765662</vt:lpwstr>
      </vt:variant>
      <vt:variant>
        <vt:i4>1179700</vt:i4>
      </vt:variant>
      <vt:variant>
        <vt:i4>428</vt:i4>
      </vt:variant>
      <vt:variant>
        <vt:i4>0</vt:i4>
      </vt:variant>
      <vt:variant>
        <vt:i4>5</vt:i4>
      </vt:variant>
      <vt:variant>
        <vt:lpwstr/>
      </vt:variant>
      <vt:variant>
        <vt:lpwstr>_Toc511765661</vt:lpwstr>
      </vt:variant>
      <vt:variant>
        <vt:i4>1179700</vt:i4>
      </vt:variant>
      <vt:variant>
        <vt:i4>422</vt:i4>
      </vt:variant>
      <vt:variant>
        <vt:i4>0</vt:i4>
      </vt:variant>
      <vt:variant>
        <vt:i4>5</vt:i4>
      </vt:variant>
      <vt:variant>
        <vt:lpwstr/>
      </vt:variant>
      <vt:variant>
        <vt:lpwstr>_Toc511765660</vt:lpwstr>
      </vt:variant>
      <vt:variant>
        <vt:i4>2555959</vt:i4>
      </vt:variant>
      <vt:variant>
        <vt:i4>417</vt:i4>
      </vt:variant>
      <vt:variant>
        <vt:i4>0</vt:i4>
      </vt:variant>
      <vt:variant>
        <vt:i4>5</vt:i4>
      </vt:variant>
      <vt:variant>
        <vt:lpwstr>https://www.fwc.gov.au/annual-report-2016-17/3-performance/annual-performance-statement</vt:lpwstr>
      </vt:variant>
      <vt:variant>
        <vt:lpwstr/>
      </vt:variant>
      <vt:variant>
        <vt:i4>1703965</vt:i4>
      </vt:variant>
      <vt:variant>
        <vt:i4>414</vt:i4>
      </vt:variant>
      <vt:variant>
        <vt:i4>0</vt:i4>
      </vt:variant>
      <vt:variant>
        <vt:i4>5</vt:i4>
      </vt:variant>
      <vt:variant>
        <vt:lpwstr>https://www.fwc.gov.au/about-us/news-and-events/corporate-plan-2017-18-published</vt:lpwstr>
      </vt:variant>
      <vt:variant>
        <vt:lpwstr/>
      </vt:variant>
      <vt:variant>
        <vt:i4>7405629</vt:i4>
      </vt:variant>
      <vt:variant>
        <vt:i4>411</vt:i4>
      </vt:variant>
      <vt:variant>
        <vt:i4>0</vt:i4>
      </vt:variant>
      <vt:variant>
        <vt:i4>5</vt:i4>
      </vt:variant>
      <vt:variant>
        <vt:lpwstr>http://www.fwc.gov.au/</vt:lpwstr>
      </vt:variant>
      <vt:variant>
        <vt:lpwstr/>
      </vt:variant>
      <vt:variant>
        <vt:i4>1245234</vt:i4>
      </vt:variant>
      <vt:variant>
        <vt:i4>404</vt:i4>
      </vt:variant>
      <vt:variant>
        <vt:i4>0</vt:i4>
      </vt:variant>
      <vt:variant>
        <vt:i4>5</vt:i4>
      </vt:variant>
      <vt:variant>
        <vt:lpwstr/>
      </vt:variant>
      <vt:variant>
        <vt:lpwstr>_Toc511747256</vt:lpwstr>
      </vt:variant>
      <vt:variant>
        <vt:i4>1245234</vt:i4>
      </vt:variant>
      <vt:variant>
        <vt:i4>398</vt:i4>
      </vt:variant>
      <vt:variant>
        <vt:i4>0</vt:i4>
      </vt:variant>
      <vt:variant>
        <vt:i4>5</vt:i4>
      </vt:variant>
      <vt:variant>
        <vt:lpwstr/>
      </vt:variant>
      <vt:variant>
        <vt:lpwstr>_Toc511747255</vt:lpwstr>
      </vt:variant>
      <vt:variant>
        <vt:i4>1245234</vt:i4>
      </vt:variant>
      <vt:variant>
        <vt:i4>392</vt:i4>
      </vt:variant>
      <vt:variant>
        <vt:i4>0</vt:i4>
      </vt:variant>
      <vt:variant>
        <vt:i4>5</vt:i4>
      </vt:variant>
      <vt:variant>
        <vt:lpwstr/>
      </vt:variant>
      <vt:variant>
        <vt:lpwstr>_Toc511747254</vt:lpwstr>
      </vt:variant>
      <vt:variant>
        <vt:i4>1245234</vt:i4>
      </vt:variant>
      <vt:variant>
        <vt:i4>386</vt:i4>
      </vt:variant>
      <vt:variant>
        <vt:i4>0</vt:i4>
      </vt:variant>
      <vt:variant>
        <vt:i4>5</vt:i4>
      </vt:variant>
      <vt:variant>
        <vt:lpwstr/>
      </vt:variant>
      <vt:variant>
        <vt:lpwstr>_Toc511747253</vt:lpwstr>
      </vt:variant>
      <vt:variant>
        <vt:i4>1245234</vt:i4>
      </vt:variant>
      <vt:variant>
        <vt:i4>380</vt:i4>
      </vt:variant>
      <vt:variant>
        <vt:i4>0</vt:i4>
      </vt:variant>
      <vt:variant>
        <vt:i4>5</vt:i4>
      </vt:variant>
      <vt:variant>
        <vt:lpwstr/>
      </vt:variant>
      <vt:variant>
        <vt:lpwstr>_Toc511747252</vt:lpwstr>
      </vt:variant>
      <vt:variant>
        <vt:i4>1245234</vt:i4>
      </vt:variant>
      <vt:variant>
        <vt:i4>374</vt:i4>
      </vt:variant>
      <vt:variant>
        <vt:i4>0</vt:i4>
      </vt:variant>
      <vt:variant>
        <vt:i4>5</vt:i4>
      </vt:variant>
      <vt:variant>
        <vt:lpwstr/>
      </vt:variant>
      <vt:variant>
        <vt:lpwstr>_Toc511747251</vt:lpwstr>
      </vt:variant>
      <vt:variant>
        <vt:i4>1245234</vt:i4>
      </vt:variant>
      <vt:variant>
        <vt:i4>368</vt:i4>
      </vt:variant>
      <vt:variant>
        <vt:i4>0</vt:i4>
      </vt:variant>
      <vt:variant>
        <vt:i4>5</vt:i4>
      </vt:variant>
      <vt:variant>
        <vt:lpwstr/>
      </vt:variant>
      <vt:variant>
        <vt:lpwstr>_Toc511747250</vt:lpwstr>
      </vt:variant>
      <vt:variant>
        <vt:i4>1179698</vt:i4>
      </vt:variant>
      <vt:variant>
        <vt:i4>362</vt:i4>
      </vt:variant>
      <vt:variant>
        <vt:i4>0</vt:i4>
      </vt:variant>
      <vt:variant>
        <vt:i4>5</vt:i4>
      </vt:variant>
      <vt:variant>
        <vt:lpwstr/>
      </vt:variant>
      <vt:variant>
        <vt:lpwstr>_Toc511747249</vt:lpwstr>
      </vt:variant>
      <vt:variant>
        <vt:i4>1179698</vt:i4>
      </vt:variant>
      <vt:variant>
        <vt:i4>356</vt:i4>
      </vt:variant>
      <vt:variant>
        <vt:i4>0</vt:i4>
      </vt:variant>
      <vt:variant>
        <vt:i4>5</vt:i4>
      </vt:variant>
      <vt:variant>
        <vt:lpwstr/>
      </vt:variant>
      <vt:variant>
        <vt:lpwstr>_Toc511747248</vt:lpwstr>
      </vt:variant>
      <vt:variant>
        <vt:i4>3997758</vt:i4>
      </vt:variant>
      <vt:variant>
        <vt:i4>351</vt:i4>
      </vt:variant>
      <vt:variant>
        <vt:i4>0</vt:i4>
      </vt:variant>
      <vt:variant>
        <vt:i4>5</vt:i4>
      </vt:variant>
      <vt:variant>
        <vt:lpwstr>http://www.comcare.gov.au/annual_report_2016-17/annual_performance_statement/overview</vt:lpwstr>
      </vt:variant>
      <vt:variant>
        <vt:lpwstr/>
      </vt:variant>
      <vt:variant>
        <vt:i4>2031678</vt:i4>
      </vt:variant>
      <vt:variant>
        <vt:i4>344</vt:i4>
      </vt:variant>
      <vt:variant>
        <vt:i4>0</vt:i4>
      </vt:variant>
      <vt:variant>
        <vt:i4>5</vt:i4>
      </vt:variant>
      <vt:variant>
        <vt:lpwstr/>
      </vt:variant>
      <vt:variant>
        <vt:lpwstr>_Toc511736985</vt:lpwstr>
      </vt:variant>
      <vt:variant>
        <vt:i4>2031678</vt:i4>
      </vt:variant>
      <vt:variant>
        <vt:i4>338</vt:i4>
      </vt:variant>
      <vt:variant>
        <vt:i4>0</vt:i4>
      </vt:variant>
      <vt:variant>
        <vt:i4>5</vt:i4>
      </vt:variant>
      <vt:variant>
        <vt:lpwstr/>
      </vt:variant>
      <vt:variant>
        <vt:lpwstr>_Toc511736984</vt:lpwstr>
      </vt:variant>
      <vt:variant>
        <vt:i4>2031678</vt:i4>
      </vt:variant>
      <vt:variant>
        <vt:i4>332</vt:i4>
      </vt:variant>
      <vt:variant>
        <vt:i4>0</vt:i4>
      </vt:variant>
      <vt:variant>
        <vt:i4>5</vt:i4>
      </vt:variant>
      <vt:variant>
        <vt:lpwstr/>
      </vt:variant>
      <vt:variant>
        <vt:lpwstr>_Toc511736983</vt:lpwstr>
      </vt:variant>
      <vt:variant>
        <vt:i4>2031678</vt:i4>
      </vt:variant>
      <vt:variant>
        <vt:i4>326</vt:i4>
      </vt:variant>
      <vt:variant>
        <vt:i4>0</vt:i4>
      </vt:variant>
      <vt:variant>
        <vt:i4>5</vt:i4>
      </vt:variant>
      <vt:variant>
        <vt:lpwstr/>
      </vt:variant>
      <vt:variant>
        <vt:lpwstr>_Toc511736982</vt:lpwstr>
      </vt:variant>
      <vt:variant>
        <vt:i4>2031678</vt:i4>
      </vt:variant>
      <vt:variant>
        <vt:i4>320</vt:i4>
      </vt:variant>
      <vt:variant>
        <vt:i4>0</vt:i4>
      </vt:variant>
      <vt:variant>
        <vt:i4>5</vt:i4>
      </vt:variant>
      <vt:variant>
        <vt:lpwstr/>
      </vt:variant>
      <vt:variant>
        <vt:lpwstr>_Toc511736981</vt:lpwstr>
      </vt:variant>
      <vt:variant>
        <vt:i4>2031678</vt:i4>
      </vt:variant>
      <vt:variant>
        <vt:i4>314</vt:i4>
      </vt:variant>
      <vt:variant>
        <vt:i4>0</vt:i4>
      </vt:variant>
      <vt:variant>
        <vt:i4>5</vt:i4>
      </vt:variant>
      <vt:variant>
        <vt:lpwstr/>
      </vt:variant>
      <vt:variant>
        <vt:lpwstr>_Toc511736980</vt:lpwstr>
      </vt:variant>
      <vt:variant>
        <vt:i4>1048638</vt:i4>
      </vt:variant>
      <vt:variant>
        <vt:i4>308</vt:i4>
      </vt:variant>
      <vt:variant>
        <vt:i4>0</vt:i4>
      </vt:variant>
      <vt:variant>
        <vt:i4>5</vt:i4>
      </vt:variant>
      <vt:variant>
        <vt:lpwstr/>
      </vt:variant>
      <vt:variant>
        <vt:lpwstr>_Toc511736979</vt:lpwstr>
      </vt:variant>
      <vt:variant>
        <vt:i4>1048638</vt:i4>
      </vt:variant>
      <vt:variant>
        <vt:i4>302</vt:i4>
      </vt:variant>
      <vt:variant>
        <vt:i4>0</vt:i4>
      </vt:variant>
      <vt:variant>
        <vt:i4>5</vt:i4>
      </vt:variant>
      <vt:variant>
        <vt:lpwstr/>
      </vt:variant>
      <vt:variant>
        <vt:lpwstr>_Toc511736978</vt:lpwstr>
      </vt:variant>
      <vt:variant>
        <vt:i4>1048638</vt:i4>
      </vt:variant>
      <vt:variant>
        <vt:i4>296</vt:i4>
      </vt:variant>
      <vt:variant>
        <vt:i4>0</vt:i4>
      </vt:variant>
      <vt:variant>
        <vt:i4>5</vt:i4>
      </vt:variant>
      <vt:variant>
        <vt:lpwstr/>
      </vt:variant>
      <vt:variant>
        <vt:lpwstr>_Toc511736977</vt:lpwstr>
      </vt:variant>
      <vt:variant>
        <vt:i4>1048638</vt:i4>
      </vt:variant>
      <vt:variant>
        <vt:i4>290</vt:i4>
      </vt:variant>
      <vt:variant>
        <vt:i4>0</vt:i4>
      </vt:variant>
      <vt:variant>
        <vt:i4>5</vt:i4>
      </vt:variant>
      <vt:variant>
        <vt:lpwstr/>
      </vt:variant>
      <vt:variant>
        <vt:lpwstr>_Toc511736976</vt:lpwstr>
      </vt:variant>
      <vt:variant>
        <vt:i4>8126573</vt:i4>
      </vt:variant>
      <vt:variant>
        <vt:i4>285</vt:i4>
      </vt:variant>
      <vt:variant>
        <vt:i4>0</vt:i4>
      </vt:variant>
      <vt:variant>
        <vt:i4>5</vt:i4>
      </vt:variant>
      <vt:variant>
        <vt:lpwstr>https://www.abcc.gov.au/about/accountability-and-reporting/annual-report-series/abcc-annual-report-2016-17</vt:lpwstr>
      </vt:variant>
      <vt:variant>
        <vt:lpwstr/>
      </vt:variant>
      <vt:variant>
        <vt:i4>6160402</vt:i4>
      </vt:variant>
      <vt:variant>
        <vt:i4>282</vt:i4>
      </vt:variant>
      <vt:variant>
        <vt:i4>0</vt:i4>
      </vt:variant>
      <vt:variant>
        <vt:i4>5</vt:i4>
      </vt:variant>
      <vt:variant>
        <vt:lpwstr>https://www.abcc.gov.au/about/accountability-and-reporting/corporate-plan-2016-17</vt:lpwstr>
      </vt:variant>
      <vt:variant>
        <vt:lpwstr/>
      </vt:variant>
      <vt:variant>
        <vt:i4>1638449</vt:i4>
      </vt:variant>
      <vt:variant>
        <vt:i4>275</vt:i4>
      </vt:variant>
      <vt:variant>
        <vt:i4>0</vt:i4>
      </vt:variant>
      <vt:variant>
        <vt:i4>5</vt:i4>
      </vt:variant>
      <vt:variant>
        <vt:lpwstr/>
      </vt:variant>
      <vt:variant>
        <vt:lpwstr>_Toc511902541</vt:lpwstr>
      </vt:variant>
      <vt:variant>
        <vt:i4>1638449</vt:i4>
      </vt:variant>
      <vt:variant>
        <vt:i4>269</vt:i4>
      </vt:variant>
      <vt:variant>
        <vt:i4>0</vt:i4>
      </vt:variant>
      <vt:variant>
        <vt:i4>5</vt:i4>
      </vt:variant>
      <vt:variant>
        <vt:lpwstr/>
      </vt:variant>
      <vt:variant>
        <vt:lpwstr>_Toc511902540</vt:lpwstr>
      </vt:variant>
      <vt:variant>
        <vt:i4>1966129</vt:i4>
      </vt:variant>
      <vt:variant>
        <vt:i4>263</vt:i4>
      </vt:variant>
      <vt:variant>
        <vt:i4>0</vt:i4>
      </vt:variant>
      <vt:variant>
        <vt:i4>5</vt:i4>
      </vt:variant>
      <vt:variant>
        <vt:lpwstr/>
      </vt:variant>
      <vt:variant>
        <vt:lpwstr>_Toc511902539</vt:lpwstr>
      </vt:variant>
      <vt:variant>
        <vt:i4>1966129</vt:i4>
      </vt:variant>
      <vt:variant>
        <vt:i4>257</vt:i4>
      </vt:variant>
      <vt:variant>
        <vt:i4>0</vt:i4>
      </vt:variant>
      <vt:variant>
        <vt:i4>5</vt:i4>
      </vt:variant>
      <vt:variant>
        <vt:lpwstr/>
      </vt:variant>
      <vt:variant>
        <vt:lpwstr>_Toc511902538</vt:lpwstr>
      </vt:variant>
      <vt:variant>
        <vt:i4>1966129</vt:i4>
      </vt:variant>
      <vt:variant>
        <vt:i4>251</vt:i4>
      </vt:variant>
      <vt:variant>
        <vt:i4>0</vt:i4>
      </vt:variant>
      <vt:variant>
        <vt:i4>5</vt:i4>
      </vt:variant>
      <vt:variant>
        <vt:lpwstr/>
      </vt:variant>
      <vt:variant>
        <vt:lpwstr>_Toc511902537</vt:lpwstr>
      </vt:variant>
      <vt:variant>
        <vt:i4>1966129</vt:i4>
      </vt:variant>
      <vt:variant>
        <vt:i4>245</vt:i4>
      </vt:variant>
      <vt:variant>
        <vt:i4>0</vt:i4>
      </vt:variant>
      <vt:variant>
        <vt:i4>5</vt:i4>
      </vt:variant>
      <vt:variant>
        <vt:lpwstr/>
      </vt:variant>
      <vt:variant>
        <vt:lpwstr>_Toc511902536</vt:lpwstr>
      </vt:variant>
      <vt:variant>
        <vt:i4>1966129</vt:i4>
      </vt:variant>
      <vt:variant>
        <vt:i4>239</vt:i4>
      </vt:variant>
      <vt:variant>
        <vt:i4>0</vt:i4>
      </vt:variant>
      <vt:variant>
        <vt:i4>5</vt:i4>
      </vt:variant>
      <vt:variant>
        <vt:lpwstr/>
      </vt:variant>
      <vt:variant>
        <vt:lpwstr>_Toc511902535</vt:lpwstr>
      </vt:variant>
      <vt:variant>
        <vt:i4>1966129</vt:i4>
      </vt:variant>
      <vt:variant>
        <vt:i4>233</vt:i4>
      </vt:variant>
      <vt:variant>
        <vt:i4>0</vt:i4>
      </vt:variant>
      <vt:variant>
        <vt:i4>5</vt:i4>
      </vt:variant>
      <vt:variant>
        <vt:lpwstr/>
      </vt:variant>
      <vt:variant>
        <vt:lpwstr>_Toc511902534</vt:lpwstr>
      </vt:variant>
      <vt:variant>
        <vt:i4>1966129</vt:i4>
      </vt:variant>
      <vt:variant>
        <vt:i4>227</vt:i4>
      </vt:variant>
      <vt:variant>
        <vt:i4>0</vt:i4>
      </vt:variant>
      <vt:variant>
        <vt:i4>5</vt:i4>
      </vt:variant>
      <vt:variant>
        <vt:lpwstr/>
      </vt:variant>
      <vt:variant>
        <vt:lpwstr>_Toc511902533</vt:lpwstr>
      </vt:variant>
      <vt:variant>
        <vt:i4>2228335</vt:i4>
      </vt:variant>
      <vt:variant>
        <vt:i4>222</vt:i4>
      </vt:variant>
      <vt:variant>
        <vt:i4>0</vt:i4>
      </vt:variant>
      <vt:variant>
        <vt:i4>5</vt:i4>
      </vt:variant>
      <vt:variant>
        <vt:lpwstr>https://www.asbestossafety.gov.au/annual-report-2016-17/report-performance/annual-performance-statement</vt:lpwstr>
      </vt:variant>
      <vt:variant>
        <vt:lpwstr/>
      </vt:variant>
      <vt:variant>
        <vt:i4>4194313</vt:i4>
      </vt:variant>
      <vt:variant>
        <vt:i4>219</vt:i4>
      </vt:variant>
      <vt:variant>
        <vt:i4>0</vt:i4>
      </vt:variant>
      <vt:variant>
        <vt:i4>5</vt:i4>
      </vt:variant>
      <vt:variant>
        <vt:lpwstr>http://www.asbestossafety.gov.au/national-strategic-plan</vt:lpwstr>
      </vt:variant>
      <vt:variant>
        <vt:lpwstr/>
      </vt:variant>
      <vt:variant>
        <vt:i4>1048627</vt:i4>
      </vt:variant>
      <vt:variant>
        <vt:i4>212</vt:i4>
      </vt:variant>
      <vt:variant>
        <vt:i4>0</vt:i4>
      </vt:variant>
      <vt:variant>
        <vt:i4>5</vt:i4>
      </vt:variant>
      <vt:variant>
        <vt:lpwstr/>
      </vt:variant>
      <vt:variant>
        <vt:lpwstr>_Toc511656262</vt:lpwstr>
      </vt:variant>
      <vt:variant>
        <vt:i4>1048627</vt:i4>
      </vt:variant>
      <vt:variant>
        <vt:i4>206</vt:i4>
      </vt:variant>
      <vt:variant>
        <vt:i4>0</vt:i4>
      </vt:variant>
      <vt:variant>
        <vt:i4>5</vt:i4>
      </vt:variant>
      <vt:variant>
        <vt:lpwstr/>
      </vt:variant>
      <vt:variant>
        <vt:lpwstr>_Toc511656261</vt:lpwstr>
      </vt:variant>
      <vt:variant>
        <vt:i4>1048627</vt:i4>
      </vt:variant>
      <vt:variant>
        <vt:i4>200</vt:i4>
      </vt:variant>
      <vt:variant>
        <vt:i4>0</vt:i4>
      </vt:variant>
      <vt:variant>
        <vt:i4>5</vt:i4>
      </vt:variant>
      <vt:variant>
        <vt:lpwstr/>
      </vt:variant>
      <vt:variant>
        <vt:lpwstr>_Toc511656260</vt:lpwstr>
      </vt:variant>
      <vt:variant>
        <vt:i4>1245235</vt:i4>
      </vt:variant>
      <vt:variant>
        <vt:i4>194</vt:i4>
      </vt:variant>
      <vt:variant>
        <vt:i4>0</vt:i4>
      </vt:variant>
      <vt:variant>
        <vt:i4>5</vt:i4>
      </vt:variant>
      <vt:variant>
        <vt:lpwstr/>
      </vt:variant>
      <vt:variant>
        <vt:lpwstr>_Toc511656259</vt:lpwstr>
      </vt:variant>
      <vt:variant>
        <vt:i4>1245235</vt:i4>
      </vt:variant>
      <vt:variant>
        <vt:i4>188</vt:i4>
      </vt:variant>
      <vt:variant>
        <vt:i4>0</vt:i4>
      </vt:variant>
      <vt:variant>
        <vt:i4>5</vt:i4>
      </vt:variant>
      <vt:variant>
        <vt:lpwstr/>
      </vt:variant>
      <vt:variant>
        <vt:lpwstr>_Toc511656258</vt:lpwstr>
      </vt:variant>
      <vt:variant>
        <vt:i4>1245235</vt:i4>
      </vt:variant>
      <vt:variant>
        <vt:i4>182</vt:i4>
      </vt:variant>
      <vt:variant>
        <vt:i4>0</vt:i4>
      </vt:variant>
      <vt:variant>
        <vt:i4>5</vt:i4>
      </vt:variant>
      <vt:variant>
        <vt:lpwstr/>
      </vt:variant>
      <vt:variant>
        <vt:lpwstr>_Toc511656257</vt:lpwstr>
      </vt:variant>
      <vt:variant>
        <vt:i4>1245235</vt:i4>
      </vt:variant>
      <vt:variant>
        <vt:i4>176</vt:i4>
      </vt:variant>
      <vt:variant>
        <vt:i4>0</vt:i4>
      </vt:variant>
      <vt:variant>
        <vt:i4>5</vt:i4>
      </vt:variant>
      <vt:variant>
        <vt:lpwstr/>
      </vt:variant>
      <vt:variant>
        <vt:lpwstr>_Toc511656256</vt:lpwstr>
      </vt:variant>
      <vt:variant>
        <vt:i4>1245235</vt:i4>
      </vt:variant>
      <vt:variant>
        <vt:i4>170</vt:i4>
      </vt:variant>
      <vt:variant>
        <vt:i4>0</vt:i4>
      </vt:variant>
      <vt:variant>
        <vt:i4>5</vt:i4>
      </vt:variant>
      <vt:variant>
        <vt:lpwstr/>
      </vt:variant>
      <vt:variant>
        <vt:lpwstr>_Toc511656255</vt:lpwstr>
      </vt:variant>
      <vt:variant>
        <vt:i4>1245235</vt:i4>
      </vt:variant>
      <vt:variant>
        <vt:i4>164</vt:i4>
      </vt:variant>
      <vt:variant>
        <vt:i4>0</vt:i4>
      </vt:variant>
      <vt:variant>
        <vt:i4>5</vt:i4>
      </vt:variant>
      <vt:variant>
        <vt:lpwstr/>
      </vt:variant>
      <vt:variant>
        <vt:lpwstr>_Toc511656254</vt:lpwstr>
      </vt:variant>
      <vt:variant>
        <vt:i4>1114160</vt:i4>
      </vt:variant>
      <vt:variant>
        <vt:i4>155</vt:i4>
      </vt:variant>
      <vt:variant>
        <vt:i4>0</vt:i4>
      </vt:variant>
      <vt:variant>
        <vt:i4>5</vt:i4>
      </vt:variant>
      <vt:variant>
        <vt:lpwstr/>
      </vt:variant>
      <vt:variant>
        <vt:lpwstr>_Toc511722626</vt:lpwstr>
      </vt:variant>
      <vt:variant>
        <vt:i4>1114160</vt:i4>
      </vt:variant>
      <vt:variant>
        <vt:i4>149</vt:i4>
      </vt:variant>
      <vt:variant>
        <vt:i4>0</vt:i4>
      </vt:variant>
      <vt:variant>
        <vt:i4>5</vt:i4>
      </vt:variant>
      <vt:variant>
        <vt:lpwstr/>
      </vt:variant>
      <vt:variant>
        <vt:lpwstr>_Toc511722625</vt:lpwstr>
      </vt:variant>
      <vt:variant>
        <vt:i4>1114160</vt:i4>
      </vt:variant>
      <vt:variant>
        <vt:i4>143</vt:i4>
      </vt:variant>
      <vt:variant>
        <vt:i4>0</vt:i4>
      </vt:variant>
      <vt:variant>
        <vt:i4>5</vt:i4>
      </vt:variant>
      <vt:variant>
        <vt:lpwstr/>
      </vt:variant>
      <vt:variant>
        <vt:lpwstr>_Toc511722624</vt:lpwstr>
      </vt:variant>
      <vt:variant>
        <vt:i4>1114160</vt:i4>
      </vt:variant>
      <vt:variant>
        <vt:i4>137</vt:i4>
      </vt:variant>
      <vt:variant>
        <vt:i4>0</vt:i4>
      </vt:variant>
      <vt:variant>
        <vt:i4>5</vt:i4>
      </vt:variant>
      <vt:variant>
        <vt:lpwstr/>
      </vt:variant>
      <vt:variant>
        <vt:lpwstr>_Toc511722623</vt:lpwstr>
      </vt:variant>
      <vt:variant>
        <vt:i4>1114160</vt:i4>
      </vt:variant>
      <vt:variant>
        <vt:i4>131</vt:i4>
      </vt:variant>
      <vt:variant>
        <vt:i4>0</vt:i4>
      </vt:variant>
      <vt:variant>
        <vt:i4>5</vt:i4>
      </vt:variant>
      <vt:variant>
        <vt:lpwstr/>
      </vt:variant>
      <vt:variant>
        <vt:lpwstr>_Toc511722622</vt:lpwstr>
      </vt:variant>
      <vt:variant>
        <vt:i4>1114160</vt:i4>
      </vt:variant>
      <vt:variant>
        <vt:i4>125</vt:i4>
      </vt:variant>
      <vt:variant>
        <vt:i4>0</vt:i4>
      </vt:variant>
      <vt:variant>
        <vt:i4>5</vt:i4>
      </vt:variant>
      <vt:variant>
        <vt:lpwstr/>
      </vt:variant>
      <vt:variant>
        <vt:lpwstr>_Toc511722621</vt:lpwstr>
      </vt:variant>
      <vt:variant>
        <vt:i4>1114160</vt:i4>
      </vt:variant>
      <vt:variant>
        <vt:i4>119</vt:i4>
      </vt:variant>
      <vt:variant>
        <vt:i4>0</vt:i4>
      </vt:variant>
      <vt:variant>
        <vt:i4>5</vt:i4>
      </vt:variant>
      <vt:variant>
        <vt:lpwstr/>
      </vt:variant>
      <vt:variant>
        <vt:lpwstr>_Toc511722620</vt:lpwstr>
      </vt:variant>
      <vt:variant>
        <vt:i4>1179696</vt:i4>
      </vt:variant>
      <vt:variant>
        <vt:i4>113</vt:i4>
      </vt:variant>
      <vt:variant>
        <vt:i4>0</vt:i4>
      </vt:variant>
      <vt:variant>
        <vt:i4>5</vt:i4>
      </vt:variant>
      <vt:variant>
        <vt:lpwstr/>
      </vt:variant>
      <vt:variant>
        <vt:lpwstr>_Toc511722619</vt:lpwstr>
      </vt:variant>
      <vt:variant>
        <vt:i4>1179696</vt:i4>
      </vt:variant>
      <vt:variant>
        <vt:i4>107</vt:i4>
      </vt:variant>
      <vt:variant>
        <vt:i4>0</vt:i4>
      </vt:variant>
      <vt:variant>
        <vt:i4>5</vt:i4>
      </vt:variant>
      <vt:variant>
        <vt:lpwstr/>
      </vt:variant>
      <vt:variant>
        <vt:lpwstr>_Toc511722618</vt:lpwstr>
      </vt:variant>
      <vt:variant>
        <vt:i4>1179696</vt:i4>
      </vt:variant>
      <vt:variant>
        <vt:i4>101</vt:i4>
      </vt:variant>
      <vt:variant>
        <vt:i4>0</vt:i4>
      </vt:variant>
      <vt:variant>
        <vt:i4>5</vt:i4>
      </vt:variant>
      <vt:variant>
        <vt:lpwstr/>
      </vt:variant>
      <vt:variant>
        <vt:lpwstr>_Toc511722617</vt:lpwstr>
      </vt:variant>
      <vt:variant>
        <vt:i4>1310772</vt:i4>
      </vt:variant>
      <vt:variant>
        <vt:i4>92</vt:i4>
      </vt:variant>
      <vt:variant>
        <vt:i4>0</vt:i4>
      </vt:variant>
      <vt:variant>
        <vt:i4>5</vt:i4>
      </vt:variant>
      <vt:variant>
        <vt:lpwstr/>
      </vt:variant>
      <vt:variant>
        <vt:lpwstr>_Toc511635319</vt:lpwstr>
      </vt:variant>
      <vt:variant>
        <vt:i4>1310772</vt:i4>
      </vt:variant>
      <vt:variant>
        <vt:i4>86</vt:i4>
      </vt:variant>
      <vt:variant>
        <vt:i4>0</vt:i4>
      </vt:variant>
      <vt:variant>
        <vt:i4>5</vt:i4>
      </vt:variant>
      <vt:variant>
        <vt:lpwstr/>
      </vt:variant>
      <vt:variant>
        <vt:lpwstr>_Toc511635317</vt:lpwstr>
      </vt:variant>
      <vt:variant>
        <vt:i4>1310772</vt:i4>
      </vt:variant>
      <vt:variant>
        <vt:i4>80</vt:i4>
      </vt:variant>
      <vt:variant>
        <vt:i4>0</vt:i4>
      </vt:variant>
      <vt:variant>
        <vt:i4>5</vt:i4>
      </vt:variant>
      <vt:variant>
        <vt:lpwstr/>
      </vt:variant>
      <vt:variant>
        <vt:lpwstr>_Toc511635315</vt:lpwstr>
      </vt:variant>
      <vt:variant>
        <vt:i4>1310772</vt:i4>
      </vt:variant>
      <vt:variant>
        <vt:i4>74</vt:i4>
      </vt:variant>
      <vt:variant>
        <vt:i4>0</vt:i4>
      </vt:variant>
      <vt:variant>
        <vt:i4>5</vt:i4>
      </vt:variant>
      <vt:variant>
        <vt:lpwstr/>
      </vt:variant>
      <vt:variant>
        <vt:lpwstr>_Toc511635313</vt:lpwstr>
      </vt:variant>
      <vt:variant>
        <vt:i4>1310772</vt:i4>
      </vt:variant>
      <vt:variant>
        <vt:i4>68</vt:i4>
      </vt:variant>
      <vt:variant>
        <vt:i4>0</vt:i4>
      </vt:variant>
      <vt:variant>
        <vt:i4>5</vt:i4>
      </vt:variant>
      <vt:variant>
        <vt:lpwstr/>
      </vt:variant>
      <vt:variant>
        <vt:lpwstr>_Toc511635311</vt:lpwstr>
      </vt:variant>
      <vt:variant>
        <vt:i4>1376308</vt:i4>
      </vt:variant>
      <vt:variant>
        <vt:i4>62</vt:i4>
      </vt:variant>
      <vt:variant>
        <vt:i4>0</vt:i4>
      </vt:variant>
      <vt:variant>
        <vt:i4>5</vt:i4>
      </vt:variant>
      <vt:variant>
        <vt:lpwstr/>
      </vt:variant>
      <vt:variant>
        <vt:lpwstr>_Toc511635309</vt:lpwstr>
      </vt:variant>
      <vt:variant>
        <vt:i4>1376308</vt:i4>
      </vt:variant>
      <vt:variant>
        <vt:i4>56</vt:i4>
      </vt:variant>
      <vt:variant>
        <vt:i4>0</vt:i4>
      </vt:variant>
      <vt:variant>
        <vt:i4>5</vt:i4>
      </vt:variant>
      <vt:variant>
        <vt:lpwstr/>
      </vt:variant>
      <vt:variant>
        <vt:lpwstr>_Toc511635307</vt:lpwstr>
      </vt:variant>
      <vt:variant>
        <vt:i4>1441841</vt:i4>
      </vt:variant>
      <vt:variant>
        <vt:i4>47</vt:i4>
      </vt:variant>
      <vt:variant>
        <vt:i4>0</vt:i4>
      </vt:variant>
      <vt:variant>
        <vt:i4>5</vt:i4>
      </vt:variant>
      <vt:variant>
        <vt:lpwstr/>
      </vt:variant>
      <vt:variant>
        <vt:lpwstr>_Toc511651071</vt:lpwstr>
      </vt:variant>
      <vt:variant>
        <vt:i4>1507377</vt:i4>
      </vt:variant>
      <vt:variant>
        <vt:i4>44</vt:i4>
      </vt:variant>
      <vt:variant>
        <vt:i4>0</vt:i4>
      </vt:variant>
      <vt:variant>
        <vt:i4>5</vt:i4>
      </vt:variant>
      <vt:variant>
        <vt:lpwstr/>
      </vt:variant>
      <vt:variant>
        <vt:lpwstr>_Toc511651068</vt:lpwstr>
      </vt:variant>
      <vt:variant>
        <vt:i4>1507377</vt:i4>
      </vt:variant>
      <vt:variant>
        <vt:i4>41</vt:i4>
      </vt:variant>
      <vt:variant>
        <vt:i4>0</vt:i4>
      </vt:variant>
      <vt:variant>
        <vt:i4>5</vt:i4>
      </vt:variant>
      <vt:variant>
        <vt:lpwstr/>
      </vt:variant>
      <vt:variant>
        <vt:lpwstr>_Toc511651066</vt:lpwstr>
      </vt:variant>
      <vt:variant>
        <vt:i4>1507377</vt:i4>
      </vt:variant>
      <vt:variant>
        <vt:i4>38</vt:i4>
      </vt:variant>
      <vt:variant>
        <vt:i4>0</vt:i4>
      </vt:variant>
      <vt:variant>
        <vt:i4>5</vt:i4>
      </vt:variant>
      <vt:variant>
        <vt:lpwstr/>
      </vt:variant>
      <vt:variant>
        <vt:lpwstr>_Toc511651064</vt:lpwstr>
      </vt:variant>
      <vt:variant>
        <vt:i4>1507377</vt:i4>
      </vt:variant>
      <vt:variant>
        <vt:i4>35</vt:i4>
      </vt:variant>
      <vt:variant>
        <vt:i4>0</vt:i4>
      </vt:variant>
      <vt:variant>
        <vt:i4>5</vt:i4>
      </vt:variant>
      <vt:variant>
        <vt:lpwstr/>
      </vt:variant>
      <vt:variant>
        <vt:lpwstr>_Toc511651062</vt:lpwstr>
      </vt:variant>
      <vt:variant>
        <vt:i4>1507377</vt:i4>
      </vt:variant>
      <vt:variant>
        <vt:i4>32</vt:i4>
      </vt:variant>
      <vt:variant>
        <vt:i4>0</vt:i4>
      </vt:variant>
      <vt:variant>
        <vt:i4>5</vt:i4>
      </vt:variant>
      <vt:variant>
        <vt:lpwstr/>
      </vt:variant>
      <vt:variant>
        <vt:lpwstr>_Toc511651060</vt:lpwstr>
      </vt:variant>
      <vt:variant>
        <vt:i4>1310769</vt:i4>
      </vt:variant>
      <vt:variant>
        <vt:i4>29</vt:i4>
      </vt:variant>
      <vt:variant>
        <vt:i4>0</vt:i4>
      </vt:variant>
      <vt:variant>
        <vt:i4>5</vt:i4>
      </vt:variant>
      <vt:variant>
        <vt:lpwstr/>
      </vt:variant>
      <vt:variant>
        <vt:lpwstr>_Toc511651058</vt:lpwstr>
      </vt:variant>
      <vt:variant>
        <vt:i4>1310769</vt:i4>
      </vt:variant>
      <vt:variant>
        <vt:i4>26</vt:i4>
      </vt:variant>
      <vt:variant>
        <vt:i4>0</vt:i4>
      </vt:variant>
      <vt:variant>
        <vt:i4>5</vt:i4>
      </vt:variant>
      <vt:variant>
        <vt:lpwstr/>
      </vt:variant>
      <vt:variant>
        <vt:lpwstr>_Toc511651056</vt:lpwstr>
      </vt:variant>
      <vt:variant>
        <vt:i4>1310769</vt:i4>
      </vt:variant>
      <vt:variant>
        <vt:i4>23</vt:i4>
      </vt:variant>
      <vt:variant>
        <vt:i4>0</vt:i4>
      </vt:variant>
      <vt:variant>
        <vt:i4>5</vt:i4>
      </vt:variant>
      <vt:variant>
        <vt:lpwstr/>
      </vt:variant>
      <vt:variant>
        <vt:lpwstr>_Toc511651055</vt:lpwstr>
      </vt:variant>
      <vt:variant>
        <vt:i4>1310769</vt:i4>
      </vt:variant>
      <vt:variant>
        <vt:i4>17</vt:i4>
      </vt:variant>
      <vt:variant>
        <vt:i4>0</vt:i4>
      </vt:variant>
      <vt:variant>
        <vt:i4>5</vt:i4>
      </vt:variant>
      <vt:variant>
        <vt:lpwstr/>
      </vt:variant>
      <vt:variant>
        <vt:lpwstr>_Toc511651054</vt:lpwstr>
      </vt:variant>
      <vt:variant>
        <vt:i4>5374022</vt:i4>
      </vt:variant>
      <vt:variant>
        <vt:i4>12</vt:i4>
      </vt:variant>
      <vt:variant>
        <vt:i4>0</vt:i4>
      </vt:variant>
      <vt:variant>
        <vt:i4>5</vt:i4>
      </vt:variant>
      <vt:variant>
        <vt:lpwstr>http://www.budget.gov.au/</vt:lpwstr>
      </vt:variant>
      <vt:variant>
        <vt:lpwstr/>
      </vt:variant>
      <vt:variant>
        <vt:i4>7471148</vt:i4>
      </vt:variant>
      <vt:variant>
        <vt:i4>9</vt:i4>
      </vt:variant>
      <vt:variant>
        <vt:i4>0</vt:i4>
      </vt:variant>
      <vt:variant>
        <vt:i4>5</vt:i4>
      </vt:variant>
      <vt:variant>
        <vt:lpwstr>http://www.itsanhonour.gov.au/</vt:lpwstr>
      </vt:variant>
      <vt:variant>
        <vt:lpwstr/>
      </vt:variant>
      <vt:variant>
        <vt:i4>5111827</vt:i4>
      </vt:variant>
      <vt:variant>
        <vt:i4>6</vt:i4>
      </vt:variant>
      <vt:variant>
        <vt:i4>0</vt:i4>
      </vt:variant>
      <vt:variant>
        <vt:i4>5</vt:i4>
      </vt:variant>
      <vt:variant>
        <vt:lpwstr>http://creativecommons.org/licenses/by/3.0/au/deed.en</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Budget Statements</dc:title>
  <dc:subject>Department Name</dc:subject>
  <dc:creator>[Author department]</dc:creator>
  <cp:keywords>[SEC=]</cp:keywords>
  <cp:lastModifiedBy>Natasha Walter</cp:lastModifiedBy>
  <cp:revision>3</cp:revision>
  <cp:lastPrinted>2018-05-08T00:05:00Z</cp:lastPrinted>
  <dcterms:created xsi:type="dcterms:W3CDTF">2018-05-08T00:57:00Z</dcterms:created>
  <dcterms:modified xsi:type="dcterms:W3CDTF">2018-05-08T00:58:00Z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0x0101004654BC1C4B391D4BAE9CA6CFB620C1A6</vt:lpwstr>
  </property>
  <property fmtid="{D5CDD505-2E9C-101B-9397-08002B2CF9AE}" pid="5" name="TSYRecordClass">
    <vt:lpwstr>75;#AE-20337-Destroy 7 years after action completed|668ae28e-5138-4c7c-82db-1c8c6afc81a6</vt:lpwstr>
  </property>
  <property fmtid="{D5CDD505-2E9C-101B-9397-08002B2CF9AE}" pid="6" name="_dlc_DocIdItemGuid">
    <vt:lpwstr>80ce654a-8b7a-4b78-844a-49e3b16f0e37</vt:lpwstr>
  </property>
  <property fmtid="{D5CDD505-2E9C-101B-9397-08002B2CF9AE}" pid="7" name="_dlc_DocId">
    <vt:lpwstr>2018CSSG-528562461-194</vt:lpwstr>
  </property>
  <property fmtid="{D5CDD505-2E9C-101B-9397-08002B2CF9AE}" pid="8" name="_dlc_DocIdUrl">
    <vt:lpwstr>http://tweb/sites/cssg/ped/pu/pt/_layouts/15/DocIdRedir.aspx?ID=2018CSSG-528562461-194, 2018CSSG-528562461-194</vt:lpwstr>
  </property>
  <property fmtid="{D5CDD505-2E9C-101B-9397-08002B2CF9AE}" pid="9" name="Language">
    <vt:lpwstr>English</vt:lpwstr>
  </property>
  <property fmtid="{D5CDD505-2E9C-101B-9397-08002B2CF9AE}" pid="10" name="TaxCatchAll">
    <vt:lpwstr>75;#AE-20337-Destroy 7 years after action completed|668ae28e-5138-4c7c-82db-1c8c6afc81a6</vt:lpwstr>
  </property>
  <property fmtid="{D5CDD505-2E9C-101B-9397-08002B2CF9AE}" pid="11" name="IconOverlay">
    <vt:lpwstr/>
  </property>
  <property fmtid="{D5CDD505-2E9C-101B-9397-08002B2CF9AE}" pid="12" name="lb508a4dc5e84436a0fe496b536466aa">
    <vt:lpwstr>AE-20337-Destroy 7 years after action completed|668ae28e-5138-4c7c-82db-1c8c6afc81a6</vt:lpwstr>
  </property>
  <property fmtid="{D5CDD505-2E9C-101B-9397-08002B2CF9AE}" pid="13" name="RecordPoint_WorkflowType">
    <vt:lpwstr>ActiveSubmitStub</vt:lpwstr>
  </property>
  <property fmtid="{D5CDD505-2E9C-101B-9397-08002B2CF9AE}" pid="14" name="RecordPoint_ActiveItemSiteId">
    <vt:lpwstr>{de902461-0703-410e-906b-a2e3a4f5dd57}</vt:lpwstr>
  </property>
  <property fmtid="{D5CDD505-2E9C-101B-9397-08002B2CF9AE}" pid="15" name="RecordPoint_ActiveItemListId">
    <vt:lpwstr>{1a5197ea-2690-47fd-a085-19629528b6d0}</vt:lpwstr>
  </property>
  <property fmtid="{D5CDD505-2E9C-101B-9397-08002B2CF9AE}" pid="16" name="RecordPoint_ActiveItemUniqueId">
    <vt:lpwstr>{80ce654a-8b7a-4b78-844a-49e3b16f0e37}</vt:lpwstr>
  </property>
  <property fmtid="{D5CDD505-2E9C-101B-9397-08002B2CF9AE}" pid="17" name="RecordPoint_ActiveItemWebId">
    <vt:lpwstr>{e237d495-0881-4849-ae62-ddc8a8132df5}</vt:lpwstr>
  </property>
  <property fmtid="{D5CDD505-2E9C-101B-9397-08002B2CF9AE}" pid="18" name="RecordPoint_SubmissionDate">
    <vt:lpwstr/>
  </property>
  <property fmtid="{D5CDD505-2E9C-101B-9397-08002B2CF9AE}" pid="19" name="RecordPoint_ActiveItemMoved">
    <vt:lpwstr/>
  </property>
  <property fmtid="{D5CDD505-2E9C-101B-9397-08002B2CF9AE}" pid="20" name="RecordPoint_RecordFormat">
    <vt:lpwstr/>
  </property>
  <property fmtid="{D5CDD505-2E9C-101B-9397-08002B2CF9AE}" pid="21" name="RecordPoint_SubmissionCompleted">
    <vt:lpwstr>2018-02-21T12:08:37.1490822+11:00</vt:lpwstr>
  </property>
  <property fmtid="{D5CDD505-2E9C-101B-9397-08002B2CF9AE}" pid="22" name="RecordPoint_RecordNumberSubmitted">
    <vt:lpwstr>R0001595973</vt:lpwstr>
  </property>
</Properties>
</file>