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03E45" w14:textId="77777777" w:rsidR="00984FB8" w:rsidRPr="00C90260" w:rsidRDefault="00984FB8" w:rsidP="00C90260">
      <w:bookmarkStart w:id="0" w:name="_Hlk170897012"/>
      <w:bookmarkEnd w:id="0"/>
      <w:r>
        <w:rPr>
          <w:noProof/>
        </w:rPr>
        <w:drawing>
          <wp:inline distT="0" distB="0" distL="0" distR="0" wp14:anchorId="6AFCDCC4" wp14:editId="29D9ADFB">
            <wp:extent cx="2383155" cy="727075"/>
            <wp:effectExtent l="0" t="0" r="0" b="0"/>
            <wp:docPr id="2" name="Graphic 2" descr="Australian Government cres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ustralian Government cres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12F2102D" wp14:editId="3C27B905">
            <wp:simplePos x="0" y="0"/>
            <wp:positionH relativeFrom="column">
              <wp:posOffset>-791972</wp:posOffset>
            </wp:positionH>
            <wp:positionV relativeFrom="page">
              <wp:posOffset>-36576</wp:posOffset>
            </wp:positionV>
            <wp:extent cx="7673234" cy="2450592"/>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2191C093" w14:textId="257CCE7D" w:rsidR="00930CDA" w:rsidRPr="00984FB8" w:rsidRDefault="00B2649E" w:rsidP="00C90260">
      <w:pPr>
        <w:pStyle w:val="Title"/>
        <w:spacing w:line="240" w:lineRule="auto"/>
        <w:ind w:left="1276"/>
        <w:rPr>
          <w:noProof/>
          <w:color w:val="404246"/>
          <w:lang w:eastAsia="en-AU"/>
        </w:rPr>
      </w:pPr>
      <w:r>
        <w:rPr>
          <w:noProof/>
          <w:color w:val="404246"/>
          <w:lang w:eastAsia="en-AU"/>
        </w:rPr>
        <w:t>Department of Employment and Workplace Relations Data Strategy</w:t>
      </w:r>
    </w:p>
    <w:p w14:paraId="6F958344" w14:textId="15F2FB72" w:rsidR="007855CC" w:rsidRDefault="00B2649E" w:rsidP="007855CC">
      <w:pPr>
        <w:pStyle w:val="Subtitle"/>
        <w:spacing w:before="240"/>
        <w:ind w:left="1276"/>
        <w:rPr>
          <w:noProof/>
          <w:lang w:eastAsia="en-AU"/>
        </w:rPr>
      </w:pPr>
      <w:r w:rsidRPr="7AFD60A8">
        <w:rPr>
          <w:noProof/>
          <w:lang w:eastAsia="en-AU"/>
        </w:rPr>
        <w:t>2024-202</w:t>
      </w:r>
      <w:r w:rsidR="0331A0F9" w:rsidRPr="7AFD60A8">
        <w:rPr>
          <w:noProof/>
          <w:lang w:eastAsia="en-AU"/>
        </w:rPr>
        <w:t>7</w:t>
      </w:r>
    </w:p>
    <w:p w14:paraId="55D9CCED" w14:textId="77777777" w:rsidR="00930CDA" w:rsidRPr="0095636C" w:rsidRDefault="00930CDA" w:rsidP="0095636C">
      <w:r>
        <w:rPr>
          <w:noProof/>
          <w:lang w:eastAsia="en-AU"/>
        </w:rPr>
        <w:br w:type="page"/>
      </w:r>
    </w:p>
    <w:p w14:paraId="4A3FD93B" w14:textId="77777777" w:rsidR="00053554" w:rsidRPr="003C539C" w:rsidRDefault="00053554" w:rsidP="00053554">
      <w:bookmarkStart w:id="1" w:name="_Toc30065222"/>
      <w:r w:rsidRPr="003C539C">
        <w:rPr>
          <w:noProof/>
        </w:rPr>
        <w:lastRenderedPageBreak/>
        <w:drawing>
          <wp:inline distT="0" distB="0" distL="0" distR="0" wp14:anchorId="587F943C" wp14:editId="31669A70">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E7D9842" w14:textId="3C2FE083" w:rsidR="00053554" w:rsidRPr="00155022" w:rsidRDefault="00053554" w:rsidP="00053554">
      <w:r w:rsidRPr="00155022">
        <w:t xml:space="preserve">With the exception of the Commonwealth Coat of Arms, the </w:t>
      </w:r>
      <w:r w:rsidR="00860DFF">
        <w:t>Department</w:t>
      </w:r>
      <w:r w:rsidRPr="00155022">
        <w:t>’s logo, any material protected by a trade mark and where otherwise noted all material presented in this document is</w:t>
      </w:r>
      <w:r>
        <w:t> </w:t>
      </w:r>
      <w:r w:rsidRPr="00155022">
        <w:t xml:space="preserve">provided under a </w:t>
      </w:r>
      <w:hyperlink r:id="rId13" w:history="1">
        <w:r w:rsidRPr="00155022">
          <w:rPr>
            <w:rStyle w:val="Hyperlink"/>
          </w:rPr>
          <w:t>Creative Commons Attribution 4.0 International</w:t>
        </w:r>
      </w:hyperlink>
      <w:r w:rsidRPr="00155022">
        <w:t xml:space="preserve"> (https://creativecommons.org/licenses/by/4.0/) licence.</w:t>
      </w:r>
    </w:p>
    <w:p w14:paraId="0346DE11" w14:textId="77777777" w:rsidR="00053554" w:rsidRPr="00155022" w:rsidRDefault="00053554" w:rsidP="00053554">
      <w:r w:rsidRPr="00155022">
        <w:t xml:space="preserve">The details of the relevant licence conditions are available on the Creative Commons website (accessible using the links provided) as is the full legal code for the </w:t>
      </w:r>
      <w:hyperlink r:id="rId14" w:history="1">
        <w:r w:rsidRPr="00155022">
          <w:rPr>
            <w:rStyle w:val="Hyperlink"/>
          </w:rPr>
          <w:t>CC BY 4.0 International</w:t>
        </w:r>
      </w:hyperlink>
      <w:r w:rsidRPr="00155022">
        <w:t xml:space="preserve"> (https://creativecommons.org/licenses/by/4.0/legalcode)</w:t>
      </w:r>
    </w:p>
    <w:p w14:paraId="50C1ED98" w14:textId="523B77B9" w:rsidR="00EA67FC" w:rsidRDefault="00053554" w:rsidP="00053554">
      <w:r w:rsidRPr="003C539C">
        <w:t>The document must be attributed as the (</w:t>
      </w:r>
      <w:r w:rsidR="0033536E">
        <w:t>Department of Employment and Workplace Relations Data Strategy</w:t>
      </w:r>
      <w:r w:rsidRPr="003C539C">
        <w:t>).</w:t>
      </w:r>
      <w:r w:rsidR="00EA67FC">
        <w:br w:type="page"/>
      </w:r>
    </w:p>
    <w:p w14:paraId="3AC4BBA2" w14:textId="77777777" w:rsidR="007855CC" w:rsidRDefault="007855CC" w:rsidP="007855CC">
      <w:pPr>
        <w:sectPr w:rsidR="007855CC" w:rsidSect="00D4588E">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285F1769" w14:textId="77777777" w:rsidR="007855CC" w:rsidRPr="003C539C" w:rsidRDefault="007855CC" w:rsidP="007855CC">
          <w:pPr>
            <w:pStyle w:val="TOCHeading"/>
          </w:pPr>
          <w:r w:rsidRPr="00D84395">
            <w:t>Contents</w:t>
          </w:r>
        </w:p>
        <w:p w14:paraId="718AB415" w14:textId="12D2C852" w:rsidR="00551417" w:rsidRDefault="0095636C">
          <w:pPr>
            <w:pStyle w:val="TOC1"/>
            <w:rPr>
              <w:rFonts w:eastAsiaTheme="minorEastAsia"/>
              <w:b w:val="0"/>
              <w:noProof/>
              <w:kern w:val="2"/>
              <w:sz w:val="24"/>
              <w:szCs w:val="24"/>
              <w:lang w:eastAsia="en-AU"/>
              <w14:ligatures w14:val="standardContextual"/>
            </w:rPr>
          </w:pPr>
          <w:r w:rsidRPr="004D14B3">
            <w:rPr>
              <w:rFonts w:ascii="Calibri" w:eastAsiaTheme="majorEastAsia" w:hAnsi="Calibri" w:cstheme="majorBidi"/>
              <w:color w:val="343741"/>
              <w:sz w:val="32"/>
              <w:szCs w:val="32"/>
            </w:rPr>
            <w:fldChar w:fldCharType="begin"/>
          </w:r>
          <w:r w:rsidRPr="004D14B3">
            <w:rPr>
              <w:rFonts w:ascii="Calibri" w:eastAsiaTheme="majorEastAsia" w:hAnsi="Calibri" w:cstheme="majorBidi"/>
              <w:color w:val="343741"/>
              <w:sz w:val="32"/>
              <w:szCs w:val="32"/>
            </w:rPr>
            <w:instrText xml:space="preserve"> TOC \o "1-3" \h \z \u </w:instrText>
          </w:r>
          <w:r w:rsidRPr="004D14B3">
            <w:rPr>
              <w:rFonts w:ascii="Calibri" w:eastAsiaTheme="majorEastAsia" w:hAnsi="Calibri" w:cstheme="majorBidi"/>
              <w:color w:val="343741"/>
              <w:sz w:val="32"/>
              <w:szCs w:val="32"/>
            </w:rPr>
            <w:fldChar w:fldCharType="separate"/>
          </w:r>
          <w:hyperlink w:anchor="_Toc170909487" w:history="1">
            <w:r w:rsidR="00551417" w:rsidRPr="00D448B8">
              <w:rPr>
                <w:rStyle w:val="Hyperlink"/>
                <w:noProof/>
              </w:rPr>
              <w:t>Acknowledgement of country</w:t>
            </w:r>
            <w:r w:rsidR="00551417">
              <w:rPr>
                <w:noProof/>
                <w:webHidden/>
              </w:rPr>
              <w:tab/>
            </w:r>
            <w:r w:rsidR="00551417">
              <w:rPr>
                <w:noProof/>
                <w:webHidden/>
              </w:rPr>
              <w:fldChar w:fldCharType="begin"/>
            </w:r>
            <w:r w:rsidR="00551417">
              <w:rPr>
                <w:noProof/>
                <w:webHidden/>
              </w:rPr>
              <w:instrText xml:space="preserve"> PAGEREF _Toc170909487 \h </w:instrText>
            </w:r>
            <w:r w:rsidR="00551417">
              <w:rPr>
                <w:noProof/>
                <w:webHidden/>
              </w:rPr>
            </w:r>
            <w:r w:rsidR="00551417">
              <w:rPr>
                <w:noProof/>
                <w:webHidden/>
              </w:rPr>
              <w:fldChar w:fldCharType="separate"/>
            </w:r>
            <w:r w:rsidR="00362041">
              <w:rPr>
                <w:noProof/>
                <w:webHidden/>
              </w:rPr>
              <w:t>4</w:t>
            </w:r>
            <w:r w:rsidR="00551417">
              <w:rPr>
                <w:noProof/>
                <w:webHidden/>
              </w:rPr>
              <w:fldChar w:fldCharType="end"/>
            </w:r>
          </w:hyperlink>
        </w:p>
        <w:p w14:paraId="712B87BB" w14:textId="4B1CFB19" w:rsidR="00551417" w:rsidRDefault="00551417">
          <w:pPr>
            <w:pStyle w:val="TOC1"/>
            <w:rPr>
              <w:rFonts w:eastAsiaTheme="minorEastAsia"/>
              <w:b w:val="0"/>
              <w:noProof/>
              <w:kern w:val="2"/>
              <w:sz w:val="24"/>
              <w:szCs w:val="24"/>
              <w:lang w:eastAsia="en-AU"/>
              <w14:ligatures w14:val="standardContextual"/>
            </w:rPr>
          </w:pPr>
          <w:hyperlink w:anchor="_Toc170909488" w:history="1">
            <w:r w:rsidRPr="00D448B8">
              <w:rPr>
                <w:rStyle w:val="Hyperlink"/>
                <w:noProof/>
              </w:rPr>
              <w:t>Message from the Chief Data Officer</w:t>
            </w:r>
            <w:r>
              <w:rPr>
                <w:noProof/>
                <w:webHidden/>
              </w:rPr>
              <w:tab/>
            </w:r>
            <w:r>
              <w:rPr>
                <w:noProof/>
                <w:webHidden/>
              </w:rPr>
              <w:fldChar w:fldCharType="begin"/>
            </w:r>
            <w:r>
              <w:rPr>
                <w:noProof/>
                <w:webHidden/>
              </w:rPr>
              <w:instrText xml:space="preserve"> PAGEREF _Toc170909488 \h </w:instrText>
            </w:r>
            <w:r>
              <w:rPr>
                <w:noProof/>
                <w:webHidden/>
              </w:rPr>
            </w:r>
            <w:r>
              <w:rPr>
                <w:noProof/>
                <w:webHidden/>
              </w:rPr>
              <w:fldChar w:fldCharType="separate"/>
            </w:r>
            <w:r w:rsidR="00362041">
              <w:rPr>
                <w:noProof/>
                <w:webHidden/>
              </w:rPr>
              <w:t>5</w:t>
            </w:r>
            <w:r>
              <w:rPr>
                <w:noProof/>
                <w:webHidden/>
              </w:rPr>
              <w:fldChar w:fldCharType="end"/>
            </w:r>
          </w:hyperlink>
        </w:p>
        <w:p w14:paraId="2E0305C0" w14:textId="03F03343" w:rsidR="00551417" w:rsidRDefault="00551417">
          <w:pPr>
            <w:pStyle w:val="TOC1"/>
            <w:rPr>
              <w:rFonts w:eastAsiaTheme="minorEastAsia"/>
              <w:b w:val="0"/>
              <w:noProof/>
              <w:kern w:val="2"/>
              <w:sz w:val="24"/>
              <w:szCs w:val="24"/>
              <w:lang w:eastAsia="en-AU"/>
              <w14:ligatures w14:val="standardContextual"/>
            </w:rPr>
          </w:pPr>
          <w:hyperlink w:anchor="_Toc170909489" w:history="1">
            <w:r w:rsidRPr="00D448B8">
              <w:rPr>
                <w:rStyle w:val="Hyperlink"/>
                <w:noProof/>
              </w:rPr>
              <w:t>Purpose of the Strategy</w:t>
            </w:r>
            <w:r>
              <w:rPr>
                <w:noProof/>
                <w:webHidden/>
              </w:rPr>
              <w:tab/>
            </w:r>
            <w:r>
              <w:rPr>
                <w:noProof/>
                <w:webHidden/>
              </w:rPr>
              <w:fldChar w:fldCharType="begin"/>
            </w:r>
            <w:r>
              <w:rPr>
                <w:noProof/>
                <w:webHidden/>
              </w:rPr>
              <w:instrText xml:space="preserve"> PAGEREF _Toc170909489 \h </w:instrText>
            </w:r>
            <w:r>
              <w:rPr>
                <w:noProof/>
                <w:webHidden/>
              </w:rPr>
            </w:r>
            <w:r>
              <w:rPr>
                <w:noProof/>
                <w:webHidden/>
              </w:rPr>
              <w:fldChar w:fldCharType="separate"/>
            </w:r>
            <w:r w:rsidR="00362041">
              <w:rPr>
                <w:noProof/>
                <w:webHidden/>
              </w:rPr>
              <w:t>6</w:t>
            </w:r>
            <w:r>
              <w:rPr>
                <w:noProof/>
                <w:webHidden/>
              </w:rPr>
              <w:fldChar w:fldCharType="end"/>
            </w:r>
          </w:hyperlink>
        </w:p>
        <w:p w14:paraId="4500511F" w14:textId="20828F64" w:rsidR="00551417" w:rsidRDefault="00551417">
          <w:pPr>
            <w:pStyle w:val="TOC1"/>
            <w:rPr>
              <w:rFonts w:eastAsiaTheme="minorEastAsia"/>
              <w:b w:val="0"/>
              <w:noProof/>
              <w:kern w:val="2"/>
              <w:sz w:val="24"/>
              <w:szCs w:val="24"/>
              <w:lang w:eastAsia="en-AU"/>
              <w14:ligatures w14:val="standardContextual"/>
            </w:rPr>
          </w:pPr>
          <w:hyperlink w:anchor="_Toc170909490" w:history="1">
            <w:r w:rsidRPr="00D448B8">
              <w:rPr>
                <w:rStyle w:val="Hyperlink"/>
                <w:bCs/>
                <w:noProof/>
              </w:rPr>
              <w:t>Approach to Decision Making</w:t>
            </w:r>
            <w:r>
              <w:rPr>
                <w:noProof/>
                <w:webHidden/>
              </w:rPr>
              <w:tab/>
            </w:r>
            <w:r>
              <w:rPr>
                <w:noProof/>
                <w:webHidden/>
              </w:rPr>
              <w:fldChar w:fldCharType="begin"/>
            </w:r>
            <w:r>
              <w:rPr>
                <w:noProof/>
                <w:webHidden/>
              </w:rPr>
              <w:instrText xml:space="preserve"> PAGEREF _Toc170909490 \h </w:instrText>
            </w:r>
            <w:r>
              <w:rPr>
                <w:noProof/>
                <w:webHidden/>
              </w:rPr>
            </w:r>
            <w:r>
              <w:rPr>
                <w:noProof/>
                <w:webHidden/>
              </w:rPr>
              <w:fldChar w:fldCharType="separate"/>
            </w:r>
            <w:r w:rsidR="00362041">
              <w:rPr>
                <w:noProof/>
                <w:webHidden/>
              </w:rPr>
              <w:t>7</w:t>
            </w:r>
            <w:r>
              <w:rPr>
                <w:noProof/>
                <w:webHidden/>
              </w:rPr>
              <w:fldChar w:fldCharType="end"/>
            </w:r>
          </w:hyperlink>
        </w:p>
        <w:p w14:paraId="3834D8D8" w14:textId="646F4CAF" w:rsidR="00551417" w:rsidRDefault="00551417">
          <w:pPr>
            <w:pStyle w:val="TOC1"/>
            <w:rPr>
              <w:rFonts w:eastAsiaTheme="minorEastAsia"/>
              <w:b w:val="0"/>
              <w:noProof/>
              <w:kern w:val="2"/>
              <w:sz w:val="24"/>
              <w:szCs w:val="24"/>
              <w:lang w:eastAsia="en-AU"/>
              <w14:ligatures w14:val="standardContextual"/>
            </w:rPr>
          </w:pPr>
          <w:hyperlink w:anchor="_Toc170909491" w:history="1">
            <w:r w:rsidRPr="00D448B8">
              <w:rPr>
                <w:rStyle w:val="Hyperlink"/>
                <w:bCs/>
                <w:noProof/>
              </w:rPr>
              <w:t>Approach to Data Analytics</w:t>
            </w:r>
            <w:r>
              <w:rPr>
                <w:noProof/>
                <w:webHidden/>
              </w:rPr>
              <w:tab/>
            </w:r>
            <w:r>
              <w:rPr>
                <w:noProof/>
                <w:webHidden/>
              </w:rPr>
              <w:fldChar w:fldCharType="begin"/>
            </w:r>
            <w:r>
              <w:rPr>
                <w:noProof/>
                <w:webHidden/>
              </w:rPr>
              <w:instrText xml:space="preserve"> PAGEREF _Toc170909491 \h </w:instrText>
            </w:r>
            <w:r>
              <w:rPr>
                <w:noProof/>
                <w:webHidden/>
              </w:rPr>
            </w:r>
            <w:r>
              <w:rPr>
                <w:noProof/>
                <w:webHidden/>
              </w:rPr>
              <w:fldChar w:fldCharType="separate"/>
            </w:r>
            <w:r w:rsidR="00362041">
              <w:rPr>
                <w:noProof/>
                <w:webHidden/>
              </w:rPr>
              <w:t>9</w:t>
            </w:r>
            <w:r>
              <w:rPr>
                <w:noProof/>
                <w:webHidden/>
              </w:rPr>
              <w:fldChar w:fldCharType="end"/>
            </w:r>
          </w:hyperlink>
        </w:p>
        <w:p w14:paraId="5E6FB45A" w14:textId="048FD260" w:rsidR="00551417" w:rsidRDefault="00551417">
          <w:pPr>
            <w:pStyle w:val="TOC1"/>
            <w:rPr>
              <w:rFonts w:eastAsiaTheme="minorEastAsia"/>
              <w:b w:val="0"/>
              <w:noProof/>
              <w:kern w:val="2"/>
              <w:sz w:val="24"/>
              <w:szCs w:val="24"/>
              <w:lang w:eastAsia="en-AU"/>
              <w14:ligatures w14:val="standardContextual"/>
            </w:rPr>
          </w:pPr>
          <w:hyperlink w:anchor="_Toc170909492" w:history="1">
            <w:r w:rsidRPr="00D448B8">
              <w:rPr>
                <w:rStyle w:val="Hyperlink"/>
                <w:bCs/>
                <w:noProof/>
              </w:rPr>
              <w:t>Approach to Data Sharing</w:t>
            </w:r>
            <w:r>
              <w:rPr>
                <w:noProof/>
                <w:webHidden/>
              </w:rPr>
              <w:tab/>
            </w:r>
            <w:r>
              <w:rPr>
                <w:noProof/>
                <w:webHidden/>
              </w:rPr>
              <w:fldChar w:fldCharType="begin"/>
            </w:r>
            <w:r>
              <w:rPr>
                <w:noProof/>
                <w:webHidden/>
              </w:rPr>
              <w:instrText xml:space="preserve"> PAGEREF _Toc170909492 \h </w:instrText>
            </w:r>
            <w:r>
              <w:rPr>
                <w:noProof/>
                <w:webHidden/>
              </w:rPr>
            </w:r>
            <w:r>
              <w:rPr>
                <w:noProof/>
                <w:webHidden/>
              </w:rPr>
              <w:fldChar w:fldCharType="separate"/>
            </w:r>
            <w:r w:rsidR="00362041">
              <w:rPr>
                <w:noProof/>
                <w:webHidden/>
              </w:rPr>
              <w:t>10</w:t>
            </w:r>
            <w:r>
              <w:rPr>
                <w:noProof/>
                <w:webHidden/>
              </w:rPr>
              <w:fldChar w:fldCharType="end"/>
            </w:r>
          </w:hyperlink>
        </w:p>
        <w:p w14:paraId="7E66D162" w14:textId="4E4C3CF7" w:rsidR="00551417" w:rsidRDefault="00551417">
          <w:pPr>
            <w:pStyle w:val="TOC1"/>
            <w:rPr>
              <w:rFonts w:eastAsiaTheme="minorEastAsia"/>
              <w:b w:val="0"/>
              <w:noProof/>
              <w:kern w:val="2"/>
              <w:sz w:val="24"/>
              <w:szCs w:val="24"/>
              <w:lang w:eastAsia="en-AU"/>
              <w14:ligatures w14:val="standardContextual"/>
            </w:rPr>
          </w:pPr>
          <w:hyperlink w:anchor="_Toc170909493" w:history="1">
            <w:r w:rsidRPr="00D448B8">
              <w:rPr>
                <w:rStyle w:val="Hyperlink"/>
                <w:bCs/>
                <w:noProof/>
              </w:rPr>
              <w:t>Approach to Data Capability</w:t>
            </w:r>
            <w:r>
              <w:rPr>
                <w:noProof/>
                <w:webHidden/>
              </w:rPr>
              <w:tab/>
            </w:r>
            <w:r>
              <w:rPr>
                <w:noProof/>
                <w:webHidden/>
              </w:rPr>
              <w:fldChar w:fldCharType="begin"/>
            </w:r>
            <w:r>
              <w:rPr>
                <w:noProof/>
                <w:webHidden/>
              </w:rPr>
              <w:instrText xml:space="preserve"> PAGEREF _Toc170909493 \h </w:instrText>
            </w:r>
            <w:r>
              <w:rPr>
                <w:noProof/>
                <w:webHidden/>
              </w:rPr>
            </w:r>
            <w:r>
              <w:rPr>
                <w:noProof/>
                <w:webHidden/>
              </w:rPr>
              <w:fldChar w:fldCharType="separate"/>
            </w:r>
            <w:r w:rsidR="00362041">
              <w:rPr>
                <w:noProof/>
                <w:webHidden/>
              </w:rPr>
              <w:t>11</w:t>
            </w:r>
            <w:r>
              <w:rPr>
                <w:noProof/>
                <w:webHidden/>
              </w:rPr>
              <w:fldChar w:fldCharType="end"/>
            </w:r>
          </w:hyperlink>
        </w:p>
        <w:p w14:paraId="497BA3FF" w14:textId="38A942A3" w:rsidR="00551417" w:rsidRDefault="00551417">
          <w:pPr>
            <w:pStyle w:val="TOC1"/>
            <w:rPr>
              <w:rFonts w:eastAsiaTheme="minorEastAsia"/>
              <w:b w:val="0"/>
              <w:noProof/>
              <w:kern w:val="2"/>
              <w:sz w:val="24"/>
              <w:szCs w:val="24"/>
              <w:lang w:eastAsia="en-AU"/>
              <w14:ligatures w14:val="standardContextual"/>
            </w:rPr>
          </w:pPr>
          <w:hyperlink w:anchor="_Toc170909494" w:history="1">
            <w:r w:rsidRPr="00D448B8">
              <w:rPr>
                <w:rStyle w:val="Hyperlink"/>
                <w:bCs/>
                <w:noProof/>
              </w:rPr>
              <w:t>Data Organisational Model</w:t>
            </w:r>
            <w:r>
              <w:rPr>
                <w:noProof/>
                <w:webHidden/>
              </w:rPr>
              <w:tab/>
            </w:r>
            <w:r>
              <w:rPr>
                <w:noProof/>
                <w:webHidden/>
              </w:rPr>
              <w:fldChar w:fldCharType="begin"/>
            </w:r>
            <w:r>
              <w:rPr>
                <w:noProof/>
                <w:webHidden/>
              </w:rPr>
              <w:instrText xml:space="preserve"> PAGEREF _Toc170909494 \h </w:instrText>
            </w:r>
            <w:r>
              <w:rPr>
                <w:noProof/>
                <w:webHidden/>
              </w:rPr>
            </w:r>
            <w:r>
              <w:rPr>
                <w:noProof/>
                <w:webHidden/>
              </w:rPr>
              <w:fldChar w:fldCharType="separate"/>
            </w:r>
            <w:r w:rsidR="00362041">
              <w:rPr>
                <w:noProof/>
                <w:webHidden/>
              </w:rPr>
              <w:t>12</w:t>
            </w:r>
            <w:r>
              <w:rPr>
                <w:noProof/>
                <w:webHidden/>
              </w:rPr>
              <w:fldChar w:fldCharType="end"/>
            </w:r>
          </w:hyperlink>
        </w:p>
        <w:p w14:paraId="274F502B" w14:textId="736DFA6E" w:rsidR="00551417" w:rsidRDefault="00551417">
          <w:pPr>
            <w:pStyle w:val="TOC1"/>
            <w:rPr>
              <w:rFonts w:eastAsiaTheme="minorEastAsia"/>
              <w:b w:val="0"/>
              <w:noProof/>
              <w:kern w:val="2"/>
              <w:sz w:val="24"/>
              <w:szCs w:val="24"/>
              <w:lang w:eastAsia="en-AU"/>
              <w14:ligatures w14:val="standardContextual"/>
            </w:rPr>
          </w:pPr>
          <w:hyperlink w:anchor="_Toc170909495" w:history="1">
            <w:r w:rsidRPr="00D448B8">
              <w:rPr>
                <w:rStyle w:val="Hyperlink"/>
                <w:noProof/>
              </w:rPr>
              <w:t>Building on our Data Governance Foundations</w:t>
            </w:r>
            <w:r>
              <w:rPr>
                <w:noProof/>
                <w:webHidden/>
              </w:rPr>
              <w:tab/>
            </w:r>
            <w:r>
              <w:rPr>
                <w:noProof/>
                <w:webHidden/>
              </w:rPr>
              <w:fldChar w:fldCharType="begin"/>
            </w:r>
            <w:r>
              <w:rPr>
                <w:noProof/>
                <w:webHidden/>
              </w:rPr>
              <w:instrText xml:space="preserve"> PAGEREF _Toc170909495 \h </w:instrText>
            </w:r>
            <w:r>
              <w:rPr>
                <w:noProof/>
                <w:webHidden/>
              </w:rPr>
            </w:r>
            <w:r>
              <w:rPr>
                <w:noProof/>
                <w:webHidden/>
              </w:rPr>
              <w:fldChar w:fldCharType="separate"/>
            </w:r>
            <w:r w:rsidR="00362041">
              <w:rPr>
                <w:noProof/>
                <w:webHidden/>
              </w:rPr>
              <w:t>14</w:t>
            </w:r>
            <w:r>
              <w:rPr>
                <w:noProof/>
                <w:webHidden/>
              </w:rPr>
              <w:fldChar w:fldCharType="end"/>
            </w:r>
          </w:hyperlink>
        </w:p>
        <w:p w14:paraId="28C355FE" w14:textId="3E191A8F" w:rsidR="00551417" w:rsidRDefault="00551417">
          <w:pPr>
            <w:pStyle w:val="TOC1"/>
            <w:rPr>
              <w:rFonts w:eastAsiaTheme="minorEastAsia"/>
              <w:b w:val="0"/>
              <w:noProof/>
              <w:kern w:val="2"/>
              <w:sz w:val="24"/>
              <w:szCs w:val="24"/>
              <w:lang w:eastAsia="en-AU"/>
              <w14:ligatures w14:val="standardContextual"/>
            </w:rPr>
          </w:pPr>
          <w:hyperlink w:anchor="_Toc170909496" w:history="1">
            <w:r w:rsidRPr="00D448B8">
              <w:rPr>
                <w:rStyle w:val="Hyperlink"/>
                <w:noProof/>
              </w:rPr>
              <w:t>Enhancing our Data Capability</w:t>
            </w:r>
            <w:r>
              <w:rPr>
                <w:noProof/>
                <w:webHidden/>
              </w:rPr>
              <w:tab/>
            </w:r>
            <w:r>
              <w:rPr>
                <w:noProof/>
                <w:webHidden/>
              </w:rPr>
              <w:fldChar w:fldCharType="begin"/>
            </w:r>
            <w:r>
              <w:rPr>
                <w:noProof/>
                <w:webHidden/>
              </w:rPr>
              <w:instrText xml:space="preserve"> PAGEREF _Toc170909496 \h </w:instrText>
            </w:r>
            <w:r>
              <w:rPr>
                <w:noProof/>
                <w:webHidden/>
              </w:rPr>
            </w:r>
            <w:r>
              <w:rPr>
                <w:noProof/>
                <w:webHidden/>
              </w:rPr>
              <w:fldChar w:fldCharType="separate"/>
            </w:r>
            <w:r w:rsidR="00362041">
              <w:rPr>
                <w:noProof/>
                <w:webHidden/>
              </w:rPr>
              <w:t>15</w:t>
            </w:r>
            <w:r>
              <w:rPr>
                <w:noProof/>
                <w:webHidden/>
              </w:rPr>
              <w:fldChar w:fldCharType="end"/>
            </w:r>
          </w:hyperlink>
        </w:p>
        <w:p w14:paraId="68C6B8FA" w14:textId="295CC1AB" w:rsidR="00551417" w:rsidRDefault="00551417">
          <w:pPr>
            <w:pStyle w:val="TOC1"/>
            <w:rPr>
              <w:rFonts w:eastAsiaTheme="minorEastAsia"/>
              <w:b w:val="0"/>
              <w:noProof/>
              <w:kern w:val="2"/>
              <w:sz w:val="24"/>
              <w:szCs w:val="24"/>
              <w:lang w:eastAsia="en-AU"/>
              <w14:ligatures w14:val="standardContextual"/>
            </w:rPr>
          </w:pPr>
          <w:hyperlink w:anchor="_Toc170909497" w:history="1">
            <w:r w:rsidRPr="00D448B8">
              <w:rPr>
                <w:rStyle w:val="Hyperlink"/>
                <w:noProof/>
              </w:rPr>
              <w:t>Driving our Data  Technology Ethically</w:t>
            </w:r>
            <w:r>
              <w:rPr>
                <w:noProof/>
                <w:webHidden/>
              </w:rPr>
              <w:tab/>
            </w:r>
            <w:r>
              <w:rPr>
                <w:noProof/>
                <w:webHidden/>
              </w:rPr>
              <w:fldChar w:fldCharType="begin"/>
            </w:r>
            <w:r>
              <w:rPr>
                <w:noProof/>
                <w:webHidden/>
              </w:rPr>
              <w:instrText xml:space="preserve"> PAGEREF _Toc170909497 \h </w:instrText>
            </w:r>
            <w:r>
              <w:rPr>
                <w:noProof/>
                <w:webHidden/>
              </w:rPr>
            </w:r>
            <w:r>
              <w:rPr>
                <w:noProof/>
                <w:webHidden/>
              </w:rPr>
              <w:fldChar w:fldCharType="separate"/>
            </w:r>
            <w:r w:rsidR="00362041">
              <w:rPr>
                <w:noProof/>
                <w:webHidden/>
              </w:rPr>
              <w:t>16</w:t>
            </w:r>
            <w:r>
              <w:rPr>
                <w:noProof/>
                <w:webHidden/>
              </w:rPr>
              <w:fldChar w:fldCharType="end"/>
            </w:r>
          </w:hyperlink>
        </w:p>
        <w:p w14:paraId="2AB34881" w14:textId="2743CCE6" w:rsidR="00551417" w:rsidRDefault="00551417">
          <w:pPr>
            <w:pStyle w:val="TOC1"/>
            <w:rPr>
              <w:rFonts w:eastAsiaTheme="minorEastAsia"/>
              <w:b w:val="0"/>
              <w:noProof/>
              <w:kern w:val="2"/>
              <w:sz w:val="24"/>
              <w:szCs w:val="24"/>
              <w:lang w:eastAsia="en-AU"/>
              <w14:ligatures w14:val="standardContextual"/>
            </w:rPr>
          </w:pPr>
          <w:hyperlink w:anchor="_Toc170909498" w:history="1">
            <w:r w:rsidRPr="00D448B8">
              <w:rPr>
                <w:rStyle w:val="Hyperlink"/>
                <w:noProof/>
              </w:rPr>
              <w:t>Transforming our  Data Analytics, Evaluation  &amp; Integration</w:t>
            </w:r>
            <w:r>
              <w:rPr>
                <w:noProof/>
                <w:webHidden/>
              </w:rPr>
              <w:tab/>
            </w:r>
            <w:r>
              <w:rPr>
                <w:noProof/>
                <w:webHidden/>
              </w:rPr>
              <w:fldChar w:fldCharType="begin"/>
            </w:r>
            <w:r>
              <w:rPr>
                <w:noProof/>
                <w:webHidden/>
              </w:rPr>
              <w:instrText xml:space="preserve"> PAGEREF _Toc170909498 \h </w:instrText>
            </w:r>
            <w:r>
              <w:rPr>
                <w:noProof/>
                <w:webHidden/>
              </w:rPr>
            </w:r>
            <w:r>
              <w:rPr>
                <w:noProof/>
                <w:webHidden/>
              </w:rPr>
              <w:fldChar w:fldCharType="separate"/>
            </w:r>
            <w:r w:rsidR="00362041">
              <w:rPr>
                <w:noProof/>
                <w:webHidden/>
              </w:rPr>
              <w:t>17</w:t>
            </w:r>
            <w:r>
              <w:rPr>
                <w:noProof/>
                <w:webHidden/>
              </w:rPr>
              <w:fldChar w:fldCharType="end"/>
            </w:r>
          </w:hyperlink>
        </w:p>
        <w:p w14:paraId="3AF1561A" w14:textId="5E0F8B91" w:rsidR="00551417" w:rsidRDefault="00551417">
          <w:pPr>
            <w:pStyle w:val="TOC1"/>
            <w:rPr>
              <w:rFonts w:eastAsiaTheme="minorEastAsia"/>
              <w:b w:val="0"/>
              <w:noProof/>
              <w:kern w:val="2"/>
              <w:sz w:val="24"/>
              <w:szCs w:val="24"/>
              <w:lang w:eastAsia="en-AU"/>
              <w14:ligatures w14:val="standardContextual"/>
            </w:rPr>
          </w:pPr>
          <w:hyperlink w:anchor="_Toc170909499" w:history="1">
            <w:r w:rsidRPr="00D448B8">
              <w:rPr>
                <w:rStyle w:val="Hyperlink"/>
                <w:noProof/>
              </w:rPr>
              <w:t>Implementation Roadmap</w:t>
            </w:r>
            <w:r>
              <w:rPr>
                <w:noProof/>
                <w:webHidden/>
              </w:rPr>
              <w:tab/>
            </w:r>
            <w:r>
              <w:rPr>
                <w:noProof/>
                <w:webHidden/>
              </w:rPr>
              <w:fldChar w:fldCharType="begin"/>
            </w:r>
            <w:r>
              <w:rPr>
                <w:noProof/>
                <w:webHidden/>
              </w:rPr>
              <w:instrText xml:space="preserve"> PAGEREF _Toc170909499 \h </w:instrText>
            </w:r>
            <w:r>
              <w:rPr>
                <w:noProof/>
                <w:webHidden/>
              </w:rPr>
            </w:r>
            <w:r>
              <w:rPr>
                <w:noProof/>
                <w:webHidden/>
              </w:rPr>
              <w:fldChar w:fldCharType="separate"/>
            </w:r>
            <w:r w:rsidR="00362041">
              <w:rPr>
                <w:noProof/>
                <w:webHidden/>
              </w:rPr>
              <w:t>18</w:t>
            </w:r>
            <w:r>
              <w:rPr>
                <w:noProof/>
                <w:webHidden/>
              </w:rPr>
              <w:fldChar w:fldCharType="end"/>
            </w:r>
          </w:hyperlink>
        </w:p>
        <w:p w14:paraId="57810A19" w14:textId="6E580581" w:rsidR="00551417" w:rsidRDefault="00551417">
          <w:pPr>
            <w:pStyle w:val="TOC1"/>
            <w:rPr>
              <w:rFonts w:eastAsiaTheme="minorEastAsia"/>
              <w:b w:val="0"/>
              <w:noProof/>
              <w:kern w:val="2"/>
              <w:sz w:val="24"/>
              <w:szCs w:val="24"/>
              <w:lang w:eastAsia="en-AU"/>
              <w14:ligatures w14:val="standardContextual"/>
            </w:rPr>
          </w:pPr>
          <w:hyperlink w:anchor="_Toc170909500" w:history="1">
            <w:r w:rsidRPr="00D448B8">
              <w:rPr>
                <w:rStyle w:val="Hyperlink"/>
                <w:noProof/>
              </w:rPr>
              <w:t>Data Governance Framework</w:t>
            </w:r>
            <w:r>
              <w:rPr>
                <w:noProof/>
                <w:webHidden/>
              </w:rPr>
              <w:tab/>
            </w:r>
            <w:r>
              <w:rPr>
                <w:noProof/>
                <w:webHidden/>
              </w:rPr>
              <w:fldChar w:fldCharType="begin"/>
            </w:r>
            <w:r>
              <w:rPr>
                <w:noProof/>
                <w:webHidden/>
              </w:rPr>
              <w:instrText xml:space="preserve"> PAGEREF _Toc170909500 \h </w:instrText>
            </w:r>
            <w:r>
              <w:rPr>
                <w:noProof/>
                <w:webHidden/>
              </w:rPr>
            </w:r>
            <w:r>
              <w:rPr>
                <w:noProof/>
                <w:webHidden/>
              </w:rPr>
              <w:fldChar w:fldCharType="separate"/>
            </w:r>
            <w:r w:rsidR="00362041">
              <w:rPr>
                <w:noProof/>
                <w:webHidden/>
              </w:rPr>
              <w:t>18</w:t>
            </w:r>
            <w:r>
              <w:rPr>
                <w:noProof/>
                <w:webHidden/>
              </w:rPr>
              <w:fldChar w:fldCharType="end"/>
            </w:r>
          </w:hyperlink>
        </w:p>
        <w:p w14:paraId="0C6D3515" w14:textId="1FB9A9F6" w:rsidR="00551417" w:rsidRDefault="00551417">
          <w:pPr>
            <w:pStyle w:val="TOC1"/>
            <w:rPr>
              <w:rFonts w:eastAsiaTheme="minorEastAsia"/>
              <w:b w:val="0"/>
              <w:noProof/>
              <w:kern w:val="2"/>
              <w:sz w:val="24"/>
              <w:szCs w:val="24"/>
              <w:lang w:eastAsia="en-AU"/>
              <w14:ligatures w14:val="standardContextual"/>
            </w:rPr>
          </w:pPr>
          <w:hyperlink w:anchor="_Toc170909501" w:history="1">
            <w:r w:rsidRPr="00D448B8">
              <w:rPr>
                <w:rStyle w:val="Hyperlink"/>
                <w:noProof/>
              </w:rPr>
              <w:t>More information</w:t>
            </w:r>
            <w:r>
              <w:rPr>
                <w:noProof/>
                <w:webHidden/>
              </w:rPr>
              <w:tab/>
            </w:r>
            <w:r>
              <w:rPr>
                <w:noProof/>
                <w:webHidden/>
              </w:rPr>
              <w:fldChar w:fldCharType="begin"/>
            </w:r>
            <w:r>
              <w:rPr>
                <w:noProof/>
                <w:webHidden/>
              </w:rPr>
              <w:instrText xml:space="preserve"> PAGEREF _Toc170909501 \h </w:instrText>
            </w:r>
            <w:r>
              <w:rPr>
                <w:noProof/>
                <w:webHidden/>
              </w:rPr>
            </w:r>
            <w:r>
              <w:rPr>
                <w:noProof/>
                <w:webHidden/>
              </w:rPr>
              <w:fldChar w:fldCharType="separate"/>
            </w:r>
            <w:r w:rsidR="00362041">
              <w:rPr>
                <w:noProof/>
                <w:webHidden/>
              </w:rPr>
              <w:t>18</w:t>
            </w:r>
            <w:r>
              <w:rPr>
                <w:noProof/>
                <w:webHidden/>
              </w:rPr>
              <w:fldChar w:fldCharType="end"/>
            </w:r>
          </w:hyperlink>
        </w:p>
        <w:p w14:paraId="6696FC35" w14:textId="549A0B7E" w:rsidR="007855CC" w:rsidRPr="0095636C" w:rsidRDefault="0095636C" w:rsidP="0095636C">
          <w:r w:rsidRPr="004D14B3">
            <w:rPr>
              <w:rFonts w:ascii="Calibri" w:eastAsiaTheme="majorEastAsia" w:hAnsi="Calibri" w:cstheme="majorBidi"/>
              <w:color w:val="343741"/>
              <w:sz w:val="32"/>
              <w:szCs w:val="32"/>
            </w:rPr>
            <w:fldChar w:fldCharType="end"/>
          </w:r>
        </w:p>
      </w:sdtContent>
    </w:sdt>
    <w:p w14:paraId="235797B4" w14:textId="0A30EF0B" w:rsidR="00B2649E" w:rsidRDefault="00B2649E" w:rsidP="00B2649E">
      <w:pPr>
        <w:pStyle w:val="Heading1"/>
        <w:pageBreakBefore/>
        <w:spacing w:after="120"/>
      </w:pPr>
      <w:bookmarkStart w:id="2" w:name="_Toc150783934"/>
      <w:bookmarkStart w:id="3" w:name="_Toc170909487"/>
      <w:r>
        <w:lastRenderedPageBreak/>
        <w:t>Acknowledgement of country</w:t>
      </w:r>
      <w:bookmarkEnd w:id="2"/>
      <w:bookmarkEnd w:id="3"/>
    </w:p>
    <w:p w14:paraId="726386BD" w14:textId="02E653D8" w:rsidR="00B2649E" w:rsidRDefault="00B2649E" w:rsidP="00B2649E">
      <w:pPr>
        <w:spacing w:before="120" w:after="120" w:line="360" w:lineRule="auto"/>
      </w:pPr>
      <w:r>
        <w:t xml:space="preserve">The </w:t>
      </w:r>
      <w:r w:rsidR="00860DFF">
        <w:t>Department</w:t>
      </w:r>
      <w:r>
        <w:t xml:space="preserve"> respectively acknowledges the traditional owners and custodians of country throughout Australia. We acknowledge all traditional custodians, their Elders past, present and emerging and we pay our respects to their continuing connection to their culture, community, land, sea, and rivers.</w:t>
      </w:r>
    </w:p>
    <w:p w14:paraId="5E018321" w14:textId="250B77B5" w:rsidR="00B2649E" w:rsidRPr="00583C5F" w:rsidRDefault="00B2649E" w:rsidP="00B2649E">
      <w:pPr>
        <w:pStyle w:val="Heading1"/>
        <w:pageBreakBefore/>
        <w:spacing w:after="120"/>
      </w:pPr>
      <w:bookmarkStart w:id="4" w:name="_Toc150783936"/>
      <w:bookmarkStart w:id="5" w:name="_Toc170909488"/>
      <w:r w:rsidRPr="00583C5F">
        <w:t>Message from the C</w:t>
      </w:r>
      <w:r w:rsidR="00AA4289">
        <w:t>hief Data Officer</w:t>
      </w:r>
      <w:bookmarkEnd w:id="4"/>
      <w:bookmarkEnd w:id="5"/>
    </w:p>
    <w:p w14:paraId="7B106B24" w14:textId="1B3380DF" w:rsidR="00B2649E" w:rsidRDefault="00B2649E" w:rsidP="00B2649E">
      <w:pPr>
        <w:spacing w:line="360" w:lineRule="auto"/>
      </w:pPr>
      <w:r>
        <w:t xml:space="preserve">I am excited to be the </w:t>
      </w:r>
      <w:r w:rsidR="00860DFF">
        <w:t>Department</w:t>
      </w:r>
      <w:r w:rsidR="38F4BF5B">
        <w:t xml:space="preserve"> of Employment and Workplace Relations (DEWR)</w:t>
      </w:r>
      <w:r>
        <w:t xml:space="preserve"> first Chief Data Officer</w:t>
      </w:r>
      <w:r w:rsidR="00F128F5">
        <w:t xml:space="preserve"> (CDO)</w:t>
      </w:r>
      <w:r>
        <w:t xml:space="preserve">. It is a new data leadership role for the </w:t>
      </w:r>
      <w:r w:rsidR="00860DFF">
        <w:t>Department</w:t>
      </w:r>
      <w:r>
        <w:t xml:space="preserve">, and in collaboration with my colleagues, I look forward to leading the effective and efficient use of data and data-related activities across the </w:t>
      </w:r>
      <w:r w:rsidR="00860DFF">
        <w:t>Department</w:t>
      </w:r>
      <w:r>
        <w:t xml:space="preserve"> and the wider government landscape.</w:t>
      </w:r>
    </w:p>
    <w:p w14:paraId="3FEB4255" w14:textId="7E510448" w:rsidR="00B2649E" w:rsidRDefault="00B2649E" w:rsidP="00B2649E">
      <w:pPr>
        <w:spacing w:line="360" w:lineRule="auto"/>
      </w:pPr>
      <w:r>
        <w:t>Data</w:t>
      </w:r>
      <w:r w:rsidR="004C130D">
        <w:rPr>
          <w:rStyle w:val="FootnoteReference"/>
        </w:rPr>
        <w:footnoteReference w:id="2"/>
      </w:r>
      <w:r>
        <w:t xml:space="preserve"> facilitates us to make informed decisions in all aspects of our business, from understanding our clients, enhancing our services, and improving our operations. Insights gained from data needs to be at the forefront of policy development and evaluation. Therefore, we need to set clear goals for how we prioritise, govern and use data. Our Data Strategy outlines the future state for how we want to collect, manage, and use data, enabling us to answer new and complex questions, while expanding our knowledge, and informing decisions.</w:t>
      </w:r>
    </w:p>
    <w:p w14:paraId="3F5C9344" w14:textId="66AD9293" w:rsidR="00B2649E" w:rsidRDefault="00B2649E" w:rsidP="00B2649E">
      <w:pPr>
        <w:spacing w:line="360" w:lineRule="auto"/>
      </w:pPr>
      <w:r>
        <w:t xml:space="preserve">The Data Strategy alone does not deliver the necessary improvements in how we use and adopt data in support of the </w:t>
      </w:r>
      <w:r w:rsidR="00860DFF">
        <w:t>Department</w:t>
      </w:r>
      <w:r>
        <w:t xml:space="preserve">’s objectives. These changes require the support and contribution from everyone within the </w:t>
      </w:r>
      <w:r w:rsidR="00860DFF">
        <w:t>Department</w:t>
      </w:r>
      <w:r>
        <w:t xml:space="preserve">—from APS staff to our senior executives. A Data Strategy Implementation Roadmap, developed in consultation with key stakeholders, complements the Data Strategy. The </w:t>
      </w:r>
      <w:proofErr w:type="gramStart"/>
      <w:r>
        <w:t>Roadmap</w:t>
      </w:r>
      <w:proofErr w:type="gramEnd"/>
      <w:r>
        <w:t xml:space="preserve"> sets timelines, resourcing, allocates roles and responsibilities for each element of the Data Strategy. It provides the overarching structure for the implementation of the Data strategy initiatives and measure its success.</w:t>
      </w:r>
    </w:p>
    <w:p w14:paraId="5D8A701E" w14:textId="3A9268B1" w:rsidR="00B2649E" w:rsidRDefault="00B2649E" w:rsidP="00083B11">
      <w:pPr>
        <w:spacing w:after="1080" w:line="360" w:lineRule="auto"/>
      </w:pPr>
      <w:r>
        <w:t xml:space="preserve">As the </w:t>
      </w:r>
      <w:r w:rsidR="00860DFF">
        <w:t>department</w:t>
      </w:r>
      <w:r>
        <w:t>’s CDO, I will actively promote and champion the implementation of the Data Strategy.</w:t>
      </w:r>
    </w:p>
    <w:p w14:paraId="22FC15A1" w14:textId="77777777" w:rsidR="00B2649E" w:rsidRDefault="00B2649E" w:rsidP="00B2649E">
      <w:pPr>
        <w:spacing w:after="0" w:line="360" w:lineRule="auto"/>
      </w:pPr>
      <w:r>
        <w:t>Jenny Humphrys</w:t>
      </w:r>
    </w:p>
    <w:p w14:paraId="0407DD03" w14:textId="3BD67617" w:rsidR="00B2649E" w:rsidRDefault="00B2649E" w:rsidP="00B2649E">
      <w:r>
        <w:t>Chief Data Officer</w:t>
      </w:r>
    </w:p>
    <w:p w14:paraId="6C159286" w14:textId="77777777" w:rsidR="00B2649E" w:rsidRPr="00583C5F" w:rsidRDefault="00B2649E" w:rsidP="00B2649E">
      <w:pPr>
        <w:pStyle w:val="Heading1"/>
        <w:pageBreakBefore/>
        <w:spacing w:before="120" w:after="120"/>
      </w:pPr>
      <w:bookmarkStart w:id="6" w:name="_Toc150783937"/>
      <w:bookmarkStart w:id="7" w:name="_Toc170909489"/>
      <w:r w:rsidRPr="00583C5F">
        <w:t>Purpose of the Strategy</w:t>
      </w:r>
      <w:bookmarkEnd w:id="6"/>
      <w:bookmarkEnd w:id="7"/>
    </w:p>
    <w:p w14:paraId="12A3137F" w14:textId="7AAF7204" w:rsidR="00B2649E" w:rsidRDefault="00B2649E" w:rsidP="00B2649E">
      <w:pPr>
        <w:spacing w:line="360" w:lineRule="auto"/>
      </w:pPr>
      <w:r>
        <w:t xml:space="preserve">The </w:t>
      </w:r>
      <w:r w:rsidR="00860DFF">
        <w:t>Department</w:t>
      </w:r>
      <w:r>
        <w:t xml:space="preserve"> of Employment and Workplace Relation Data Strategy outlines the framework in which we will direct and manage our resources to achieve our vision for data.</w:t>
      </w:r>
    </w:p>
    <w:p w14:paraId="152FA982" w14:textId="7B29EF8E" w:rsidR="00B2649E" w:rsidRDefault="00B2649E" w:rsidP="00B2649E">
      <w:pPr>
        <w:spacing w:line="360" w:lineRule="auto"/>
      </w:pPr>
      <w:bookmarkStart w:id="8" w:name="_Hlk154038887"/>
      <w:r>
        <w:t xml:space="preserve">The Strategy sets the strategic direction for the </w:t>
      </w:r>
      <w:r w:rsidR="00860DFF">
        <w:t>Department</w:t>
      </w:r>
      <w:r w:rsidRPr="00080C2D">
        <w:t>’s data governance, capability, and technology</w:t>
      </w:r>
      <w:r w:rsidR="003B4147" w:rsidRPr="00080C2D">
        <w:t xml:space="preserve"> to transform our data analysis, </w:t>
      </w:r>
      <w:r w:rsidR="00080C2D" w:rsidRPr="00080C2D">
        <w:t>evaluation</w:t>
      </w:r>
      <w:r w:rsidR="00AA6950">
        <w:t>,</w:t>
      </w:r>
      <w:r w:rsidR="003B4147" w:rsidRPr="00080C2D">
        <w:t xml:space="preserve"> and integr</w:t>
      </w:r>
      <w:r w:rsidR="003B4147">
        <w:t>ation.</w:t>
      </w:r>
    </w:p>
    <w:bookmarkEnd w:id="8"/>
    <w:p w14:paraId="6086A6CF" w14:textId="6547F273" w:rsidR="00B2649E" w:rsidRDefault="00B2649E" w:rsidP="00B2649E">
      <w:pPr>
        <w:spacing w:line="360" w:lineRule="auto"/>
      </w:pPr>
      <w:r>
        <w:t xml:space="preserve">The Strategy aligns with the </w:t>
      </w:r>
      <w:hyperlink r:id="rId15" w:history="1">
        <w:r w:rsidRPr="00E3297F">
          <w:rPr>
            <w:rStyle w:val="Hyperlink"/>
          </w:rPr>
          <w:t>Data</w:t>
        </w:r>
        <w:r w:rsidR="00E3297F" w:rsidRPr="00E3297F">
          <w:rPr>
            <w:rStyle w:val="Hyperlink"/>
          </w:rPr>
          <w:t xml:space="preserve"> and Digital Government</w:t>
        </w:r>
        <w:r w:rsidRPr="00E3297F">
          <w:rPr>
            <w:rStyle w:val="Hyperlink"/>
          </w:rPr>
          <w:t xml:space="preserve"> Strategy</w:t>
        </w:r>
      </w:hyperlink>
      <w:r>
        <w:t xml:space="preserve"> and the Australian Government APS reform agenda, and </w:t>
      </w:r>
      <w:r w:rsidR="00437154">
        <w:t xml:space="preserve">compliments </w:t>
      </w:r>
      <w:r>
        <w:t xml:space="preserve">our </w:t>
      </w:r>
      <w:r w:rsidR="00860DFF">
        <w:t>Department</w:t>
      </w:r>
      <w:r>
        <w:t>’s Corporate, People and Digital</w:t>
      </w:r>
      <w:r w:rsidR="0033459D">
        <w:t xml:space="preserve"> Business</w:t>
      </w:r>
      <w:r>
        <w:t xml:space="preserve"> Strategies.</w:t>
      </w:r>
    </w:p>
    <w:p w14:paraId="28BA3116" w14:textId="05589020" w:rsidR="00B2649E" w:rsidRDefault="00B2649E" w:rsidP="00B2649E">
      <w:pPr>
        <w:spacing w:line="360" w:lineRule="auto"/>
      </w:pPr>
      <w:r>
        <w:t>The Strategy enhances our data sharing approaches and expands on our data analysis capability beyond descriptive statistics, while maintaining the public’s trust in our use and storage of their personal information.</w:t>
      </w:r>
    </w:p>
    <w:p w14:paraId="15A4762C" w14:textId="142D1127" w:rsidR="009D6319" w:rsidRDefault="009D6319" w:rsidP="009D6319">
      <w:pPr>
        <w:spacing w:line="360" w:lineRule="auto"/>
      </w:pPr>
      <w:bookmarkStart w:id="9" w:name="_Toc150783938"/>
      <w:r>
        <w:t xml:space="preserve">The Strategy supports the </w:t>
      </w:r>
      <w:r w:rsidR="00860DFF">
        <w:t>Department</w:t>
      </w:r>
      <w:r>
        <w:t>’s use of our data assets enabling data</w:t>
      </w:r>
      <w:r w:rsidR="79B96071">
        <w:t xml:space="preserve"> </w:t>
      </w:r>
      <w:r w:rsidR="00F20B59">
        <w:t>empowered</w:t>
      </w:r>
      <w:r>
        <w:t xml:space="preserve"> policy development, program management and evaluation.</w:t>
      </w:r>
    </w:p>
    <w:p w14:paraId="57A243FD" w14:textId="42BBD886" w:rsidR="40E15A51" w:rsidRDefault="40E15A51" w:rsidP="19E13A7A">
      <w:pPr>
        <w:spacing w:line="360" w:lineRule="auto"/>
      </w:pPr>
      <w:r>
        <w:t xml:space="preserve">This strategy ensures our </w:t>
      </w:r>
      <w:r w:rsidR="00860DFF">
        <w:t>department</w:t>
      </w:r>
      <w:r>
        <w:t xml:space="preserve"> </w:t>
      </w:r>
      <w:r w:rsidR="00DB0993">
        <w:t xml:space="preserve">empowers </w:t>
      </w:r>
      <w:r w:rsidR="0063596B">
        <w:t xml:space="preserve">and values </w:t>
      </w:r>
      <w:r>
        <w:t>data now and into the future, with trusted and efficient data processes, enabling our staff can confidently use data to influence policy and decisions.</w:t>
      </w:r>
    </w:p>
    <w:p w14:paraId="0782374C" w14:textId="3AA552A3" w:rsidR="19E13A7A" w:rsidRDefault="19E13A7A" w:rsidP="19E13A7A">
      <w:pPr>
        <w:spacing w:line="360" w:lineRule="auto"/>
      </w:pPr>
    </w:p>
    <w:p w14:paraId="6DDAFD37" w14:textId="77777777" w:rsidR="00704699" w:rsidRDefault="00704699">
      <w:pPr>
        <w:spacing w:after="160" w:line="259" w:lineRule="auto"/>
        <w:rPr>
          <w:rFonts w:ascii="Calibri" w:eastAsiaTheme="majorEastAsia" w:hAnsi="Calibri" w:cstheme="majorBidi"/>
          <w:b/>
          <w:bCs/>
          <w:color w:val="404246"/>
          <w:sz w:val="32"/>
          <w:szCs w:val="32"/>
        </w:rPr>
      </w:pPr>
      <w:r>
        <w:rPr>
          <w:bCs/>
        </w:rPr>
        <w:br w:type="page"/>
      </w:r>
    </w:p>
    <w:p w14:paraId="33F66884" w14:textId="3812D5D1" w:rsidR="00B2649E" w:rsidRPr="0063336D" w:rsidRDefault="00E2203E" w:rsidP="00B2649E">
      <w:pPr>
        <w:pStyle w:val="Heading1"/>
        <w:spacing w:before="120" w:after="120"/>
        <w:rPr>
          <w:bCs/>
        </w:rPr>
      </w:pPr>
      <w:bookmarkStart w:id="10" w:name="_Toc170909490"/>
      <w:r>
        <w:rPr>
          <w:bCs/>
        </w:rPr>
        <w:t>Approach</w:t>
      </w:r>
      <w:r w:rsidR="00B2649E" w:rsidRPr="0063336D">
        <w:rPr>
          <w:bCs/>
        </w:rPr>
        <w:t xml:space="preserve"> </w:t>
      </w:r>
      <w:r w:rsidR="00AA3F86">
        <w:rPr>
          <w:bCs/>
        </w:rPr>
        <w:t>to Decision Making</w:t>
      </w:r>
      <w:bookmarkEnd w:id="9"/>
      <w:bookmarkEnd w:id="10"/>
    </w:p>
    <w:p w14:paraId="22850033" w14:textId="70015350" w:rsidR="00D76FC8" w:rsidRPr="00D76FC8" w:rsidRDefault="00D76FC8" w:rsidP="00D76FC8">
      <w:pPr>
        <w:spacing w:line="360" w:lineRule="auto"/>
      </w:pPr>
      <w:r w:rsidRPr="00D76FC8">
        <w:t xml:space="preserve">The amount of data collected and released is growing exponentially, with 90% of the worlds data generated in the past two years. The sheer volume of data the department encounters can make decision-making more complicated </w:t>
      </w:r>
      <w:r>
        <w:t>–</w:t>
      </w:r>
      <w:r w:rsidRPr="00D76FC8">
        <w:t xml:space="preserve"> </w:t>
      </w:r>
      <w:r>
        <w:t>DEWR hold</w:t>
      </w:r>
      <w:r w:rsidR="001F23D0">
        <w:t>s</w:t>
      </w:r>
      <w:r>
        <w:t xml:space="preserve"> </w:t>
      </w:r>
      <w:r w:rsidRPr="00D76FC8">
        <w:t xml:space="preserve">data on over 350 thousand apprentices, over 500 thousand people assisted by Workforce Australia, and 7.5 thousand enterprise agreements covering 1.3 million employees. With an abundance of information at our fingertips, we can find ourselves inundated and paralysed by data overload. It is not about producing more data points or publishing more datasets. This </w:t>
      </w:r>
      <w:r w:rsidR="00B86246">
        <w:t>s</w:t>
      </w:r>
      <w:r w:rsidRPr="00D76FC8">
        <w:t xml:space="preserve">trategy </w:t>
      </w:r>
      <w:r w:rsidR="00B965D2">
        <w:t>aims</w:t>
      </w:r>
      <w:r w:rsidRPr="00D76FC8">
        <w:t xml:space="preserve"> to reduce duplication </w:t>
      </w:r>
      <w:r w:rsidR="00B965D2">
        <w:t>while adhering to</w:t>
      </w:r>
      <w:r w:rsidRPr="00D76FC8">
        <w:t xml:space="preserve"> our legal and ethical obligations. </w:t>
      </w:r>
    </w:p>
    <w:p w14:paraId="5C034623" w14:textId="4B908AC5" w:rsidR="00704699" w:rsidRDefault="00704699" w:rsidP="00704699">
      <w:pPr>
        <w:spacing w:line="360" w:lineRule="auto"/>
      </w:pPr>
      <w:r>
        <w:t xml:space="preserve">It is not about producing more data points, or publishing more datasets, this </w:t>
      </w:r>
      <w:r w:rsidR="00EF20D5">
        <w:t>S</w:t>
      </w:r>
      <w:r>
        <w:t xml:space="preserve">trategy focuses us to make sure we are using </w:t>
      </w:r>
      <w:r w:rsidR="00307E2E">
        <w:t>appropriate</w:t>
      </w:r>
      <w:r w:rsidR="00CC4015">
        <w:t xml:space="preserve"> data that has </w:t>
      </w:r>
      <w:r w:rsidR="00C21FDC">
        <w:t xml:space="preserve">right </w:t>
      </w:r>
      <w:r w:rsidR="00CC4015">
        <w:t xml:space="preserve">level of quality </w:t>
      </w:r>
      <w:r w:rsidR="00292CCC">
        <w:t xml:space="preserve">for the </w:t>
      </w:r>
      <w:r w:rsidR="00CC4015">
        <w:t>purpose</w:t>
      </w:r>
      <w:r>
        <w:t>.</w:t>
      </w:r>
    </w:p>
    <w:p w14:paraId="67F17BD8" w14:textId="174A029E" w:rsidR="004B63A6" w:rsidRDefault="004B63A6" w:rsidP="004B63A6">
      <w:pPr>
        <w:spacing w:line="360" w:lineRule="auto"/>
      </w:pPr>
      <w:r>
        <w:t xml:space="preserve">This approach is consistent with the DEWR Digital Business Strategy which outlines the future state of being Data Driven – having the relevant information relevant at the right time. </w:t>
      </w:r>
    </w:p>
    <w:p w14:paraId="466D6DE0" w14:textId="670979F1" w:rsidR="007604B9" w:rsidRDefault="00CE21B8" w:rsidP="00083B11">
      <w:pPr>
        <w:spacing w:after="0" w:line="360" w:lineRule="auto"/>
      </w:pPr>
      <w:r>
        <w:rPr>
          <w:noProof/>
        </w:rPr>
        <mc:AlternateContent>
          <mc:Choice Requires="wps">
            <w:drawing>
              <wp:anchor distT="0" distB="0" distL="114300" distR="114300" simplePos="0" relativeHeight="251658246" behindDoc="1" locked="0" layoutInCell="1" allowOverlap="1" wp14:anchorId="0431E0A3" wp14:editId="0DC97C59">
                <wp:simplePos x="0" y="0"/>
                <wp:positionH relativeFrom="rightMargin">
                  <wp:align>left</wp:align>
                </wp:positionH>
                <wp:positionV relativeFrom="paragraph">
                  <wp:posOffset>145415</wp:posOffset>
                </wp:positionV>
                <wp:extent cx="527050" cy="273050"/>
                <wp:effectExtent l="0" t="0" r="0" b="0"/>
                <wp:wrapTight wrapText="bothSides">
                  <wp:wrapPolygon edited="0">
                    <wp:start x="2342" y="0"/>
                    <wp:lineTo x="2342" y="19591"/>
                    <wp:lineTo x="18737" y="19591"/>
                    <wp:lineTo x="18737" y="0"/>
                    <wp:lineTo x="2342" y="0"/>
                  </wp:wrapPolygon>
                </wp:wrapTight>
                <wp:docPr id="12824999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273050"/>
                        </a:xfrm>
                        <a:prstGeom prst="rect">
                          <a:avLst/>
                        </a:prstGeom>
                        <a:noFill/>
                        <a:ln w="9525">
                          <a:noFill/>
                          <a:miter lim="800000"/>
                          <a:headEnd/>
                          <a:tailEnd/>
                        </a:ln>
                      </wps:spPr>
                      <wps:txbx>
                        <w:txbxContent>
                          <w:p w14:paraId="2BF8B6D4" w14:textId="3582F968" w:rsidR="008E000E" w:rsidRDefault="00CE21B8" w:rsidP="008E000E">
                            <w:r>
                              <w:t>L</w:t>
                            </w:r>
                            <w:r w:rsidR="008E000E">
                              <w:t>ow</w:t>
                            </w:r>
                          </w:p>
                        </w:txbxContent>
                      </wps:txbx>
                      <wps:bodyPr rot="0" vert="horz" wrap="square" lIns="91440" tIns="45720" rIns="91440" bIns="45720" anchor="t" anchorCtr="0">
                        <a:noAutofit/>
                      </wps:bodyPr>
                    </wps:wsp>
                  </a:graphicData>
                </a:graphic>
              </wp:anchor>
            </w:drawing>
          </mc:Choice>
          <mc:Fallback>
            <w:pict>
              <v:shapetype w14:anchorId="0431E0A3" id="_x0000_t202" coordsize="21600,21600" o:spt="202" path="m,l,21600r21600,l21600,xe">
                <v:stroke joinstyle="miter"/>
                <v:path gradientshapeok="t" o:connecttype="rect"/>
              </v:shapetype>
              <v:shape id="Text Box 2" o:spid="_x0000_s1026" type="#_x0000_t202" alt="&quot;&quot;" style="position:absolute;margin-left:0;margin-top:11.45pt;width:41.5pt;height:21.5pt;z-index:-251658234;visibility:visible;mso-wrap-style:square;mso-wrap-distance-left:9pt;mso-wrap-distance-top:0;mso-wrap-distance-right:9pt;mso-wrap-distance-bottom:0;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" filled="f" stroked="f">
                <v:textbox>
                  <w:txbxContent>
                    <w:p w14:paraId="2BF8B6D4" w14:textId="3582F968" w:rsidR="008E000E" w:rsidRDefault="00CE21B8" w:rsidP="008E000E">
                      <w:r>
                        <w:t>L</w:t>
                      </w:r>
                      <w:r w:rsidR="008E000E">
                        <w:t>ow</w:t>
                      </w:r>
                    </w:p>
                  </w:txbxContent>
                </v:textbox>
                <w10:wrap type="tight" anchorx="margin"/>
              </v:shape>
            </w:pict>
          </mc:Fallback>
        </mc:AlternateContent>
      </w:r>
      <w:r>
        <w:rPr>
          <w:noProof/>
        </w:rPr>
        <mc:AlternateContent>
          <mc:Choice Requires="wps">
            <w:drawing>
              <wp:anchor distT="0" distB="0" distL="114300" distR="114300" simplePos="0" relativeHeight="251658245" behindDoc="1" locked="0" layoutInCell="1" allowOverlap="1" wp14:anchorId="4ED99EDE" wp14:editId="121FDBB0">
                <wp:simplePos x="0" y="0"/>
                <wp:positionH relativeFrom="rightMargin">
                  <wp:align>left</wp:align>
                </wp:positionH>
                <wp:positionV relativeFrom="paragraph">
                  <wp:posOffset>2615565</wp:posOffset>
                </wp:positionV>
                <wp:extent cx="533400" cy="323850"/>
                <wp:effectExtent l="0" t="0" r="0" b="0"/>
                <wp:wrapNone/>
                <wp:docPr id="21165142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698E7F8B" w14:textId="77777777" w:rsidR="00CE21B8" w:rsidRDefault="00CE21B8" w:rsidP="00CE21B8">
                            <w:r>
                              <w:t>High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D99EDE" id="_x0000_s1027" type="#_x0000_t202" alt="&quot;&quot;" style="position:absolute;margin-left:0;margin-top:205.95pt;width:42pt;height:25.5pt;z-index:-251658235;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" stroked="f">
                <v:textbox>
                  <w:txbxContent>
                    <w:p w14:paraId="698E7F8B" w14:textId="77777777" w:rsidR="00CE21B8" w:rsidRDefault="00CE21B8" w:rsidP="00CE21B8">
                      <w:r>
                        <w:t>High</w:t>
                      </w:r>
                    </w:p>
                  </w:txbxContent>
                </v:textbox>
                <w10:wrap anchorx="margin"/>
              </v:shape>
            </w:pict>
          </mc:Fallback>
        </mc:AlternateContent>
      </w:r>
      <w:r w:rsidR="005B3F01">
        <w:rPr>
          <w:noProof/>
        </w:rPr>
        <w:drawing>
          <wp:inline distT="0" distB="0" distL="0" distR="0" wp14:anchorId="197E6A9F" wp14:editId="5E790CA3">
            <wp:extent cx="5661025" cy="3050540"/>
            <wp:effectExtent l="0" t="0" r="0" b="0"/>
            <wp:docPr id="2022902246" name="Graphic 2022902246" descr="Pyramid chart comparing level of data analysis to decision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02246" name="Graphic 2022902246" descr="Pyramid chart comparing level of data analysis to decision risk."/>
                    <pic:cNvPicPr/>
                  </pic:nvPicPr>
                  <pic:blipFill>
                    <a:blip r:embed="rId16">
                      <a:extLst>
                        <a:ext uri="{96DAC541-7B7A-43D3-8B79-37D633B846F1}">
                          <asvg:svgBlip xmlns:asvg="http://schemas.microsoft.com/office/drawing/2016/SVG/main" r:embed="rId17"/>
                        </a:ext>
                      </a:extLst>
                    </a:blip>
                    <a:stretch>
                      <a:fillRect/>
                    </a:stretch>
                  </pic:blipFill>
                  <pic:spPr>
                    <a:xfrm>
                      <a:off x="0" y="0"/>
                      <a:ext cx="5661025" cy="3050540"/>
                    </a:xfrm>
                    <a:prstGeom prst="rect">
                      <a:avLst/>
                    </a:prstGeom>
                  </pic:spPr>
                </pic:pic>
              </a:graphicData>
            </a:graphic>
          </wp:inline>
        </w:drawing>
      </w:r>
    </w:p>
    <w:p w14:paraId="7A99E195" w14:textId="77777777" w:rsidR="00083B11" w:rsidRDefault="00083B11">
      <w:pPr>
        <w:spacing w:after="160" w:line="259" w:lineRule="auto"/>
      </w:pPr>
      <w:r>
        <w:br w:type="page"/>
      </w:r>
    </w:p>
    <w:p w14:paraId="6AD2E7C1" w14:textId="706C021C" w:rsidR="00B23356" w:rsidRPr="00B23356" w:rsidRDefault="00EF20D5" w:rsidP="00B23356">
      <w:pPr>
        <w:spacing w:line="360" w:lineRule="auto"/>
      </w:pPr>
      <w:r>
        <w:t xml:space="preserve">The </w:t>
      </w:r>
      <w:r w:rsidR="00860DFF">
        <w:t>Department</w:t>
      </w:r>
      <w:r>
        <w:t xml:space="preserve"> </w:t>
      </w:r>
      <w:r w:rsidR="00B23356">
        <w:t>is t</w:t>
      </w:r>
      <w:r w:rsidR="00B23356" w:rsidRPr="00B23356">
        <w:t xml:space="preserve">aking a strategic approach to collecting and </w:t>
      </w:r>
      <w:r w:rsidR="00B23356">
        <w:t xml:space="preserve">using </w:t>
      </w:r>
      <w:r w:rsidR="00B23356" w:rsidRPr="00B23356">
        <w:t xml:space="preserve">data to support </w:t>
      </w:r>
      <w:r w:rsidR="008A45E8">
        <w:br/>
      </w:r>
      <w:r w:rsidR="00B23356" w:rsidRPr="00B23356">
        <w:t xml:space="preserve">decision-making </w:t>
      </w:r>
      <w:r w:rsidR="00B23356">
        <w:t>by</w:t>
      </w:r>
      <w:r w:rsidR="00B23356" w:rsidRPr="00B23356">
        <w:t>:</w:t>
      </w:r>
    </w:p>
    <w:p w14:paraId="451C34C1" w14:textId="71696E52" w:rsidR="00B23356" w:rsidRPr="00B23356" w:rsidRDefault="00B23356" w:rsidP="0054192C">
      <w:pPr>
        <w:pStyle w:val="ListParagraph"/>
        <w:numPr>
          <w:ilvl w:val="0"/>
          <w:numId w:val="22"/>
        </w:numPr>
      </w:pPr>
      <w:r w:rsidRPr="00B23356">
        <w:rPr>
          <w:b/>
          <w:bCs/>
        </w:rPr>
        <w:t>Defin</w:t>
      </w:r>
      <w:r>
        <w:rPr>
          <w:b/>
          <w:bCs/>
        </w:rPr>
        <w:t>ing</w:t>
      </w:r>
      <w:r w:rsidRPr="00B23356">
        <w:rPr>
          <w:b/>
          <w:bCs/>
        </w:rPr>
        <w:t xml:space="preserve"> clear objectives</w:t>
      </w:r>
      <w:r w:rsidRPr="00B23356">
        <w:t xml:space="preserve">: Before delving into data analysis, </w:t>
      </w:r>
      <w:r>
        <w:t xml:space="preserve">we </w:t>
      </w:r>
      <w:r w:rsidR="00EF20D5">
        <w:t xml:space="preserve">need to </w:t>
      </w:r>
      <w:r w:rsidRPr="00B23356">
        <w:t xml:space="preserve">clearly define </w:t>
      </w:r>
      <w:r w:rsidR="00EF20D5">
        <w:t xml:space="preserve">our decision-making </w:t>
      </w:r>
      <w:r w:rsidRPr="00B23356">
        <w:t>objectives</w:t>
      </w:r>
      <w:r w:rsidR="00EF20D5">
        <w:t xml:space="preserve">, enabling us to </w:t>
      </w:r>
      <w:r w:rsidRPr="00B23356">
        <w:t>focus on the relevant data points and avoid getting lost in the sea of information.</w:t>
      </w:r>
    </w:p>
    <w:p w14:paraId="3994B08A" w14:textId="5E00FCB3" w:rsidR="00B23356" w:rsidRDefault="00B23356" w:rsidP="00041B41">
      <w:pPr>
        <w:pStyle w:val="ListParagraph"/>
        <w:numPr>
          <w:ilvl w:val="0"/>
          <w:numId w:val="22"/>
        </w:numPr>
      </w:pPr>
      <w:r w:rsidRPr="00B23356">
        <w:rPr>
          <w:b/>
          <w:bCs/>
        </w:rPr>
        <w:t>Understanding the data</w:t>
      </w:r>
      <w:r w:rsidRPr="00B23356">
        <w:t xml:space="preserve">: </w:t>
      </w:r>
      <w:r>
        <w:t xml:space="preserve">When using data to make decisions we understand the </w:t>
      </w:r>
      <w:r w:rsidR="00CD25A8">
        <w:t xml:space="preserve">data </w:t>
      </w:r>
      <w:r>
        <w:t>content</w:t>
      </w:r>
      <w:r w:rsidR="004D7DDA">
        <w:t xml:space="preserve"> and</w:t>
      </w:r>
      <w:r>
        <w:t xml:space="preserve"> metadata</w:t>
      </w:r>
      <w:r w:rsidR="004D7DDA">
        <w:t>. We consider the</w:t>
      </w:r>
      <w:r>
        <w:t xml:space="preserve"> strengths and weaknesses of our data assets</w:t>
      </w:r>
      <w:r w:rsidR="004D7DDA">
        <w:t xml:space="preserve"> and ensure the data is appropriate for the purpose.</w:t>
      </w:r>
    </w:p>
    <w:p w14:paraId="6A79258B" w14:textId="70F298A0" w:rsidR="00704699" w:rsidRDefault="00B23356" w:rsidP="00B23356">
      <w:pPr>
        <w:pStyle w:val="ListParagraph"/>
        <w:numPr>
          <w:ilvl w:val="0"/>
          <w:numId w:val="22"/>
        </w:numPr>
      </w:pPr>
      <w:r w:rsidRPr="7AFD60A8">
        <w:rPr>
          <w:b/>
          <w:bCs/>
        </w:rPr>
        <w:t>Embracing automation and Artificial Intelligence</w:t>
      </w:r>
      <w:r w:rsidR="0032718C">
        <w:rPr>
          <w:rStyle w:val="FootnoteReference"/>
          <w:b/>
          <w:bCs/>
        </w:rPr>
        <w:footnoteReference w:id="3"/>
      </w:r>
      <w:r>
        <w:t xml:space="preserve">: </w:t>
      </w:r>
      <w:r w:rsidR="00CD25A8">
        <w:t>We l</w:t>
      </w:r>
      <w:r>
        <w:t>everage automation and AI technologies to streamline data analysis. Automated processes can help identify patterns, trends, and anomalies, enabling us to make data-backed decisions in a more</w:t>
      </w:r>
      <w:r w:rsidR="00FB65E8">
        <w:t>-</w:t>
      </w:r>
      <w:r>
        <w:t>timely manner. We will use tools and technologies that enable efficient data organisation, categorisation, and visualisation to enhance decision-making processes.</w:t>
      </w:r>
    </w:p>
    <w:p w14:paraId="1198D34B" w14:textId="5E51D926" w:rsidR="00704699" w:rsidRDefault="00CD25A8" w:rsidP="00083B11">
      <w:pPr>
        <w:spacing w:after="1080" w:line="360" w:lineRule="auto"/>
      </w:pPr>
      <w:r>
        <w:t xml:space="preserve">We have </w:t>
      </w:r>
      <w:r w:rsidR="00704699">
        <w:t xml:space="preserve">developed this data strategy </w:t>
      </w:r>
      <w:r w:rsidR="00704699" w:rsidRPr="00B23356">
        <w:t xml:space="preserve">to </w:t>
      </w:r>
      <w:r>
        <w:t xml:space="preserve">help us </w:t>
      </w:r>
      <w:r w:rsidR="00704699" w:rsidRPr="00B23356">
        <w:t>manage the influx of data efficiently</w:t>
      </w:r>
      <w:r w:rsidR="00704699">
        <w:t xml:space="preserve"> and effectively</w:t>
      </w:r>
      <w:r w:rsidR="00704699" w:rsidRPr="00B23356">
        <w:t>.</w:t>
      </w:r>
      <w:r w:rsidR="00704699">
        <w:t xml:space="preserve"> The data strategy aims to lift our decision-making maturity from using data and information</w:t>
      </w:r>
      <w:r w:rsidR="004B63A6">
        <w:t>,</w:t>
      </w:r>
      <w:r w:rsidR="00704699">
        <w:t xml:space="preserve"> to drawing on knowledge and wisdom.</w:t>
      </w:r>
    </w:p>
    <w:p w14:paraId="36DED58B" w14:textId="4E87FC53" w:rsidR="00873920" w:rsidRPr="005C594F" w:rsidRDefault="00873920" w:rsidP="00873920">
      <w:pPr>
        <w:pStyle w:val="Subtitle"/>
        <w:pBdr>
          <w:top w:val="single" w:sz="4" w:space="1" w:color="auto"/>
          <w:left w:val="single" w:sz="4" w:space="4" w:color="auto"/>
          <w:bottom w:val="single" w:sz="4" w:space="1" w:color="auto"/>
          <w:right w:val="single" w:sz="4" w:space="31" w:color="auto"/>
        </w:pBdr>
        <w:ind w:left="567" w:right="1690"/>
        <w:rPr>
          <w:b/>
          <w:bCs/>
        </w:rPr>
      </w:pPr>
      <w:r>
        <w:rPr>
          <w:noProof/>
        </w:rPr>
        <w:drawing>
          <wp:anchor distT="0" distB="0" distL="114300" distR="114300" simplePos="0" relativeHeight="251658243" behindDoc="0" locked="0" layoutInCell="1" allowOverlap="1" wp14:anchorId="1CEC2523" wp14:editId="09F2763C">
            <wp:simplePos x="0" y="0"/>
            <wp:positionH relativeFrom="column">
              <wp:posOffset>5281295</wp:posOffset>
            </wp:positionH>
            <wp:positionV relativeFrom="paragraph">
              <wp:posOffset>21590</wp:posOffset>
            </wp:positionV>
            <wp:extent cx="770255" cy="770255"/>
            <wp:effectExtent l="0" t="0" r="0" b="0"/>
            <wp:wrapNone/>
            <wp:docPr id="758991207" name="Picture 758991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91207" name="Picture 75899120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anchor>
        </w:drawing>
      </w:r>
      <w:r w:rsidRPr="005C594F">
        <w:rPr>
          <w:b/>
          <w:bCs/>
        </w:rPr>
        <w:t>Our commitment</w:t>
      </w:r>
    </w:p>
    <w:p w14:paraId="1DB2FB2F" w14:textId="5E278942" w:rsidR="00873920" w:rsidRDefault="00873920" w:rsidP="00873920">
      <w:pPr>
        <w:pBdr>
          <w:top w:val="single" w:sz="4" w:space="1" w:color="auto"/>
          <w:left w:val="single" w:sz="4" w:space="4" w:color="auto"/>
          <w:bottom w:val="single" w:sz="4" w:space="1" w:color="auto"/>
          <w:right w:val="single" w:sz="4" w:space="31" w:color="auto"/>
        </w:pBdr>
        <w:spacing w:after="120"/>
        <w:ind w:left="567" w:right="1690"/>
      </w:pPr>
      <w:r>
        <w:t>We will avoid data overload by focusing on the right data, at the right time, to make the right decisions.</w:t>
      </w:r>
      <w:r w:rsidRPr="00873920">
        <w:rPr>
          <w:noProof/>
        </w:rPr>
        <w:t xml:space="preserve"> </w:t>
      </w:r>
    </w:p>
    <w:p w14:paraId="083D6411" w14:textId="21D421B7" w:rsidR="00704699" w:rsidRDefault="00704699">
      <w:pPr>
        <w:spacing w:after="160" w:line="259" w:lineRule="auto"/>
      </w:pPr>
      <w:r>
        <w:br w:type="page"/>
      </w:r>
    </w:p>
    <w:p w14:paraId="363498F9" w14:textId="0D2FC826" w:rsidR="00704699" w:rsidRPr="000D7DBB" w:rsidRDefault="006F36BE" w:rsidP="00704699">
      <w:pPr>
        <w:pStyle w:val="Heading1"/>
        <w:spacing w:before="120" w:after="120"/>
        <w:rPr>
          <w:bCs/>
        </w:rPr>
      </w:pPr>
      <w:bookmarkStart w:id="11" w:name="_Toc170909491"/>
      <w:r>
        <w:rPr>
          <w:bCs/>
        </w:rPr>
        <w:t xml:space="preserve">Approach to </w:t>
      </w:r>
      <w:r w:rsidR="00704699" w:rsidRPr="000D7DBB">
        <w:rPr>
          <w:bCs/>
        </w:rPr>
        <w:t>Data Analytics</w:t>
      </w:r>
      <w:bookmarkEnd w:id="11"/>
    </w:p>
    <w:p w14:paraId="1ADD5629" w14:textId="7DC078CE" w:rsidR="00704699" w:rsidRPr="000D7DBB" w:rsidRDefault="00704699" w:rsidP="00704699">
      <w:pPr>
        <w:spacing w:line="360" w:lineRule="auto"/>
      </w:pPr>
      <w:r>
        <w:t>When analysing data there are four common approaches to</w:t>
      </w:r>
      <w:r w:rsidRPr="000D7DBB">
        <w:t xml:space="preserve"> analytics:</w:t>
      </w:r>
    </w:p>
    <w:p w14:paraId="383F243C" w14:textId="77777777" w:rsidR="00704699" w:rsidRDefault="00704699" w:rsidP="00704699">
      <w:pPr>
        <w:pStyle w:val="ListParagraph"/>
        <w:numPr>
          <w:ilvl w:val="0"/>
          <w:numId w:val="22"/>
        </w:numPr>
      </w:pPr>
      <w:r w:rsidRPr="000D7DBB">
        <w:rPr>
          <w:b/>
          <w:bCs/>
        </w:rPr>
        <w:t>Descriptive</w:t>
      </w:r>
      <w:r w:rsidRPr="000D7DBB">
        <w:t>, which answers the question, “What happened?”</w:t>
      </w:r>
    </w:p>
    <w:p w14:paraId="695DD442" w14:textId="77777777" w:rsidR="00704699" w:rsidRPr="000D7DBB" w:rsidRDefault="00704699" w:rsidP="00704699">
      <w:pPr>
        <w:pStyle w:val="NormalWeb"/>
        <w:shd w:val="clear" w:color="auto" w:fill="FFFFFF"/>
        <w:spacing w:before="0" w:beforeAutospacing="0" w:after="420" w:afterAutospacing="0"/>
        <w:ind w:left="720"/>
        <w:rPr>
          <w:rFonts w:asciiTheme="minorHAnsi" w:eastAsiaTheme="minorHAnsi" w:hAnsiTheme="minorHAnsi" w:cstheme="minorBidi"/>
          <w:lang w:eastAsia="en-US"/>
        </w:rPr>
      </w:pPr>
      <w:r w:rsidRPr="000D7DBB">
        <w:rPr>
          <w:rFonts w:asciiTheme="minorHAnsi" w:eastAsiaTheme="minorHAnsi" w:hAnsiTheme="minorHAnsi" w:cstheme="minorBidi"/>
          <w:lang w:eastAsia="en-US"/>
        </w:rPr>
        <w:t>Descriptive analytics is the process of using current and historical data to identify trends and relationships. It’s sometimes called the simplest form of data analysis because it describes trends and relationships but doesn’t dig deeper.</w:t>
      </w:r>
    </w:p>
    <w:p w14:paraId="4FA4C63C" w14:textId="77777777" w:rsidR="00704699" w:rsidRDefault="00704699" w:rsidP="00704699">
      <w:pPr>
        <w:pStyle w:val="ListParagraph"/>
        <w:numPr>
          <w:ilvl w:val="0"/>
          <w:numId w:val="22"/>
        </w:numPr>
      </w:pPr>
      <w:r w:rsidRPr="000D7DBB">
        <w:rPr>
          <w:b/>
          <w:bCs/>
        </w:rPr>
        <w:t>Diagnostic</w:t>
      </w:r>
      <w:r w:rsidRPr="000D7DBB">
        <w:t>, which answers the question, “Why did this happen?”</w:t>
      </w:r>
    </w:p>
    <w:p w14:paraId="7F55D8F7" w14:textId="586EB53F" w:rsidR="00704699" w:rsidRPr="000D7DBB" w:rsidRDefault="00704699" w:rsidP="00704699">
      <w:pPr>
        <w:pStyle w:val="NormalWeb"/>
        <w:shd w:val="clear" w:color="auto" w:fill="FFFFFF"/>
        <w:spacing w:before="0" w:beforeAutospacing="0" w:after="420" w:afterAutospacing="0"/>
        <w:ind w:left="720"/>
        <w:rPr>
          <w:rFonts w:asciiTheme="minorHAnsi" w:eastAsiaTheme="minorHAnsi" w:hAnsiTheme="minorHAnsi" w:cstheme="minorBidi"/>
          <w:lang w:eastAsia="en-US"/>
        </w:rPr>
      </w:pPr>
      <w:r w:rsidRPr="000D7DBB">
        <w:rPr>
          <w:rFonts w:asciiTheme="minorHAnsi" w:eastAsiaTheme="minorHAnsi" w:hAnsiTheme="minorHAnsi" w:cstheme="minorBidi"/>
          <w:lang w:eastAsia="en-US"/>
        </w:rPr>
        <w:t>Diagnostic analytics is the process of using data to determine the causes of trends and correlations between variables. It can be viewed as a logical next step after using descriptive analytics to identify trends.</w:t>
      </w:r>
    </w:p>
    <w:p w14:paraId="1B716E86" w14:textId="77777777" w:rsidR="00704699" w:rsidRDefault="00704699" w:rsidP="00704699">
      <w:pPr>
        <w:pStyle w:val="ListParagraph"/>
        <w:numPr>
          <w:ilvl w:val="0"/>
          <w:numId w:val="22"/>
        </w:numPr>
      </w:pPr>
      <w:r w:rsidRPr="000D7DBB">
        <w:rPr>
          <w:b/>
          <w:bCs/>
        </w:rPr>
        <w:t>Prescriptive</w:t>
      </w:r>
      <w:r w:rsidRPr="000D7DBB">
        <w:t>, which answers the question, “What should we do next?”</w:t>
      </w:r>
    </w:p>
    <w:p w14:paraId="69A9C8A5" w14:textId="4AAF5905" w:rsidR="00704699" w:rsidRDefault="00704699" w:rsidP="00704699">
      <w:pPr>
        <w:pStyle w:val="NormalWeb"/>
        <w:shd w:val="clear" w:color="auto" w:fill="FFFFFF"/>
        <w:spacing w:before="0" w:beforeAutospacing="0" w:after="420" w:afterAutospacing="0"/>
        <w:ind w:left="720"/>
        <w:rPr>
          <w:rFonts w:ascii="Arial" w:hAnsi="Arial" w:cs="Arial"/>
          <w:color w:val="181818"/>
          <w:sz w:val="26"/>
          <w:szCs w:val="26"/>
        </w:rPr>
      </w:pPr>
      <w:r w:rsidRPr="000D7DBB">
        <w:rPr>
          <w:rFonts w:asciiTheme="minorHAnsi" w:eastAsiaTheme="minorHAnsi" w:hAnsiTheme="minorHAnsi" w:cstheme="minorBidi"/>
          <w:lang w:eastAsia="en-US"/>
        </w:rPr>
        <w:t>Prescriptive analytics is the process of using data to determine an optimal course of action. By considering all relevant factors, this type of analysis yields recommendations for next steps. Because of this, prescriptive analytics is a valuable tool for data</w:t>
      </w:r>
      <w:r w:rsidR="00766CCB">
        <w:rPr>
          <w:rFonts w:asciiTheme="minorHAnsi" w:eastAsiaTheme="minorHAnsi" w:hAnsiTheme="minorHAnsi" w:cstheme="minorBidi"/>
          <w:lang w:eastAsia="en-US"/>
        </w:rPr>
        <w:t xml:space="preserve"> empowered</w:t>
      </w:r>
      <w:r w:rsidRPr="000D7DBB">
        <w:rPr>
          <w:rFonts w:asciiTheme="minorHAnsi" w:eastAsiaTheme="minorHAnsi" w:hAnsiTheme="minorHAnsi" w:cstheme="minorBidi"/>
          <w:lang w:eastAsia="en-US"/>
        </w:rPr>
        <w:t xml:space="preserve"> decision-making</w:t>
      </w:r>
      <w:r>
        <w:rPr>
          <w:rFonts w:ascii="Arial" w:hAnsi="Arial" w:cs="Arial"/>
          <w:color w:val="181818"/>
          <w:sz w:val="26"/>
          <w:szCs w:val="26"/>
        </w:rPr>
        <w:t>.</w:t>
      </w:r>
    </w:p>
    <w:p w14:paraId="31834419" w14:textId="77777777" w:rsidR="00704699" w:rsidRPr="00B57CE7" w:rsidRDefault="00704699" w:rsidP="00704699">
      <w:pPr>
        <w:pStyle w:val="NormalWeb"/>
        <w:numPr>
          <w:ilvl w:val="0"/>
          <w:numId w:val="22"/>
        </w:numPr>
        <w:shd w:val="clear" w:color="auto" w:fill="FFFFFF"/>
        <w:spacing w:before="0" w:beforeAutospacing="0" w:after="420" w:afterAutospacing="0"/>
        <w:rPr>
          <w:rFonts w:asciiTheme="minorHAnsi" w:eastAsiaTheme="minorHAnsi" w:hAnsiTheme="minorHAnsi" w:cstheme="minorBidi"/>
          <w:lang w:eastAsia="en-US"/>
        </w:rPr>
      </w:pPr>
      <w:r w:rsidRPr="000D7DBB">
        <w:rPr>
          <w:rFonts w:eastAsiaTheme="minorHAnsi"/>
          <w:b/>
          <w:bCs/>
        </w:rPr>
        <w:t>Predictive</w:t>
      </w:r>
      <w:r w:rsidRPr="000D7DBB">
        <w:rPr>
          <w:rFonts w:eastAsiaTheme="minorHAnsi"/>
        </w:rPr>
        <w:t xml:space="preserve">, which </w:t>
      </w:r>
      <w:r w:rsidRPr="000D7DBB">
        <w:t xml:space="preserve">answers the question, “What </w:t>
      </w:r>
      <w:r w:rsidRPr="00B57CE7">
        <w:rPr>
          <w:rFonts w:asciiTheme="minorHAnsi" w:eastAsiaTheme="minorHAnsi" w:hAnsiTheme="minorHAnsi" w:cstheme="minorBidi"/>
          <w:lang w:eastAsia="en-US"/>
        </w:rPr>
        <w:t>might happen in the future?”</w:t>
      </w:r>
    </w:p>
    <w:p w14:paraId="6BC10EC4" w14:textId="47028865" w:rsidR="00704699" w:rsidRPr="00B9517E" w:rsidRDefault="00704699" w:rsidP="009A620F">
      <w:pPr>
        <w:pStyle w:val="NormalWeb"/>
        <w:shd w:val="clear" w:color="auto" w:fill="FFFFFF"/>
        <w:spacing w:before="0" w:beforeAutospacing="0" w:after="420" w:afterAutospacing="0"/>
        <w:ind w:left="720"/>
        <w:rPr>
          <w:rFonts w:asciiTheme="minorHAnsi" w:eastAsiaTheme="minorHAnsi" w:hAnsiTheme="minorHAnsi" w:cstheme="minorBidi"/>
          <w:lang w:eastAsia="en-US"/>
        </w:rPr>
      </w:pPr>
      <w:r w:rsidRPr="00B9517E">
        <w:rPr>
          <w:rFonts w:asciiTheme="minorHAnsi" w:eastAsiaTheme="minorHAnsi" w:hAnsiTheme="minorHAnsi" w:cstheme="minorBidi"/>
          <w:lang w:eastAsia="en-US"/>
        </w:rPr>
        <w:t xml:space="preserve">The ability to predict future events and trends is crucial across </w:t>
      </w:r>
      <w:r>
        <w:rPr>
          <w:rFonts w:asciiTheme="minorHAnsi" w:eastAsiaTheme="minorHAnsi" w:hAnsiTheme="minorHAnsi" w:cstheme="minorBidi"/>
          <w:lang w:eastAsia="en-US"/>
        </w:rPr>
        <w:t>labour market</w:t>
      </w:r>
      <w:r w:rsidRPr="00B9517E">
        <w:rPr>
          <w:rFonts w:asciiTheme="minorHAnsi" w:eastAsiaTheme="minorHAnsi" w:hAnsiTheme="minorHAnsi" w:cstheme="minorBidi"/>
          <w:lang w:eastAsia="en-US"/>
        </w:rPr>
        <w:t>.</w:t>
      </w:r>
      <w:r>
        <w:rPr>
          <w:rFonts w:asciiTheme="minorHAnsi" w:eastAsiaTheme="minorHAnsi" w:hAnsiTheme="minorHAnsi" w:cstheme="minorBidi"/>
          <w:lang w:eastAsia="en-US"/>
        </w:rPr>
        <w:t xml:space="preserve"> </w:t>
      </w:r>
      <w:r w:rsidRPr="00B57CE7">
        <w:rPr>
          <w:rFonts w:asciiTheme="minorHAnsi" w:eastAsiaTheme="minorHAnsi" w:hAnsiTheme="minorHAnsi" w:cstheme="minorBidi"/>
          <w:lang w:eastAsia="en-US"/>
        </w:rPr>
        <w:t>Predictive analytics is the use of data to predict future trends and events. It uses historical data to forecast potential scenarios that can help drive strategic decisions.</w:t>
      </w:r>
    </w:p>
    <w:p w14:paraId="68606D03" w14:textId="47C1C4FF" w:rsidR="00686436" w:rsidRDefault="00CD25A8" w:rsidP="00083B11">
      <w:pPr>
        <w:spacing w:after="1080"/>
      </w:pPr>
      <w:r>
        <w:t xml:space="preserve">Our </w:t>
      </w:r>
      <w:r w:rsidR="00704699">
        <w:t>data strategy aim</w:t>
      </w:r>
      <w:r w:rsidR="00E2284F">
        <w:t>s</w:t>
      </w:r>
      <w:r w:rsidR="00704699">
        <w:t xml:space="preserve"> to move us from descriptive analysis to diagnostic </w:t>
      </w:r>
      <w:r>
        <w:t xml:space="preserve">and </w:t>
      </w:r>
      <w:r w:rsidR="00704699">
        <w:t>prescriptive analysis with a goal of predictive analysis</w:t>
      </w:r>
      <w:r w:rsidR="00D060EF">
        <w:t xml:space="preserve">. However, </w:t>
      </w:r>
      <w:r w:rsidR="00794BCE">
        <w:t xml:space="preserve">we recognise </w:t>
      </w:r>
      <w:r w:rsidR="0040472F">
        <w:t xml:space="preserve">the purpose of the analysis will </w:t>
      </w:r>
      <w:r w:rsidR="00A96C60">
        <w:t>under</w:t>
      </w:r>
      <w:r w:rsidR="00AE3519">
        <w:t>pin</w:t>
      </w:r>
      <w:r w:rsidR="00A96C60">
        <w:t xml:space="preserve"> </w:t>
      </w:r>
      <w:r w:rsidR="00794BCE">
        <w:t>the type of analy</w:t>
      </w:r>
      <w:r w:rsidR="002E6E96">
        <w:t>tics</w:t>
      </w:r>
      <w:r w:rsidR="00A96C60">
        <w:t xml:space="preserve"> undertaken</w:t>
      </w:r>
      <w:r w:rsidR="00F9479F">
        <w:t xml:space="preserve">, and that descriptive analysis </w:t>
      </w:r>
      <w:r w:rsidR="00590E86">
        <w:t>will always be valid</w:t>
      </w:r>
      <w:r w:rsidR="00704699">
        <w:t>.</w:t>
      </w:r>
    </w:p>
    <w:p w14:paraId="2AE1BB7C" w14:textId="764E2BAB" w:rsidR="00873920" w:rsidRPr="005C594F" w:rsidRDefault="00873920" w:rsidP="00873920">
      <w:pPr>
        <w:pStyle w:val="Subtitle"/>
        <w:pBdr>
          <w:top w:val="single" w:sz="4" w:space="1" w:color="auto"/>
          <w:left w:val="single" w:sz="4" w:space="1" w:color="auto"/>
          <w:bottom w:val="single" w:sz="4" w:space="1" w:color="auto"/>
          <w:right w:val="single" w:sz="4" w:space="31" w:color="auto"/>
        </w:pBdr>
        <w:ind w:left="567" w:right="1689"/>
        <w:rPr>
          <w:b/>
          <w:bCs/>
        </w:rPr>
      </w:pPr>
      <w:r>
        <w:rPr>
          <w:noProof/>
        </w:rPr>
        <w:drawing>
          <wp:anchor distT="0" distB="0" distL="114300" distR="114300" simplePos="0" relativeHeight="251658244" behindDoc="1" locked="0" layoutInCell="1" allowOverlap="1" wp14:anchorId="59A3AF22" wp14:editId="0E9B17F7">
            <wp:simplePos x="0" y="0"/>
            <wp:positionH relativeFrom="column">
              <wp:posOffset>5243195</wp:posOffset>
            </wp:positionH>
            <wp:positionV relativeFrom="paragraph">
              <wp:posOffset>33020</wp:posOffset>
            </wp:positionV>
            <wp:extent cx="755650" cy="755650"/>
            <wp:effectExtent l="0" t="0" r="6350" b="0"/>
            <wp:wrapNone/>
            <wp:docPr id="759267277" name="Picture 759267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7277" name="Picture 75926727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anchor>
        </w:drawing>
      </w:r>
      <w:r w:rsidRPr="005C594F">
        <w:rPr>
          <w:b/>
          <w:bCs/>
        </w:rPr>
        <w:t>Our commitment</w:t>
      </w:r>
    </w:p>
    <w:p w14:paraId="30E2574B" w14:textId="5D21D751" w:rsidR="00873920" w:rsidRDefault="00873920" w:rsidP="00873920">
      <w:pPr>
        <w:pBdr>
          <w:top w:val="single" w:sz="4" w:space="1" w:color="auto"/>
          <w:left w:val="single" w:sz="4" w:space="1" w:color="auto"/>
          <w:bottom w:val="single" w:sz="4" w:space="1" w:color="auto"/>
          <w:right w:val="single" w:sz="4" w:space="31" w:color="auto"/>
        </w:pBdr>
        <w:ind w:left="567" w:right="1689"/>
      </w:pPr>
      <w:r>
        <w:t>Descriptive analysis is valued - but diagnostic, prescriptive, and predictive analysis is our data future.</w:t>
      </w:r>
      <w:r w:rsidRPr="00873920">
        <w:rPr>
          <w:noProof/>
        </w:rPr>
        <w:t xml:space="preserve"> </w:t>
      </w:r>
    </w:p>
    <w:p w14:paraId="2517AD69" w14:textId="430CB18B" w:rsidR="00686436" w:rsidRDefault="00686436">
      <w:pPr>
        <w:spacing w:after="160" w:line="259" w:lineRule="auto"/>
      </w:pPr>
      <w:r>
        <w:br w:type="page"/>
      </w:r>
    </w:p>
    <w:p w14:paraId="51E8A43D" w14:textId="7D1E06B0" w:rsidR="00686436" w:rsidRPr="00686436" w:rsidRDefault="006E6331" w:rsidP="00686436">
      <w:pPr>
        <w:pStyle w:val="Heading1"/>
        <w:spacing w:before="120" w:after="120"/>
        <w:rPr>
          <w:bCs/>
        </w:rPr>
      </w:pPr>
      <w:bookmarkStart w:id="12" w:name="_Toc170909492"/>
      <w:r>
        <w:rPr>
          <w:bCs/>
        </w:rPr>
        <w:t xml:space="preserve">Approach to </w:t>
      </w:r>
      <w:r w:rsidR="00686436" w:rsidRPr="00686436">
        <w:rPr>
          <w:bCs/>
        </w:rPr>
        <w:t>Data Sharing</w:t>
      </w:r>
      <w:bookmarkEnd w:id="12"/>
    </w:p>
    <w:p w14:paraId="0D78C359" w14:textId="6FAF35A3" w:rsidR="00686436" w:rsidRDefault="00686436" w:rsidP="00686436">
      <w:pPr>
        <w:spacing w:line="360" w:lineRule="auto"/>
      </w:pPr>
      <w:r w:rsidRPr="00686436">
        <w:t>Sharing and releasing data is critical to enhance the value of the data that we and our partners hold.</w:t>
      </w:r>
    </w:p>
    <w:p w14:paraId="28E6FC69" w14:textId="2FA9A79A" w:rsidR="00101C8D" w:rsidRDefault="00101C8D" w:rsidP="00101C8D">
      <w:pPr>
        <w:spacing w:line="360" w:lineRule="auto"/>
        <w:ind w:left="567" w:right="848"/>
        <w:rPr>
          <w:rFonts w:ascii="Segoe UI" w:hAnsi="Segoe UI" w:cs="Segoe UI"/>
          <w:color w:val="000000"/>
        </w:rPr>
      </w:pPr>
      <w:r w:rsidRPr="00101C8D">
        <w:rPr>
          <w:rFonts w:cstheme="minorHAnsi"/>
          <w:i/>
          <w:iCs/>
        </w:rPr>
        <w:t xml:space="preserve">The </w:t>
      </w:r>
      <w:r w:rsidRPr="00101C8D">
        <w:rPr>
          <w:i/>
          <w:iCs/>
        </w:rPr>
        <w:t>Government’s</w:t>
      </w:r>
      <w:r w:rsidRPr="00101C8D">
        <w:rPr>
          <w:rFonts w:cstheme="minorHAnsi"/>
          <w:i/>
          <w:iCs/>
        </w:rPr>
        <w:t xml:space="preserve"> APS reform agenda outlines its commitment to use data better – ensuring the APS has the right capability, tools</w:t>
      </w:r>
      <w:r w:rsidR="00C16CCB">
        <w:rPr>
          <w:rFonts w:cstheme="minorHAnsi"/>
          <w:i/>
          <w:iCs/>
        </w:rPr>
        <w:t>,</w:t>
      </w:r>
      <w:r w:rsidRPr="00101C8D">
        <w:rPr>
          <w:rFonts w:cstheme="minorHAnsi"/>
          <w:i/>
          <w:iCs/>
        </w:rPr>
        <w:t xml:space="preserve"> and processes to securely use, share and understand data and other sources of information for better policy advice, regulation</w:t>
      </w:r>
      <w:r w:rsidR="00C16CCB">
        <w:rPr>
          <w:rFonts w:cstheme="minorHAnsi"/>
          <w:i/>
          <w:iCs/>
        </w:rPr>
        <w:t>,</w:t>
      </w:r>
      <w:r w:rsidRPr="00101C8D">
        <w:rPr>
          <w:rFonts w:cstheme="minorHAnsi"/>
          <w:i/>
          <w:iCs/>
        </w:rPr>
        <w:t xml:space="preserve"> and services</w:t>
      </w:r>
      <w:r w:rsidRPr="00101C8D">
        <w:rPr>
          <w:rFonts w:cstheme="minorHAnsi"/>
        </w:rPr>
        <w:t>.</w:t>
      </w:r>
      <w:r>
        <w:rPr>
          <w:rStyle w:val="FootnoteReference"/>
          <w:rFonts w:ascii="Segoe UI" w:hAnsi="Segoe UI" w:cs="Segoe UI"/>
          <w:color w:val="000000"/>
        </w:rPr>
        <w:footnoteReference w:id="4"/>
      </w:r>
    </w:p>
    <w:p w14:paraId="77057457" w14:textId="09D923FB" w:rsidR="00686436" w:rsidRDefault="00686436" w:rsidP="00686436">
      <w:pPr>
        <w:spacing w:line="360" w:lineRule="auto"/>
      </w:pPr>
      <w:r w:rsidRPr="00686436">
        <w:t xml:space="preserve">By making </w:t>
      </w:r>
      <w:r w:rsidR="00D23308">
        <w:t xml:space="preserve">our </w:t>
      </w:r>
      <w:r w:rsidRPr="00686436">
        <w:t xml:space="preserve">data </w:t>
      </w:r>
      <w:r w:rsidR="00CD25A8">
        <w:t>safely</w:t>
      </w:r>
      <w:r w:rsidR="001C369F">
        <w:t>, legally</w:t>
      </w:r>
      <w:r w:rsidR="005C2813">
        <w:t>,</w:t>
      </w:r>
      <w:r w:rsidR="00CD25A8">
        <w:t xml:space="preserve"> and ethically </w:t>
      </w:r>
      <w:r w:rsidRPr="00686436">
        <w:t>available, we will build the capacity of all our partners and external stakeholders to understand</w:t>
      </w:r>
      <w:r w:rsidR="009C3FF7">
        <w:t xml:space="preserve">, </w:t>
      </w:r>
      <w:r w:rsidRPr="00686436">
        <w:t xml:space="preserve">improve </w:t>
      </w:r>
      <w:r>
        <w:t xml:space="preserve">and </w:t>
      </w:r>
      <w:r w:rsidRPr="00531E0D">
        <w:t>optimise the use of data and evidence to support Australians to have safe, secure, and well-paid work with the skills for a sustainable future</w:t>
      </w:r>
      <w:r w:rsidRPr="00686436">
        <w:t>.</w:t>
      </w:r>
    </w:p>
    <w:p w14:paraId="3B10AB35" w14:textId="1A3B3BAA" w:rsidR="00783220" w:rsidRPr="00686436" w:rsidRDefault="00783220" w:rsidP="00686436">
      <w:pPr>
        <w:spacing w:line="360" w:lineRule="auto"/>
      </w:pPr>
      <w:r>
        <w:t xml:space="preserve">The data may be </w:t>
      </w:r>
      <w:r w:rsidR="000F7062">
        <w:t xml:space="preserve">available </w:t>
      </w:r>
      <w:r>
        <w:t>through direct source or through other channels such as the ABS Person Level Integrated Data Asset (PLIDA)</w:t>
      </w:r>
      <w:r w:rsidR="005268AA">
        <w:t xml:space="preserve"> and Australian National Data Integration Infrastructure (ANDII)</w:t>
      </w:r>
      <w:r>
        <w:t>.</w:t>
      </w:r>
    </w:p>
    <w:p w14:paraId="274D1E4D" w14:textId="73D97B29" w:rsidR="00686436" w:rsidRPr="00686436" w:rsidRDefault="00686436" w:rsidP="00686436">
      <w:pPr>
        <w:spacing w:line="360" w:lineRule="auto"/>
      </w:pPr>
      <w:r w:rsidRPr="00686436">
        <w:t xml:space="preserve">A culture that supports data sharing, with appropriate </w:t>
      </w:r>
      <w:r w:rsidR="00F65D15">
        <w:t>guardrails</w:t>
      </w:r>
      <w:r w:rsidR="002F0625">
        <w:rPr>
          <w:rStyle w:val="FootnoteReference"/>
        </w:rPr>
        <w:footnoteReference w:id="5"/>
      </w:r>
      <w:r w:rsidRPr="00686436">
        <w:t xml:space="preserve">, will build momentum towards linking data across the life journey to better understand how </w:t>
      </w:r>
      <w:r>
        <w:t xml:space="preserve">the labour market </w:t>
      </w:r>
      <w:r w:rsidRPr="00686436">
        <w:t>is performing and where we can make improvements.</w:t>
      </w:r>
    </w:p>
    <w:p w14:paraId="28DA0306" w14:textId="16DB4651" w:rsidR="00873920" w:rsidRDefault="00686436" w:rsidP="00083B11">
      <w:pPr>
        <w:spacing w:after="1080" w:line="360" w:lineRule="auto"/>
      </w:pPr>
      <w:r w:rsidRPr="00686436">
        <w:t xml:space="preserve">By having trusted and efficient </w:t>
      </w:r>
      <w:r>
        <w:t>policies</w:t>
      </w:r>
      <w:r w:rsidR="00F65D15">
        <w:t xml:space="preserve"> </w:t>
      </w:r>
      <w:r>
        <w:t xml:space="preserve">and processes </w:t>
      </w:r>
      <w:r w:rsidRPr="00686436">
        <w:t>in place, our staff can confidently make data available to others to influence policy and decisions, whilst maintaining privacy and confidentiality.</w:t>
      </w:r>
    </w:p>
    <w:p w14:paraId="691F9FB5" w14:textId="752553E2" w:rsidR="00873920" w:rsidRPr="005C594F" w:rsidRDefault="00873920" w:rsidP="00873920">
      <w:pPr>
        <w:pStyle w:val="Subtitle"/>
        <w:pBdr>
          <w:top w:val="single" w:sz="4" w:space="1" w:color="auto"/>
          <w:left w:val="single" w:sz="4" w:space="4" w:color="auto"/>
          <w:bottom w:val="single" w:sz="4" w:space="1" w:color="auto"/>
          <w:right w:val="single" w:sz="4" w:space="31" w:color="auto"/>
        </w:pBdr>
        <w:ind w:left="567" w:right="1689"/>
        <w:rPr>
          <w:b/>
          <w:bCs/>
        </w:rPr>
      </w:pPr>
      <w:r>
        <w:rPr>
          <w:noProof/>
        </w:rPr>
        <w:drawing>
          <wp:anchor distT="0" distB="0" distL="114300" distR="114300" simplePos="0" relativeHeight="251658242" behindDoc="1" locked="0" layoutInCell="1" allowOverlap="1" wp14:anchorId="7F171D77" wp14:editId="2B7CA506">
            <wp:simplePos x="0" y="0"/>
            <wp:positionH relativeFrom="column">
              <wp:posOffset>5233670</wp:posOffset>
            </wp:positionH>
            <wp:positionV relativeFrom="paragraph">
              <wp:posOffset>25400</wp:posOffset>
            </wp:positionV>
            <wp:extent cx="696595" cy="696595"/>
            <wp:effectExtent l="0" t="0" r="0" b="0"/>
            <wp:wrapNone/>
            <wp:docPr id="1481058981" name="Graphic 1481058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58981" name="Graphic 148105898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96DAC541-7B7A-43D3-8B79-37D633B846F1}">
                          <asvg:svgBlip xmlns:asvg="http://schemas.microsoft.com/office/drawing/2016/SVG/main" r:embed="rId21"/>
                        </a:ext>
                      </a:extLst>
                    </a:blip>
                    <a:stretch>
                      <a:fillRect/>
                    </a:stretch>
                  </pic:blipFill>
                  <pic:spPr bwMode="auto">
                    <a:xfrm>
                      <a:off x="0" y="0"/>
                      <a:ext cx="696595" cy="696595"/>
                    </a:xfrm>
                    <a:prstGeom prst="rect">
                      <a:avLst/>
                    </a:prstGeom>
                  </pic:spPr>
                </pic:pic>
              </a:graphicData>
            </a:graphic>
            <wp14:sizeRelH relativeFrom="page">
              <wp14:pctWidth>0</wp14:pctWidth>
            </wp14:sizeRelH>
            <wp14:sizeRelV relativeFrom="page">
              <wp14:pctHeight>0</wp14:pctHeight>
            </wp14:sizeRelV>
          </wp:anchor>
        </w:drawing>
      </w:r>
      <w:r w:rsidRPr="005C594F">
        <w:rPr>
          <w:b/>
          <w:bCs/>
        </w:rPr>
        <w:t>Our commitment</w:t>
      </w:r>
    </w:p>
    <w:p w14:paraId="7D3ED970" w14:textId="0C1425AF" w:rsidR="00873920" w:rsidRDefault="00873920" w:rsidP="00873920">
      <w:pPr>
        <w:pBdr>
          <w:top w:val="single" w:sz="4" w:space="1" w:color="auto"/>
          <w:left w:val="single" w:sz="4" w:space="4" w:color="auto"/>
          <w:bottom w:val="single" w:sz="4" w:space="1" w:color="auto"/>
          <w:right w:val="single" w:sz="4" w:space="31" w:color="auto"/>
        </w:pBdr>
        <w:ind w:left="567" w:right="1689"/>
      </w:pPr>
      <w:r>
        <w:t>We will say yes to data release, sharing and use, unless there is a good reason to say no.</w:t>
      </w:r>
    </w:p>
    <w:p w14:paraId="484C418D" w14:textId="32286EF2" w:rsidR="00E043B4" w:rsidRPr="00F4597E" w:rsidRDefault="00E043B4" w:rsidP="00F4597E">
      <w:pPr>
        <w:spacing w:line="360" w:lineRule="auto"/>
      </w:pPr>
      <w:r>
        <w:rPr>
          <w:bCs/>
        </w:rPr>
        <w:br w:type="page"/>
      </w:r>
    </w:p>
    <w:p w14:paraId="2A49CBC8" w14:textId="22EA2748" w:rsidR="00CD1778" w:rsidRDefault="00D20226" w:rsidP="00E043B4">
      <w:pPr>
        <w:pStyle w:val="Heading1"/>
        <w:spacing w:before="120" w:after="120"/>
        <w:rPr>
          <w:bCs/>
        </w:rPr>
      </w:pPr>
      <w:bookmarkStart w:id="13" w:name="_Toc170909493"/>
      <w:r>
        <w:rPr>
          <w:bCs/>
        </w:rPr>
        <w:t>A</w:t>
      </w:r>
      <w:r w:rsidR="00CD1778">
        <w:rPr>
          <w:bCs/>
        </w:rPr>
        <w:t>pproach to Data Capability</w:t>
      </w:r>
      <w:bookmarkEnd w:id="13"/>
    </w:p>
    <w:p w14:paraId="382D98EE" w14:textId="1A8F7C50" w:rsidR="00805960" w:rsidRDefault="00805960" w:rsidP="000532C3">
      <w:pPr>
        <w:spacing w:line="360" w:lineRule="auto"/>
      </w:pPr>
      <w:r>
        <w:t xml:space="preserve">Working with the </w:t>
      </w:r>
      <w:r w:rsidR="008B6EEB">
        <w:t xml:space="preserve">APS Data Capability Framework </w:t>
      </w:r>
      <w:r>
        <w:t>and in alignment with the APS Data Professional Stream Strategy</w:t>
      </w:r>
      <w:r w:rsidR="00EB7111">
        <w:rPr>
          <w:rStyle w:val="FootnoteReference"/>
        </w:rPr>
        <w:footnoteReference w:id="6"/>
      </w:r>
      <w:r>
        <w:t>, we will up</w:t>
      </w:r>
      <w:r w:rsidR="006B4ED0" w:rsidRPr="006B4ED0">
        <w:t xml:space="preserve">lift </w:t>
      </w:r>
      <w:r>
        <w:t xml:space="preserve">our staff’s </w:t>
      </w:r>
      <w:r w:rsidR="006B4ED0" w:rsidRPr="006B4ED0">
        <w:t>data capabilit</w:t>
      </w:r>
      <w:r w:rsidR="00101C8D">
        <w:t>ies</w:t>
      </w:r>
      <w:r w:rsidR="006B4ED0" w:rsidRPr="006B4ED0">
        <w:t xml:space="preserve"> </w:t>
      </w:r>
      <w:r>
        <w:t xml:space="preserve">by clearly defining our required </w:t>
      </w:r>
      <w:r w:rsidR="006B4ED0" w:rsidRPr="006B4ED0">
        <w:t>data capabilities, increasing diversity and mobility of people in data roles, and creating career pathways and development opportunities.</w:t>
      </w:r>
    </w:p>
    <w:p w14:paraId="48426D2C" w14:textId="32C8CC91" w:rsidR="006B4ED0" w:rsidRPr="006B4ED0" w:rsidRDefault="006B4ED0" w:rsidP="000532C3">
      <w:pPr>
        <w:spacing w:line="360" w:lineRule="auto"/>
      </w:pPr>
      <w:r w:rsidRPr="006B4ED0">
        <w:t>We aim to attract, develop, and retain the data capabilities required to harness the unprecedented growth in the availability and value of data.</w:t>
      </w:r>
    </w:p>
    <w:p w14:paraId="08F3B7AD" w14:textId="7CDAB827" w:rsidR="00101C8D" w:rsidRDefault="00101C8D" w:rsidP="000532C3">
      <w:pPr>
        <w:spacing w:line="360" w:lineRule="auto"/>
        <w:ind w:left="567" w:right="848"/>
        <w:rPr>
          <w:i/>
          <w:iCs/>
        </w:rPr>
      </w:pPr>
      <w:r w:rsidRPr="000532C3">
        <w:rPr>
          <w:i/>
          <w:iCs/>
        </w:rPr>
        <w:t>Ensuring the Australian Public Service (APS) has the right capabilities to use data is a key enabler to government leveraging the benefits of data and delivering quality services and outcomes to Australian</w:t>
      </w:r>
      <w:r w:rsidR="000532C3" w:rsidRPr="000532C3">
        <w:rPr>
          <w:i/>
          <w:iCs/>
        </w:rPr>
        <w:t>s.</w:t>
      </w:r>
      <w:r w:rsidR="00FB12E7">
        <w:rPr>
          <w:rStyle w:val="FootnoteReference"/>
          <w:i/>
          <w:iCs/>
        </w:rPr>
        <w:footnoteReference w:id="7"/>
      </w:r>
    </w:p>
    <w:p w14:paraId="7A560478" w14:textId="6ED1B93C" w:rsidR="00C1304B" w:rsidRPr="000532C3" w:rsidRDefault="00BB119A" w:rsidP="00083B11">
      <w:pPr>
        <w:spacing w:after="1080" w:line="360" w:lineRule="auto"/>
        <w:ind w:right="848"/>
        <w:rPr>
          <w:i/>
          <w:iCs/>
        </w:rPr>
      </w:pPr>
      <w:r>
        <w:t xml:space="preserve">This </w:t>
      </w:r>
      <w:r w:rsidR="00D20226">
        <w:t>approach</w:t>
      </w:r>
      <w:r w:rsidR="00945732">
        <w:t xml:space="preserve"> emphasises </w:t>
      </w:r>
      <w:r>
        <w:t>our responsibility</w:t>
      </w:r>
      <w:r w:rsidR="00C1304B" w:rsidRPr="00BB119A">
        <w:t xml:space="preserve"> </w:t>
      </w:r>
      <w:r w:rsidR="00184B04">
        <w:t>for</w:t>
      </w:r>
      <w:r w:rsidR="00C1304B" w:rsidRPr="00BB119A">
        <w:t xml:space="preserve"> </w:t>
      </w:r>
      <w:r w:rsidR="00C539F6" w:rsidRPr="00BB119A">
        <w:t xml:space="preserve">all DEWR </w:t>
      </w:r>
      <w:r w:rsidR="003D00E5">
        <w:t>Senior Executive Service (SES)</w:t>
      </w:r>
      <w:r w:rsidR="00B539F2">
        <w:t xml:space="preserve"> </w:t>
      </w:r>
      <w:r w:rsidR="00184B04">
        <w:rPr>
          <w:rFonts w:ascii="Segoe UI" w:hAnsi="Segoe UI" w:cs="Segoe UI"/>
          <w:sz w:val="20"/>
          <w:szCs w:val="20"/>
        </w:rPr>
        <w:t>to</w:t>
      </w:r>
      <w:r w:rsidR="00E91AA0">
        <w:rPr>
          <w:rFonts w:ascii="Segoe UI" w:hAnsi="Segoe UI" w:cs="Segoe UI"/>
          <w:sz w:val="20"/>
          <w:szCs w:val="20"/>
        </w:rPr>
        <w:t xml:space="preserve"> </w:t>
      </w:r>
      <w:r w:rsidR="00A02C5F">
        <w:rPr>
          <w:rFonts w:ascii="Segoe UI" w:hAnsi="Segoe UI" w:cs="Segoe UI"/>
          <w:i/>
          <w:iCs/>
          <w:sz w:val="20"/>
          <w:szCs w:val="20"/>
        </w:rPr>
        <w:t>e</w:t>
      </w:r>
      <w:r w:rsidR="00C1304B">
        <w:rPr>
          <w:rFonts w:ascii="Segoe UI" w:hAnsi="Segoe UI" w:cs="Segoe UI"/>
          <w:i/>
          <w:iCs/>
          <w:sz w:val="20"/>
          <w:szCs w:val="20"/>
        </w:rPr>
        <w:t>ncourage and motivate people to engage in continuous learning to increase baseline data skills</w:t>
      </w:r>
      <w:r w:rsidR="00854043">
        <w:rPr>
          <w:rFonts w:ascii="Segoe UI" w:hAnsi="Segoe UI" w:cs="Segoe UI"/>
          <w:i/>
          <w:iCs/>
          <w:sz w:val="20"/>
          <w:szCs w:val="20"/>
        </w:rPr>
        <w:t>.</w:t>
      </w:r>
      <w:r w:rsidR="00F32E16">
        <w:rPr>
          <w:rStyle w:val="FootnoteReference"/>
          <w:rFonts w:ascii="Segoe UI" w:hAnsi="Segoe UI" w:cs="Segoe UI"/>
          <w:i/>
          <w:iCs/>
          <w:sz w:val="20"/>
          <w:szCs w:val="20"/>
        </w:rPr>
        <w:footnoteReference w:id="8"/>
      </w:r>
    </w:p>
    <w:p w14:paraId="3677BBB0" w14:textId="2303A791" w:rsidR="00A75A0D" w:rsidRPr="005C594F" w:rsidRDefault="00A75A0D" w:rsidP="00A75A0D">
      <w:pPr>
        <w:pStyle w:val="Subtitle"/>
        <w:pBdr>
          <w:top w:val="single" w:sz="4" w:space="1" w:color="auto"/>
          <w:left w:val="single" w:sz="4" w:space="4" w:color="auto"/>
          <w:bottom w:val="single" w:sz="4" w:space="1" w:color="auto"/>
          <w:right w:val="single" w:sz="4" w:space="31" w:color="auto"/>
        </w:pBdr>
        <w:ind w:left="567" w:right="1689"/>
        <w:rPr>
          <w:b/>
          <w:bCs/>
        </w:rPr>
      </w:pPr>
      <w:r>
        <w:rPr>
          <w:noProof/>
        </w:rPr>
        <w:drawing>
          <wp:anchor distT="0" distB="0" distL="114300" distR="114300" simplePos="0" relativeHeight="251658241" behindDoc="0" locked="0" layoutInCell="1" allowOverlap="1" wp14:anchorId="3596432F" wp14:editId="68CF2EC0">
            <wp:simplePos x="0" y="0"/>
            <wp:positionH relativeFrom="margin">
              <wp:posOffset>5213350</wp:posOffset>
            </wp:positionH>
            <wp:positionV relativeFrom="paragraph">
              <wp:posOffset>41275</wp:posOffset>
            </wp:positionV>
            <wp:extent cx="784225" cy="696595"/>
            <wp:effectExtent l="0" t="0" r="0" b="8255"/>
            <wp:wrapNone/>
            <wp:docPr id="137526938" name="Picture 1375269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6938" name="Picture 137526938">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4225" cy="69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94F">
        <w:rPr>
          <w:b/>
          <w:bCs/>
        </w:rPr>
        <w:t>Our commitment</w:t>
      </w:r>
    </w:p>
    <w:p w14:paraId="2A6831C5" w14:textId="1EA20541" w:rsidR="00A75A0D" w:rsidRDefault="00A75A0D" w:rsidP="00A75A0D">
      <w:pPr>
        <w:pBdr>
          <w:top w:val="single" w:sz="4" w:space="1" w:color="auto"/>
          <w:left w:val="single" w:sz="4" w:space="4" w:color="auto"/>
          <w:bottom w:val="single" w:sz="4" w:space="1" w:color="auto"/>
          <w:right w:val="single" w:sz="4" w:space="31" w:color="auto"/>
        </w:pBdr>
        <w:ind w:left="567" w:right="1689"/>
      </w:pPr>
      <w:r>
        <w:t xml:space="preserve">It is our expectation that everyone in the Department </w:t>
      </w:r>
      <w:r w:rsidRPr="00C21FD3">
        <w:t>has some data</w:t>
      </w:r>
      <w:r>
        <w:t xml:space="preserve"> literacy and data confidence.</w:t>
      </w:r>
    </w:p>
    <w:p w14:paraId="0EF4A6A3" w14:textId="1CDB06E9" w:rsidR="00E043B4" w:rsidRDefault="00E043B4" w:rsidP="00CD1778">
      <w:pPr>
        <w:pStyle w:val="Heading1"/>
        <w:pageBreakBefore/>
        <w:spacing w:before="120" w:after="120"/>
        <w:rPr>
          <w:bCs/>
        </w:rPr>
      </w:pPr>
      <w:bookmarkStart w:id="14" w:name="_Toc170909494"/>
      <w:r w:rsidRPr="00E043B4">
        <w:rPr>
          <w:bCs/>
        </w:rPr>
        <w:t>Data Organisational Model</w:t>
      </w:r>
      <w:bookmarkEnd w:id="14"/>
      <w:r w:rsidR="0079106B">
        <w:rPr>
          <w:bCs/>
        </w:rPr>
        <w:t xml:space="preserve"> </w:t>
      </w:r>
    </w:p>
    <w:p w14:paraId="307B7450" w14:textId="79E4DE69" w:rsidR="00E043B4" w:rsidRDefault="008352BE" w:rsidP="00E043B4">
      <w:pPr>
        <w:spacing w:line="360" w:lineRule="auto"/>
      </w:pPr>
      <w:r>
        <w:t xml:space="preserve">The </w:t>
      </w:r>
      <w:r w:rsidR="00860DFF">
        <w:t>Department</w:t>
      </w:r>
      <w:r>
        <w:t xml:space="preserve"> has committed to data as a priority by establishing a Chief Data Officer. This role will be further supported by the implementation of a Data Hub and Spoke organisational model to implement the </w:t>
      </w:r>
      <w:r w:rsidR="00E043B4" w:rsidRPr="00E043B4">
        <w:t>data strategy</w:t>
      </w:r>
      <w:r>
        <w:t>.</w:t>
      </w:r>
    </w:p>
    <w:p w14:paraId="4702B478" w14:textId="7EBC3279" w:rsidR="008352BE" w:rsidRDefault="008352BE" w:rsidP="00E043B4">
      <w:pPr>
        <w:spacing w:line="360" w:lineRule="auto"/>
      </w:pPr>
      <w:r w:rsidRPr="008352BE">
        <w:t>The </w:t>
      </w:r>
      <w:r>
        <w:t xml:space="preserve">data </w:t>
      </w:r>
      <w:r w:rsidRPr="008352BE">
        <w:t>hub-and-spoke model enables a centralized “</w:t>
      </w:r>
      <w:r>
        <w:t xml:space="preserve">data </w:t>
      </w:r>
      <w:r w:rsidRPr="008352BE">
        <w:t xml:space="preserve">hub” </w:t>
      </w:r>
      <w:r w:rsidR="00DC7914">
        <w:t>to</w:t>
      </w:r>
      <w:r w:rsidRPr="008352BE">
        <w:t xml:space="preserve"> </w:t>
      </w:r>
      <w:r>
        <w:t>promot</w:t>
      </w:r>
      <w:r w:rsidR="00DC7914">
        <w:t>e</w:t>
      </w:r>
      <w:r>
        <w:t xml:space="preserve"> data best practice</w:t>
      </w:r>
      <w:r w:rsidR="00DC7914">
        <w:t>s</w:t>
      </w:r>
      <w:r>
        <w:t xml:space="preserve">, the development of data </w:t>
      </w:r>
      <w:r w:rsidR="002854E4">
        <w:t>strategies and policies, and</w:t>
      </w:r>
      <w:r>
        <w:t xml:space="preserve"> managing strategic data projects. The “data spokes” are teams located with the business streams, focus</w:t>
      </w:r>
      <w:r w:rsidR="00DC7914">
        <w:t>ing</w:t>
      </w:r>
      <w:r>
        <w:t xml:space="preserve"> on producing data services within their data specialty</w:t>
      </w:r>
      <w:r w:rsidR="00DC7914">
        <w:t xml:space="preserve"> consistent with the data</w:t>
      </w:r>
      <w:r w:rsidR="002854E4">
        <w:t xml:space="preserve"> priorities and</w:t>
      </w:r>
      <w:r w:rsidR="00DC7914">
        <w:t xml:space="preserve"> policies</w:t>
      </w:r>
      <w:r>
        <w:t>.</w:t>
      </w:r>
    </w:p>
    <w:p w14:paraId="60B859C2" w14:textId="3FD4BCB5" w:rsidR="008352BE" w:rsidRDefault="008352BE" w:rsidP="00E043B4">
      <w:pPr>
        <w:spacing w:line="360" w:lineRule="auto"/>
      </w:pPr>
      <w:r>
        <w:t xml:space="preserve">The data hub and spoke model is a wheel, </w:t>
      </w:r>
      <w:r w:rsidR="00CB0B0B">
        <w:t xml:space="preserve">we are only as strong as our weakest link. The data organisational model supports all staff to do more with data, </w:t>
      </w:r>
      <w:r>
        <w:t>where everyone one has a part to play in using data</w:t>
      </w:r>
      <w:r w:rsidR="00CB0B0B">
        <w:t xml:space="preserve"> efficient</w:t>
      </w:r>
      <w:r w:rsidR="00CD25A8">
        <w:t>ly</w:t>
      </w:r>
      <w:r w:rsidR="00CB0B0B">
        <w:t xml:space="preserve"> and effectively to deliver on our data vision.</w:t>
      </w:r>
    </w:p>
    <w:p w14:paraId="2C176FEC" w14:textId="655A59DE" w:rsidR="00B741D8" w:rsidRDefault="00E043B4" w:rsidP="00083B11">
      <w:pPr>
        <w:pStyle w:val="Caption"/>
        <w:keepNext/>
        <w:spacing w:before="120" w:after="240"/>
        <w:sectPr w:rsidR="00B741D8" w:rsidSect="00D4588E">
          <w:headerReference w:type="even" r:id="rId23"/>
          <w:headerReference w:type="default" r:id="rId24"/>
          <w:footerReference w:type="default" r:id="rId25"/>
          <w:headerReference w:type="first" r:id="rId26"/>
          <w:pgSz w:w="11906" w:h="16838"/>
          <w:pgMar w:top="1418" w:right="1418" w:bottom="1418" w:left="1418" w:header="57" w:footer="567" w:gutter="0"/>
          <w:cols w:space="708"/>
          <w:docGrid w:linePitch="360"/>
        </w:sectPr>
      </w:pPr>
      <w:r>
        <w:t xml:space="preserve">Picture </w:t>
      </w:r>
      <w:r>
        <w:fldChar w:fldCharType="begin"/>
      </w:r>
      <w:r>
        <w:instrText>SEQ Picture \* ARABIC</w:instrText>
      </w:r>
      <w:r>
        <w:fldChar w:fldCharType="separate"/>
      </w:r>
      <w:r w:rsidR="00362041">
        <w:rPr>
          <w:noProof/>
        </w:rPr>
        <w:t>1</w:t>
      </w:r>
      <w:r>
        <w:fldChar w:fldCharType="end"/>
      </w:r>
      <w:r>
        <w:t>: DEWR’s Hub and Spoke Model</w:t>
      </w:r>
      <w:r w:rsidR="004143BB">
        <w:rPr>
          <w:noProof/>
        </w:rPr>
        <w:drawing>
          <wp:inline distT="0" distB="0" distL="0" distR="0" wp14:anchorId="05DB5EE3" wp14:editId="0FAAFE5A">
            <wp:extent cx="5060950" cy="5060950"/>
            <wp:effectExtent l="0" t="0" r="6350" b="6350"/>
            <wp:docPr id="2053049858" name="Graphic 2053049858" descr="Diagram displaying DEWR Data hub-and-spoke model in a wheel shape. Chief Data Officer Branch is the centre as the data hub, and is surrounded by the various data spokes. Refer to body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49858" name="Graphic 2053049858" descr="Diagram displaying DEWR Data hub-and-spoke model in a wheel shape. Chief Data Officer Branch is the centre as the data hub, and is surrounded by the various data spokes. Refer to body text. "/>
                    <pic:cNvPicPr/>
                  </pic:nvPicPr>
                  <pic:blipFill>
                    <a:blip r:embed="rId27">
                      <a:extLst>
                        <a:ext uri="{96DAC541-7B7A-43D3-8B79-37D633B846F1}">
                          <asvg:svgBlip xmlns:asvg="http://schemas.microsoft.com/office/drawing/2016/SVG/main" r:embed="rId28"/>
                        </a:ext>
                      </a:extLst>
                    </a:blip>
                    <a:stretch>
                      <a:fillRect/>
                    </a:stretch>
                  </pic:blipFill>
                  <pic:spPr>
                    <a:xfrm>
                      <a:off x="0" y="0"/>
                      <a:ext cx="5060950" cy="5060950"/>
                    </a:xfrm>
                    <a:prstGeom prst="rect">
                      <a:avLst/>
                    </a:prstGeom>
                  </pic:spPr>
                </pic:pic>
              </a:graphicData>
            </a:graphic>
          </wp:inline>
        </w:drawing>
      </w:r>
      <w:r w:rsidR="004E6C17">
        <w:br w:type="page"/>
      </w:r>
      <w:r w:rsidR="0033474C" w:rsidRPr="0033474C">
        <w:rPr>
          <w:noProof/>
        </w:rPr>
        <w:drawing>
          <wp:inline distT="0" distB="0" distL="0" distR="0" wp14:anchorId="13649D27" wp14:editId="56368A31">
            <wp:extent cx="6284595" cy="8926195"/>
            <wp:effectExtent l="0" t="0" r="1905" b="8255"/>
            <wp:docPr id="1062605568" name="Picture 1" descr="Diagram describing DEWR data priorities to deliver on Data Vision and Data culture with four components. Refer to body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05568" name="Picture 1" descr="Diagram describing DEWR data priorities to deliver on Data Vision and Data culture with four components. Refer to body text.&#10;"/>
                    <pic:cNvPicPr/>
                  </pic:nvPicPr>
                  <pic:blipFill>
                    <a:blip r:embed="rId29"/>
                    <a:stretch>
                      <a:fillRect/>
                    </a:stretch>
                  </pic:blipFill>
                  <pic:spPr>
                    <a:xfrm>
                      <a:off x="0" y="0"/>
                      <a:ext cx="6284595" cy="8926195"/>
                    </a:xfrm>
                    <a:prstGeom prst="rect">
                      <a:avLst/>
                    </a:prstGeom>
                  </pic:spPr>
                </pic:pic>
              </a:graphicData>
            </a:graphic>
          </wp:inline>
        </w:drawing>
      </w:r>
    </w:p>
    <w:tbl>
      <w:tblPr>
        <w:tblStyle w:val="TableGrid"/>
        <w:tblpPr w:leftFromText="180" w:rightFromText="180" w:tblpY="413"/>
        <w:tblW w:w="14391" w:type="dxa"/>
        <w:shd w:val="clear" w:color="auto" w:fill="621F5C" w:themeFill="accent3"/>
        <w:tblLook w:val="04A0" w:firstRow="1" w:lastRow="0" w:firstColumn="1" w:lastColumn="0" w:noHBand="0" w:noVBand="1"/>
      </w:tblPr>
      <w:tblGrid>
        <w:gridCol w:w="5524"/>
        <w:gridCol w:w="8867"/>
      </w:tblGrid>
      <w:tr w:rsidR="00ED194B" w:rsidRPr="004D14B3" w14:paraId="707241D8" w14:textId="171AC384" w:rsidTr="00F46679">
        <w:trPr>
          <w:trHeight w:val="7503"/>
          <w:tblHeader/>
        </w:trPr>
        <w:tc>
          <w:tcPr>
            <w:tcW w:w="5524" w:type="dxa"/>
            <w:shd w:val="clear" w:color="auto" w:fill="647F3D"/>
          </w:tcPr>
          <w:p w14:paraId="25C4C639" w14:textId="169C5F6A" w:rsidR="00ED194B" w:rsidRPr="006F36BE" w:rsidRDefault="00ED194B" w:rsidP="00D86107">
            <w:pPr>
              <w:pStyle w:val="Heading1"/>
              <w:spacing w:after="120" w:line="240" w:lineRule="auto"/>
              <w:rPr>
                <w:color w:val="FFFFFF" w:themeColor="background1"/>
                <w:sz w:val="36"/>
                <w:szCs w:val="36"/>
              </w:rPr>
            </w:pPr>
            <w:bookmarkStart w:id="15" w:name="_Toc170909495"/>
            <w:r w:rsidRPr="006F36BE">
              <w:rPr>
                <w:color w:val="FFFFFF" w:themeColor="background1"/>
                <w:sz w:val="36"/>
                <w:szCs w:val="36"/>
              </w:rPr>
              <w:t>Building on our Data Governance Foundations</w:t>
            </w:r>
            <w:bookmarkEnd w:id="15"/>
          </w:p>
          <w:p w14:paraId="43B13467" w14:textId="2A27DEBA" w:rsidR="00ED194B" w:rsidRPr="004D14B3" w:rsidRDefault="00ED194B" w:rsidP="00F30FDC">
            <w:pPr>
              <w:spacing w:line="240" w:lineRule="auto"/>
              <w:ind w:left="164" w:right="307"/>
              <w:rPr>
                <w:color w:val="FFFFFF" w:themeColor="background1"/>
              </w:rPr>
            </w:pPr>
            <w:r w:rsidRPr="004D14B3">
              <w:rPr>
                <w:color w:val="FFFFFF" w:themeColor="background1"/>
              </w:rPr>
              <w:t xml:space="preserve">To fully realise the value of our data, and the insights our data can provide, we need to sure up our </w:t>
            </w:r>
            <w:r w:rsidRPr="004D14B3">
              <w:rPr>
                <w:i/>
                <w:iCs/>
                <w:color w:val="FFFFFF" w:themeColor="background1"/>
              </w:rPr>
              <w:t>Data Foundations</w:t>
            </w:r>
            <w:r w:rsidRPr="004D14B3">
              <w:rPr>
                <w:color w:val="FFFFFF" w:themeColor="background1"/>
              </w:rPr>
              <w:t>.</w:t>
            </w:r>
          </w:p>
          <w:p w14:paraId="5599F0C5" w14:textId="0DB00CB6" w:rsidR="00ED194B" w:rsidRPr="00F564C7" w:rsidRDefault="00ED194B" w:rsidP="00EB3B34">
            <w:pPr>
              <w:tabs>
                <w:tab w:val="left" w:pos="3170"/>
              </w:tabs>
              <w:spacing w:after="240" w:line="240" w:lineRule="auto"/>
              <w:ind w:left="166" w:right="176"/>
              <w:rPr>
                <w:b/>
                <w:bCs/>
                <w:color w:val="FFFFFF" w:themeColor="background1"/>
              </w:rPr>
            </w:pPr>
            <w:r w:rsidRPr="00F564C7">
              <w:rPr>
                <w:b/>
                <w:bCs/>
                <w:color w:val="FFFFFF" w:themeColor="background1"/>
              </w:rPr>
              <w:t>Aims:</w:t>
            </w:r>
            <w:r w:rsidR="00EB3B34">
              <w:rPr>
                <w:b/>
                <w:bCs/>
                <w:color w:val="FFFFFF" w:themeColor="background1"/>
              </w:rPr>
              <w:tab/>
            </w:r>
          </w:p>
          <w:p w14:paraId="46D735E0" w14:textId="77777777" w:rsidR="00ED194B" w:rsidRDefault="00ED194B" w:rsidP="00F30FDC">
            <w:pPr>
              <w:pStyle w:val="ListParagraph"/>
              <w:numPr>
                <w:ilvl w:val="0"/>
                <w:numId w:val="15"/>
              </w:numPr>
              <w:spacing w:line="240" w:lineRule="auto"/>
              <w:ind w:right="176"/>
              <w:contextualSpacing w:val="0"/>
              <w:rPr>
                <w:color w:val="FFFFFF" w:themeColor="background1"/>
              </w:rPr>
            </w:pPr>
            <w:r w:rsidRPr="004447F9">
              <w:rPr>
                <w:color w:val="FFFFFF" w:themeColor="background1"/>
              </w:rPr>
              <w:t>Transparent accountability and oversight of our data management practices.</w:t>
            </w:r>
          </w:p>
          <w:p w14:paraId="30CD8D43" w14:textId="6637B9BA" w:rsidR="00ED194B" w:rsidRPr="004447F9" w:rsidRDefault="00ED194B" w:rsidP="00F30FDC">
            <w:pPr>
              <w:pStyle w:val="ListParagraph"/>
              <w:numPr>
                <w:ilvl w:val="0"/>
                <w:numId w:val="15"/>
              </w:numPr>
              <w:spacing w:line="240" w:lineRule="auto"/>
              <w:ind w:right="176"/>
              <w:contextualSpacing w:val="0"/>
              <w:rPr>
                <w:color w:val="FFFFFF" w:themeColor="background1"/>
              </w:rPr>
            </w:pPr>
            <w:r w:rsidRPr="004447F9">
              <w:rPr>
                <w:color w:val="FFFFFF" w:themeColor="background1"/>
              </w:rPr>
              <w:t xml:space="preserve">Clear articulation of our data policies, </w:t>
            </w:r>
            <w:r w:rsidR="00E8571F">
              <w:rPr>
                <w:color w:val="FFFFFF" w:themeColor="background1"/>
              </w:rPr>
              <w:t>procedures</w:t>
            </w:r>
            <w:r w:rsidRPr="004447F9">
              <w:rPr>
                <w:color w:val="FFFFFF" w:themeColor="background1"/>
              </w:rPr>
              <w:t xml:space="preserve"> and standards used to manage our data assets.</w:t>
            </w:r>
          </w:p>
          <w:p w14:paraId="58B11E60" w14:textId="77777777" w:rsidR="00ED194B" w:rsidRPr="004447F9" w:rsidRDefault="00ED194B" w:rsidP="00F30FDC">
            <w:pPr>
              <w:pStyle w:val="ListParagraph"/>
              <w:numPr>
                <w:ilvl w:val="0"/>
                <w:numId w:val="15"/>
              </w:numPr>
              <w:spacing w:line="240" w:lineRule="auto"/>
              <w:ind w:right="176"/>
              <w:contextualSpacing w:val="0"/>
              <w:rPr>
                <w:color w:val="FFFFFF" w:themeColor="background1"/>
              </w:rPr>
            </w:pPr>
            <w:r w:rsidRPr="004447F9">
              <w:rPr>
                <w:color w:val="FFFFFF" w:themeColor="background1"/>
              </w:rPr>
              <w:t>Documentation of data capture, management, and quality, ensuring trust in our use and storage of data.</w:t>
            </w:r>
          </w:p>
          <w:p w14:paraId="4F14EA6D" w14:textId="02DD0CE9" w:rsidR="00ED194B" w:rsidRPr="004D14B3" w:rsidRDefault="00ED194B" w:rsidP="00F30FDC">
            <w:pPr>
              <w:pStyle w:val="ListParagraph"/>
              <w:numPr>
                <w:ilvl w:val="0"/>
                <w:numId w:val="15"/>
              </w:numPr>
              <w:spacing w:line="240" w:lineRule="auto"/>
              <w:rPr>
                <w:color w:val="FFFFFF" w:themeColor="background1"/>
              </w:rPr>
            </w:pPr>
            <w:r w:rsidRPr="004447F9">
              <w:rPr>
                <w:color w:val="FFFFFF" w:themeColor="background1"/>
              </w:rPr>
              <w:t>All staff understand their privacy responsibilities and how they relate to data</w:t>
            </w:r>
            <w:r w:rsidR="00E8571F">
              <w:rPr>
                <w:color w:val="FFFFFF" w:themeColor="background1"/>
              </w:rPr>
              <w:t>.</w:t>
            </w:r>
          </w:p>
        </w:tc>
        <w:tc>
          <w:tcPr>
            <w:tcW w:w="8867" w:type="dxa"/>
            <w:shd w:val="clear" w:color="auto" w:fill="auto"/>
          </w:tcPr>
          <w:p w14:paraId="18F1737E" w14:textId="77777777" w:rsidR="00ED194B" w:rsidRPr="00341A37" w:rsidRDefault="00ED194B" w:rsidP="00F30FDC">
            <w:pPr>
              <w:pStyle w:val="Subtitle"/>
              <w:spacing w:after="120"/>
              <w:ind w:left="171"/>
              <w:rPr>
                <w:b/>
                <w:bCs/>
                <w:color w:val="647F3D"/>
              </w:rPr>
            </w:pPr>
            <w:r w:rsidRPr="00341A37">
              <w:rPr>
                <w:b/>
                <w:bCs/>
                <w:color w:val="647F3D"/>
              </w:rPr>
              <w:t>DEWR’s future state</w:t>
            </w:r>
          </w:p>
          <w:p w14:paraId="01E85E0D" w14:textId="77777777" w:rsidR="00ED194B" w:rsidRDefault="00ED194B" w:rsidP="007E4CEA">
            <w:pPr>
              <w:pStyle w:val="ListParagraph"/>
              <w:numPr>
                <w:ilvl w:val="0"/>
                <w:numId w:val="16"/>
              </w:numPr>
              <w:spacing w:after="60" w:line="240" w:lineRule="auto"/>
              <w:ind w:left="714" w:right="32" w:hanging="357"/>
              <w:contextualSpacing w:val="0"/>
            </w:pPr>
            <w:r>
              <w:t>All staff understand their data roles, responsibilities of our data management practice, including an understanding privacy obligations and ethical data use.</w:t>
            </w:r>
          </w:p>
          <w:p w14:paraId="4A6CD1D1" w14:textId="7FD9E70F" w:rsidR="00ED194B" w:rsidRDefault="00ED194B" w:rsidP="007E4CEA">
            <w:pPr>
              <w:pStyle w:val="ListParagraph"/>
              <w:numPr>
                <w:ilvl w:val="0"/>
                <w:numId w:val="16"/>
              </w:numPr>
              <w:spacing w:after="60" w:line="240" w:lineRule="auto"/>
              <w:ind w:left="714" w:right="32" w:hanging="357"/>
              <w:contextualSpacing w:val="0"/>
            </w:pPr>
            <w:r>
              <w:t xml:space="preserve">Data policies, </w:t>
            </w:r>
            <w:r w:rsidR="00C979E8">
              <w:t>procedures</w:t>
            </w:r>
            <w:r>
              <w:t>, and standards, are developed, clearly articulated, shared, and used by all to manage our data assets.</w:t>
            </w:r>
          </w:p>
          <w:p w14:paraId="4BBA2880" w14:textId="039849B6" w:rsidR="00ED194B" w:rsidRDefault="00ED194B" w:rsidP="007E4CEA">
            <w:pPr>
              <w:pStyle w:val="ListParagraph"/>
              <w:numPr>
                <w:ilvl w:val="0"/>
                <w:numId w:val="16"/>
              </w:numPr>
              <w:spacing w:after="60" w:line="240" w:lineRule="auto"/>
              <w:ind w:left="714" w:right="32" w:hanging="357"/>
              <w:contextualSpacing w:val="0"/>
            </w:pPr>
            <w:r>
              <w:t xml:space="preserve">The </w:t>
            </w:r>
            <w:r w:rsidR="00860DFF">
              <w:t>Department</w:t>
            </w:r>
            <w:r>
              <w:t xml:space="preserve"> is prepared for the Data Availability and Transparency Act, becoming an accredited user, and using the Office of the National Data Commissioner’s (ONDC) </w:t>
            </w:r>
            <w:proofErr w:type="spellStart"/>
            <w:r>
              <w:t>DataPlace</w:t>
            </w:r>
            <w:proofErr w:type="spellEnd"/>
            <w:r>
              <w:t>.</w:t>
            </w:r>
          </w:p>
          <w:p w14:paraId="3FB0A4B8" w14:textId="1EE48117" w:rsidR="00ED194B" w:rsidRDefault="00ED194B" w:rsidP="007E4CEA">
            <w:pPr>
              <w:pStyle w:val="ListParagraph"/>
              <w:numPr>
                <w:ilvl w:val="0"/>
                <w:numId w:val="16"/>
              </w:numPr>
              <w:spacing w:after="60" w:line="240" w:lineRule="auto"/>
              <w:ind w:left="714" w:hanging="357"/>
              <w:contextualSpacing w:val="0"/>
            </w:pPr>
            <w:r>
              <w:t xml:space="preserve">The </w:t>
            </w:r>
            <w:r w:rsidR="00860DFF">
              <w:t>Department</w:t>
            </w:r>
            <w:r>
              <w:t xml:space="preserve"> actively contributes to Whole of Government data initiatives, such as Closing the Gap Priority Reform 4, gender statistics and disability data in a coordinated and considered way.</w:t>
            </w:r>
          </w:p>
          <w:p w14:paraId="734A378B" w14:textId="2281A37F" w:rsidR="00ED194B" w:rsidRPr="00341A37" w:rsidRDefault="00ED194B" w:rsidP="00F30FDC">
            <w:pPr>
              <w:pStyle w:val="Subtitle"/>
              <w:spacing w:after="120"/>
              <w:ind w:left="171"/>
              <w:rPr>
                <w:b/>
                <w:bCs/>
                <w:color w:val="647F3D"/>
                <w:sz w:val="24"/>
                <w:szCs w:val="24"/>
              </w:rPr>
            </w:pPr>
            <w:bookmarkStart w:id="16" w:name="_Toc149746253"/>
            <w:r w:rsidRPr="00341A37">
              <w:rPr>
                <w:b/>
                <w:bCs/>
                <w:color w:val="647F3D"/>
                <w:sz w:val="24"/>
                <w:szCs w:val="24"/>
              </w:rPr>
              <w:t>Implement</w:t>
            </w:r>
            <w:r w:rsidR="00480C3B" w:rsidRPr="00341A37">
              <w:rPr>
                <w:b/>
                <w:bCs/>
                <w:color w:val="647F3D"/>
                <w:sz w:val="24"/>
                <w:szCs w:val="24"/>
              </w:rPr>
              <w:t>at</w:t>
            </w:r>
            <w:r w:rsidRPr="00341A37">
              <w:rPr>
                <w:b/>
                <w:bCs/>
                <w:color w:val="647F3D"/>
                <w:sz w:val="24"/>
                <w:szCs w:val="24"/>
              </w:rPr>
              <w:t>i</w:t>
            </w:r>
            <w:r w:rsidR="0065419C" w:rsidRPr="00341A37">
              <w:rPr>
                <w:b/>
                <w:bCs/>
                <w:color w:val="647F3D"/>
                <w:sz w:val="24"/>
                <w:szCs w:val="24"/>
              </w:rPr>
              <w:t>o</w:t>
            </w:r>
            <w:r w:rsidRPr="00341A37">
              <w:rPr>
                <w:b/>
                <w:bCs/>
                <w:color w:val="647F3D"/>
                <w:sz w:val="24"/>
                <w:szCs w:val="24"/>
              </w:rPr>
              <w:t>n priorities</w:t>
            </w:r>
            <w:bookmarkEnd w:id="16"/>
          </w:p>
          <w:tbl>
            <w:tblPr>
              <w:tblStyle w:val="TableGrid"/>
              <w:tblW w:w="7484" w:type="dxa"/>
              <w:tblInd w:w="171" w:type="dxa"/>
              <w:tblLook w:val="04A0" w:firstRow="1" w:lastRow="0" w:firstColumn="1" w:lastColumn="0" w:noHBand="0" w:noVBand="1"/>
            </w:tblPr>
            <w:tblGrid>
              <w:gridCol w:w="3742"/>
              <w:gridCol w:w="3742"/>
            </w:tblGrid>
            <w:tr w:rsidR="0025778B" w14:paraId="20E50896" w14:textId="77777777" w:rsidTr="00341A37">
              <w:trPr>
                <w:trHeight w:val="336"/>
                <w:tblHeader/>
              </w:trPr>
              <w:tc>
                <w:tcPr>
                  <w:tcW w:w="3742" w:type="dxa"/>
                  <w:shd w:val="clear" w:color="auto" w:fill="647F3D"/>
                </w:tcPr>
                <w:p w14:paraId="0141C0A4" w14:textId="77777777" w:rsidR="0025778B" w:rsidRPr="00DC20C6" w:rsidRDefault="0025778B" w:rsidP="0084512D">
                  <w:pPr>
                    <w:framePr w:hSpace="180" w:wrap="around" w:hAnchor="text" w:y="413"/>
                    <w:spacing w:before="10" w:after="10"/>
                    <w:jc w:val="center"/>
                    <w:rPr>
                      <w:b/>
                      <w:bCs/>
                      <w:color w:val="FFFFFF" w:themeColor="background1"/>
                    </w:rPr>
                  </w:pPr>
                  <w:r w:rsidRPr="00DC20C6">
                    <w:rPr>
                      <w:b/>
                      <w:bCs/>
                      <w:color w:val="FFFFFF" w:themeColor="background1"/>
                    </w:rPr>
                    <w:t>Delivery in 2024</w:t>
                  </w:r>
                </w:p>
              </w:tc>
              <w:tc>
                <w:tcPr>
                  <w:tcW w:w="3742" w:type="dxa"/>
                  <w:shd w:val="clear" w:color="auto" w:fill="647F3D"/>
                </w:tcPr>
                <w:p w14:paraId="528811D8" w14:textId="0F6D993A" w:rsidR="0025778B" w:rsidRPr="00DC20C6" w:rsidRDefault="0025778B" w:rsidP="0084512D">
                  <w:pPr>
                    <w:framePr w:hSpace="180" w:wrap="around" w:hAnchor="text" w:y="413"/>
                    <w:spacing w:before="10" w:after="10"/>
                    <w:jc w:val="center"/>
                    <w:rPr>
                      <w:b/>
                      <w:bCs/>
                      <w:color w:val="FFFFFF" w:themeColor="background1"/>
                    </w:rPr>
                  </w:pPr>
                  <w:r w:rsidRPr="00DC20C6">
                    <w:rPr>
                      <w:b/>
                      <w:bCs/>
                      <w:color w:val="FFFFFF" w:themeColor="background1"/>
                    </w:rPr>
                    <w:t>Delivery in 2025</w:t>
                  </w:r>
                  <w:r w:rsidR="00E9219F">
                    <w:rPr>
                      <w:b/>
                      <w:bCs/>
                      <w:color w:val="FFFFFF" w:themeColor="background1"/>
                    </w:rPr>
                    <w:t>+</w:t>
                  </w:r>
                </w:p>
              </w:tc>
            </w:tr>
            <w:tr w:rsidR="0025778B" w14:paraId="35836F9A" w14:textId="77777777" w:rsidTr="0025778B">
              <w:trPr>
                <w:trHeight w:val="2278"/>
              </w:trPr>
              <w:tc>
                <w:tcPr>
                  <w:tcW w:w="3742" w:type="dxa"/>
                </w:tcPr>
                <w:p w14:paraId="5A6B364A" w14:textId="77777777" w:rsidR="00E91756" w:rsidRDefault="00E91756" w:rsidP="0084512D">
                  <w:pPr>
                    <w:pStyle w:val="ListParagraph"/>
                    <w:framePr w:hSpace="180" w:wrap="around" w:hAnchor="text" w:y="413"/>
                    <w:numPr>
                      <w:ilvl w:val="0"/>
                      <w:numId w:val="26"/>
                    </w:numPr>
                    <w:spacing w:after="60" w:line="240" w:lineRule="auto"/>
                    <w:ind w:left="311" w:hanging="215"/>
                    <w:contextualSpacing w:val="0"/>
                  </w:pPr>
                  <w:r>
                    <w:t>Data Governance Framework</w:t>
                  </w:r>
                </w:p>
                <w:p w14:paraId="34887707" w14:textId="569846AF" w:rsidR="00E91756" w:rsidRDefault="00E91756" w:rsidP="0084512D">
                  <w:pPr>
                    <w:pStyle w:val="ListParagraph"/>
                    <w:framePr w:hSpace="180" w:wrap="around" w:hAnchor="text" w:y="413"/>
                    <w:numPr>
                      <w:ilvl w:val="0"/>
                      <w:numId w:val="26"/>
                    </w:numPr>
                    <w:spacing w:after="60" w:line="240" w:lineRule="auto"/>
                    <w:ind w:left="311" w:hanging="215"/>
                    <w:contextualSpacing w:val="0"/>
                  </w:pPr>
                  <w:r>
                    <w:t>Data Governance Committee</w:t>
                  </w:r>
                </w:p>
                <w:p w14:paraId="2A5CDB4E" w14:textId="67F81D49" w:rsidR="0025778B" w:rsidRDefault="0025778B" w:rsidP="0084512D">
                  <w:pPr>
                    <w:pStyle w:val="ListParagraph"/>
                    <w:framePr w:hSpace="180" w:wrap="around" w:hAnchor="text" w:y="413"/>
                    <w:numPr>
                      <w:ilvl w:val="0"/>
                      <w:numId w:val="26"/>
                    </w:numPr>
                    <w:spacing w:after="60" w:line="240" w:lineRule="auto"/>
                    <w:ind w:left="311" w:hanging="215"/>
                    <w:contextualSpacing w:val="0"/>
                  </w:pPr>
                  <w:r>
                    <w:t xml:space="preserve">Data </w:t>
                  </w:r>
                  <w:r w:rsidR="00BB2D06">
                    <w:t>Policies and Procedures</w:t>
                  </w:r>
                </w:p>
                <w:p w14:paraId="64CB172D" w14:textId="2C1DF41E" w:rsidR="0025778B" w:rsidRDefault="0025778B" w:rsidP="0084512D">
                  <w:pPr>
                    <w:pStyle w:val="ListParagraph"/>
                    <w:framePr w:hSpace="180" w:wrap="around" w:hAnchor="text" w:y="413"/>
                    <w:numPr>
                      <w:ilvl w:val="0"/>
                      <w:numId w:val="26"/>
                    </w:numPr>
                    <w:spacing w:after="60" w:line="240" w:lineRule="auto"/>
                    <w:ind w:left="311" w:hanging="215"/>
                    <w:contextualSpacing w:val="0"/>
                  </w:pPr>
                  <w:r>
                    <w:t xml:space="preserve">Data </w:t>
                  </w:r>
                  <w:r w:rsidR="00BB2D06">
                    <w:t>Standards</w:t>
                  </w:r>
                </w:p>
                <w:p w14:paraId="0A6736D6" w14:textId="711C3926" w:rsidR="0025778B" w:rsidRDefault="0025778B" w:rsidP="0084512D">
                  <w:pPr>
                    <w:pStyle w:val="ListParagraph"/>
                    <w:framePr w:hSpace="180" w:wrap="around" w:hAnchor="text" w:y="413"/>
                    <w:numPr>
                      <w:ilvl w:val="0"/>
                      <w:numId w:val="26"/>
                    </w:numPr>
                    <w:spacing w:after="60" w:line="240" w:lineRule="auto"/>
                    <w:ind w:left="311" w:hanging="215"/>
                    <w:contextualSpacing w:val="0"/>
                  </w:pPr>
                  <w:r>
                    <w:t>DAT Act preparations</w:t>
                  </w:r>
                </w:p>
                <w:p w14:paraId="39FDADDA" w14:textId="77777777" w:rsidR="0025778B" w:rsidRDefault="00E91756" w:rsidP="0084512D">
                  <w:pPr>
                    <w:pStyle w:val="ListParagraph"/>
                    <w:framePr w:hSpace="180" w:wrap="around" w:hAnchor="text" w:y="413"/>
                    <w:numPr>
                      <w:ilvl w:val="0"/>
                      <w:numId w:val="26"/>
                    </w:numPr>
                    <w:spacing w:after="60" w:line="240" w:lineRule="auto"/>
                    <w:ind w:left="311" w:hanging="215"/>
                    <w:contextualSpacing w:val="0"/>
                  </w:pPr>
                  <w:r>
                    <w:t>Data Assets</w:t>
                  </w:r>
                </w:p>
                <w:p w14:paraId="14E61740" w14:textId="77777777" w:rsidR="00E91756" w:rsidRDefault="00E91756" w:rsidP="0084512D">
                  <w:pPr>
                    <w:pStyle w:val="ListParagraph"/>
                    <w:framePr w:hSpace="180" w:wrap="around" w:hAnchor="text" w:y="413"/>
                    <w:numPr>
                      <w:ilvl w:val="0"/>
                      <w:numId w:val="26"/>
                    </w:numPr>
                    <w:spacing w:after="60" w:line="240" w:lineRule="auto"/>
                    <w:ind w:left="311" w:hanging="215"/>
                    <w:contextualSpacing w:val="0"/>
                  </w:pPr>
                  <w:r>
                    <w:t>Data Maturity Assessment</w:t>
                  </w:r>
                </w:p>
                <w:p w14:paraId="23D7E188" w14:textId="6145304E" w:rsidR="007E4CEA" w:rsidRDefault="007E4CEA" w:rsidP="0084512D">
                  <w:pPr>
                    <w:pStyle w:val="ListParagraph"/>
                    <w:framePr w:hSpace="180" w:wrap="around" w:hAnchor="text" w:y="413"/>
                    <w:numPr>
                      <w:ilvl w:val="0"/>
                      <w:numId w:val="26"/>
                    </w:numPr>
                    <w:spacing w:after="60" w:line="240" w:lineRule="auto"/>
                    <w:ind w:left="311" w:hanging="215"/>
                    <w:contextualSpacing w:val="0"/>
                  </w:pPr>
                  <w:r>
                    <w:t>Data Sharing</w:t>
                  </w:r>
                </w:p>
              </w:tc>
              <w:tc>
                <w:tcPr>
                  <w:tcW w:w="3742" w:type="dxa"/>
                </w:tcPr>
                <w:p w14:paraId="18A7A5D8" w14:textId="0A597EE2" w:rsidR="00BB2D06" w:rsidRDefault="00BB2D06" w:rsidP="0084512D">
                  <w:pPr>
                    <w:pStyle w:val="ListParagraph"/>
                    <w:framePr w:hSpace="180" w:wrap="around" w:hAnchor="text" w:y="413"/>
                    <w:numPr>
                      <w:ilvl w:val="0"/>
                      <w:numId w:val="26"/>
                    </w:numPr>
                    <w:spacing w:after="60" w:line="240" w:lineRule="auto"/>
                    <w:ind w:left="311" w:hanging="215"/>
                    <w:contextualSpacing w:val="0"/>
                  </w:pPr>
                  <w:r>
                    <w:t>Data Policies and Procedures</w:t>
                  </w:r>
                </w:p>
                <w:p w14:paraId="01CF0F11" w14:textId="080275C2" w:rsidR="001B4BA8" w:rsidRDefault="001B4BA8" w:rsidP="0084512D">
                  <w:pPr>
                    <w:pStyle w:val="ListParagraph"/>
                    <w:framePr w:hSpace="180" w:wrap="around" w:hAnchor="text" w:y="413"/>
                    <w:numPr>
                      <w:ilvl w:val="0"/>
                      <w:numId w:val="26"/>
                    </w:numPr>
                    <w:spacing w:after="60" w:line="240" w:lineRule="auto"/>
                    <w:ind w:left="311" w:hanging="215"/>
                    <w:contextualSpacing w:val="0"/>
                  </w:pPr>
                  <w:r>
                    <w:t>Data Standards</w:t>
                  </w:r>
                </w:p>
                <w:p w14:paraId="54E2F1A1" w14:textId="746FD86F" w:rsidR="0025778B" w:rsidRDefault="001B4BA8" w:rsidP="0084512D">
                  <w:pPr>
                    <w:pStyle w:val="ListParagraph"/>
                    <w:framePr w:hSpace="180" w:wrap="around" w:hAnchor="text" w:y="413"/>
                    <w:numPr>
                      <w:ilvl w:val="0"/>
                      <w:numId w:val="26"/>
                    </w:numPr>
                    <w:spacing w:after="60" w:line="240" w:lineRule="auto"/>
                    <w:ind w:left="311" w:hanging="215"/>
                    <w:contextualSpacing w:val="0"/>
                  </w:pPr>
                  <w:r>
                    <w:t>Metadata</w:t>
                  </w:r>
                </w:p>
                <w:p w14:paraId="55CB545A" w14:textId="2E683743" w:rsidR="001B4BA8" w:rsidRDefault="001B4BA8" w:rsidP="0084512D">
                  <w:pPr>
                    <w:pStyle w:val="ListParagraph"/>
                    <w:framePr w:hSpace="180" w:wrap="around" w:hAnchor="text" w:y="413"/>
                    <w:numPr>
                      <w:ilvl w:val="0"/>
                      <w:numId w:val="26"/>
                    </w:numPr>
                    <w:spacing w:after="60" w:line="240" w:lineRule="auto"/>
                    <w:ind w:left="311" w:hanging="215"/>
                    <w:contextualSpacing w:val="0"/>
                  </w:pPr>
                  <w:r>
                    <w:t>Data Sharing</w:t>
                  </w:r>
                </w:p>
                <w:p w14:paraId="0FC8BBE0" w14:textId="77777777" w:rsidR="0025778B" w:rsidRDefault="00E9219F" w:rsidP="0084512D">
                  <w:pPr>
                    <w:pStyle w:val="ListParagraph"/>
                    <w:framePr w:hSpace="180" w:wrap="around" w:hAnchor="text" w:y="413"/>
                    <w:numPr>
                      <w:ilvl w:val="0"/>
                      <w:numId w:val="26"/>
                    </w:numPr>
                    <w:spacing w:after="60" w:line="240" w:lineRule="auto"/>
                    <w:ind w:left="311" w:hanging="215"/>
                    <w:contextualSpacing w:val="0"/>
                  </w:pPr>
                  <w:r>
                    <w:t>Data Maturity Assessment</w:t>
                  </w:r>
                </w:p>
                <w:p w14:paraId="3BFB1BC5" w14:textId="77777777" w:rsidR="00E9219F" w:rsidRDefault="00E9219F" w:rsidP="0084512D">
                  <w:pPr>
                    <w:pStyle w:val="ListParagraph"/>
                    <w:framePr w:hSpace="180" w:wrap="around" w:hAnchor="text" w:y="413"/>
                    <w:numPr>
                      <w:ilvl w:val="0"/>
                      <w:numId w:val="26"/>
                    </w:numPr>
                    <w:spacing w:after="60" w:line="240" w:lineRule="auto"/>
                    <w:ind w:left="311" w:hanging="215"/>
                    <w:contextualSpacing w:val="0"/>
                  </w:pPr>
                  <w:r>
                    <w:t>Data Assets</w:t>
                  </w:r>
                </w:p>
                <w:p w14:paraId="4908E040" w14:textId="39654958" w:rsidR="00E9219F" w:rsidRDefault="00E9219F" w:rsidP="0084512D">
                  <w:pPr>
                    <w:pStyle w:val="ListParagraph"/>
                    <w:framePr w:hSpace="180" w:wrap="around" w:hAnchor="text" w:y="413"/>
                    <w:numPr>
                      <w:ilvl w:val="0"/>
                      <w:numId w:val="26"/>
                    </w:numPr>
                    <w:spacing w:after="60" w:line="240" w:lineRule="auto"/>
                    <w:ind w:left="311" w:hanging="215"/>
                    <w:contextualSpacing w:val="0"/>
                  </w:pPr>
                  <w:r>
                    <w:t>DAT Act</w:t>
                  </w:r>
                </w:p>
              </w:tc>
            </w:tr>
          </w:tbl>
          <w:p w14:paraId="78CB4F5B" w14:textId="77777777" w:rsidR="00E0403B" w:rsidRPr="00C24CA9" w:rsidRDefault="00E0403B" w:rsidP="001011D5">
            <w:pPr>
              <w:spacing w:line="240" w:lineRule="auto"/>
            </w:pPr>
          </w:p>
        </w:tc>
      </w:tr>
    </w:tbl>
    <w:tbl>
      <w:tblPr>
        <w:tblStyle w:val="TableGrid"/>
        <w:tblW w:w="14389" w:type="dxa"/>
        <w:tblInd w:w="-5" w:type="dxa"/>
        <w:shd w:val="clear" w:color="auto" w:fill="009A9E" w:themeFill="accent2"/>
        <w:tblLayout w:type="fixed"/>
        <w:tblLook w:val="04A0" w:firstRow="1" w:lastRow="0" w:firstColumn="1" w:lastColumn="0" w:noHBand="0" w:noVBand="1"/>
      </w:tblPr>
      <w:tblGrid>
        <w:gridCol w:w="5522"/>
        <w:gridCol w:w="8867"/>
      </w:tblGrid>
      <w:tr w:rsidR="00BC064A" w14:paraId="1F8AD64C" w14:textId="0E1C44E4" w:rsidTr="009607DA">
        <w:trPr>
          <w:trHeight w:val="8959"/>
        </w:trPr>
        <w:tc>
          <w:tcPr>
            <w:tcW w:w="5522" w:type="dxa"/>
            <w:shd w:val="clear" w:color="auto" w:fill="00838A"/>
          </w:tcPr>
          <w:p w14:paraId="0DF8EAD9" w14:textId="0FD2E8ED" w:rsidR="00BC064A" w:rsidRPr="006F36BE" w:rsidRDefault="00BC064A" w:rsidP="00EB3B34">
            <w:pPr>
              <w:pStyle w:val="Heading1"/>
              <w:spacing w:after="120" w:line="240" w:lineRule="auto"/>
              <w:rPr>
                <w:color w:val="FFFFFF" w:themeColor="background1"/>
                <w:sz w:val="36"/>
                <w:szCs w:val="36"/>
              </w:rPr>
            </w:pPr>
            <w:bookmarkStart w:id="17" w:name="_Toc170909496"/>
            <w:r w:rsidRPr="006F36BE">
              <w:rPr>
                <w:color w:val="FFFFFF" w:themeColor="background1"/>
                <w:sz w:val="36"/>
                <w:szCs w:val="36"/>
              </w:rPr>
              <w:t>Enhancing our Data Capability</w:t>
            </w:r>
            <w:bookmarkEnd w:id="17"/>
          </w:p>
          <w:p w14:paraId="21563690" w14:textId="0249A88A" w:rsidR="00BC064A" w:rsidRDefault="00BC064A" w:rsidP="009823CC">
            <w:pPr>
              <w:spacing w:line="240" w:lineRule="auto"/>
              <w:ind w:left="178" w:right="170"/>
              <w:rPr>
                <w:color w:val="FFFFFF" w:themeColor="background1"/>
              </w:rPr>
            </w:pPr>
            <w:r w:rsidRPr="00026F7B">
              <w:rPr>
                <w:color w:val="FFFFFF" w:themeColor="background1"/>
              </w:rPr>
              <w:t>Create staff capability enabling an embedded culture of data curiosity.</w:t>
            </w:r>
          </w:p>
          <w:p w14:paraId="037800D7" w14:textId="7CC6E076" w:rsidR="00BC064A" w:rsidRPr="00BC064A" w:rsidRDefault="00BC064A" w:rsidP="009823CC">
            <w:pPr>
              <w:spacing w:line="240" w:lineRule="auto"/>
              <w:ind w:left="178" w:right="170"/>
              <w:rPr>
                <w:b/>
                <w:bCs/>
                <w:color w:val="FFFFFF" w:themeColor="background1"/>
              </w:rPr>
            </w:pPr>
            <w:r w:rsidRPr="00BC064A">
              <w:rPr>
                <w:b/>
                <w:bCs/>
                <w:color w:val="FFFFFF" w:themeColor="background1"/>
              </w:rPr>
              <w:t>Aims:</w:t>
            </w:r>
          </w:p>
          <w:p w14:paraId="2DC4F95F" w14:textId="77777777" w:rsidR="00BC064A" w:rsidRDefault="00BC064A" w:rsidP="009823CC">
            <w:pPr>
              <w:pStyle w:val="ListParagraph"/>
              <w:numPr>
                <w:ilvl w:val="0"/>
                <w:numId w:val="17"/>
              </w:numPr>
              <w:spacing w:line="240" w:lineRule="auto"/>
              <w:ind w:left="896" w:right="170" w:hanging="357"/>
              <w:contextualSpacing w:val="0"/>
              <w:rPr>
                <w:color w:val="FFFFFF" w:themeColor="background1"/>
              </w:rPr>
            </w:pPr>
            <w:r>
              <w:rPr>
                <w:color w:val="FFFFFF" w:themeColor="background1"/>
              </w:rPr>
              <w:t>Contributing to APS Data Profession initiatives.</w:t>
            </w:r>
          </w:p>
          <w:p w14:paraId="789F6D00" w14:textId="77777777" w:rsidR="00BC064A" w:rsidRPr="00A501D1" w:rsidRDefault="00BC064A" w:rsidP="009823CC">
            <w:pPr>
              <w:pStyle w:val="ListParagraph"/>
              <w:numPr>
                <w:ilvl w:val="0"/>
                <w:numId w:val="17"/>
              </w:numPr>
              <w:spacing w:line="240" w:lineRule="auto"/>
              <w:ind w:left="896" w:right="170" w:hanging="357"/>
              <w:contextualSpacing w:val="0"/>
              <w:rPr>
                <w:color w:val="FFFFFF" w:themeColor="background1"/>
              </w:rPr>
            </w:pPr>
            <w:r>
              <w:rPr>
                <w:color w:val="FFFFFF" w:themeColor="background1"/>
              </w:rPr>
              <w:t xml:space="preserve">Promotion of a </w:t>
            </w:r>
            <w:r w:rsidRPr="00CC541D">
              <w:rPr>
                <w:i/>
                <w:iCs/>
                <w:color w:val="FFFFFF" w:themeColor="background1"/>
              </w:rPr>
              <w:t xml:space="preserve">Data </w:t>
            </w:r>
            <w:r>
              <w:rPr>
                <w:i/>
                <w:iCs/>
                <w:color w:val="FFFFFF" w:themeColor="background1"/>
              </w:rPr>
              <w:t xml:space="preserve">Capability </w:t>
            </w:r>
            <w:r w:rsidRPr="00CC541D">
              <w:rPr>
                <w:i/>
                <w:iCs/>
                <w:color w:val="FFFFFF" w:themeColor="background1"/>
              </w:rPr>
              <w:t>week</w:t>
            </w:r>
            <w:r>
              <w:rPr>
                <w:i/>
                <w:iCs/>
                <w:color w:val="FFFFFF" w:themeColor="background1"/>
              </w:rPr>
              <w:t>.</w:t>
            </w:r>
          </w:p>
          <w:p w14:paraId="1725A1BF" w14:textId="77777777" w:rsidR="00BC064A" w:rsidRDefault="00BC064A" w:rsidP="009823CC">
            <w:pPr>
              <w:pStyle w:val="ListParagraph"/>
              <w:numPr>
                <w:ilvl w:val="0"/>
                <w:numId w:val="17"/>
              </w:numPr>
              <w:spacing w:line="240" w:lineRule="auto"/>
              <w:ind w:left="896" w:right="170" w:hanging="357"/>
              <w:contextualSpacing w:val="0"/>
              <w:rPr>
                <w:color w:val="FFFFFF" w:themeColor="background1"/>
              </w:rPr>
            </w:pPr>
            <w:r>
              <w:rPr>
                <w:color w:val="FFFFFF" w:themeColor="background1"/>
              </w:rPr>
              <w:t>Supporting staff to undertake data</w:t>
            </w:r>
            <w:r>
              <w:rPr>
                <w:color w:val="FFFFFF" w:themeColor="background1"/>
              </w:rPr>
              <w:noBreakHyphen/>
              <w:t>centric training.</w:t>
            </w:r>
          </w:p>
          <w:p w14:paraId="7142823A" w14:textId="46933437" w:rsidR="00D30A50" w:rsidRPr="00D20FC0" w:rsidRDefault="00BC064A" w:rsidP="00D20FC0">
            <w:pPr>
              <w:pStyle w:val="ListParagraph"/>
              <w:numPr>
                <w:ilvl w:val="0"/>
                <w:numId w:val="17"/>
              </w:numPr>
              <w:spacing w:line="240" w:lineRule="auto"/>
              <w:ind w:left="896" w:right="170" w:hanging="357"/>
              <w:contextualSpacing w:val="0"/>
              <w:rPr>
                <w:color w:val="FFFFFF" w:themeColor="background1"/>
              </w:rPr>
            </w:pPr>
            <w:r>
              <w:rPr>
                <w:color w:val="FFFFFF" w:themeColor="background1"/>
              </w:rPr>
              <w:t>Proactively attract and retain staff with highly sought after data skills.</w:t>
            </w:r>
          </w:p>
        </w:tc>
        <w:tc>
          <w:tcPr>
            <w:tcW w:w="8867" w:type="dxa"/>
            <w:shd w:val="clear" w:color="auto" w:fill="auto"/>
          </w:tcPr>
          <w:p w14:paraId="514E2B43" w14:textId="77777777" w:rsidR="00BC064A" w:rsidRPr="007015AD" w:rsidRDefault="00BC064A" w:rsidP="006F5CFA">
            <w:pPr>
              <w:pStyle w:val="Subtitle"/>
              <w:spacing w:before="240" w:after="120"/>
              <w:ind w:left="171"/>
              <w:rPr>
                <w:b/>
                <w:bCs/>
                <w:color w:val="00838A"/>
              </w:rPr>
            </w:pPr>
            <w:r w:rsidRPr="007015AD">
              <w:rPr>
                <w:b/>
                <w:bCs/>
                <w:color w:val="00838A"/>
              </w:rPr>
              <w:t>DEWR’s future state</w:t>
            </w:r>
          </w:p>
          <w:p w14:paraId="3EDE7817" w14:textId="77777777" w:rsidR="00BC064A" w:rsidRDefault="00BC064A" w:rsidP="00BA77F1">
            <w:pPr>
              <w:pStyle w:val="ListParagraph"/>
              <w:numPr>
                <w:ilvl w:val="0"/>
                <w:numId w:val="16"/>
              </w:numPr>
              <w:spacing w:after="60" w:line="240" w:lineRule="auto"/>
              <w:ind w:left="714" w:hanging="357"/>
              <w:contextualSpacing w:val="0"/>
            </w:pPr>
            <w:r>
              <w:t>All staff have confidence and capability to data to support their day-to-day decision making</w:t>
            </w:r>
            <w:r w:rsidRPr="008F2FFA">
              <w:t xml:space="preserve">, </w:t>
            </w:r>
            <w:r>
              <w:t xml:space="preserve">including </w:t>
            </w:r>
            <w:r w:rsidRPr="008F2FFA">
              <w:t>policy development, program management and service delivery</w:t>
            </w:r>
            <w:r>
              <w:t>.</w:t>
            </w:r>
          </w:p>
          <w:p w14:paraId="77B1E085" w14:textId="77777777" w:rsidR="00BC064A" w:rsidRDefault="00BC064A" w:rsidP="00BA77F1">
            <w:pPr>
              <w:pStyle w:val="ListParagraph"/>
              <w:numPr>
                <w:ilvl w:val="0"/>
                <w:numId w:val="16"/>
              </w:numPr>
              <w:spacing w:after="60" w:line="240" w:lineRule="auto"/>
              <w:ind w:left="714" w:hanging="357"/>
              <w:contextualSpacing w:val="0"/>
            </w:pPr>
            <w:r>
              <w:t>Data and insights are readily accessible, easy to find and used by all staff.</w:t>
            </w:r>
          </w:p>
          <w:p w14:paraId="7DFF4A2B" w14:textId="48CCDCEB" w:rsidR="00BC064A" w:rsidRDefault="00BC064A" w:rsidP="00BA77F1">
            <w:pPr>
              <w:pStyle w:val="ListParagraph"/>
              <w:numPr>
                <w:ilvl w:val="0"/>
                <w:numId w:val="16"/>
              </w:numPr>
              <w:spacing w:after="60" w:line="240" w:lineRule="auto"/>
              <w:ind w:left="714" w:hanging="357"/>
              <w:contextualSpacing w:val="0"/>
            </w:pPr>
            <w:r>
              <w:t xml:space="preserve">The </w:t>
            </w:r>
            <w:r w:rsidR="00860DFF">
              <w:t>Department</w:t>
            </w:r>
            <w:r>
              <w:t xml:space="preserve"> have staff with the appropriate skills to fully use integrated data assets enabling data</w:t>
            </w:r>
            <w:r w:rsidR="00085E36">
              <w:t xml:space="preserve"> empowered</w:t>
            </w:r>
            <w:r>
              <w:t xml:space="preserve"> decision making.</w:t>
            </w:r>
          </w:p>
          <w:p w14:paraId="45CD5D90" w14:textId="77777777" w:rsidR="00BC064A" w:rsidRDefault="00BC064A" w:rsidP="00BA77F1">
            <w:pPr>
              <w:pStyle w:val="ListParagraph"/>
              <w:numPr>
                <w:ilvl w:val="0"/>
                <w:numId w:val="16"/>
              </w:numPr>
              <w:spacing w:after="60" w:line="240" w:lineRule="auto"/>
              <w:ind w:left="714" w:hanging="357"/>
              <w:contextualSpacing w:val="0"/>
            </w:pPr>
            <w:r>
              <w:t>Collaborating with, and influencing other agencies, streamline access to integrated data, enabling more timely analysis to inform policy development and program management.</w:t>
            </w:r>
          </w:p>
          <w:p w14:paraId="728B4696" w14:textId="4D5E5650" w:rsidR="00BC064A" w:rsidRDefault="00BC064A" w:rsidP="00BA77F1">
            <w:pPr>
              <w:pStyle w:val="ListParagraph"/>
              <w:numPr>
                <w:ilvl w:val="0"/>
                <w:numId w:val="16"/>
              </w:numPr>
              <w:spacing w:after="60" w:line="240" w:lineRule="auto"/>
              <w:ind w:left="714" w:hanging="357"/>
              <w:contextualSpacing w:val="0"/>
            </w:pPr>
            <w:r>
              <w:t xml:space="preserve">The </w:t>
            </w:r>
            <w:r w:rsidR="00860DFF">
              <w:t>Department</w:t>
            </w:r>
            <w:r>
              <w:t xml:space="preserve"> continues to attract highly skilled staff, including data specialists.</w:t>
            </w:r>
          </w:p>
          <w:p w14:paraId="641FCA32" w14:textId="2ADC7B7F" w:rsidR="00BC064A" w:rsidRDefault="00BC064A" w:rsidP="00BA77F1">
            <w:pPr>
              <w:pStyle w:val="ListParagraph"/>
              <w:numPr>
                <w:ilvl w:val="0"/>
                <w:numId w:val="16"/>
              </w:numPr>
              <w:spacing w:after="60" w:line="240" w:lineRule="auto"/>
              <w:ind w:left="714" w:hanging="357"/>
              <w:contextualSpacing w:val="0"/>
            </w:pPr>
            <w:r>
              <w:t xml:space="preserve">The </w:t>
            </w:r>
            <w:r w:rsidR="00860DFF">
              <w:t>Department</w:t>
            </w:r>
            <w:r>
              <w:t xml:space="preserve"> continues to invest in and encourage staff to further their data capabilities, from Communities of Practice and presentations through the Data Analytics Network through to university courses such as a Masters in Analytics or Data Science.</w:t>
            </w:r>
          </w:p>
          <w:p w14:paraId="329CDAF9" w14:textId="447A8B51" w:rsidR="00BC064A" w:rsidRPr="008F2FFA" w:rsidRDefault="00BC064A" w:rsidP="00BA77F1">
            <w:pPr>
              <w:pStyle w:val="ListParagraph"/>
              <w:numPr>
                <w:ilvl w:val="0"/>
                <w:numId w:val="16"/>
              </w:numPr>
              <w:spacing w:after="60" w:line="240" w:lineRule="auto"/>
              <w:ind w:left="714" w:hanging="357"/>
              <w:contextualSpacing w:val="0"/>
            </w:pPr>
            <w:r w:rsidRPr="008F2FFA">
              <w:t xml:space="preserve">Staff can safely and securely use data, while protecting and respecting the privacy of </w:t>
            </w:r>
            <w:r>
              <w:t>individuals</w:t>
            </w:r>
            <w:r w:rsidRPr="008F2FFA">
              <w:t>.</w:t>
            </w:r>
          </w:p>
          <w:p w14:paraId="46895122" w14:textId="77777777" w:rsidR="00BC064A" w:rsidRDefault="00BC064A" w:rsidP="00BA77F1">
            <w:pPr>
              <w:pStyle w:val="ListParagraph"/>
              <w:numPr>
                <w:ilvl w:val="0"/>
                <w:numId w:val="16"/>
              </w:numPr>
              <w:spacing w:after="60" w:line="240" w:lineRule="auto"/>
              <w:ind w:left="714" w:hanging="357"/>
              <w:contextualSpacing w:val="0"/>
            </w:pPr>
            <w:r w:rsidRPr="008F2FFA">
              <w:t>Effective leadership inspires and promotes the responsible and ethical use of data.</w:t>
            </w:r>
          </w:p>
          <w:p w14:paraId="61D74A05" w14:textId="6AE79B7C" w:rsidR="00BC064A" w:rsidRPr="007015AD" w:rsidRDefault="00BC064A" w:rsidP="006F5CFA">
            <w:pPr>
              <w:pStyle w:val="Subtitle"/>
              <w:spacing w:before="120" w:after="120"/>
              <w:ind w:left="171"/>
              <w:rPr>
                <w:b/>
                <w:bCs/>
                <w:color w:val="00838A"/>
                <w:sz w:val="24"/>
                <w:szCs w:val="24"/>
              </w:rPr>
            </w:pPr>
            <w:bookmarkStart w:id="18" w:name="_Toc149746256"/>
            <w:r w:rsidRPr="007015AD">
              <w:rPr>
                <w:b/>
                <w:bCs/>
                <w:color w:val="00838A"/>
                <w:sz w:val="24"/>
                <w:szCs w:val="24"/>
              </w:rPr>
              <w:t>Implement</w:t>
            </w:r>
            <w:r w:rsidR="00480C3B" w:rsidRPr="007015AD">
              <w:rPr>
                <w:b/>
                <w:bCs/>
                <w:color w:val="00838A"/>
                <w:sz w:val="24"/>
                <w:szCs w:val="24"/>
              </w:rPr>
              <w:t>at</w:t>
            </w:r>
            <w:r w:rsidRPr="007015AD">
              <w:rPr>
                <w:b/>
                <w:bCs/>
                <w:color w:val="00838A"/>
                <w:sz w:val="24"/>
                <w:szCs w:val="24"/>
              </w:rPr>
              <w:t>i</w:t>
            </w:r>
            <w:r w:rsidR="0065419C" w:rsidRPr="007015AD">
              <w:rPr>
                <w:b/>
                <w:bCs/>
                <w:color w:val="00838A"/>
                <w:sz w:val="24"/>
                <w:szCs w:val="24"/>
              </w:rPr>
              <w:t>o</w:t>
            </w:r>
            <w:r w:rsidRPr="007015AD">
              <w:rPr>
                <w:b/>
                <w:bCs/>
                <w:color w:val="00838A"/>
                <w:sz w:val="24"/>
                <w:szCs w:val="24"/>
              </w:rPr>
              <w:t>n priorities</w:t>
            </w:r>
            <w:bookmarkEnd w:id="18"/>
          </w:p>
          <w:tbl>
            <w:tblPr>
              <w:tblStyle w:val="TableGrid"/>
              <w:tblW w:w="8436" w:type="dxa"/>
              <w:tblInd w:w="171" w:type="dxa"/>
              <w:tblLayout w:type="fixed"/>
              <w:tblLook w:val="04A0" w:firstRow="1" w:lastRow="0" w:firstColumn="1" w:lastColumn="0" w:noHBand="0" w:noVBand="1"/>
            </w:tblPr>
            <w:tblGrid>
              <w:gridCol w:w="4467"/>
              <w:gridCol w:w="3969"/>
            </w:tblGrid>
            <w:tr w:rsidR="003D1744" w14:paraId="208C1A9F" w14:textId="77777777" w:rsidTr="003D1744">
              <w:trPr>
                <w:tblHeader/>
              </w:trPr>
              <w:tc>
                <w:tcPr>
                  <w:tcW w:w="4467" w:type="dxa"/>
                  <w:shd w:val="clear" w:color="auto" w:fill="00838A"/>
                </w:tcPr>
                <w:p w14:paraId="1B3F950F" w14:textId="77777777" w:rsidR="003D1744" w:rsidRPr="00DC20C6" w:rsidRDefault="003D1744" w:rsidP="003D1744">
                  <w:pPr>
                    <w:spacing w:before="10" w:after="10"/>
                    <w:jc w:val="center"/>
                    <w:rPr>
                      <w:b/>
                      <w:bCs/>
                      <w:color w:val="FFFFFF" w:themeColor="background1"/>
                    </w:rPr>
                  </w:pPr>
                  <w:r w:rsidRPr="00DC20C6">
                    <w:rPr>
                      <w:b/>
                      <w:bCs/>
                      <w:color w:val="FFFFFF" w:themeColor="background1"/>
                    </w:rPr>
                    <w:t>Delivery in 2024</w:t>
                  </w:r>
                </w:p>
              </w:tc>
              <w:tc>
                <w:tcPr>
                  <w:tcW w:w="3969" w:type="dxa"/>
                  <w:shd w:val="clear" w:color="auto" w:fill="00838A"/>
                </w:tcPr>
                <w:p w14:paraId="714621DC" w14:textId="2E9E4F48" w:rsidR="003D1744" w:rsidRPr="00DC20C6" w:rsidRDefault="003D1744" w:rsidP="003D1744">
                  <w:pPr>
                    <w:spacing w:before="10" w:after="10"/>
                    <w:jc w:val="center"/>
                    <w:rPr>
                      <w:b/>
                      <w:bCs/>
                      <w:color w:val="FFFFFF" w:themeColor="background1"/>
                    </w:rPr>
                  </w:pPr>
                  <w:r w:rsidRPr="00DC20C6">
                    <w:rPr>
                      <w:b/>
                      <w:bCs/>
                      <w:color w:val="FFFFFF" w:themeColor="background1"/>
                    </w:rPr>
                    <w:t>Delivery in 2025</w:t>
                  </w:r>
                  <w:r>
                    <w:rPr>
                      <w:b/>
                      <w:bCs/>
                      <w:color w:val="FFFFFF" w:themeColor="background1"/>
                    </w:rPr>
                    <w:t>+</w:t>
                  </w:r>
                </w:p>
              </w:tc>
            </w:tr>
            <w:tr w:rsidR="003D1744" w14:paraId="729D109D" w14:textId="77777777" w:rsidTr="003D1744">
              <w:trPr>
                <w:trHeight w:val="2243"/>
              </w:trPr>
              <w:tc>
                <w:tcPr>
                  <w:tcW w:w="4467" w:type="dxa"/>
                </w:tcPr>
                <w:p w14:paraId="39E60CF2" w14:textId="2389289D" w:rsidR="003D1744" w:rsidRDefault="003D1744" w:rsidP="003D1744">
                  <w:pPr>
                    <w:pStyle w:val="ListParagraph"/>
                    <w:numPr>
                      <w:ilvl w:val="0"/>
                      <w:numId w:val="26"/>
                    </w:numPr>
                    <w:spacing w:after="60" w:line="240" w:lineRule="auto"/>
                    <w:ind w:left="311" w:hanging="215"/>
                    <w:contextualSpacing w:val="0"/>
                  </w:pPr>
                  <w:r>
                    <w:t>Data Capability Week</w:t>
                  </w:r>
                </w:p>
                <w:p w14:paraId="4433F8C2" w14:textId="6487CB80" w:rsidR="003D1744" w:rsidRDefault="003D1744" w:rsidP="003D1744">
                  <w:pPr>
                    <w:pStyle w:val="ListParagraph"/>
                    <w:numPr>
                      <w:ilvl w:val="0"/>
                      <w:numId w:val="26"/>
                    </w:numPr>
                    <w:spacing w:after="60" w:line="240" w:lineRule="auto"/>
                    <w:ind w:left="311" w:hanging="215"/>
                    <w:contextualSpacing w:val="0"/>
                  </w:pPr>
                  <w:r>
                    <w:t>Data Graduate Training</w:t>
                  </w:r>
                </w:p>
                <w:p w14:paraId="61193FED" w14:textId="77777777" w:rsidR="003D1744" w:rsidRDefault="003D1744" w:rsidP="003D1744">
                  <w:pPr>
                    <w:pStyle w:val="ListParagraph"/>
                    <w:numPr>
                      <w:ilvl w:val="0"/>
                      <w:numId w:val="26"/>
                    </w:numPr>
                    <w:spacing w:after="60" w:line="240" w:lineRule="auto"/>
                    <w:ind w:left="311" w:hanging="215"/>
                    <w:contextualSpacing w:val="0"/>
                  </w:pPr>
                  <w:r>
                    <w:t>Data Leaders/Data specialist training</w:t>
                  </w:r>
                </w:p>
                <w:p w14:paraId="00DD9048" w14:textId="77777777" w:rsidR="003D1744" w:rsidRDefault="003D1744" w:rsidP="003D1744">
                  <w:pPr>
                    <w:pStyle w:val="ListParagraph"/>
                    <w:numPr>
                      <w:ilvl w:val="0"/>
                      <w:numId w:val="26"/>
                    </w:numPr>
                    <w:spacing w:after="60" w:line="240" w:lineRule="auto"/>
                    <w:ind w:left="311" w:hanging="215"/>
                    <w:contextualSpacing w:val="0"/>
                  </w:pPr>
                  <w:r>
                    <w:t>Non-data staff – data training</w:t>
                  </w:r>
                </w:p>
                <w:p w14:paraId="04411004" w14:textId="21B2B463" w:rsidR="003D1744" w:rsidRDefault="003D1744" w:rsidP="003D1744">
                  <w:pPr>
                    <w:pStyle w:val="ListParagraph"/>
                    <w:numPr>
                      <w:ilvl w:val="0"/>
                      <w:numId w:val="26"/>
                    </w:numPr>
                    <w:spacing w:after="0" w:line="240" w:lineRule="auto"/>
                    <w:ind w:left="311" w:hanging="215"/>
                    <w:contextualSpacing w:val="0"/>
                  </w:pPr>
                  <w:r>
                    <w:t>Data Analyst Network</w:t>
                  </w:r>
                </w:p>
              </w:tc>
              <w:tc>
                <w:tcPr>
                  <w:tcW w:w="3969" w:type="dxa"/>
                </w:tcPr>
                <w:p w14:paraId="44E2100A" w14:textId="77777777" w:rsidR="003D1744" w:rsidRDefault="003D1744" w:rsidP="003D1744">
                  <w:pPr>
                    <w:pStyle w:val="ListParagraph"/>
                    <w:numPr>
                      <w:ilvl w:val="0"/>
                      <w:numId w:val="26"/>
                    </w:numPr>
                    <w:spacing w:after="60" w:line="240" w:lineRule="auto"/>
                    <w:ind w:left="311" w:hanging="215"/>
                    <w:contextualSpacing w:val="0"/>
                  </w:pPr>
                  <w:r>
                    <w:t>Data Workforce Strategy</w:t>
                  </w:r>
                </w:p>
                <w:p w14:paraId="3BF46C3F" w14:textId="1F724228" w:rsidR="003D1744" w:rsidRDefault="003D1744" w:rsidP="003D1744">
                  <w:pPr>
                    <w:pStyle w:val="ListParagraph"/>
                    <w:numPr>
                      <w:ilvl w:val="0"/>
                      <w:numId w:val="26"/>
                    </w:numPr>
                    <w:spacing w:after="60" w:line="240" w:lineRule="auto"/>
                    <w:ind w:left="311" w:hanging="215"/>
                    <w:contextualSpacing w:val="0"/>
                  </w:pPr>
                  <w:r>
                    <w:t>Data Capability Week</w:t>
                  </w:r>
                </w:p>
                <w:p w14:paraId="2AE98E85" w14:textId="77777777" w:rsidR="003D1744" w:rsidRDefault="003D1744" w:rsidP="003D1744">
                  <w:pPr>
                    <w:pStyle w:val="ListParagraph"/>
                    <w:numPr>
                      <w:ilvl w:val="0"/>
                      <w:numId w:val="26"/>
                    </w:numPr>
                    <w:spacing w:after="60" w:line="240" w:lineRule="auto"/>
                    <w:ind w:left="311" w:hanging="215"/>
                    <w:contextualSpacing w:val="0"/>
                  </w:pPr>
                  <w:r>
                    <w:t>Data Graduate Training</w:t>
                  </w:r>
                </w:p>
                <w:p w14:paraId="5D0D51CA" w14:textId="77777777" w:rsidR="003D1744" w:rsidRDefault="003D1744" w:rsidP="003D1744">
                  <w:pPr>
                    <w:pStyle w:val="ListParagraph"/>
                    <w:numPr>
                      <w:ilvl w:val="0"/>
                      <w:numId w:val="26"/>
                    </w:numPr>
                    <w:spacing w:after="60" w:line="240" w:lineRule="auto"/>
                    <w:ind w:left="311" w:hanging="215"/>
                    <w:contextualSpacing w:val="0"/>
                  </w:pPr>
                  <w:r>
                    <w:t>Data Leaders/Data specialist training</w:t>
                  </w:r>
                </w:p>
                <w:p w14:paraId="52B2F122" w14:textId="77777777" w:rsidR="003D1744" w:rsidRDefault="003D1744" w:rsidP="003D1744">
                  <w:pPr>
                    <w:pStyle w:val="ListParagraph"/>
                    <w:numPr>
                      <w:ilvl w:val="0"/>
                      <w:numId w:val="26"/>
                    </w:numPr>
                    <w:spacing w:after="60" w:line="240" w:lineRule="auto"/>
                    <w:ind w:left="311" w:hanging="215"/>
                    <w:contextualSpacing w:val="0"/>
                  </w:pPr>
                  <w:r>
                    <w:t>Non-data staff – data training</w:t>
                  </w:r>
                </w:p>
                <w:p w14:paraId="4F10271E" w14:textId="056C3A07" w:rsidR="003D1744" w:rsidRDefault="003D1744" w:rsidP="003D1744">
                  <w:pPr>
                    <w:pStyle w:val="ListParagraph"/>
                    <w:numPr>
                      <w:ilvl w:val="0"/>
                      <w:numId w:val="26"/>
                    </w:numPr>
                    <w:spacing w:after="0" w:line="240" w:lineRule="auto"/>
                    <w:ind w:left="311" w:hanging="215"/>
                    <w:contextualSpacing w:val="0"/>
                  </w:pPr>
                  <w:r>
                    <w:t>Data Professions</w:t>
                  </w:r>
                </w:p>
              </w:tc>
            </w:tr>
          </w:tbl>
          <w:p w14:paraId="6D8B86C3" w14:textId="77777777" w:rsidR="00BC064A" w:rsidRDefault="00BC064A" w:rsidP="006F36BE">
            <w:pPr>
              <w:pStyle w:val="Heading1"/>
              <w:spacing w:after="120"/>
            </w:pPr>
          </w:p>
        </w:tc>
      </w:tr>
      <w:tr w:rsidR="00711F94" w14:paraId="1BC5CD24" w14:textId="57E7BE77" w:rsidTr="00E8623D">
        <w:tblPrEx>
          <w:shd w:val="clear" w:color="auto" w:fill="auto"/>
        </w:tblPrEx>
        <w:trPr>
          <w:trHeight w:val="7645"/>
          <w:tblHeader/>
        </w:trPr>
        <w:tc>
          <w:tcPr>
            <w:tcW w:w="5522" w:type="dxa"/>
            <w:shd w:val="clear" w:color="auto" w:fill="55289E"/>
          </w:tcPr>
          <w:p w14:paraId="2B432429" w14:textId="4AB2D34E" w:rsidR="00711F94" w:rsidRPr="006F36BE" w:rsidRDefault="00CC5C40" w:rsidP="00D30A50">
            <w:pPr>
              <w:pStyle w:val="Heading1"/>
              <w:shd w:val="clear" w:color="auto" w:fill="573393"/>
              <w:spacing w:after="120"/>
              <w:rPr>
                <w:color w:val="FFFFFF" w:themeColor="background1"/>
                <w:sz w:val="36"/>
                <w:szCs w:val="36"/>
              </w:rPr>
            </w:pPr>
            <w:bookmarkStart w:id="19" w:name="_Toc170909497"/>
            <w:r>
              <w:rPr>
                <w:color w:val="FFFFFF" w:themeColor="background1"/>
                <w:sz w:val="36"/>
                <w:szCs w:val="36"/>
              </w:rPr>
              <w:t>D</w:t>
            </w:r>
            <w:r w:rsidR="00711F94" w:rsidRPr="006F36BE">
              <w:rPr>
                <w:color w:val="FFFFFF" w:themeColor="background1"/>
                <w:sz w:val="36"/>
                <w:szCs w:val="36"/>
              </w:rPr>
              <w:t xml:space="preserve">riving our Data </w:t>
            </w:r>
            <w:r w:rsidR="007C1F1D">
              <w:rPr>
                <w:color w:val="FFFFFF" w:themeColor="background1"/>
                <w:sz w:val="36"/>
                <w:szCs w:val="36"/>
              </w:rPr>
              <w:br/>
            </w:r>
            <w:r w:rsidR="00711F94" w:rsidRPr="006F36BE">
              <w:rPr>
                <w:color w:val="FFFFFF" w:themeColor="background1"/>
                <w:sz w:val="36"/>
                <w:szCs w:val="36"/>
              </w:rPr>
              <w:t>Technology</w:t>
            </w:r>
            <w:r>
              <w:rPr>
                <w:color w:val="FFFFFF" w:themeColor="background1"/>
                <w:sz w:val="36"/>
                <w:szCs w:val="36"/>
              </w:rPr>
              <w:t xml:space="preserve"> Ethically</w:t>
            </w:r>
            <w:bookmarkEnd w:id="19"/>
          </w:p>
          <w:p w14:paraId="49CF0A7E" w14:textId="77777777" w:rsidR="00711F94" w:rsidRDefault="00711F94" w:rsidP="00D30A50">
            <w:pPr>
              <w:shd w:val="clear" w:color="auto" w:fill="573393"/>
              <w:spacing w:line="240" w:lineRule="auto"/>
              <w:ind w:left="178" w:right="170"/>
              <w:rPr>
                <w:color w:val="FFFFFF" w:themeColor="background1"/>
              </w:rPr>
            </w:pPr>
            <w:r w:rsidRPr="00026F7B">
              <w:rPr>
                <w:color w:val="FFFFFF" w:themeColor="background1"/>
              </w:rPr>
              <w:t>Data holdings are secure, while enabling staff to safely and securely access the tools and infrastructure needed to maximise the value of our data.</w:t>
            </w:r>
          </w:p>
          <w:p w14:paraId="26D25632" w14:textId="1B6678C2" w:rsidR="00711F94" w:rsidRPr="00497E28" w:rsidRDefault="00296EC0" w:rsidP="00D30A50">
            <w:pPr>
              <w:shd w:val="clear" w:color="auto" w:fill="573393"/>
              <w:spacing w:line="240" w:lineRule="auto"/>
              <w:ind w:left="178" w:right="170"/>
              <w:rPr>
                <w:color w:val="FFFFFF" w:themeColor="background1"/>
              </w:rPr>
            </w:pPr>
            <w:r w:rsidRPr="00296EC0">
              <w:rPr>
                <w:b/>
                <w:bCs/>
                <w:color w:val="FFFFFF" w:themeColor="background1"/>
              </w:rPr>
              <w:t>Aims</w:t>
            </w:r>
            <w:r w:rsidR="00711F94" w:rsidRPr="00296EC0">
              <w:rPr>
                <w:b/>
                <w:bCs/>
                <w:color w:val="FFFFFF" w:themeColor="background1"/>
              </w:rPr>
              <w:t>:</w:t>
            </w:r>
          </w:p>
          <w:p w14:paraId="6E418E82" w14:textId="496143AF" w:rsidR="00711F94" w:rsidRDefault="00711F94" w:rsidP="00D30A50">
            <w:pPr>
              <w:pStyle w:val="ListParagraph"/>
              <w:numPr>
                <w:ilvl w:val="0"/>
                <w:numId w:val="19"/>
              </w:numPr>
              <w:shd w:val="clear" w:color="auto" w:fill="573393"/>
              <w:spacing w:line="240" w:lineRule="auto"/>
              <w:ind w:left="896" w:right="170" w:hanging="357"/>
              <w:contextualSpacing w:val="0"/>
              <w:rPr>
                <w:color w:val="FFFFFF" w:themeColor="background1"/>
              </w:rPr>
            </w:pPr>
            <w:r>
              <w:rPr>
                <w:color w:val="FFFFFF" w:themeColor="background1"/>
              </w:rPr>
              <w:t xml:space="preserve">Optimising our data platforms for </w:t>
            </w:r>
            <w:r w:rsidR="007C1F1D">
              <w:rPr>
                <w:color w:val="FFFFFF" w:themeColor="background1"/>
              </w:rPr>
              <w:br/>
            </w:r>
            <w:r>
              <w:rPr>
                <w:color w:val="FFFFFF" w:themeColor="background1"/>
              </w:rPr>
              <w:t>efficient multiple use.</w:t>
            </w:r>
          </w:p>
          <w:p w14:paraId="640502F7" w14:textId="77777777" w:rsidR="00711F94" w:rsidRDefault="00711F94" w:rsidP="00D30A50">
            <w:pPr>
              <w:pStyle w:val="ListParagraph"/>
              <w:numPr>
                <w:ilvl w:val="0"/>
                <w:numId w:val="19"/>
              </w:numPr>
              <w:shd w:val="clear" w:color="auto" w:fill="573393"/>
              <w:spacing w:line="240" w:lineRule="auto"/>
              <w:ind w:left="896" w:right="170" w:hanging="357"/>
              <w:contextualSpacing w:val="0"/>
              <w:rPr>
                <w:color w:val="FFFFFF" w:themeColor="background1"/>
              </w:rPr>
            </w:pPr>
            <w:r>
              <w:rPr>
                <w:color w:val="FFFFFF" w:themeColor="background1"/>
              </w:rPr>
              <w:t>Keeping pace with best practice data storage, processing, and analytical systems.</w:t>
            </w:r>
          </w:p>
          <w:p w14:paraId="49B32F5E" w14:textId="10F72169" w:rsidR="00711F94" w:rsidRPr="00AB4070" w:rsidRDefault="00711F94" w:rsidP="00D30A50">
            <w:pPr>
              <w:pStyle w:val="ListParagraph"/>
              <w:numPr>
                <w:ilvl w:val="0"/>
                <w:numId w:val="19"/>
              </w:numPr>
              <w:shd w:val="clear" w:color="auto" w:fill="573393"/>
              <w:spacing w:line="240" w:lineRule="auto"/>
              <w:ind w:left="896" w:right="170" w:hanging="357"/>
              <w:contextualSpacing w:val="0"/>
            </w:pPr>
            <w:r w:rsidRPr="004D14B3">
              <w:rPr>
                <w:color w:val="FFFFFF" w:themeColor="background1"/>
              </w:rPr>
              <w:t xml:space="preserve">Our approaches to data technology </w:t>
            </w:r>
            <w:r w:rsidR="005E4553" w:rsidRPr="004D14B3">
              <w:rPr>
                <w:color w:val="FFFFFF" w:themeColor="background1"/>
              </w:rPr>
              <w:t>influenc</w:t>
            </w:r>
            <w:r w:rsidR="005E4553">
              <w:rPr>
                <w:color w:val="FFFFFF" w:themeColor="background1"/>
              </w:rPr>
              <w:t>e</w:t>
            </w:r>
            <w:r w:rsidR="005E4553" w:rsidRPr="004D14B3">
              <w:rPr>
                <w:color w:val="FFFFFF" w:themeColor="background1"/>
              </w:rPr>
              <w:t xml:space="preserve"> </w:t>
            </w:r>
            <w:r w:rsidRPr="004D14B3">
              <w:rPr>
                <w:color w:val="FFFFFF" w:themeColor="background1"/>
              </w:rPr>
              <w:t>APS policies and practices.</w:t>
            </w:r>
          </w:p>
          <w:p w14:paraId="533462F9" w14:textId="05BF44BE" w:rsidR="008855EF" w:rsidRDefault="008855EF" w:rsidP="00D30A50">
            <w:pPr>
              <w:pStyle w:val="ListParagraph"/>
              <w:numPr>
                <w:ilvl w:val="0"/>
                <w:numId w:val="19"/>
              </w:numPr>
              <w:shd w:val="clear" w:color="auto" w:fill="573393"/>
              <w:spacing w:line="240" w:lineRule="auto"/>
              <w:ind w:left="896" w:right="170" w:hanging="357"/>
              <w:contextualSpacing w:val="0"/>
            </w:pPr>
            <w:r>
              <w:rPr>
                <w:color w:val="FFFFFF" w:themeColor="background1"/>
              </w:rPr>
              <w:t xml:space="preserve">Ongoing commitment </w:t>
            </w:r>
            <w:r w:rsidR="005D5FD3">
              <w:rPr>
                <w:color w:val="FFFFFF" w:themeColor="background1"/>
              </w:rPr>
              <w:t>to the security/protection of our data.</w:t>
            </w:r>
          </w:p>
        </w:tc>
        <w:tc>
          <w:tcPr>
            <w:tcW w:w="8867" w:type="dxa"/>
            <w:shd w:val="clear" w:color="auto" w:fill="auto"/>
          </w:tcPr>
          <w:p w14:paraId="731DAAB0" w14:textId="77777777" w:rsidR="00711F94" w:rsidRPr="00F30FDC" w:rsidRDefault="00711F94" w:rsidP="00711F94">
            <w:pPr>
              <w:pStyle w:val="Subtitle"/>
              <w:spacing w:before="240" w:after="200"/>
              <w:ind w:left="171"/>
              <w:rPr>
                <w:b/>
                <w:bCs/>
                <w:color w:val="573393" w:themeColor="accent1"/>
              </w:rPr>
            </w:pPr>
            <w:r w:rsidRPr="00F30FDC">
              <w:rPr>
                <w:b/>
                <w:bCs/>
                <w:color w:val="573393" w:themeColor="accent1"/>
              </w:rPr>
              <w:t>DEWR’s future state</w:t>
            </w:r>
          </w:p>
          <w:p w14:paraId="542A2A3B" w14:textId="70D22103" w:rsidR="00711F94" w:rsidRDefault="00711F94" w:rsidP="00296EC0">
            <w:pPr>
              <w:pStyle w:val="ListParagraph"/>
              <w:numPr>
                <w:ilvl w:val="0"/>
                <w:numId w:val="16"/>
              </w:numPr>
              <w:spacing w:after="120" w:line="240" w:lineRule="auto"/>
              <w:ind w:left="714" w:hanging="357"/>
              <w:contextualSpacing w:val="0"/>
            </w:pPr>
            <w:r>
              <w:t xml:space="preserve">Ensure the </w:t>
            </w:r>
            <w:r w:rsidR="00860DFF">
              <w:t>Department</w:t>
            </w:r>
            <w:r>
              <w:t>’s technology and systems support all aspects of the data lifecycle.</w:t>
            </w:r>
          </w:p>
          <w:p w14:paraId="70A302DB" w14:textId="677A7B65" w:rsidR="00711F94" w:rsidRDefault="00711F94" w:rsidP="00296EC0">
            <w:pPr>
              <w:pStyle w:val="ListParagraph"/>
              <w:numPr>
                <w:ilvl w:val="0"/>
                <w:numId w:val="16"/>
              </w:numPr>
              <w:spacing w:after="120" w:line="240" w:lineRule="auto"/>
              <w:ind w:left="714" w:hanging="357"/>
              <w:contextualSpacing w:val="0"/>
            </w:pPr>
            <w:r>
              <w:t xml:space="preserve">Engage in the use of cutting-edge data analytics, infrastructure, and tools, enhancing the use of data for real-time decision making within the </w:t>
            </w:r>
            <w:r w:rsidR="00860DFF">
              <w:t>Department</w:t>
            </w:r>
            <w:r>
              <w:t xml:space="preserve"> and the broader community.</w:t>
            </w:r>
          </w:p>
          <w:p w14:paraId="38B17B34" w14:textId="221A8741" w:rsidR="00711F94" w:rsidRDefault="00711F94" w:rsidP="00296EC0">
            <w:pPr>
              <w:pStyle w:val="ListParagraph"/>
              <w:numPr>
                <w:ilvl w:val="0"/>
                <w:numId w:val="16"/>
              </w:numPr>
              <w:spacing w:after="120" w:line="240" w:lineRule="auto"/>
              <w:ind w:left="714" w:hanging="357"/>
              <w:contextualSpacing w:val="0"/>
            </w:pPr>
            <w:r>
              <w:t xml:space="preserve">Curate, and share the </w:t>
            </w:r>
            <w:r w:rsidR="00860DFF">
              <w:t>Department</w:t>
            </w:r>
            <w:r>
              <w:t>’s data externally, enhancing public benefit, where it is safe, legal, and ethical to do so, while protecting the privacy of individuals.</w:t>
            </w:r>
          </w:p>
          <w:p w14:paraId="61A0A954" w14:textId="77777777" w:rsidR="00296EC0" w:rsidRDefault="00711F94" w:rsidP="00296EC0">
            <w:pPr>
              <w:pStyle w:val="ListParagraph"/>
              <w:numPr>
                <w:ilvl w:val="0"/>
                <w:numId w:val="16"/>
              </w:numPr>
              <w:spacing w:after="120" w:line="240" w:lineRule="auto"/>
              <w:ind w:left="714" w:hanging="357"/>
              <w:contextualSpacing w:val="0"/>
            </w:pPr>
            <w:r>
              <w:t>Explore the transparent use of Artificial Intelligence to aid government decision making.</w:t>
            </w:r>
          </w:p>
          <w:p w14:paraId="081E8083" w14:textId="5D3CE75C" w:rsidR="00711F94" w:rsidRPr="00296EC0" w:rsidRDefault="00711F94" w:rsidP="00296EC0">
            <w:pPr>
              <w:pStyle w:val="ListParagraph"/>
              <w:numPr>
                <w:ilvl w:val="0"/>
                <w:numId w:val="16"/>
              </w:numPr>
              <w:spacing w:after="120" w:line="240" w:lineRule="auto"/>
              <w:ind w:left="714" w:hanging="357"/>
              <w:contextualSpacing w:val="0"/>
            </w:pPr>
            <w:r w:rsidRPr="00296EC0">
              <w:t xml:space="preserve">Work in conjunction with the </w:t>
            </w:r>
            <w:r w:rsidR="00860DFF">
              <w:t>Department</w:t>
            </w:r>
            <w:r w:rsidRPr="00296EC0">
              <w:t>’s ICT strategy 2020-2023 (or future iteration) and the Joint Cyber Security Strategy 2023-2026.</w:t>
            </w:r>
          </w:p>
          <w:p w14:paraId="1534D272" w14:textId="1E33D3E6" w:rsidR="00711F94" w:rsidRPr="00D9796C" w:rsidRDefault="00711F94" w:rsidP="006F5CFA">
            <w:pPr>
              <w:pStyle w:val="Subtitle"/>
              <w:spacing w:before="120" w:after="120"/>
              <w:ind w:left="171"/>
              <w:rPr>
                <w:b/>
                <w:bCs/>
                <w:color w:val="573393"/>
                <w:sz w:val="24"/>
                <w:szCs w:val="24"/>
              </w:rPr>
            </w:pPr>
            <w:bookmarkStart w:id="20" w:name="_Toc149746255"/>
            <w:r w:rsidRPr="00D9796C">
              <w:rPr>
                <w:b/>
                <w:bCs/>
                <w:color w:val="573393"/>
                <w:sz w:val="24"/>
                <w:szCs w:val="24"/>
              </w:rPr>
              <w:t>Implement</w:t>
            </w:r>
            <w:r w:rsidR="003B2DFC" w:rsidRPr="00D9796C">
              <w:rPr>
                <w:b/>
                <w:bCs/>
                <w:color w:val="573393"/>
                <w:sz w:val="24"/>
                <w:szCs w:val="24"/>
              </w:rPr>
              <w:t>ation</w:t>
            </w:r>
            <w:r w:rsidRPr="00D9796C">
              <w:rPr>
                <w:b/>
                <w:bCs/>
                <w:color w:val="573393"/>
                <w:sz w:val="24"/>
                <w:szCs w:val="24"/>
              </w:rPr>
              <w:t xml:space="preserve"> priorities</w:t>
            </w:r>
            <w:bookmarkEnd w:id="20"/>
          </w:p>
          <w:tbl>
            <w:tblPr>
              <w:tblStyle w:val="TableGrid"/>
              <w:tblW w:w="0" w:type="auto"/>
              <w:tblInd w:w="171" w:type="dxa"/>
              <w:tblLook w:val="04A0" w:firstRow="1" w:lastRow="0" w:firstColumn="1" w:lastColumn="0" w:noHBand="0" w:noVBand="1"/>
            </w:tblPr>
            <w:tblGrid>
              <w:gridCol w:w="4467"/>
              <w:gridCol w:w="3969"/>
            </w:tblGrid>
            <w:tr w:rsidR="009607DA" w14:paraId="1DEC3B7A" w14:textId="77777777" w:rsidTr="00D9796C">
              <w:trPr>
                <w:tblHeader/>
              </w:trPr>
              <w:tc>
                <w:tcPr>
                  <w:tcW w:w="4467" w:type="dxa"/>
                  <w:shd w:val="clear" w:color="auto" w:fill="55289E"/>
                </w:tcPr>
                <w:p w14:paraId="5168CC4F" w14:textId="0A1EBFEE" w:rsidR="009607DA" w:rsidRPr="00DC20C6" w:rsidRDefault="009607DA" w:rsidP="009607DA">
                  <w:pPr>
                    <w:spacing w:before="10" w:after="10"/>
                    <w:jc w:val="center"/>
                    <w:rPr>
                      <w:b/>
                      <w:bCs/>
                      <w:color w:val="FFFFFF" w:themeColor="background1"/>
                    </w:rPr>
                  </w:pPr>
                  <w:r w:rsidRPr="009607DA">
                    <w:rPr>
                      <w:b/>
                      <w:bCs/>
                      <w:color w:val="FFFFFF" w:themeColor="background1"/>
                    </w:rPr>
                    <w:t>Delivery in 2024</w:t>
                  </w:r>
                </w:p>
              </w:tc>
              <w:tc>
                <w:tcPr>
                  <w:tcW w:w="3969" w:type="dxa"/>
                  <w:shd w:val="clear" w:color="auto" w:fill="55289E"/>
                </w:tcPr>
                <w:p w14:paraId="3C72DF45" w14:textId="4F3BEE6B" w:rsidR="009607DA" w:rsidRPr="00DC20C6" w:rsidRDefault="009607DA" w:rsidP="009607DA">
                  <w:pPr>
                    <w:spacing w:before="10" w:after="10"/>
                    <w:jc w:val="center"/>
                    <w:rPr>
                      <w:b/>
                      <w:bCs/>
                      <w:color w:val="FFFFFF" w:themeColor="background1"/>
                    </w:rPr>
                  </w:pPr>
                  <w:r w:rsidRPr="009607DA">
                    <w:rPr>
                      <w:b/>
                      <w:bCs/>
                      <w:color w:val="FFFFFF" w:themeColor="background1"/>
                    </w:rPr>
                    <w:t>Delivery in 2025+</w:t>
                  </w:r>
                </w:p>
              </w:tc>
            </w:tr>
            <w:tr w:rsidR="009607DA" w14:paraId="35D3336A" w14:textId="77777777">
              <w:trPr>
                <w:trHeight w:val="2243"/>
              </w:trPr>
              <w:tc>
                <w:tcPr>
                  <w:tcW w:w="4467" w:type="dxa"/>
                </w:tcPr>
                <w:p w14:paraId="66D265F7" w14:textId="77777777" w:rsidR="009607DA" w:rsidRDefault="009607DA" w:rsidP="009607DA">
                  <w:pPr>
                    <w:pStyle w:val="ListParagraph"/>
                    <w:numPr>
                      <w:ilvl w:val="0"/>
                      <w:numId w:val="26"/>
                    </w:numPr>
                    <w:spacing w:after="60" w:line="240" w:lineRule="auto"/>
                    <w:ind w:left="311" w:hanging="215"/>
                    <w:contextualSpacing w:val="0"/>
                  </w:pPr>
                  <w:r>
                    <w:t>Data Platform Strategy</w:t>
                  </w:r>
                </w:p>
                <w:p w14:paraId="309EAD5E" w14:textId="77777777" w:rsidR="009607DA" w:rsidRDefault="009607DA" w:rsidP="009607DA">
                  <w:pPr>
                    <w:pStyle w:val="ListParagraph"/>
                    <w:numPr>
                      <w:ilvl w:val="0"/>
                      <w:numId w:val="26"/>
                    </w:numPr>
                    <w:spacing w:after="60" w:line="240" w:lineRule="auto"/>
                    <w:ind w:left="311" w:hanging="215"/>
                    <w:contextualSpacing w:val="0"/>
                  </w:pPr>
                  <w:r>
                    <w:t>Data, Digital and AI Ethics Policy</w:t>
                  </w:r>
                </w:p>
                <w:p w14:paraId="526DB38F" w14:textId="77777777" w:rsidR="009607DA" w:rsidRDefault="009607DA" w:rsidP="009607DA">
                  <w:pPr>
                    <w:pStyle w:val="ListParagraph"/>
                    <w:numPr>
                      <w:ilvl w:val="0"/>
                      <w:numId w:val="26"/>
                    </w:numPr>
                    <w:spacing w:after="60" w:line="240" w:lineRule="auto"/>
                    <w:ind w:left="311" w:hanging="215"/>
                    <w:contextualSpacing w:val="0"/>
                  </w:pPr>
                  <w:r>
                    <w:t>Data Retention &amp; Disposal Policy</w:t>
                  </w:r>
                </w:p>
                <w:p w14:paraId="558E4891" w14:textId="77777777" w:rsidR="009607DA" w:rsidRDefault="009607DA" w:rsidP="009607DA">
                  <w:pPr>
                    <w:pStyle w:val="ListParagraph"/>
                    <w:numPr>
                      <w:ilvl w:val="0"/>
                      <w:numId w:val="26"/>
                    </w:numPr>
                    <w:spacing w:after="60" w:line="240" w:lineRule="auto"/>
                    <w:ind w:left="311" w:hanging="215"/>
                    <w:contextualSpacing w:val="0"/>
                  </w:pPr>
                  <w:r>
                    <w:t xml:space="preserve">Data Quality Improvement </w:t>
                  </w:r>
                </w:p>
                <w:p w14:paraId="4E82D7CA" w14:textId="77777777" w:rsidR="009607DA" w:rsidRDefault="009607DA" w:rsidP="009607DA">
                  <w:pPr>
                    <w:pStyle w:val="ListParagraph"/>
                    <w:numPr>
                      <w:ilvl w:val="0"/>
                      <w:numId w:val="26"/>
                    </w:numPr>
                    <w:spacing w:after="60" w:line="240" w:lineRule="auto"/>
                    <w:ind w:left="311" w:hanging="215"/>
                    <w:contextualSpacing w:val="0"/>
                  </w:pPr>
                  <w:r>
                    <w:t>Data Stewardship Program</w:t>
                  </w:r>
                </w:p>
                <w:p w14:paraId="6ED090DF" w14:textId="0C9D368E" w:rsidR="009607DA" w:rsidRDefault="009607DA" w:rsidP="009607DA">
                  <w:pPr>
                    <w:pStyle w:val="ListParagraph"/>
                    <w:numPr>
                      <w:ilvl w:val="0"/>
                      <w:numId w:val="26"/>
                    </w:numPr>
                    <w:spacing w:after="0" w:line="240" w:lineRule="auto"/>
                    <w:ind w:left="311" w:hanging="215"/>
                    <w:contextualSpacing w:val="0"/>
                  </w:pPr>
                  <w:r>
                    <w:t>Artificial Intelligence Trial</w:t>
                  </w:r>
                </w:p>
              </w:tc>
              <w:tc>
                <w:tcPr>
                  <w:tcW w:w="3969" w:type="dxa"/>
                </w:tcPr>
                <w:p w14:paraId="2D8B360A" w14:textId="77777777" w:rsidR="009607DA" w:rsidRDefault="009607DA" w:rsidP="009607DA">
                  <w:pPr>
                    <w:pStyle w:val="ListParagraph"/>
                    <w:numPr>
                      <w:ilvl w:val="0"/>
                      <w:numId w:val="26"/>
                    </w:numPr>
                    <w:spacing w:after="60" w:line="240" w:lineRule="auto"/>
                    <w:ind w:left="311" w:hanging="215"/>
                    <w:contextualSpacing w:val="0"/>
                  </w:pPr>
                  <w:r>
                    <w:t>Data Asset technology Assessment</w:t>
                  </w:r>
                </w:p>
                <w:p w14:paraId="50A4D6A7" w14:textId="77777777" w:rsidR="009607DA" w:rsidRDefault="009607DA" w:rsidP="009607DA">
                  <w:pPr>
                    <w:pStyle w:val="ListParagraph"/>
                    <w:numPr>
                      <w:ilvl w:val="0"/>
                      <w:numId w:val="26"/>
                    </w:numPr>
                    <w:spacing w:after="60" w:line="240" w:lineRule="auto"/>
                    <w:ind w:left="311" w:hanging="215"/>
                    <w:contextualSpacing w:val="0"/>
                  </w:pPr>
                  <w:r>
                    <w:t>Data Quality Improvement</w:t>
                  </w:r>
                </w:p>
                <w:p w14:paraId="5ECBA746" w14:textId="77777777" w:rsidR="009607DA" w:rsidRDefault="009607DA" w:rsidP="009607DA">
                  <w:pPr>
                    <w:pStyle w:val="ListParagraph"/>
                    <w:numPr>
                      <w:ilvl w:val="0"/>
                      <w:numId w:val="26"/>
                    </w:numPr>
                    <w:spacing w:after="60" w:line="240" w:lineRule="auto"/>
                    <w:ind w:left="311" w:hanging="215"/>
                    <w:contextualSpacing w:val="0"/>
                  </w:pPr>
                  <w:r>
                    <w:t>Data Stewardship Program</w:t>
                  </w:r>
                </w:p>
                <w:p w14:paraId="13F4EA74" w14:textId="45DD03C4" w:rsidR="009607DA" w:rsidRDefault="009607DA" w:rsidP="009607DA">
                  <w:pPr>
                    <w:pStyle w:val="ListParagraph"/>
                    <w:numPr>
                      <w:ilvl w:val="0"/>
                      <w:numId w:val="26"/>
                    </w:numPr>
                    <w:spacing w:after="0" w:line="240" w:lineRule="auto"/>
                    <w:ind w:left="311" w:hanging="215"/>
                    <w:contextualSpacing w:val="0"/>
                  </w:pPr>
                  <w:r>
                    <w:t>Artificial Intelligence Trial</w:t>
                  </w:r>
                </w:p>
              </w:tc>
            </w:tr>
          </w:tbl>
          <w:p w14:paraId="7082BAFC" w14:textId="502395E2" w:rsidR="00D9796C" w:rsidRPr="00711F94" w:rsidRDefault="00D9796C" w:rsidP="00711F94"/>
        </w:tc>
      </w:tr>
    </w:tbl>
    <w:p w14:paraId="64D197D6" w14:textId="77777777" w:rsidR="0042376E" w:rsidRDefault="0042376E" w:rsidP="0042376E">
      <w:pPr>
        <w:spacing w:after="120"/>
      </w:pPr>
    </w:p>
    <w:p w14:paraId="751B4B6B" w14:textId="77777777" w:rsidR="009A620F" w:rsidRDefault="009A620F" w:rsidP="00041B41">
      <w:pPr>
        <w:pStyle w:val="Heading1"/>
        <w:spacing w:after="120"/>
        <w:rPr>
          <w:color w:val="FFFFFF" w:themeColor="background1"/>
          <w:sz w:val="36"/>
          <w:szCs w:val="36"/>
        </w:rPr>
        <w:sectPr w:rsidR="009A620F" w:rsidSect="00D4588E">
          <w:pgSz w:w="16838" w:h="11906" w:orient="landscape"/>
          <w:pgMar w:top="1418" w:right="1418" w:bottom="1418" w:left="1418" w:header="0" w:footer="454" w:gutter="0"/>
          <w:cols w:space="708"/>
          <w:docGrid w:linePitch="360"/>
        </w:sectPr>
      </w:pPr>
      <w:bookmarkStart w:id="21" w:name="_Toc150783941"/>
    </w:p>
    <w:tbl>
      <w:tblPr>
        <w:tblStyle w:val="TableGrid"/>
        <w:tblW w:w="14389" w:type="dxa"/>
        <w:tblInd w:w="-5" w:type="dxa"/>
        <w:tblLook w:val="04A0" w:firstRow="1" w:lastRow="0" w:firstColumn="1" w:lastColumn="0" w:noHBand="0" w:noVBand="1"/>
      </w:tblPr>
      <w:tblGrid>
        <w:gridCol w:w="5522"/>
        <w:gridCol w:w="8867"/>
      </w:tblGrid>
      <w:tr w:rsidR="00C218B7" w14:paraId="28B9F105" w14:textId="77777777" w:rsidTr="00F46679">
        <w:trPr>
          <w:trHeight w:val="8787"/>
          <w:tblHeader/>
        </w:trPr>
        <w:tc>
          <w:tcPr>
            <w:tcW w:w="5522" w:type="dxa"/>
            <w:shd w:val="clear" w:color="auto" w:fill="621F5C" w:themeFill="accent3"/>
          </w:tcPr>
          <w:p w14:paraId="300955B3" w14:textId="67A7F587" w:rsidR="00C218B7" w:rsidRPr="006F36BE" w:rsidRDefault="00C218B7" w:rsidP="00D86107">
            <w:pPr>
              <w:pStyle w:val="Heading1"/>
              <w:spacing w:after="120"/>
              <w:rPr>
                <w:color w:val="FFFFFF" w:themeColor="background1"/>
                <w:sz w:val="36"/>
                <w:szCs w:val="36"/>
              </w:rPr>
            </w:pPr>
            <w:bookmarkStart w:id="22" w:name="_Toc170909498"/>
            <w:r w:rsidRPr="006F36BE">
              <w:rPr>
                <w:color w:val="FFFFFF" w:themeColor="background1"/>
                <w:sz w:val="36"/>
                <w:szCs w:val="36"/>
              </w:rPr>
              <w:t xml:space="preserve">Transforming our </w:t>
            </w:r>
            <w:r w:rsidR="00DE1CF7">
              <w:rPr>
                <w:color w:val="FFFFFF" w:themeColor="background1"/>
                <w:sz w:val="36"/>
                <w:szCs w:val="36"/>
              </w:rPr>
              <w:br/>
            </w:r>
            <w:r w:rsidRPr="006F36BE">
              <w:rPr>
                <w:color w:val="FFFFFF" w:themeColor="background1"/>
                <w:sz w:val="36"/>
                <w:szCs w:val="36"/>
              </w:rPr>
              <w:t xml:space="preserve">Data Analytics, Evaluation </w:t>
            </w:r>
            <w:r w:rsidR="00DE1CF7">
              <w:rPr>
                <w:color w:val="FFFFFF" w:themeColor="background1"/>
                <w:sz w:val="36"/>
                <w:szCs w:val="36"/>
              </w:rPr>
              <w:br/>
            </w:r>
            <w:r w:rsidRPr="006F36BE">
              <w:rPr>
                <w:color w:val="FFFFFF" w:themeColor="background1"/>
                <w:sz w:val="36"/>
                <w:szCs w:val="36"/>
              </w:rPr>
              <w:t>&amp; Integration</w:t>
            </w:r>
            <w:bookmarkEnd w:id="22"/>
          </w:p>
          <w:p w14:paraId="7129926F" w14:textId="77777777" w:rsidR="00C218B7" w:rsidRDefault="00C218B7" w:rsidP="009823CC">
            <w:pPr>
              <w:spacing w:line="240" w:lineRule="auto"/>
              <w:ind w:left="178" w:right="312"/>
              <w:rPr>
                <w:color w:val="FFFFFF" w:themeColor="background1"/>
              </w:rPr>
            </w:pPr>
            <w:r w:rsidRPr="00026F7B">
              <w:rPr>
                <w:color w:val="FFFFFF" w:themeColor="background1"/>
              </w:rPr>
              <w:t>Maximise the safe, legal, and ethical release, sharing and use of our data.</w:t>
            </w:r>
          </w:p>
          <w:p w14:paraId="62E3A76E" w14:textId="77777777" w:rsidR="00C218B7" w:rsidRDefault="00C218B7" w:rsidP="009823CC">
            <w:pPr>
              <w:spacing w:line="240" w:lineRule="auto"/>
              <w:ind w:left="178" w:right="312"/>
              <w:rPr>
                <w:color w:val="FFFFFF" w:themeColor="background1"/>
              </w:rPr>
            </w:pPr>
            <w:r w:rsidRPr="000331EE">
              <w:rPr>
                <w:b/>
                <w:bCs/>
                <w:color w:val="FFFFFF" w:themeColor="background1"/>
              </w:rPr>
              <w:t>Aims</w:t>
            </w:r>
            <w:r>
              <w:rPr>
                <w:color w:val="FFFFFF" w:themeColor="background1"/>
              </w:rPr>
              <w:t>:</w:t>
            </w:r>
          </w:p>
          <w:p w14:paraId="529B1195" w14:textId="77777777" w:rsidR="00C218B7" w:rsidRDefault="00C218B7" w:rsidP="009823CC">
            <w:pPr>
              <w:pStyle w:val="ListParagraph"/>
              <w:numPr>
                <w:ilvl w:val="0"/>
                <w:numId w:val="18"/>
              </w:numPr>
              <w:spacing w:line="240" w:lineRule="auto"/>
              <w:ind w:left="896" w:right="312" w:hanging="357"/>
              <w:contextualSpacing w:val="0"/>
              <w:rPr>
                <w:color w:val="FFFFFF" w:themeColor="background1"/>
              </w:rPr>
            </w:pPr>
            <w:r>
              <w:rPr>
                <w:color w:val="FFFFFF" w:themeColor="background1"/>
              </w:rPr>
              <w:t>Making greater use of our data assets.</w:t>
            </w:r>
          </w:p>
          <w:p w14:paraId="21FE6D2D" w14:textId="77777777" w:rsidR="00C218B7" w:rsidRDefault="00C218B7" w:rsidP="009823CC">
            <w:pPr>
              <w:pStyle w:val="ListParagraph"/>
              <w:numPr>
                <w:ilvl w:val="0"/>
                <w:numId w:val="18"/>
              </w:numPr>
              <w:spacing w:line="240" w:lineRule="auto"/>
              <w:ind w:left="896" w:right="312" w:hanging="357"/>
              <w:contextualSpacing w:val="0"/>
              <w:rPr>
                <w:color w:val="FFFFFF" w:themeColor="background1"/>
              </w:rPr>
            </w:pPr>
            <w:r>
              <w:rPr>
                <w:color w:val="FFFFFF" w:themeColor="background1"/>
              </w:rPr>
              <w:t>Open and consistent data sharing to deliver outcomes for government.</w:t>
            </w:r>
          </w:p>
          <w:p w14:paraId="38AF2E57" w14:textId="70E17D81" w:rsidR="00C218B7" w:rsidRPr="004D14B3" w:rsidRDefault="00C218B7" w:rsidP="009823CC">
            <w:pPr>
              <w:pStyle w:val="ListParagraph"/>
              <w:numPr>
                <w:ilvl w:val="0"/>
                <w:numId w:val="18"/>
              </w:numPr>
              <w:spacing w:line="240" w:lineRule="auto"/>
              <w:ind w:left="896" w:right="176" w:hanging="357"/>
              <w:contextualSpacing w:val="0"/>
              <w:rPr>
                <w:color w:val="FFFFFF" w:themeColor="background1"/>
              </w:rPr>
            </w:pPr>
            <w:r>
              <w:rPr>
                <w:color w:val="FFFFFF" w:themeColor="background1"/>
              </w:rPr>
              <w:t xml:space="preserve">The </w:t>
            </w:r>
            <w:r w:rsidR="00860DFF">
              <w:rPr>
                <w:color w:val="FFFFFF" w:themeColor="background1"/>
              </w:rPr>
              <w:t>Department</w:t>
            </w:r>
            <w:r>
              <w:rPr>
                <w:color w:val="FFFFFF" w:themeColor="background1"/>
              </w:rPr>
              <w:t xml:space="preserve"> is an active leader in whole of government data initiatives.</w:t>
            </w:r>
          </w:p>
        </w:tc>
        <w:tc>
          <w:tcPr>
            <w:tcW w:w="8867" w:type="dxa"/>
            <w:shd w:val="clear" w:color="auto" w:fill="auto"/>
          </w:tcPr>
          <w:p w14:paraId="33919506" w14:textId="77777777" w:rsidR="00C218B7" w:rsidRPr="00F30FDC" w:rsidRDefault="00C218B7" w:rsidP="00CD1130">
            <w:pPr>
              <w:pStyle w:val="Subtitle"/>
              <w:spacing w:before="240" w:after="120" w:line="240" w:lineRule="auto"/>
              <w:ind w:left="171"/>
              <w:rPr>
                <w:b/>
                <w:bCs/>
                <w:color w:val="621F5C" w:themeColor="accent3"/>
              </w:rPr>
            </w:pPr>
            <w:bookmarkStart w:id="23" w:name="_Toc149746254"/>
            <w:r w:rsidRPr="00F30FDC">
              <w:rPr>
                <w:b/>
                <w:bCs/>
                <w:color w:val="621F5C" w:themeColor="accent3"/>
              </w:rPr>
              <w:t>DEWR’s future state</w:t>
            </w:r>
          </w:p>
          <w:p w14:paraId="730EE3B7" w14:textId="77777777" w:rsidR="00C218B7" w:rsidRDefault="00C218B7" w:rsidP="00E07CB8">
            <w:pPr>
              <w:pStyle w:val="ListParagraph"/>
              <w:numPr>
                <w:ilvl w:val="0"/>
                <w:numId w:val="16"/>
              </w:numPr>
              <w:spacing w:after="120" w:line="240" w:lineRule="auto"/>
              <w:ind w:left="714" w:hanging="357"/>
              <w:contextualSpacing w:val="0"/>
            </w:pPr>
            <w:r>
              <w:t>Expand discoverability, accessibility, and useability of our quality data products, enabling timely and effective analytics, and evidence-based insights through the redevelopment of the data intranet page.</w:t>
            </w:r>
          </w:p>
          <w:p w14:paraId="1D42C9D6" w14:textId="1C288D4F" w:rsidR="00C218B7" w:rsidRDefault="00C218B7" w:rsidP="00E07CB8">
            <w:pPr>
              <w:pStyle w:val="ListParagraph"/>
              <w:numPr>
                <w:ilvl w:val="0"/>
                <w:numId w:val="16"/>
              </w:numPr>
              <w:spacing w:after="120" w:line="240" w:lineRule="auto"/>
              <w:ind w:left="714" w:hanging="357"/>
              <w:contextualSpacing w:val="0"/>
            </w:pPr>
            <w:r>
              <w:t xml:space="preserve">Working collaboratively across the </w:t>
            </w:r>
            <w:r w:rsidR="00860DFF">
              <w:t>Department</w:t>
            </w:r>
            <w:r>
              <w:t>, enhancing our range of data products, analytics, and insights to readily answer questions from the Minister’s offices and other interested parties, influencing decisions.</w:t>
            </w:r>
          </w:p>
          <w:p w14:paraId="2645CF04" w14:textId="77777777" w:rsidR="00C218B7" w:rsidRDefault="00C218B7" w:rsidP="00E07CB8">
            <w:pPr>
              <w:pStyle w:val="ListParagraph"/>
              <w:numPr>
                <w:ilvl w:val="0"/>
                <w:numId w:val="16"/>
              </w:numPr>
              <w:spacing w:after="120" w:line="240" w:lineRule="auto"/>
              <w:ind w:left="714" w:hanging="357"/>
              <w:contextualSpacing w:val="0"/>
            </w:pPr>
            <w:r>
              <w:t>Empower change through responsible data use, fostering innovation and inclusivity, creating a resilient labour market.</w:t>
            </w:r>
          </w:p>
          <w:p w14:paraId="5F238FBD" w14:textId="77777777" w:rsidR="00C218B7" w:rsidRDefault="00C218B7" w:rsidP="00E07CB8">
            <w:pPr>
              <w:pStyle w:val="ListParagraph"/>
              <w:numPr>
                <w:ilvl w:val="0"/>
                <w:numId w:val="16"/>
              </w:numPr>
              <w:spacing w:after="120" w:line="240" w:lineRule="auto"/>
              <w:ind w:left="714" w:hanging="357"/>
              <w:contextualSpacing w:val="0"/>
            </w:pPr>
            <w:r>
              <w:t>Expand our use of integrated data assets to influence program evaluation and design, feeding into actionable insights.</w:t>
            </w:r>
          </w:p>
          <w:p w14:paraId="724E23D8" w14:textId="7159A6AB" w:rsidR="00C218B7" w:rsidRDefault="00C218B7" w:rsidP="00E07CB8">
            <w:pPr>
              <w:pStyle w:val="ListParagraph"/>
              <w:numPr>
                <w:ilvl w:val="0"/>
                <w:numId w:val="16"/>
              </w:numPr>
              <w:spacing w:after="120" w:line="240" w:lineRule="auto"/>
              <w:ind w:left="714" w:hanging="357"/>
              <w:contextualSpacing w:val="0"/>
            </w:pPr>
            <w:r>
              <w:t>Increase our contributions of data to Whole</w:t>
            </w:r>
            <w:r w:rsidR="00E7687F">
              <w:t>-</w:t>
            </w:r>
            <w:r>
              <w:t>of</w:t>
            </w:r>
            <w:r w:rsidR="00E7687F">
              <w:t>-</w:t>
            </w:r>
            <w:r>
              <w:t>Government integrated data assets, such as Personal Level Integrated Data Asset (PLIDA) or the National Disability Data Asset (NDDA).</w:t>
            </w:r>
          </w:p>
          <w:p w14:paraId="3AC1FBAC" w14:textId="77777777" w:rsidR="00C218B7" w:rsidRPr="000331EE" w:rsidRDefault="00C218B7" w:rsidP="00E07CB8">
            <w:pPr>
              <w:pStyle w:val="ListParagraph"/>
              <w:numPr>
                <w:ilvl w:val="0"/>
                <w:numId w:val="16"/>
              </w:numPr>
              <w:spacing w:after="120" w:line="240" w:lineRule="auto"/>
              <w:ind w:left="714" w:hanging="357"/>
              <w:contextualSpacing w:val="0"/>
            </w:pPr>
            <w:r>
              <w:t>Work across Government, including the Centre for Evaluation, influencing, and sharing program evaluation experiences and techniques, for the benefit of the Australian public.</w:t>
            </w:r>
          </w:p>
          <w:p w14:paraId="3EE0C608" w14:textId="77777777" w:rsidR="00C218B7" w:rsidRPr="00F30FDC" w:rsidRDefault="00C218B7" w:rsidP="00CD1130">
            <w:pPr>
              <w:pStyle w:val="Subtitle"/>
              <w:spacing w:before="120" w:after="120" w:line="240" w:lineRule="auto"/>
              <w:ind w:left="171"/>
              <w:rPr>
                <w:b/>
                <w:bCs/>
                <w:color w:val="621F5C" w:themeColor="accent3"/>
                <w:sz w:val="24"/>
                <w:szCs w:val="24"/>
              </w:rPr>
            </w:pPr>
            <w:r w:rsidRPr="00F30FDC">
              <w:rPr>
                <w:b/>
                <w:bCs/>
                <w:color w:val="621F5C" w:themeColor="accent3"/>
                <w:sz w:val="24"/>
                <w:szCs w:val="24"/>
              </w:rPr>
              <w:t>Implementing priorities</w:t>
            </w:r>
            <w:bookmarkEnd w:id="23"/>
          </w:p>
          <w:tbl>
            <w:tblPr>
              <w:tblStyle w:val="TableGrid"/>
              <w:tblW w:w="0" w:type="auto"/>
              <w:tblInd w:w="171" w:type="dxa"/>
              <w:tblLook w:val="04A0" w:firstRow="1" w:lastRow="0" w:firstColumn="1" w:lastColumn="0" w:noHBand="0" w:noVBand="1"/>
            </w:tblPr>
            <w:tblGrid>
              <w:gridCol w:w="4467"/>
              <w:gridCol w:w="3969"/>
            </w:tblGrid>
            <w:tr w:rsidR="004F61CF" w14:paraId="0F3FA4B5" w14:textId="77777777" w:rsidTr="00D30A50">
              <w:trPr>
                <w:tblHeader/>
              </w:trPr>
              <w:tc>
                <w:tcPr>
                  <w:tcW w:w="4467" w:type="dxa"/>
                  <w:shd w:val="clear" w:color="auto" w:fill="621F5C" w:themeFill="accent3"/>
                </w:tcPr>
                <w:p w14:paraId="501A04DC" w14:textId="786AA093" w:rsidR="004F61CF" w:rsidRPr="00DC20C6" w:rsidRDefault="00D30A50" w:rsidP="00D30A50">
                  <w:pPr>
                    <w:tabs>
                      <w:tab w:val="center" w:pos="2125"/>
                      <w:tab w:val="left" w:pos="3290"/>
                    </w:tabs>
                    <w:spacing w:before="10" w:after="10" w:line="240" w:lineRule="auto"/>
                    <w:rPr>
                      <w:b/>
                      <w:bCs/>
                      <w:color w:val="FFFFFF" w:themeColor="background1"/>
                    </w:rPr>
                  </w:pPr>
                  <w:r>
                    <w:rPr>
                      <w:b/>
                      <w:bCs/>
                      <w:color w:val="FFFFFF" w:themeColor="background1"/>
                    </w:rPr>
                    <w:tab/>
                  </w:r>
                  <w:r w:rsidR="004F61CF" w:rsidRPr="00DC20C6">
                    <w:rPr>
                      <w:b/>
                      <w:bCs/>
                      <w:color w:val="FFFFFF" w:themeColor="background1"/>
                    </w:rPr>
                    <w:t>Delivery in 2024</w:t>
                  </w:r>
                  <w:r>
                    <w:rPr>
                      <w:b/>
                      <w:bCs/>
                      <w:color w:val="FFFFFF" w:themeColor="background1"/>
                    </w:rPr>
                    <w:tab/>
                  </w:r>
                </w:p>
              </w:tc>
              <w:tc>
                <w:tcPr>
                  <w:tcW w:w="3969" w:type="dxa"/>
                  <w:shd w:val="clear" w:color="auto" w:fill="621F5C" w:themeFill="accent3"/>
                </w:tcPr>
                <w:p w14:paraId="1139519A" w14:textId="7B5C24A3" w:rsidR="004F61CF" w:rsidRPr="00DC20C6" w:rsidRDefault="004F61CF" w:rsidP="003835C7">
                  <w:pPr>
                    <w:spacing w:before="10" w:after="10" w:line="240" w:lineRule="auto"/>
                    <w:jc w:val="center"/>
                    <w:rPr>
                      <w:b/>
                      <w:bCs/>
                      <w:color w:val="FFFFFF" w:themeColor="background1"/>
                    </w:rPr>
                  </w:pPr>
                  <w:r w:rsidRPr="00DC20C6">
                    <w:rPr>
                      <w:b/>
                      <w:bCs/>
                      <w:color w:val="FFFFFF" w:themeColor="background1"/>
                    </w:rPr>
                    <w:t>Delivery in 2025</w:t>
                  </w:r>
                  <w:r w:rsidR="00D9796C">
                    <w:rPr>
                      <w:b/>
                      <w:bCs/>
                      <w:color w:val="FFFFFF" w:themeColor="background1"/>
                    </w:rPr>
                    <w:t>+</w:t>
                  </w:r>
                </w:p>
              </w:tc>
            </w:tr>
            <w:tr w:rsidR="004F61CF" w14:paraId="3E64AA08" w14:textId="77777777" w:rsidTr="00D30A50">
              <w:trPr>
                <w:trHeight w:val="2243"/>
              </w:trPr>
              <w:tc>
                <w:tcPr>
                  <w:tcW w:w="4467" w:type="dxa"/>
                </w:tcPr>
                <w:p w14:paraId="6C54FF12" w14:textId="77777777" w:rsidR="008E4458" w:rsidRDefault="008E4458" w:rsidP="00E7687F">
                  <w:pPr>
                    <w:pStyle w:val="ListParagraph"/>
                    <w:numPr>
                      <w:ilvl w:val="0"/>
                      <w:numId w:val="26"/>
                    </w:numPr>
                    <w:spacing w:after="60" w:line="240" w:lineRule="auto"/>
                    <w:ind w:left="311" w:hanging="215"/>
                    <w:contextualSpacing w:val="0"/>
                  </w:pPr>
                  <w:r>
                    <w:t>Dashboards</w:t>
                  </w:r>
                </w:p>
                <w:p w14:paraId="78D1D17D" w14:textId="214AE000" w:rsidR="004F61CF" w:rsidRDefault="004F61CF" w:rsidP="00E7687F">
                  <w:pPr>
                    <w:pStyle w:val="ListParagraph"/>
                    <w:numPr>
                      <w:ilvl w:val="0"/>
                      <w:numId w:val="26"/>
                    </w:numPr>
                    <w:spacing w:after="60" w:line="240" w:lineRule="auto"/>
                    <w:ind w:left="311" w:hanging="215"/>
                    <w:contextualSpacing w:val="0"/>
                  </w:pPr>
                  <w:r>
                    <w:t xml:space="preserve">Closing the Gap </w:t>
                  </w:r>
                  <w:r w:rsidR="008E4458">
                    <w:t>Implementation Plan</w:t>
                  </w:r>
                </w:p>
                <w:p w14:paraId="0A099556" w14:textId="2FBCCB63" w:rsidR="004F61CF" w:rsidRDefault="004F61CF" w:rsidP="00E7687F">
                  <w:pPr>
                    <w:pStyle w:val="ListParagraph"/>
                    <w:numPr>
                      <w:ilvl w:val="0"/>
                      <w:numId w:val="26"/>
                    </w:numPr>
                    <w:spacing w:after="60" w:line="240" w:lineRule="auto"/>
                    <w:ind w:left="311" w:hanging="215"/>
                    <w:contextualSpacing w:val="0"/>
                  </w:pPr>
                  <w:r>
                    <w:t>Disability Data Improvement</w:t>
                  </w:r>
                  <w:r w:rsidR="008E4458">
                    <w:t xml:space="preserve"> Plan</w:t>
                  </w:r>
                </w:p>
                <w:p w14:paraId="19A9693F" w14:textId="50801E7D" w:rsidR="004F61CF" w:rsidRDefault="004F61CF" w:rsidP="00E7687F">
                  <w:pPr>
                    <w:pStyle w:val="ListParagraph"/>
                    <w:numPr>
                      <w:ilvl w:val="0"/>
                      <w:numId w:val="26"/>
                    </w:numPr>
                    <w:spacing w:after="60" w:line="240" w:lineRule="auto"/>
                    <w:ind w:left="311" w:hanging="215"/>
                    <w:contextualSpacing w:val="0"/>
                  </w:pPr>
                  <w:r>
                    <w:t xml:space="preserve">Gender Statistics </w:t>
                  </w:r>
                  <w:r w:rsidR="008E4458">
                    <w:t>Improvement Plan</w:t>
                  </w:r>
                </w:p>
                <w:p w14:paraId="68D5B149" w14:textId="77777777" w:rsidR="004F61CF" w:rsidRDefault="004F61CF" w:rsidP="00E7687F">
                  <w:pPr>
                    <w:pStyle w:val="ListParagraph"/>
                    <w:numPr>
                      <w:ilvl w:val="0"/>
                      <w:numId w:val="26"/>
                    </w:numPr>
                    <w:spacing w:after="60" w:line="240" w:lineRule="auto"/>
                    <w:ind w:left="311" w:hanging="215"/>
                    <w:contextualSpacing w:val="0"/>
                  </w:pPr>
                  <w:r>
                    <w:t>Data Publication Plan</w:t>
                  </w:r>
                </w:p>
                <w:p w14:paraId="65CDBB3A" w14:textId="77777777" w:rsidR="00167FA0" w:rsidRDefault="00602791" w:rsidP="00167FA0">
                  <w:pPr>
                    <w:pStyle w:val="ListParagraph"/>
                    <w:numPr>
                      <w:ilvl w:val="0"/>
                      <w:numId w:val="26"/>
                    </w:numPr>
                    <w:spacing w:after="60" w:line="240" w:lineRule="auto"/>
                    <w:ind w:left="311" w:hanging="215"/>
                    <w:contextualSpacing w:val="0"/>
                  </w:pPr>
                  <w:r>
                    <w:t xml:space="preserve">Location Data </w:t>
                  </w:r>
                  <w:r w:rsidR="00A07AD3">
                    <w:t>Standardisation</w:t>
                  </w:r>
                </w:p>
                <w:p w14:paraId="7B4409BF" w14:textId="090CB60A" w:rsidR="00167FA0" w:rsidRDefault="00167FA0" w:rsidP="001011D5">
                  <w:pPr>
                    <w:pStyle w:val="ListParagraph"/>
                    <w:numPr>
                      <w:ilvl w:val="0"/>
                      <w:numId w:val="26"/>
                    </w:numPr>
                    <w:spacing w:after="0" w:line="240" w:lineRule="auto"/>
                    <w:ind w:left="311" w:hanging="215"/>
                    <w:contextualSpacing w:val="0"/>
                  </w:pPr>
                  <w:r>
                    <w:t>Managers Dashboard</w:t>
                  </w:r>
                </w:p>
              </w:tc>
              <w:tc>
                <w:tcPr>
                  <w:tcW w:w="3969" w:type="dxa"/>
                </w:tcPr>
                <w:p w14:paraId="623B32B1" w14:textId="77777777" w:rsidR="004F61CF" w:rsidRDefault="00167FA0" w:rsidP="00E7687F">
                  <w:pPr>
                    <w:pStyle w:val="ListParagraph"/>
                    <w:numPr>
                      <w:ilvl w:val="0"/>
                      <w:numId w:val="26"/>
                    </w:numPr>
                    <w:spacing w:after="60" w:line="240" w:lineRule="auto"/>
                    <w:ind w:left="311" w:hanging="215"/>
                    <w:contextualSpacing w:val="0"/>
                  </w:pPr>
                  <w:r>
                    <w:t>Data Analytics Framework</w:t>
                  </w:r>
                </w:p>
                <w:p w14:paraId="21981587" w14:textId="77777777" w:rsidR="00167FA0" w:rsidRDefault="00167FA0" w:rsidP="00E7687F">
                  <w:pPr>
                    <w:pStyle w:val="ListParagraph"/>
                    <w:numPr>
                      <w:ilvl w:val="0"/>
                      <w:numId w:val="26"/>
                    </w:numPr>
                    <w:spacing w:after="60" w:line="240" w:lineRule="auto"/>
                    <w:ind w:left="311" w:hanging="215"/>
                    <w:contextualSpacing w:val="0"/>
                  </w:pPr>
                  <w:r>
                    <w:t>Dashboards</w:t>
                  </w:r>
                </w:p>
                <w:p w14:paraId="303C3707" w14:textId="77777777" w:rsidR="00F91C26" w:rsidRDefault="00F91C26" w:rsidP="00F91C26">
                  <w:pPr>
                    <w:pStyle w:val="ListParagraph"/>
                    <w:numPr>
                      <w:ilvl w:val="0"/>
                      <w:numId w:val="26"/>
                    </w:numPr>
                    <w:spacing w:after="60" w:line="240" w:lineRule="auto"/>
                    <w:ind w:left="311" w:hanging="215"/>
                    <w:contextualSpacing w:val="0"/>
                  </w:pPr>
                  <w:r>
                    <w:t>Closing the Gap Implementation Plan</w:t>
                  </w:r>
                </w:p>
                <w:p w14:paraId="1117C822" w14:textId="77777777" w:rsidR="00F91C26" w:rsidRDefault="00F91C26" w:rsidP="00F91C26">
                  <w:pPr>
                    <w:pStyle w:val="ListParagraph"/>
                    <w:numPr>
                      <w:ilvl w:val="0"/>
                      <w:numId w:val="26"/>
                    </w:numPr>
                    <w:spacing w:after="60" w:line="240" w:lineRule="auto"/>
                    <w:ind w:left="311" w:hanging="215"/>
                    <w:contextualSpacing w:val="0"/>
                  </w:pPr>
                  <w:r>
                    <w:t>Disability Data Improvement Plan</w:t>
                  </w:r>
                </w:p>
                <w:p w14:paraId="586589DB" w14:textId="77777777" w:rsidR="00F91C26" w:rsidRDefault="00F91C26" w:rsidP="00F91C26">
                  <w:pPr>
                    <w:pStyle w:val="ListParagraph"/>
                    <w:numPr>
                      <w:ilvl w:val="0"/>
                      <w:numId w:val="26"/>
                    </w:numPr>
                    <w:spacing w:after="60" w:line="240" w:lineRule="auto"/>
                    <w:ind w:left="311" w:hanging="215"/>
                    <w:contextualSpacing w:val="0"/>
                  </w:pPr>
                  <w:r>
                    <w:t>Gender Statistics Improvement Plan</w:t>
                  </w:r>
                </w:p>
                <w:p w14:paraId="58099E2E" w14:textId="77777777" w:rsidR="00F91C26" w:rsidRDefault="00F91C26" w:rsidP="00F91C26">
                  <w:pPr>
                    <w:pStyle w:val="ListParagraph"/>
                    <w:numPr>
                      <w:ilvl w:val="0"/>
                      <w:numId w:val="26"/>
                    </w:numPr>
                    <w:spacing w:after="60" w:line="240" w:lineRule="auto"/>
                    <w:ind w:left="311" w:hanging="215"/>
                    <w:contextualSpacing w:val="0"/>
                  </w:pPr>
                  <w:r>
                    <w:t>Location Data Standardisation</w:t>
                  </w:r>
                </w:p>
                <w:p w14:paraId="6056CD53" w14:textId="04063A5C" w:rsidR="00167FA0" w:rsidRDefault="00F91C26" w:rsidP="001011D5">
                  <w:pPr>
                    <w:pStyle w:val="ListParagraph"/>
                    <w:numPr>
                      <w:ilvl w:val="0"/>
                      <w:numId w:val="26"/>
                    </w:numPr>
                    <w:spacing w:after="0" w:line="240" w:lineRule="auto"/>
                    <w:ind w:left="311" w:hanging="215"/>
                    <w:contextualSpacing w:val="0"/>
                  </w:pPr>
                  <w:r>
                    <w:t>Managers Dashboard</w:t>
                  </w:r>
                </w:p>
              </w:tc>
            </w:tr>
          </w:tbl>
          <w:p w14:paraId="36DBC8FA" w14:textId="77777777" w:rsidR="00C218B7" w:rsidRPr="000331EE" w:rsidRDefault="00C218B7" w:rsidP="00041B41"/>
        </w:tc>
      </w:tr>
    </w:tbl>
    <w:p w14:paraId="5FB399AC" w14:textId="77777777" w:rsidR="00E0403B" w:rsidRPr="00E0403B" w:rsidRDefault="00E0403B" w:rsidP="00E0403B">
      <w:pPr>
        <w:sectPr w:rsidR="00E0403B" w:rsidRPr="00E0403B" w:rsidSect="00D4588E">
          <w:headerReference w:type="even" r:id="rId30"/>
          <w:headerReference w:type="default" r:id="rId31"/>
          <w:footerReference w:type="default" r:id="rId32"/>
          <w:headerReference w:type="first" r:id="rId33"/>
          <w:pgSz w:w="16838" w:h="11906" w:orient="landscape"/>
          <w:pgMar w:top="1418" w:right="1418" w:bottom="1418" w:left="1418" w:header="0" w:footer="454" w:gutter="0"/>
          <w:cols w:space="708"/>
          <w:docGrid w:linePitch="360"/>
        </w:sectPr>
      </w:pPr>
    </w:p>
    <w:p w14:paraId="5D40ECD8" w14:textId="4FC93696" w:rsidR="004D14B3" w:rsidRPr="00583C5F" w:rsidRDefault="004D14B3" w:rsidP="00CD2918">
      <w:pPr>
        <w:pStyle w:val="Heading1"/>
        <w:keepNext w:val="0"/>
        <w:keepLines w:val="0"/>
        <w:spacing w:before="0"/>
      </w:pPr>
      <w:bookmarkStart w:id="24" w:name="_Toc170909499"/>
      <w:r w:rsidRPr="00583C5F">
        <w:t>Implementation Roadmap</w:t>
      </w:r>
      <w:bookmarkEnd w:id="21"/>
      <w:bookmarkEnd w:id="24"/>
    </w:p>
    <w:p w14:paraId="1ECAFBCE" w14:textId="2558060F" w:rsidR="004D14B3" w:rsidRDefault="004D14B3" w:rsidP="004D14B3">
      <w:pPr>
        <w:spacing w:line="360" w:lineRule="auto"/>
      </w:pPr>
      <w:r>
        <w:t xml:space="preserve">The Data Strategy </w:t>
      </w:r>
      <w:r w:rsidR="00627405">
        <w:t xml:space="preserve">Implementation </w:t>
      </w:r>
      <w:r>
        <w:t xml:space="preserve">Roadmap outlines the detailed work required to implement the </w:t>
      </w:r>
      <w:r w:rsidR="00860DFF">
        <w:t>Department</w:t>
      </w:r>
      <w:r>
        <w:t>’s Data Strategy.</w:t>
      </w:r>
    </w:p>
    <w:p w14:paraId="6C2ABF70" w14:textId="0306F688" w:rsidR="004D14B3" w:rsidRDefault="004D14B3" w:rsidP="004D14B3">
      <w:pPr>
        <w:spacing w:line="360" w:lineRule="auto"/>
      </w:pPr>
      <w:r>
        <w:t>The roadmap incorporates key focus areas and related activities that support how we manage and use data, while providing a baseline of priorities and indicative timeframes of work, subject to resource availability, strategic planning and whole of government priorities.</w:t>
      </w:r>
    </w:p>
    <w:p w14:paraId="1ACABFEC" w14:textId="6F318298" w:rsidR="00704699" w:rsidRDefault="004D14B3" w:rsidP="00704699">
      <w:pPr>
        <w:spacing w:line="360" w:lineRule="auto"/>
      </w:pPr>
      <w:r>
        <w:t xml:space="preserve">The </w:t>
      </w:r>
      <w:r w:rsidRPr="00BD03A2">
        <w:t xml:space="preserve">Data Governance </w:t>
      </w:r>
      <w:r w:rsidRPr="007F3DCD">
        <w:t>Commit</w:t>
      </w:r>
      <w:r>
        <w:t>tee will receive regular updates on progress, with an annual refresh of the roadmap.</w:t>
      </w:r>
      <w:bookmarkStart w:id="25" w:name="_Toc150783942"/>
    </w:p>
    <w:p w14:paraId="59EE0D7E" w14:textId="6DCADE9B" w:rsidR="004D14B3" w:rsidRPr="00583C5F" w:rsidRDefault="004D14B3" w:rsidP="004D14B3">
      <w:pPr>
        <w:pStyle w:val="Heading1"/>
        <w:spacing w:before="0"/>
      </w:pPr>
      <w:bookmarkStart w:id="26" w:name="_Toc170909500"/>
      <w:r>
        <w:t>Data Governance Framework</w:t>
      </w:r>
      <w:bookmarkEnd w:id="25"/>
      <w:bookmarkEnd w:id="26"/>
    </w:p>
    <w:p w14:paraId="1C888CF7" w14:textId="2B1B9C90" w:rsidR="004D14B3" w:rsidRDefault="004D14B3" w:rsidP="004D14B3">
      <w:pPr>
        <w:spacing w:line="360" w:lineRule="auto"/>
      </w:pPr>
      <w:r>
        <w:t xml:space="preserve">The Data Governance Framework supports the </w:t>
      </w:r>
      <w:r w:rsidR="00860DFF">
        <w:t>Department</w:t>
      </w:r>
      <w:r w:rsidR="00C73B01">
        <w:t xml:space="preserve">’s </w:t>
      </w:r>
      <w:r>
        <w:t xml:space="preserve">Data Strategy by articulating our data governance structures, roles and responsibilities, supporting everyone within the </w:t>
      </w:r>
      <w:r w:rsidR="00860DFF">
        <w:t>Department</w:t>
      </w:r>
      <w:r>
        <w:t xml:space="preserve"> to implement data management policies and processes, working collaboratively to implement the Data Strategy.</w:t>
      </w:r>
    </w:p>
    <w:p w14:paraId="7A7B6393" w14:textId="77777777" w:rsidR="004D14B3" w:rsidRPr="00583C5F" w:rsidRDefault="004D14B3" w:rsidP="004D14B3">
      <w:pPr>
        <w:pStyle w:val="Heading1"/>
        <w:spacing w:before="0"/>
      </w:pPr>
      <w:bookmarkStart w:id="27" w:name="_Toc150783943"/>
      <w:bookmarkStart w:id="28" w:name="_Toc170909501"/>
      <w:r w:rsidRPr="00583C5F">
        <w:t>More information</w:t>
      </w:r>
      <w:bookmarkEnd w:id="27"/>
      <w:bookmarkEnd w:id="28"/>
    </w:p>
    <w:p w14:paraId="46154927" w14:textId="0D596956" w:rsidR="00B741D8" w:rsidRPr="00B741D8" w:rsidRDefault="004D14B3" w:rsidP="008C3B44">
      <w:pPr>
        <w:spacing w:line="360" w:lineRule="auto"/>
      </w:pPr>
      <w:r>
        <w:t xml:space="preserve">For more information on the data strategy and the roadmap, please contact us at </w:t>
      </w:r>
      <w:hyperlink r:id="rId34" w:history="1">
        <w:r w:rsidRPr="00AF2E06">
          <w:rPr>
            <w:rStyle w:val="Hyperlink"/>
          </w:rPr>
          <w:t>data@dewr.gov.au</w:t>
        </w:r>
      </w:hyperlink>
      <w:r>
        <w:t>.</w:t>
      </w:r>
      <w:bookmarkEnd w:id="1"/>
    </w:p>
    <w:sectPr w:rsidR="00B741D8" w:rsidRPr="00B741D8" w:rsidSect="00D4588E">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8E580" w14:textId="77777777" w:rsidR="000D4723" w:rsidRDefault="000D4723" w:rsidP="0051352E">
      <w:pPr>
        <w:spacing w:after="0" w:line="240" w:lineRule="auto"/>
      </w:pPr>
      <w:r>
        <w:separator/>
      </w:r>
    </w:p>
  </w:endnote>
  <w:endnote w:type="continuationSeparator" w:id="0">
    <w:p w14:paraId="26A810BD" w14:textId="77777777" w:rsidR="000D4723" w:rsidRDefault="000D4723" w:rsidP="0051352E">
      <w:pPr>
        <w:spacing w:after="0" w:line="240" w:lineRule="auto"/>
      </w:pPr>
      <w:r>
        <w:continuationSeparator/>
      </w:r>
    </w:p>
  </w:endnote>
  <w:endnote w:type="continuationNotice" w:id="1">
    <w:p w14:paraId="731C8F46" w14:textId="77777777" w:rsidR="000D4723" w:rsidRDefault="000D4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68FE" w14:textId="6D590449" w:rsidR="00EA67FC" w:rsidRDefault="00B2649E" w:rsidP="00083B11">
    <w:pPr>
      <w:pStyle w:val="Footer"/>
      <w:jc w:val="right"/>
    </w:pPr>
    <w:r>
      <w:t>DEWR Data Strategy</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r w:rsidR="00BE737E">
      <w:rPr>
        <w:noProof/>
      </w:rPr>
      <mc:AlternateContent>
        <mc:Choice Requires="wps">
          <w:drawing>
            <wp:anchor distT="0" distB="0" distL="114300" distR="114300" simplePos="0" relativeHeight="251658240" behindDoc="0" locked="0" layoutInCell="1" allowOverlap="1" wp14:anchorId="47782A98" wp14:editId="6806DBB6">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56D44A5"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043C" w14:textId="72956EA9" w:rsidR="00B741D8" w:rsidRDefault="00B741D8" w:rsidP="00083B11">
    <w:pPr>
      <w:pStyle w:val="Footer"/>
      <w:jc w:val="right"/>
    </w:pPr>
    <w:r>
      <w:t xml:space="preserve">DEWR Data Strategy | </w:t>
    </w:r>
    <w:sdt>
      <w:sdtPr>
        <w:id w:val="19871278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r>
      <w:rPr>
        <w:noProof/>
      </w:rPr>
      <mc:AlternateContent>
        <mc:Choice Requires="wps">
          <w:drawing>
            <wp:anchor distT="0" distB="0" distL="114300" distR="114300" simplePos="0" relativeHeight="251658241" behindDoc="0" locked="0" layoutInCell="1" allowOverlap="1" wp14:anchorId="64D151E9" wp14:editId="4D405706">
              <wp:simplePos x="0" y="0"/>
              <wp:positionH relativeFrom="page">
                <wp:posOffset>0</wp:posOffset>
              </wp:positionH>
              <wp:positionV relativeFrom="paragraph">
                <wp:posOffset>251509</wp:posOffset>
              </wp:positionV>
              <wp:extent cx="7559675" cy="197485"/>
              <wp:effectExtent l="0" t="0" r="0" b="5715"/>
              <wp:wrapNone/>
              <wp:docPr id="300005580" name="Rectangle 300005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A265DE" id="Rectangle 300005580" o:spid="_x0000_s1026" alt="&quot;&quot;" style="position:absolute;margin-left:0;margin-top:19.8pt;width:595.25pt;height:1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AA223" w14:textId="77777777" w:rsidR="000D4723" w:rsidRDefault="000D4723" w:rsidP="0051352E">
      <w:pPr>
        <w:spacing w:after="0" w:line="240" w:lineRule="auto"/>
      </w:pPr>
      <w:r>
        <w:separator/>
      </w:r>
    </w:p>
  </w:footnote>
  <w:footnote w:type="continuationSeparator" w:id="0">
    <w:p w14:paraId="790D4CC5" w14:textId="77777777" w:rsidR="000D4723" w:rsidRDefault="000D4723" w:rsidP="0051352E">
      <w:pPr>
        <w:spacing w:after="0" w:line="240" w:lineRule="auto"/>
      </w:pPr>
      <w:r>
        <w:continuationSeparator/>
      </w:r>
    </w:p>
  </w:footnote>
  <w:footnote w:type="continuationNotice" w:id="1">
    <w:p w14:paraId="56DC5749" w14:textId="77777777" w:rsidR="000D4723" w:rsidRDefault="000D4723">
      <w:pPr>
        <w:spacing w:after="0" w:line="240" w:lineRule="auto"/>
      </w:pPr>
    </w:p>
  </w:footnote>
  <w:footnote w:id="2">
    <w:p w14:paraId="051E2D6E" w14:textId="433FE778" w:rsidR="004C130D" w:rsidRPr="00181CBF" w:rsidRDefault="004C130D">
      <w:pPr>
        <w:pStyle w:val="FootnoteText"/>
        <w:rPr>
          <w:sz w:val="18"/>
          <w:szCs w:val="18"/>
        </w:rPr>
      </w:pPr>
      <w:r w:rsidRPr="00181CBF">
        <w:rPr>
          <w:rStyle w:val="FootnoteReference"/>
          <w:sz w:val="18"/>
          <w:szCs w:val="18"/>
        </w:rPr>
        <w:footnoteRef/>
      </w:r>
      <w:r w:rsidRPr="00181CBF">
        <w:rPr>
          <w:sz w:val="18"/>
          <w:szCs w:val="18"/>
        </w:rPr>
        <w:t xml:space="preserve"> </w:t>
      </w:r>
      <w:r w:rsidR="00EF3AE1" w:rsidRPr="00181CBF">
        <w:rPr>
          <w:rStyle w:val="ui-provider"/>
          <w:sz w:val="18"/>
          <w:szCs w:val="18"/>
        </w:rPr>
        <w:t>Data: any information in a form capable of being communicated, analysed or processed (whether by an individual or by computer or other automated means)</w:t>
      </w:r>
      <w:r w:rsidR="00181CBF" w:rsidRPr="00181CBF">
        <w:rPr>
          <w:rStyle w:val="ui-provider"/>
          <w:sz w:val="18"/>
          <w:szCs w:val="18"/>
        </w:rPr>
        <w:t>.</w:t>
      </w:r>
    </w:p>
  </w:footnote>
  <w:footnote w:id="3">
    <w:p w14:paraId="37DBE0D0" w14:textId="336AF29B" w:rsidR="0032718C" w:rsidRPr="00D272E0" w:rsidRDefault="0032718C">
      <w:pPr>
        <w:pStyle w:val="FootnoteText"/>
        <w:rPr>
          <w:sz w:val="16"/>
          <w:szCs w:val="16"/>
        </w:rPr>
      </w:pPr>
      <w:r>
        <w:rPr>
          <w:rStyle w:val="FootnoteReference"/>
        </w:rPr>
        <w:footnoteRef/>
      </w:r>
      <w:r>
        <w:t xml:space="preserve"> </w:t>
      </w:r>
      <w:r w:rsidR="00134517" w:rsidRPr="00CD445B">
        <w:rPr>
          <w:sz w:val="16"/>
          <w:szCs w:val="16"/>
        </w:rPr>
        <w:t>For example, Parlihelper</w:t>
      </w:r>
      <w:r w:rsidR="00D63411">
        <w:rPr>
          <w:sz w:val="16"/>
          <w:szCs w:val="16"/>
        </w:rPr>
        <w:t xml:space="preserve"> which</w:t>
      </w:r>
      <w:r w:rsidR="00940A1B" w:rsidRPr="00CD445B">
        <w:rPr>
          <w:sz w:val="16"/>
          <w:szCs w:val="16"/>
        </w:rPr>
        <w:t xml:space="preserve"> summaris</w:t>
      </w:r>
      <w:r w:rsidR="00155E48">
        <w:rPr>
          <w:sz w:val="16"/>
          <w:szCs w:val="16"/>
        </w:rPr>
        <w:t>es</w:t>
      </w:r>
      <w:r w:rsidR="00940A1B" w:rsidRPr="00CD445B">
        <w:rPr>
          <w:sz w:val="16"/>
          <w:szCs w:val="16"/>
        </w:rPr>
        <w:t xml:space="preserve"> Senate Estimates</w:t>
      </w:r>
      <w:r w:rsidR="00FB65E8">
        <w:rPr>
          <w:sz w:val="16"/>
          <w:szCs w:val="16"/>
        </w:rPr>
        <w:t xml:space="preserve"> discussions</w:t>
      </w:r>
      <w:r w:rsidR="00780715">
        <w:rPr>
          <w:sz w:val="16"/>
          <w:szCs w:val="16"/>
        </w:rPr>
        <w:t>, or</w:t>
      </w:r>
      <w:r w:rsidR="00D272E0" w:rsidRPr="00D272E0">
        <w:rPr>
          <w:sz w:val="16"/>
          <w:szCs w:val="16"/>
        </w:rPr>
        <w:t xml:space="preserve"> the e</w:t>
      </w:r>
      <w:r w:rsidR="00F46485" w:rsidRPr="00D272E0">
        <w:rPr>
          <w:sz w:val="16"/>
          <w:szCs w:val="16"/>
        </w:rPr>
        <w:t>xpansion o</w:t>
      </w:r>
      <w:r w:rsidR="00D272E0">
        <w:rPr>
          <w:sz w:val="16"/>
          <w:szCs w:val="16"/>
        </w:rPr>
        <w:t>f</w:t>
      </w:r>
      <w:r w:rsidR="00F46485" w:rsidRPr="00D272E0">
        <w:rPr>
          <w:sz w:val="16"/>
          <w:szCs w:val="16"/>
        </w:rPr>
        <w:t xml:space="preserve"> the use of interactive dashboards, enabling faster decision making.</w:t>
      </w:r>
    </w:p>
  </w:footnote>
  <w:footnote w:id="4">
    <w:p w14:paraId="406DFFAB" w14:textId="77777777" w:rsidR="00101C8D" w:rsidRPr="00101C8D" w:rsidRDefault="00101C8D" w:rsidP="00101C8D">
      <w:pPr>
        <w:pStyle w:val="FootnoteText"/>
        <w:rPr>
          <w:sz w:val="16"/>
          <w:szCs w:val="16"/>
        </w:rPr>
      </w:pPr>
      <w:r w:rsidRPr="00101C8D">
        <w:rPr>
          <w:rStyle w:val="FootnoteReference"/>
          <w:sz w:val="16"/>
          <w:szCs w:val="16"/>
        </w:rPr>
        <w:footnoteRef/>
      </w:r>
      <w:r w:rsidRPr="00101C8D">
        <w:rPr>
          <w:sz w:val="16"/>
          <w:szCs w:val="16"/>
        </w:rPr>
        <w:t xml:space="preserve"> </w:t>
      </w:r>
      <w:r w:rsidRPr="00743F05">
        <w:rPr>
          <w:rFonts w:cstheme="minorHAnsi"/>
          <w:color w:val="000000"/>
          <w:sz w:val="16"/>
          <w:szCs w:val="16"/>
          <w:shd w:val="clear" w:color="auto" w:fill="FFFFFF"/>
        </w:rPr>
        <w:t>Commonwealth of Australia, Department of the Prime Minister and Cabinet, Delivering for Australians, 2019</w:t>
      </w:r>
      <w:r w:rsidRPr="00101C8D">
        <w:rPr>
          <w:rFonts w:ascii="Segoe UI" w:hAnsi="Segoe UI" w:cs="Segoe UI"/>
          <w:color w:val="000000"/>
          <w:sz w:val="16"/>
          <w:szCs w:val="16"/>
          <w:shd w:val="clear" w:color="auto" w:fill="FFFFFF"/>
        </w:rPr>
        <w:t>.</w:t>
      </w:r>
    </w:p>
  </w:footnote>
  <w:footnote w:id="5">
    <w:p w14:paraId="7956B7D9" w14:textId="5DD075E8" w:rsidR="002F0625" w:rsidRDefault="002F0625">
      <w:pPr>
        <w:pStyle w:val="FootnoteText"/>
      </w:pPr>
      <w:r>
        <w:rPr>
          <w:rStyle w:val="FootnoteReference"/>
        </w:rPr>
        <w:footnoteRef/>
      </w:r>
      <w:r>
        <w:t xml:space="preserve"> </w:t>
      </w:r>
      <w:hyperlink r:id="rId1" w:history="1">
        <w:r w:rsidRPr="00743F05">
          <w:rPr>
            <w:rStyle w:val="Hyperlink"/>
            <w:sz w:val="16"/>
            <w:szCs w:val="16"/>
          </w:rPr>
          <w:t>Data sharing factsheets | Department of Finance</w:t>
        </w:r>
      </w:hyperlink>
    </w:p>
  </w:footnote>
  <w:footnote w:id="6">
    <w:p w14:paraId="52B35E0F" w14:textId="40210792" w:rsidR="00EB7111" w:rsidRDefault="00EB7111">
      <w:pPr>
        <w:pStyle w:val="FootnoteText"/>
      </w:pPr>
      <w:r>
        <w:rPr>
          <w:rStyle w:val="FootnoteReference"/>
        </w:rPr>
        <w:footnoteRef/>
      </w:r>
      <w:r>
        <w:t xml:space="preserve"> </w:t>
      </w:r>
      <w:hyperlink r:id="rId2" w:history="1">
        <w:r w:rsidR="00203D8E">
          <w:rPr>
            <w:rStyle w:val="Hyperlink"/>
            <w:sz w:val="16"/>
            <w:szCs w:val="16"/>
          </w:rPr>
          <w:t>APS Data Professional Stream Strategy (apsc.gov.au)</w:t>
        </w:r>
      </w:hyperlink>
    </w:p>
  </w:footnote>
  <w:footnote w:id="7">
    <w:p w14:paraId="6DD79B63" w14:textId="0E81C8BF" w:rsidR="00FB12E7" w:rsidRDefault="00FB12E7">
      <w:pPr>
        <w:pStyle w:val="FootnoteText"/>
      </w:pPr>
      <w:r>
        <w:rPr>
          <w:rStyle w:val="FootnoteReference"/>
        </w:rPr>
        <w:footnoteRef/>
      </w:r>
      <w:r>
        <w:t xml:space="preserve"> </w:t>
      </w:r>
      <w:hyperlink r:id="rId3" w:history="1">
        <w:r w:rsidRPr="00FB12E7">
          <w:rPr>
            <w:rStyle w:val="Hyperlink"/>
            <w:sz w:val="16"/>
            <w:szCs w:val="16"/>
          </w:rPr>
          <w:t>APS Data Capability Framework – User Guide | Australian Public Service Commission (apsc.gov.au)</w:t>
        </w:r>
      </w:hyperlink>
    </w:p>
  </w:footnote>
  <w:footnote w:id="8">
    <w:p w14:paraId="2BC9BFDE" w14:textId="31668C7A" w:rsidR="00F32E16" w:rsidRPr="009D4FD7" w:rsidRDefault="00F32E16">
      <w:pPr>
        <w:pStyle w:val="FootnoteText"/>
        <w:rPr>
          <w:sz w:val="16"/>
          <w:szCs w:val="16"/>
        </w:rPr>
      </w:pPr>
      <w:r w:rsidRPr="009D4FD7">
        <w:rPr>
          <w:rStyle w:val="FootnoteReference"/>
          <w:sz w:val="16"/>
          <w:szCs w:val="16"/>
        </w:rPr>
        <w:footnoteRef/>
      </w:r>
      <w:r w:rsidRPr="009D4FD7">
        <w:rPr>
          <w:sz w:val="16"/>
          <w:szCs w:val="16"/>
        </w:rPr>
        <w:t xml:space="preserve"> </w:t>
      </w:r>
      <w:r w:rsidR="0041561E" w:rsidRPr="009D4FD7">
        <w:rPr>
          <w:sz w:val="16"/>
          <w:szCs w:val="16"/>
        </w:rPr>
        <w:t>Building Strong SES Accountability for Data (PM&amp;C Deputy Secretaries Data Group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84A1" w14:textId="13C5DF97" w:rsidR="0038494A" w:rsidRDefault="00384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5EDD" w14:textId="66A785B4" w:rsidR="00EA67FC" w:rsidRDefault="00D3134C" w:rsidP="009C7A74">
    <w:pPr>
      <w:pStyle w:val="Header"/>
      <w:tabs>
        <w:tab w:val="clear" w:pos="9026"/>
        <w:tab w:val="right" w:pos="9214"/>
      </w:tabs>
      <w:spacing w:before="240"/>
      <w:jc w:val="right"/>
    </w:pPr>
    <w:r>
      <w:rPr>
        <w:noProof/>
      </w:rPr>
      <w:drawing>
        <wp:inline distT="0" distB="0" distL="0" distR="0" wp14:anchorId="5692D3F9" wp14:editId="52C3D8D9">
          <wp:extent cx="579600" cy="579600"/>
          <wp:effectExtent l="38100" t="38100" r="30480" b="30480"/>
          <wp:docPr id="1879488969" name="Graphic 1879488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99425" name="Graphic 49989942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579600" cy="579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A3B2" w14:textId="3B465208" w:rsidR="0038494A" w:rsidRDefault="003849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443A" w14:textId="41699D42" w:rsidR="0038494A" w:rsidRDefault="003849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27E8" w14:textId="0BC2BF2D" w:rsidR="00B741D8" w:rsidRDefault="00B6597D" w:rsidP="00B2649E">
    <w:pPr>
      <w:pStyle w:val="Header"/>
      <w:spacing w:before="240"/>
      <w:jc w:val="right"/>
    </w:pPr>
    <w:r>
      <w:rPr>
        <w:noProof/>
      </w:rPr>
      <w:drawing>
        <wp:inline distT="0" distB="0" distL="0" distR="0" wp14:anchorId="6786B5A6" wp14:editId="3E62DE50">
          <wp:extent cx="579600" cy="579600"/>
          <wp:effectExtent l="0" t="0" r="0" b="0"/>
          <wp:docPr id="1848124305" name="Graphic 1848124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67179" name="Graphic 465867179">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579600" cy="57960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307D" w14:textId="33AAFAF0" w:rsidR="0038494A" w:rsidRDefault="00384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8C3B1B"/>
    <w:multiLevelType w:val="multilevel"/>
    <w:tmpl w:val="570CC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D288D"/>
    <w:multiLevelType w:val="hybridMultilevel"/>
    <w:tmpl w:val="E444A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3721AC"/>
    <w:multiLevelType w:val="hybridMultilevel"/>
    <w:tmpl w:val="86B0A2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FE4BE4"/>
    <w:multiLevelType w:val="hybridMultilevel"/>
    <w:tmpl w:val="3DC05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D806F81"/>
    <w:multiLevelType w:val="hybridMultilevel"/>
    <w:tmpl w:val="058E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CF607D"/>
    <w:multiLevelType w:val="hybridMultilevel"/>
    <w:tmpl w:val="4CE2FBDE"/>
    <w:lvl w:ilvl="0" w:tplc="23781780">
      <w:start w:val="1"/>
      <w:numFmt w:val="bullet"/>
      <w:lvlText w:val=""/>
      <w:lvlJc w:val="left"/>
      <w:pPr>
        <w:ind w:left="898" w:hanging="360"/>
      </w:pPr>
      <w:rPr>
        <w:rFonts w:ascii="Symbol" w:hAnsi="Symbol" w:hint="default"/>
        <w:color w:val="FFFFFF" w:themeColor="background1"/>
      </w:rPr>
    </w:lvl>
    <w:lvl w:ilvl="1" w:tplc="0C090003" w:tentative="1">
      <w:start w:val="1"/>
      <w:numFmt w:val="bullet"/>
      <w:lvlText w:val="o"/>
      <w:lvlJc w:val="left"/>
      <w:pPr>
        <w:ind w:left="1618" w:hanging="360"/>
      </w:pPr>
      <w:rPr>
        <w:rFonts w:ascii="Courier New" w:hAnsi="Courier New" w:cs="Courier New" w:hint="default"/>
      </w:rPr>
    </w:lvl>
    <w:lvl w:ilvl="2" w:tplc="0C090005" w:tentative="1">
      <w:start w:val="1"/>
      <w:numFmt w:val="bullet"/>
      <w:lvlText w:val=""/>
      <w:lvlJc w:val="left"/>
      <w:pPr>
        <w:ind w:left="2338" w:hanging="360"/>
      </w:pPr>
      <w:rPr>
        <w:rFonts w:ascii="Wingdings" w:hAnsi="Wingdings" w:hint="default"/>
      </w:rPr>
    </w:lvl>
    <w:lvl w:ilvl="3" w:tplc="0C090001" w:tentative="1">
      <w:start w:val="1"/>
      <w:numFmt w:val="bullet"/>
      <w:lvlText w:val=""/>
      <w:lvlJc w:val="left"/>
      <w:pPr>
        <w:ind w:left="3058" w:hanging="360"/>
      </w:pPr>
      <w:rPr>
        <w:rFonts w:ascii="Symbol" w:hAnsi="Symbol" w:hint="default"/>
      </w:rPr>
    </w:lvl>
    <w:lvl w:ilvl="4" w:tplc="0C090003" w:tentative="1">
      <w:start w:val="1"/>
      <w:numFmt w:val="bullet"/>
      <w:lvlText w:val="o"/>
      <w:lvlJc w:val="left"/>
      <w:pPr>
        <w:ind w:left="3778" w:hanging="360"/>
      </w:pPr>
      <w:rPr>
        <w:rFonts w:ascii="Courier New" w:hAnsi="Courier New" w:cs="Courier New" w:hint="default"/>
      </w:rPr>
    </w:lvl>
    <w:lvl w:ilvl="5" w:tplc="0C090005" w:tentative="1">
      <w:start w:val="1"/>
      <w:numFmt w:val="bullet"/>
      <w:lvlText w:val=""/>
      <w:lvlJc w:val="left"/>
      <w:pPr>
        <w:ind w:left="4498" w:hanging="360"/>
      </w:pPr>
      <w:rPr>
        <w:rFonts w:ascii="Wingdings" w:hAnsi="Wingdings" w:hint="default"/>
      </w:rPr>
    </w:lvl>
    <w:lvl w:ilvl="6" w:tplc="0C090001" w:tentative="1">
      <w:start w:val="1"/>
      <w:numFmt w:val="bullet"/>
      <w:lvlText w:val=""/>
      <w:lvlJc w:val="left"/>
      <w:pPr>
        <w:ind w:left="5218" w:hanging="360"/>
      </w:pPr>
      <w:rPr>
        <w:rFonts w:ascii="Symbol" w:hAnsi="Symbol" w:hint="default"/>
      </w:rPr>
    </w:lvl>
    <w:lvl w:ilvl="7" w:tplc="0C090003" w:tentative="1">
      <w:start w:val="1"/>
      <w:numFmt w:val="bullet"/>
      <w:lvlText w:val="o"/>
      <w:lvlJc w:val="left"/>
      <w:pPr>
        <w:ind w:left="5938" w:hanging="360"/>
      </w:pPr>
      <w:rPr>
        <w:rFonts w:ascii="Courier New" w:hAnsi="Courier New" w:cs="Courier New" w:hint="default"/>
      </w:rPr>
    </w:lvl>
    <w:lvl w:ilvl="8" w:tplc="0C090005" w:tentative="1">
      <w:start w:val="1"/>
      <w:numFmt w:val="bullet"/>
      <w:lvlText w:val=""/>
      <w:lvlJc w:val="left"/>
      <w:pPr>
        <w:ind w:left="6658" w:hanging="360"/>
      </w:pPr>
      <w:rPr>
        <w:rFonts w:ascii="Wingdings" w:hAnsi="Wingdings" w:hint="default"/>
      </w:rPr>
    </w:lvl>
  </w:abstractNum>
  <w:abstractNum w:abstractNumId="18" w15:restartNumberingAfterBreak="0">
    <w:nsid w:val="29AD13B3"/>
    <w:multiLevelType w:val="hybridMultilevel"/>
    <w:tmpl w:val="8C669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F6093D"/>
    <w:multiLevelType w:val="hybridMultilevel"/>
    <w:tmpl w:val="0CB6F046"/>
    <w:lvl w:ilvl="0" w:tplc="0C09000F">
      <w:start w:val="1"/>
      <w:numFmt w:val="decimal"/>
      <w:lvlText w:val="%1."/>
      <w:lvlJc w:val="left"/>
      <w:pPr>
        <w:ind w:left="502" w:hanging="360"/>
      </w:pPr>
      <w:rPr>
        <w:rFonts w:hint="default"/>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8E3397"/>
    <w:multiLevelType w:val="multilevel"/>
    <w:tmpl w:val="E70A17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A90009"/>
    <w:multiLevelType w:val="hybridMultilevel"/>
    <w:tmpl w:val="E4260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61248B"/>
    <w:multiLevelType w:val="hybridMultilevel"/>
    <w:tmpl w:val="3EA6BB6C"/>
    <w:lvl w:ilvl="0" w:tplc="0C090001">
      <w:start w:val="1"/>
      <w:numFmt w:val="bullet"/>
      <w:lvlText w:val=""/>
      <w:lvlJc w:val="left"/>
      <w:pPr>
        <w:ind w:left="898" w:hanging="360"/>
      </w:pPr>
      <w:rPr>
        <w:rFonts w:ascii="Symbol" w:hAnsi="Symbol" w:hint="default"/>
      </w:rPr>
    </w:lvl>
    <w:lvl w:ilvl="1" w:tplc="0C090003" w:tentative="1">
      <w:start w:val="1"/>
      <w:numFmt w:val="bullet"/>
      <w:lvlText w:val="o"/>
      <w:lvlJc w:val="left"/>
      <w:pPr>
        <w:ind w:left="1618" w:hanging="360"/>
      </w:pPr>
      <w:rPr>
        <w:rFonts w:ascii="Courier New" w:hAnsi="Courier New" w:cs="Courier New" w:hint="default"/>
      </w:rPr>
    </w:lvl>
    <w:lvl w:ilvl="2" w:tplc="0C090005" w:tentative="1">
      <w:start w:val="1"/>
      <w:numFmt w:val="bullet"/>
      <w:lvlText w:val=""/>
      <w:lvlJc w:val="left"/>
      <w:pPr>
        <w:ind w:left="2338" w:hanging="360"/>
      </w:pPr>
      <w:rPr>
        <w:rFonts w:ascii="Wingdings" w:hAnsi="Wingdings" w:hint="default"/>
      </w:rPr>
    </w:lvl>
    <w:lvl w:ilvl="3" w:tplc="0C090001" w:tentative="1">
      <w:start w:val="1"/>
      <w:numFmt w:val="bullet"/>
      <w:lvlText w:val=""/>
      <w:lvlJc w:val="left"/>
      <w:pPr>
        <w:ind w:left="3058" w:hanging="360"/>
      </w:pPr>
      <w:rPr>
        <w:rFonts w:ascii="Symbol" w:hAnsi="Symbol" w:hint="default"/>
      </w:rPr>
    </w:lvl>
    <w:lvl w:ilvl="4" w:tplc="0C090003" w:tentative="1">
      <w:start w:val="1"/>
      <w:numFmt w:val="bullet"/>
      <w:lvlText w:val="o"/>
      <w:lvlJc w:val="left"/>
      <w:pPr>
        <w:ind w:left="3778" w:hanging="360"/>
      </w:pPr>
      <w:rPr>
        <w:rFonts w:ascii="Courier New" w:hAnsi="Courier New" w:cs="Courier New" w:hint="default"/>
      </w:rPr>
    </w:lvl>
    <w:lvl w:ilvl="5" w:tplc="0C090005" w:tentative="1">
      <w:start w:val="1"/>
      <w:numFmt w:val="bullet"/>
      <w:lvlText w:val=""/>
      <w:lvlJc w:val="left"/>
      <w:pPr>
        <w:ind w:left="4498" w:hanging="360"/>
      </w:pPr>
      <w:rPr>
        <w:rFonts w:ascii="Wingdings" w:hAnsi="Wingdings" w:hint="default"/>
      </w:rPr>
    </w:lvl>
    <w:lvl w:ilvl="6" w:tplc="0C090001" w:tentative="1">
      <w:start w:val="1"/>
      <w:numFmt w:val="bullet"/>
      <w:lvlText w:val=""/>
      <w:lvlJc w:val="left"/>
      <w:pPr>
        <w:ind w:left="5218" w:hanging="360"/>
      </w:pPr>
      <w:rPr>
        <w:rFonts w:ascii="Symbol" w:hAnsi="Symbol" w:hint="default"/>
      </w:rPr>
    </w:lvl>
    <w:lvl w:ilvl="7" w:tplc="0C090003" w:tentative="1">
      <w:start w:val="1"/>
      <w:numFmt w:val="bullet"/>
      <w:lvlText w:val="o"/>
      <w:lvlJc w:val="left"/>
      <w:pPr>
        <w:ind w:left="5938" w:hanging="360"/>
      </w:pPr>
      <w:rPr>
        <w:rFonts w:ascii="Courier New" w:hAnsi="Courier New" w:cs="Courier New" w:hint="default"/>
      </w:rPr>
    </w:lvl>
    <w:lvl w:ilvl="8" w:tplc="0C090005" w:tentative="1">
      <w:start w:val="1"/>
      <w:numFmt w:val="bullet"/>
      <w:lvlText w:val=""/>
      <w:lvlJc w:val="left"/>
      <w:pPr>
        <w:ind w:left="6658" w:hanging="360"/>
      </w:pPr>
      <w:rPr>
        <w:rFonts w:ascii="Wingdings" w:hAnsi="Wingdings" w:hint="default"/>
      </w:rPr>
    </w:lvl>
  </w:abstractNum>
  <w:abstractNum w:abstractNumId="25" w15:restartNumberingAfterBreak="0">
    <w:nsid w:val="4C4E1E5F"/>
    <w:multiLevelType w:val="hybridMultilevel"/>
    <w:tmpl w:val="7E6C7E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9A2BAD"/>
    <w:multiLevelType w:val="hybridMultilevel"/>
    <w:tmpl w:val="75E0978A"/>
    <w:lvl w:ilvl="0" w:tplc="0C090001">
      <w:start w:val="1"/>
      <w:numFmt w:val="bullet"/>
      <w:lvlText w:val=""/>
      <w:lvlJc w:val="left"/>
      <w:pPr>
        <w:ind w:left="898" w:hanging="360"/>
      </w:pPr>
      <w:rPr>
        <w:rFonts w:ascii="Symbol" w:hAnsi="Symbol" w:hint="default"/>
      </w:rPr>
    </w:lvl>
    <w:lvl w:ilvl="1" w:tplc="0C090003" w:tentative="1">
      <w:start w:val="1"/>
      <w:numFmt w:val="bullet"/>
      <w:lvlText w:val="o"/>
      <w:lvlJc w:val="left"/>
      <w:pPr>
        <w:ind w:left="1618" w:hanging="360"/>
      </w:pPr>
      <w:rPr>
        <w:rFonts w:ascii="Courier New" w:hAnsi="Courier New" w:cs="Courier New" w:hint="default"/>
      </w:rPr>
    </w:lvl>
    <w:lvl w:ilvl="2" w:tplc="0C090005" w:tentative="1">
      <w:start w:val="1"/>
      <w:numFmt w:val="bullet"/>
      <w:lvlText w:val=""/>
      <w:lvlJc w:val="left"/>
      <w:pPr>
        <w:ind w:left="2338" w:hanging="360"/>
      </w:pPr>
      <w:rPr>
        <w:rFonts w:ascii="Wingdings" w:hAnsi="Wingdings" w:hint="default"/>
      </w:rPr>
    </w:lvl>
    <w:lvl w:ilvl="3" w:tplc="0C090001" w:tentative="1">
      <w:start w:val="1"/>
      <w:numFmt w:val="bullet"/>
      <w:lvlText w:val=""/>
      <w:lvlJc w:val="left"/>
      <w:pPr>
        <w:ind w:left="3058" w:hanging="360"/>
      </w:pPr>
      <w:rPr>
        <w:rFonts w:ascii="Symbol" w:hAnsi="Symbol" w:hint="default"/>
      </w:rPr>
    </w:lvl>
    <w:lvl w:ilvl="4" w:tplc="0C090003" w:tentative="1">
      <w:start w:val="1"/>
      <w:numFmt w:val="bullet"/>
      <w:lvlText w:val="o"/>
      <w:lvlJc w:val="left"/>
      <w:pPr>
        <w:ind w:left="3778" w:hanging="360"/>
      </w:pPr>
      <w:rPr>
        <w:rFonts w:ascii="Courier New" w:hAnsi="Courier New" w:cs="Courier New" w:hint="default"/>
      </w:rPr>
    </w:lvl>
    <w:lvl w:ilvl="5" w:tplc="0C090005" w:tentative="1">
      <w:start w:val="1"/>
      <w:numFmt w:val="bullet"/>
      <w:lvlText w:val=""/>
      <w:lvlJc w:val="left"/>
      <w:pPr>
        <w:ind w:left="4498" w:hanging="360"/>
      </w:pPr>
      <w:rPr>
        <w:rFonts w:ascii="Wingdings" w:hAnsi="Wingdings" w:hint="default"/>
      </w:rPr>
    </w:lvl>
    <w:lvl w:ilvl="6" w:tplc="0C090001" w:tentative="1">
      <w:start w:val="1"/>
      <w:numFmt w:val="bullet"/>
      <w:lvlText w:val=""/>
      <w:lvlJc w:val="left"/>
      <w:pPr>
        <w:ind w:left="5218" w:hanging="360"/>
      </w:pPr>
      <w:rPr>
        <w:rFonts w:ascii="Symbol" w:hAnsi="Symbol" w:hint="default"/>
      </w:rPr>
    </w:lvl>
    <w:lvl w:ilvl="7" w:tplc="0C090003" w:tentative="1">
      <w:start w:val="1"/>
      <w:numFmt w:val="bullet"/>
      <w:lvlText w:val="o"/>
      <w:lvlJc w:val="left"/>
      <w:pPr>
        <w:ind w:left="5938" w:hanging="360"/>
      </w:pPr>
      <w:rPr>
        <w:rFonts w:ascii="Courier New" w:hAnsi="Courier New" w:cs="Courier New" w:hint="default"/>
      </w:rPr>
    </w:lvl>
    <w:lvl w:ilvl="8" w:tplc="0C090005" w:tentative="1">
      <w:start w:val="1"/>
      <w:numFmt w:val="bullet"/>
      <w:lvlText w:val=""/>
      <w:lvlJc w:val="left"/>
      <w:pPr>
        <w:ind w:left="6658" w:hanging="360"/>
      </w:pPr>
      <w:rPr>
        <w:rFonts w:ascii="Wingdings" w:hAnsi="Wingdings" w:hint="default"/>
      </w:rPr>
    </w:lvl>
  </w:abstractNum>
  <w:abstractNum w:abstractNumId="27" w15:restartNumberingAfterBreak="0">
    <w:nsid w:val="57731C46"/>
    <w:multiLevelType w:val="hybridMultilevel"/>
    <w:tmpl w:val="3DBCC63C"/>
    <w:lvl w:ilvl="0" w:tplc="6E8690D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1C05CDA"/>
    <w:multiLevelType w:val="hybridMultilevel"/>
    <w:tmpl w:val="191A6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D61FDB"/>
    <w:multiLevelType w:val="hybridMultilevel"/>
    <w:tmpl w:val="821CC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523FBA"/>
    <w:multiLevelType w:val="multilevel"/>
    <w:tmpl w:val="FFF4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F81BEE"/>
    <w:multiLevelType w:val="multilevel"/>
    <w:tmpl w:val="758C0D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11650F"/>
    <w:multiLevelType w:val="hybridMultilevel"/>
    <w:tmpl w:val="597E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9E7DA9"/>
    <w:multiLevelType w:val="multilevel"/>
    <w:tmpl w:val="3EF8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736216">
    <w:abstractNumId w:val="9"/>
  </w:num>
  <w:num w:numId="2" w16cid:durableId="741098796">
    <w:abstractNumId w:val="7"/>
  </w:num>
  <w:num w:numId="3" w16cid:durableId="2085838109">
    <w:abstractNumId w:val="6"/>
  </w:num>
  <w:num w:numId="4" w16cid:durableId="1053505911">
    <w:abstractNumId w:val="5"/>
  </w:num>
  <w:num w:numId="5" w16cid:durableId="1865097367">
    <w:abstractNumId w:val="4"/>
  </w:num>
  <w:num w:numId="6" w16cid:durableId="771631273">
    <w:abstractNumId w:val="8"/>
  </w:num>
  <w:num w:numId="7" w16cid:durableId="878930114">
    <w:abstractNumId w:val="3"/>
  </w:num>
  <w:num w:numId="8" w16cid:durableId="1518233157">
    <w:abstractNumId w:val="2"/>
  </w:num>
  <w:num w:numId="9" w16cid:durableId="185220339">
    <w:abstractNumId w:val="1"/>
  </w:num>
  <w:num w:numId="10" w16cid:durableId="1093626586">
    <w:abstractNumId w:val="0"/>
  </w:num>
  <w:num w:numId="11" w16cid:durableId="1006059242">
    <w:abstractNumId w:val="12"/>
  </w:num>
  <w:num w:numId="12" w16cid:durableId="119963438">
    <w:abstractNumId w:val="20"/>
  </w:num>
  <w:num w:numId="13" w16cid:durableId="636882828">
    <w:abstractNumId w:val="22"/>
  </w:num>
  <w:num w:numId="14" w16cid:durableId="7846951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1524723">
    <w:abstractNumId w:val="23"/>
  </w:num>
  <w:num w:numId="16" w16cid:durableId="1470633225">
    <w:abstractNumId w:val="18"/>
  </w:num>
  <w:num w:numId="17" w16cid:durableId="1069226282">
    <w:abstractNumId w:val="26"/>
  </w:num>
  <w:num w:numId="18" w16cid:durableId="428544655">
    <w:abstractNumId w:val="24"/>
  </w:num>
  <w:num w:numId="19" w16cid:durableId="703360404">
    <w:abstractNumId w:val="17"/>
  </w:num>
  <w:num w:numId="20" w16cid:durableId="923227294">
    <w:abstractNumId w:val="15"/>
  </w:num>
  <w:num w:numId="21" w16cid:durableId="1450513229">
    <w:abstractNumId w:val="10"/>
  </w:num>
  <w:num w:numId="22" w16cid:durableId="1529295663">
    <w:abstractNumId w:val="28"/>
  </w:num>
  <w:num w:numId="23" w16cid:durableId="1512066155">
    <w:abstractNumId w:val="30"/>
  </w:num>
  <w:num w:numId="24" w16cid:durableId="1610700645">
    <w:abstractNumId w:val="11"/>
  </w:num>
  <w:num w:numId="25" w16cid:durableId="1012379">
    <w:abstractNumId w:val="29"/>
  </w:num>
  <w:num w:numId="26" w16cid:durableId="890120339">
    <w:abstractNumId w:val="25"/>
  </w:num>
  <w:num w:numId="27" w16cid:durableId="1105343266">
    <w:abstractNumId w:val="19"/>
  </w:num>
  <w:num w:numId="28" w16cid:durableId="1521047486">
    <w:abstractNumId w:val="27"/>
  </w:num>
  <w:num w:numId="29" w16cid:durableId="130757289">
    <w:abstractNumId w:val="33"/>
  </w:num>
  <w:num w:numId="30" w16cid:durableId="2010516605">
    <w:abstractNumId w:val="13"/>
  </w:num>
  <w:num w:numId="31" w16cid:durableId="928122829">
    <w:abstractNumId w:val="21"/>
  </w:num>
  <w:num w:numId="32" w16cid:durableId="1453481644">
    <w:abstractNumId w:val="31"/>
  </w:num>
  <w:num w:numId="33" w16cid:durableId="1768774151">
    <w:abstractNumId w:val="32"/>
  </w:num>
  <w:num w:numId="34" w16cid:durableId="1793133114">
    <w:abstractNumId w:val="14"/>
  </w:num>
  <w:num w:numId="35" w16cid:durableId="277303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10F3E"/>
    <w:rsid w:val="00016544"/>
    <w:rsid w:val="000166E4"/>
    <w:rsid w:val="0002435E"/>
    <w:rsid w:val="00025CE0"/>
    <w:rsid w:val="000331EE"/>
    <w:rsid w:val="00033E99"/>
    <w:rsid w:val="00040F40"/>
    <w:rsid w:val="00041B41"/>
    <w:rsid w:val="00047722"/>
    <w:rsid w:val="00052BBC"/>
    <w:rsid w:val="00052F16"/>
    <w:rsid w:val="000532C3"/>
    <w:rsid w:val="00053554"/>
    <w:rsid w:val="0006209B"/>
    <w:rsid w:val="000650C9"/>
    <w:rsid w:val="000661B2"/>
    <w:rsid w:val="000669FE"/>
    <w:rsid w:val="000753D3"/>
    <w:rsid w:val="00080C2D"/>
    <w:rsid w:val="00080DD9"/>
    <w:rsid w:val="0008383E"/>
    <w:rsid w:val="00083B11"/>
    <w:rsid w:val="00085E36"/>
    <w:rsid w:val="0008629D"/>
    <w:rsid w:val="0008638C"/>
    <w:rsid w:val="000900A4"/>
    <w:rsid w:val="00097F81"/>
    <w:rsid w:val="000A453D"/>
    <w:rsid w:val="000A744B"/>
    <w:rsid w:val="000B2D19"/>
    <w:rsid w:val="000C61AF"/>
    <w:rsid w:val="000D4723"/>
    <w:rsid w:val="000D5AFF"/>
    <w:rsid w:val="000D6BC7"/>
    <w:rsid w:val="000D7DBB"/>
    <w:rsid w:val="000E3D80"/>
    <w:rsid w:val="000E529B"/>
    <w:rsid w:val="000E5AD7"/>
    <w:rsid w:val="000E6058"/>
    <w:rsid w:val="000F5080"/>
    <w:rsid w:val="000F7062"/>
    <w:rsid w:val="001011D5"/>
    <w:rsid w:val="00101C8D"/>
    <w:rsid w:val="00111B2B"/>
    <w:rsid w:val="00122FFD"/>
    <w:rsid w:val="001276C7"/>
    <w:rsid w:val="00132C1E"/>
    <w:rsid w:val="00134517"/>
    <w:rsid w:val="00145A83"/>
    <w:rsid w:val="00153B4D"/>
    <w:rsid w:val="00155E48"/>
    <w:rsid w:val="00157D8A"/>
    <w:rsid w:val="00157F35"/>
    <w:rsid w:val="00165520"/>
    <w:rsid w:val="00167FA0"/>
    <w:rsid w:val="0017175C"/>
    <w:rsid w:val="001748DB"/>
    <w:rsid w:val="00181CBF"/>
    <w:rsid w:val="00181F6E"/>
    <w:rsid w:val="0018332E"/>
    <w:rsid w:val="00184B04"/>
    <w:rsid w:val="00186EF1"/>
    <w:rsid w:val="001A6363"/>
    <w:rsid w:val="001B4BA8"/>
    <w:rsid w:val="001C1412"/>
    <w:rsid w:val="001C369F"/>
    <w:rsid w:val="001D7542"/>
    <w:rsid w:val="001E2B5C"/>
    <w:rsid w:val="001E5EED"/>
    <w:rsid w:val="001E6E99"/>
    <w:rsid w:val="001F23D0"/>
    <w:rsid w:val="001F6773"/>
    <w:rsid w:val="001F721B"/>
    <w:rsid w:val="00203D8E"/>
    <w:rsid w:val="00204125"/>
    <w:rsid w:val="0021592A"/>
    <w:rsid w:val="002163DA"/>
    <w:rsid w:val="00217EAB"/>
    <w:rsid w:val="00217F85"/>
    <w:rsid w:val="002223B7"/>
    <w:rsid w:val="0022498C"/>
    <w:rsid w:val="00225FA9"/>
    <w:rsid w:val="00227638"/>
    <w:rsid w:val="00247C91"/>
    <w:rsid w:val="00250FED"/>
    <w:rsid w:val="00255C94"/>
    <w:rsid w:val="0025778B"/>
    <w:rsid w:val="002633C9"/>
    <w:rsid w:val="00263B87"/>
    <w:rsid w:val="0026473F"/>
    <w:rsid w:val="00266139"/>
    <w:rsid w:val="002724D0"/>
    <w:rsid w:val="00272C67"/>
    <w:rsid w:val="00282C8B"/>
    <w:rsid w:val="002854E4"/>
    <w:rsid w:val="00291DE6"/>
    <w:rsid w:val="00292CCC"/>
    <w:rsid w:val="00296EC0"/>
    <w:rsid w:val="002A26BD"/>
    <w:rsid w:val="002A6EFD"/>
    <w:rsid w:val="002B1CE5"/>
    <w:rsid w:val="002B762A"/>
    <w:rsid w:val="002C58EE"/>
    <w:rsid w:val="002C74BE"/>
    <w:rsid w:val="002E6E96"/>
    <w:rsid w:val="002E7B83"/>
    <w:rsid w:val="002F0625"/>
    <w:rsid w:val="002F4DB3"/>
    <w:rsid w:val="00302C6A"/>
    <w:rsid w:val="00305BA4"/>
    <w:rsid w:val="00307E2E"/>
    <w:rsid w:val="00311EC2"/>
    <w:rsid w:val="0031342B"/>
    <w:rsid w:val="00323860"/>
    <w:rsid w:val="0032718C"/>
    <w:rsid w:val="0033112E"/>
    <w:rsid w:val="0033459D"/>
    <w:rsid w:val="0033474C"/>
    <w:rsid w:val="0033536E"/>
    <w:rsid w:val="00335A3B"/>
    <w:rsid w:val="00337D19"/>
    <w:rsid w:val="00341A37"/>
    <w:rsid w:val="00344B4A"/>
    <w:rsid w:val="0035048D"/>
    <w:rsid w:val="00350976"/>
    <w:rsid w:val="00350FFA"/>
    <w:rsid w:val="00362041"/>
    <w:rsid w:val="003666D9"/>
    <w:rsid w:val="003708C3"/>
    <w:rsid w:val="00375DD6"/>
    <w:rsid w:val="00380342"/>
    <w:rsid w:val="00382F07"/>
    <w:rsid w:val="003833B5"/>
    <w:rsid w:val="003835C7"/>
    <w:rsid w:val="0038494A"/>
    <w:rsid w:val="00391CCC"/>
    <w:rsid w:val="00394579"/>
    <w:rsid w:val="00395348"/>
    <w:rsid w:val="003A578F"/>
    <w:rsid w:val="003B032F"/>
    <w:rsid w:val="003B284D"/>
    <w:rsid w:val="003B2DE9"/>
    <w:rsid w:val="003B2DFC"/>
    <w:rsid w:val="003B4147"/>
    <w:rsid w:val="003B438E"/>
    <w:rsid w:val="003C5A91"/>
    <w:rsid w:val="003D00E5"/>
    <w:rsid w:val="003D1744"/>
    <w:rsid w:val="003D2623"/>
    <w:rsid w:val="003D6625"/>
    <w:rsid w:val="003F3A2D"/>
    <w:rsid w:val="00404608"/>
    <w:rsid w:val="0040472F"/>
    <w:rsid w:val="00411DC2"/>
    <w:rsid w:val="00411DDE"/>
    <w:rsid w:val="004121B3"/>
    <w:rsid w:val="004121F2"/>
    <w:rsid w:val="004143BB"/>
    <w:rsid w:val="0041561E"/>
    <w:rsid w:val="00415C24"/>
    <w:rsid w:val="00417D5F"/>
    <w:rsid w:val="0042376E"/>
    <w:rsid w:val="00430344"/>
    <w:rsid w:val="00437154"/>
    <w:rsid w:val="004420BE"/>
    <w:rsid w:val="004447F9"/>
    <w:rsid w:val="004464F2"/>
    <w:rsid w:val="00453C04"/>
    <w:rsid w:val="004540FE"/>
    <w:rsid w:val="00475F69"/>
    <w:rsid w:val="00480C3B"/>
    <w:rsid w:val="004950DF"/>
    <w:rsid w:val="00497764"/>
    <w:rsid w:val="004A04AE"/>
    <w:rsid w:val="004A6435"/>
    <w:rsid w:val="004B178C"/>
    <w:rsid w:val="004B32FE"/>
    <w:rsid w:val="004B63A6"/>
    <w:rsid w:val="004C130D"/>
    <w:rsid w:val="004C4E3C"/>
    <w:rsid w:val="004D14B3"/>
    <w:rsid w:val="004D7DDA"/>
    <w:rsid w:val="004E258D"/>
    <w:rsid w:val="004E6C17"/>
    <w:rsid w:val="004F61CF"/>
    <w:rsid w:val="005054AE"/>
    <w:rsid w:val="00505E5E"/>
    <w:rsid w:val="005110C2"/>
    <w:rsid w:val="0051352E"/>
    <w:rsid w:val="00517DA7"/>
    <w:rsid w:val="00520A33"/>
    <w:rsid w:val="005242E0"/>
    <w:rsid w:val="00525EC8"/>
    <w:rsid w:val="005268AA"/>
    <w:rsid w:val="00527749"/>
    <w:rsid w:val="00527AE4"/>
    <w:rsid w:val="0054192C"/>
    <w:rsid w:val="00551417"/>
    <w:rsid w:val="0058535E"/>
    <w:rsid w:val="00590E86"/>
    <w:rsid w:val="005A13E0"/>
    <w:rsid w:val="005B3F01"/>
    <w:rsid w:val="005B4C52"/>
    <w:rsid w:val="005B7922"/>
    <w:rsid w:val="005C2813"/>
    <w:rsid w:val="005C4994"/>
    <w:rsid w:val="005C52D3"/>
    <w:rsid w:val="005C594F"/>
    <w:rsid w:val="005D0DA2"/>
    <w:rsid w:val="005D34E5"/>
    <w:rsid w:val="005D5FD3"/>
    <w:rsid w:val="005E4553"/>
    <w:rsid w:val="005E5770"/>
    <w:rsid w:val="005E7724"/>
    <w:rsid w:val="005F2310"/>
    <w:rsid w:val="005F3446"/>
    <w:rsid w:val="00602791"/>
    <w:rsid w:val="00615449"/>
    <w:rsid w:val="00616DEF"/>
    <w:rsid w:val="00623376"/>
    <w:rsid w:val="00625D83"/>
    <w:rsid w:val="00627405"/>
    <w:rsid w:val="00630A9C"/>
    <w:rsid w:val="00630DDF"/>
    <w:rsid w:val="00633F35"/>
    <w:rsid w:val="0063596B"/>
    <w:rsid w:val="0063630F"/>
    <w:rsid w:val="00640E07"/>
    <w:rsid w:val="0064289F"/>
    <w:rsid w:val="006453CE"/>
    <w:rsid w:val="00647551"/>
    <w:rsid w:val="00650D5F"/>
    <w:rsid w:val="0065419C"/>
    <w:rsid w:val="0065546E"/>
    <w:rsid w:val="00657808"/>
    <w:rsid w:val="00662F66"/>
    <w:rsid w:val="00683F47"/>
    <w:rsid w:val="00686436"/>
    <w:rsid w:val="00687043"/>
    <w:rsid w:val="00687C12"/>
    <w:rsid w:val="00692082"/>
    <w:rsid w:val="00693552"/>
    <w:rsid w:val="00695F95"/>
    <w:rsid w:val="006A0B52"/>
    <w:rsid w:val="006A6AC6"/>
    <w:rsid w:val="006A73EB"/>
    <w:rsid w:val="006A7845"/>
    <w:rsid w:val="006B2271"/>
    <w:rsid w:val="006B47A6"/>
    <w:rsid w:val="006B4C71"/>
    <w:rsid w:val="006B4ED0"/>
    <w:rsid w:val="006E0F93"/>
    <w:rsid w:val="006E2BCC"/>
    <w:rsid w:val="006E439E"/>
    <w:rsid w:val="006E4B18"/>
    <w:rsid w:val="006E5D6E"/>
    <w:rsid w:val="006E6331"/>
    <w:rsid w:val="006F36BE"/>
    <w:rsid w:val="006F5CFA"/>
    <w:rsid w:val="007015AD"/>
    <w:rsid w:val="00704699"/>
    <w:rsid w:val="007116BA"/>
    <w:rsid w:val="00711F94"/>
    <w:rsid w:val="007153FD"/>
    <w:rsid w:val="00720787"/>
    <w:rsid w:val="00721B03"/>
    <w:rsid w:val="0072290C"/>
    <w:rsid w:val="00730984"/>
    <w:rsid w:val="00737451"/>
    <w:rsid w:val="00743F05"/>
    <w:rsid w:val="00744BC3"/>
    <w:rsid w:val="0075179A"/>
    <w:rsid w:val="0075376F"/>
    <w:rsid w:val="007604B9"/>
    <w:rsid w:val="007664CE"/>
    <w:rsid w:val="00766CCB"/>
    <w:rsid w:val="00780715"/>
    <w:rsid w:val="00783220"/>
    <w:rsid w:val="007855CC"/>
    <w:rsid w:val="0078602C"/>
    <w:rsid w:val="0079106B"/>
    <w:rsid w:val="00794BCE"/>
    <w:rsid w:val="00796925"/>
    <w:rsid w:val="007A60FA"/>
    <w:rsid w:val="007B0891"/>
    <w:rsid w:val="007B1ABA"/>
    <w:rsid w:val="007B1B6D"/>
    <w:rsid w:val="007B6F4F"/>
    <w:rsid w:val="007B74C5"/>
    <w:rsid w:val="007C1F1D"/>
    <w:rsid w:val="007C22B4"/>
    <w:rsid w:val="007D19C4"/>
    <w:rsid w:val="007D7E99"/>
    <w:rsid w:val="007E088B"/>
    <w:rsid w:val="007E4CEA"/>
    <w:rsid w:val="007E52CC"/>
    <w:rsid w:val="007E576E"/>
    <w:rsid w:val="007E7835"/>
    <w:rsid w:val="00805960"/>
    <w:rsid w:val="00822DBA"/>
    <w:rsid w:val="00822DC2"/>
    <w:rsid w:val="008234F3"/>
    <w:rsid w:val="0083212F"/>
    <w:rsid w:val="0083382D"/>
    <w:rsid w:val="008352BE"/>
    <w:rsid w:val="00835DD0"/>
    <w:rsid w:val="00841B27"/>
    <w:rsid w:val="0084512D"/>
    <w:rsid w:val="00846BB4"/>
    <w:rsid w:val="008507C1"/>
    <w:rsid w:val="00850B4E"/>
    <w:rsid w:val="00852996"/>
    <w:rsid w:val="00854043"/>
    <w:rsid w:val="008575A0"/>
    <w:rsid w:val="00857B33"/>
    <w:rsid w:val="00860DFF"/>
    <w:rsid w:val="00861934"/>
    <w:rsid w:val="00861A5B"/>
    <w:rsid w:val="008651FC"/>
    <w:rsid w:val="00873920"/>
    <w:rsid w:val="008753F9"/>
    <w:rsid w:val="008855EF"/>
    <w:rsid w:val="00893448"/>
    <w:rsid w:val="008935A1"/>
    <w:rsid w:val="008A158D"/>
    <w:rsid w:val="008A1B9A"/>
    <w:rsid w:val="008A45E8"/>
    <w:rsid w:val="008B1BB1"/>
    <w:rsid w:val="008B6EEB"/>
    <w:rsid w:val="008C3B44"/>
    <w:rsid w:val="008C712E"/>
    <w:rsid w:val="008E000E"/>
    <w:rsid w:val="008E2854"/>
    <w:rsid w:val="008E4458"/>
    <w:rsid w:val="008F0AC9"/>
    <w:rsid w:val="00900DBC"/>
    <w:rsid w:val="00913E7E"/>
    <w:rsid w:val="00930CDA"/>
    <w:rsid w:val="00931D48"/>
    <w:rsid w:val="009326AC"/>
    <w:rsid w:val="0093473D"/>
    <w:rsid w:val="00940A1B"/>
    <w:rsid w:val="00945732"/>
    <w:rsid w:val="00947601"/>
    <w:rsid w:val="0095636C"/>
    <w:rsid w:val="00960052"/>
    <w:rsid w:val="009607DA"/>
    <w:rsid w:val="009608EF"/>
    <w:rsid w:val="00972F57"/>
    <w:rsid w:val="009823CC"/>
    <w:rsid w:val="00984FB8"/>
    <w:rsid w:val="00987B0A"/>
    <w:rsid w:val="00995280"/>
    <w:rsid w:val="009964B7"/>
    <w:rsid w:val="009A1CF0"/>
    <w:rsid w:val="009A3806"/>
    <w:rsid w:val="009A535F"/>
    <w:rsid w:val="009A620F"/>
    <w:rsid w:val="009A72CD"/>
    <w:rsid w:val="009C0DBB"/>
    <w:rsid w:val="009C3FF7"/>
    <w:rsid w:val="009C7099"/>
    <w:rsid w:val="009C7A74"/>
    <w:rsid w:val="009D4FD7"/>
    <w:rsid w:val="009D6319"/>
    <w:rsid w:val="009E68AB"/>
    <w:rsid w:val="009E7A11"/>
    <w:rsid w:val="009F0723"/>
    <w:rsid w:val="00A02C5F"/>
    <w:rsid w:val="00A07AD3"/>
    <w:rsid w:val="00A22849"/>
    <w:rsid w:val="00A23341"/>
    <w:rsid w:val="00A24E6E"/>
    <w:rsid w:val="00A26F73"/>
    <w:rsid w:val="00A27050"/>
    <w:rsid w:val="00A41A2E"/>
    <w:rsid w:val="00A42D91"/>
    <w:rsid w:val="00A43694"/>
    <w:rsid w:val="00A56FC7"/>
    <w:rsid w:val="00A66518"/>
    <w:rsid w:val="00A70F0D"/>
    <w:rsid w:val="00A7229D"/>
    <w:rsid w:val="00A72575"/>
    <w:rsid w:val="00A74071"/>
    <w:rsid w:val="00A75A0D"/>
    <w:rsid w:val="00A75F1C"/>
    <w:rsid w:val="00A77D68"/>
    <w:rsid w:val="00A81FA8"/>
    <w:rsid w:val="00A83FD3"/>
    <w:rsid w:val="00A96030"/>
    <w:rsid w:val="00A96835"/>
    <w:rsid w:val="00A96C60"/>
    <w:rsid w:val="00A96D0B"/>
    <w:rsid w:val="00AA124A"/>
    <w:rsid w:val="00AA13A6"/>
    <w:rsid w:val="00AA2A96"/>
    <w:rsid w:val="00AA3F86"/>
    <w:rsid w:val="00AA4289"/>
    <w:rsid w:val="00AA6950"/>
    <w:rsid w:val="00AB1BAD"/>
    <w:rsid w:val="00AB4070"/>
    <w:rsid w:val="00AC039B"/>
    <w:rsid w:val="00AC0C27"/>
    <w:rsid w:val="00AC521A"/>
    <w:rsid w:val="00AD6064"/>
    <w:rsid w:val="00AE176E"/>
    <w:rsid w:val="00AE2F52"/>
    <w:rsid w:val="00AE3519"/>
    <w:rsid w:val="00AF0917"/>
    <w:rsid w:val="00B100CC"/>
    <w:rsid w:val="00B145F8"/>
    <w:rsid w:val="00B14B2B"/>
    <w:rsid w:val="00B20176"/>
    <w:rsid w:val="00B23356"/>
    <w:rsid w:val="00B2649E"/>
    <w:rsid w:val="00B26AF4"/>
    <w:rsid w:val="00B370F7"/>
    <w:rsid w:val="00B37BEE"/>
    <w:rsid w:val="00B4687B"/>
    <w:rsid w:val="00B539F2"/>
    <w:rsid w:val="00B55DEB"/>
    <w:rsid w:val="00B57CE7"/>
    <w:rsid w:val="00B60A83"/>
    <w:rsid w:val="00B63E3D"/>
    <w:rsid w:val="00B6597D"/>
    <w:rsid w:val="00B6648B"/>
    <w:rsid w:val="00B6689D"/>
    <w:rsid w:val="00B72368"/>
    <w:rsid w:val="00B741D8"/>
    <w:rsid w:val="00B7530D"/>
    <w:rsid w:val="00B86246"/>
    <w:rsid w:val="00B9517E"/>
    <w:rsid w:val="00B965D2"/>
    <w:rsid w:val="00BA4695"/>
    <w:rsid w:val="00BA77F1"/>
    <w:rsid w:val="00BB119A"/>
    <w:rsid w:val="00BB2D06"/>
    <w:rsid w:val="00BB331E"/>
    <w:rsid w:val="00BC064A"/>
    <w:rsid w:val="00BC2FD5"/>
    <w:rsid w:val="00BC4EA3"/>
    <w:rsid w:val="00BD4642"/>
    <w:rsid w:val="00BE17C2"/>
    <w:rsid w:val="00BE20EB"/>
    <w:rsid w:val="00BE59B6"/>
    <w:rsid w:val="00BE737E"/>
    <w:rsid w:val="00BF4F84"/>
    <w:rsid w:val="00BF69B1"/>
    <w:rsid w:val="00C0412B"/>
    <w:rsid w:val="00C04628"/>
    <w:rsid w:val="00C0754C"/>
    <w:rsid w:val="00C1304B"/>
    <w:rsid w:val="00C164D8"/>
    <w:rsid w:val="00C16CCB"/>
    <w:rsid w:val="00C218B7"/>
    <w:rsid w:val="00C21FD3"/>
    <w:rsid w:val="00C21FDC"/>
    <w:rsid w:val="00C24CA9"/>
    <w:rsid w:val="00C32558"/>
    <w:rsid w:val="00C33BBC"/>
    <w:rsid w:val="00C3613C"/>
    <w:rsid w:val="00C372D3"/>
    <w:rsid w:val="00C475EE"/>
    <w:rsid w:val="00C52FE0"/>
    <w:rsid w:val="00C539F6"/>
    <w:rsid w:val="00C54D58"/>
    <w:rsid w:val="00C573E1"/>
    <w:rsid w:val="00C57D29"/>
    <w:rsid w:val="00C60679"/>
    <w:rsid w:val="00C71648"/>
    <w:rsid w:val="00C73B01"/>
    <w:rsid w:val="00C73E90"/>
    <w:rsid w:val="00C770A0"/>
    <w:rsid w:val="00C825DD"/>
    <w:rsid w:val="00C86EB2"/>
    <w:rsid w:val="00C90260"/>
    <w:rsid w:val="00C95DF6"/>
    <w:rsid w:val="00C97201"/>
    <w:rsid w:val="00C979E8"/>
    <w:rsid w:val="00CA302F"/>
    <w:rsid w:val="00CB0B0B"/>
    <w:rsid w:val="00CB1610"/>
    <w:rsid w:val="00CB423F"/>
    <w:rsid w:val="00CC4015"/>
    <w:rsid w:val="00CC5C40"/>
    <w:rsid w:val="00CC7DC4"/>
    <w:rsid w:val="00CD0B54"/>
    <w:rsid w:val="00CD1130"/>
    <w:rsid w:val="00CD1778"/>
    <w:rsid w:val="00CD25A8"/>
    <w:rsid w:val="00CD2918"/>
    <w:rsid w:val="00CD40DA"/>
    <w:rsid w:val="00CD445B"/>
    <w:rsid w:val="00CD5819"/>
    <w:rsid w:val="00CE21B8"/>
    <w:rsid w:val="00CE555A"/>
    <w:rsid w:val="00CE6E51"/>
    <w:rsid w:val="00D060EF"/>
    <w:rsid w:val="00D20226"/>
    <w:rsid w:val="00D20FC0"/>
    <w:rsid w:val="00D23308"/>
    <w:rsid w:val="00D272E0"/>
    <w:rsid w:val="00D30A50"/>
    <w:rsid w:val="00D3134C"/>
    <w:rsid w:val="00D31E46"/>
    <w:rsid w:val="00D34F86"/>
    <w:rsid w:val="00D4212F"/>
    <w:rsid w:val="00D42F14"/>
    <w:rsid w:val="00D4588E"/>
    <w:rsid w:val="00D4701A"/>
    <w:rsid w:val="00D50FAE"/>
    <w:rsid w:val="00D53A2E"/>
    <w:rsid w:val="00D549E5"/>
    <w:rsid w:val="00D63411"/>
    <w:rsid w:val="00D7356B"/>
    <w:rsid w:val="00D76FC8"/>
    <w:rsid w:val="00D80B93"/>
    <w:rsid w:val="00D8137B"/>
    <w:rsid w:val="00D8493B"/>
    <w:rsid w:val="00D85834"/>
    <w:rsid w:val="00D86107"/>
    <w:rsid w:val="00D90A84"/>
    <w:rsid w:val="00D94130"/>
    <w:rsid w:val="00D9528A"/>
    <w:rsid w:val="00D9796C"/>
    <w:rsid w:val="00DA1B7B"/>
    <w:rsid w:val="00DA1D70"/>
    <w:rsid w:val="00DA4EE3"/>
    <w:rsid w:val="00DB0993"/>
    <w:rsid w:val="00DB2850"/>
    <w:rsid w:val="00DB36A8"/>
    <w:rsid w:val="00DB79DF"/>
    <w:rsid w:val="00DC04AA"/>
    <w:rsid w:val="00DC7914"/>
    <w:rsid w:val="00DD2779"/>
    <w:rsid w:val="00DD4BAB"/>
    <w:rsid w:val="00DE1CF7"/>
    <w:rsid w:val="00DE4697"/>
    <w:rsid w:val="00DE4E87"/>
    <w:rsid w:val="00DF153F"/>
    <w:rsid w:val="00E0403B"/>
    <w:rsid w:val="00E043B4"/>
    <w:rsid w:val="00E07CB8"/>
    <w:rsid w:val="00E2203E"/>
    <w:rsid w:val="00E2284F"/>
    <w:rsid w:val="00E2435A"/>
    <w:rsid w:val="00E3297F"/>
    <w:rsid w:val="00E40B0C"/>
    <w:rsid w:val="00E4453A"/>
    <w:rsid w:val="00E5716C"/>
    <w:rsid w:val="00E67E1B"/>
    <w:rsid w:val="00E7687F"/>
    <w:rsid w:val="00E8571F"/>
    <w:rsid w:val="00E8623D"/>
    <w:rsid w:val="00E866AC"/>
    <w:rsid w:val="00E91756"/>
    <w:rsid w:val="00E91AA0"/>
    <w:rsid w:val="00E9219F"/>
    <w:rsid w:val="00EA074B"/>
    <w:rsid w:val="00EA32F7"/>
    <w:rsid w:val="00EA67FC"/>
    <w:rsid w:val="00EA6905"/>
    <w:rsid w:val="00EB1665"/>
    <w:rsid w:val="00EB3B34"/>
    <w:rsid w:val="00EB4A55"/>
    <w:rsid w:val="00EB7111"/>
    <w:rsid w:val="00EC3468"/>
    <w:rsid w:val="00EC78E1"/>
    <w:rsid w:val="00ED194B"/>
    <w:rsid w:val="00ED3309"/>
    <w:rsid w:val="00EE1986"/>
    <w:rsid w:val="00EF20D5"/>
    <w:rsid w:val="00EF335E"/>
    <w:rsid w:val="00EF3AE1"/>
    <w:rsid w:val="00F00E84"/>
    <w:rsid w:val="00F077A1"/>
    <w:rsid w:val="00F128F5"/>
    <w:rsid w:val="00F20B59"/>
    <w:rsid w:val="00F22D81"/>
    <w:rsid w:val="00F230CD"/>
    <w:rsid w:val="00F30FDC"/>
    <w:rsid w:val="00F32E16"/>
    <w:rsid w:val="00F332F9"/>
    <w:rsid w:val="00F4597E"/>
    <w:rsid w:val="00F46485"/>
    <w:rsid w:val="00F46679"/>
    <w:rsid w:val="00F46BF9"/>
    <w:rsid w:val="00F51C18"/>
    <w:rsid w:val="00F5274E"/>
    <w:rsid w:val="00F5459D"/>
    <w:rsid w:val="00F6275F"/>
    <w:rsid w:val="00F65D15"/>
    <w:rsid w:val="00F67F88"/>
    <w:rsid w:val="00F74C18"/>
    <w:rsid w:val="00F74E32"/>
    <w:rsid w:val="00F77A99"/>
    <w:rsid w:val="00F8649D"/>
    <w:rsid w:val="00F90FC5"/>
    <w:rsid w:val="00F91C26"/>
    <w:rsid w:val="00F94367"/>
    <w:rsid w:val="00F9479F"/>
    <w:rsid w:val="00F95D57"/>
    <w:rsid w:val="00FA31E2"/>
    <w:rsid w:val="00FB12E7"/>
    <w:rsid w:val="00FB65E8"/>
    <w:rsid w:val="00FC6765"/>
    <w:rsid w:val="00FF11B2"/>
    <w:rsid w:val="00FF5B70"/>
    <w:rsid w:val="00FF5BB9"/>
    <w:rsid w:val="00FF61BE"/>
    <w:rsid w:val="0331A0F9"/>
    <w:rsid w:val="0BC238DD"/>
    <w:rsid w:val="0D8BFDF2"/>
    <w:rsid w:val="133DE32A"/>
    <w:rsid w:val="19E13A7A"/>
    <w:rsid w:val="1AD59ACA"/>
    <w:rsid w:val="20B7FF0C"/>
    <w:rsid w:val="28054630"/>
    <w:rsid w:val="3802419D"/>
    <w:rsid w:val="38F4BF5B"/>
    <w:rsid w:val="40E15A51"/>
    <w:rsid w:val="4747F0B5"/>
    <w:rsid w:val="4950DD30"/>
    <w:rsid w:val="4CD2E5AB"/>
    <w:rsid w:val="4DB48343"/>
    <w:rsid w:val="4F81F5A3"/>
    <w:rsid w:val="52672B2D"/>
    <w:rsid w:val="556ED12D"/>
    <w:rsid w:val="5D34877C"/>
    <w:rsid w:val="5F00DBE2"/>
    <w:rsid w:val="72B4EF00"/>
    <w:rsid w:val="72E5122F"/>
    <w:rsid w:val="73AC6240"/>
    <w:rsid w:val="79B96071"/>
    <w:rsid w:val="7AFD60A8"/>
    <w:rsid w:val="7BB3C3D8"/>
    <w:rsid w:val="7C0DBE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1B5D5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C73B01"/>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954F72" w:themeColor="followedHyperlink"/>
      <w:u w:val="single"/>
    </w:rPr>
  </w:style>
  <w:style w:type="paragraph" w:styleId="NormalWeb">
    <w:name w:val="Normal (Web)"/>
    <w:basedOn w:val="Normal"/>
    <w:uiPriority w:val="99"/>
    <w:semiHidden/>
    <w:unhideWhenUsed/>
    <w:rsid w:val="000D7DBB"/>
    <w:pPr>
      <w:spacing w:before="100" w:beforeAutospacing="1" w:after="100" w:afterAutospacing="1" w:line="240" w:lineRule="auto"/>
    </w:pPr>
    <w:rPr>
      <w:rFonts w:ascii="Calibri" w:eastAsia="Times New Roman" w:hAnsi="Calibri" w:cs="Calibri"/>
      <w:lang w:eastAsia="en-AU"/>
    </w:rPr>
  </w:style>
  <w:style w:type="character" w:styleId="Emphasis">
    <w:name w:val="Emphasis"/>
    <w:basedOn w:val="DefaultParagraphFont"/>
    <w:uiPriority w:val="20"/>
    <w:qFormat/>
    <w:rsid w:val="008352BE"/>
    <w:rPr>
      <w:i/>
      <w:iCs/>
    </w:rPr>
  </w:style>
  <w:style w:type="paragraph" w:styleId="Revision">
    <w:name w:val="Revision"/>
    <w:hidden/>
    <w:uiPriority w:val="99"/>
    <w:semiHidden/>
    <w:rsid w:val="00EF20D5"/>
    <w:pPr>
      <w:spacing w:after="0" w:line="240" w:lineRule="auto"/>
    </w:pPr>
  </w:style>
  <w:style w:type="character" w:styleId="CommentReference">
    <w:name w:val="annotation reference"/>
    <w:basedOn w:val="DefaultParagraphFont"/>
    <w:uiPriority w:val="99"/>
    <w:semiHidden/>
    <w:unhideWhenUsed/>
    <w:rsid w:val="00EF20D5"/>
    <w:rPr>
      <w:sz w:val="16"/>
      <w:szCs w:val="16"/>
    </w:rPr>
  </w:style>
  <w:style w:type="paragraph" w:styleId="CommentText">
    <w:name w:val="annotation text"/>
    <w:basedOn w:val="Normal"/>
    <w:link w:val="CommentTextChar"/>
    <w:uiPriority w:val="99"/>
    <w:unhideWhenUsed/>
    <w:rsid w:val="00EF20D5"/>
    <w:pPr>
      <w:spacing w:line="240" w:lineRule="auto"/>
    </w:pPr>
    <w:rPr>
      <w:sz w:val="20"/>
      <w:szCs w:val="20"/>
    </w:rPr>
  </w:style>
  <w:style w:type="character" w:customStyle="1" w:styleId="CommentTextChar">
    <w:name w:val="Comment Text Char"/>
    <w:basedOn w:val="DefaultParagraphFont"/>
    <w:link w:val="CommentText"/>
    <w:uiPriority w:val="99"/>
    <w:rsid w:val="00EF20D5"/>
    <w:rPr>
      <w:sz w:val="20"/>
      <w:szCs w:val="20"/>
    </w:rPr>
  </w:style>
  <w:style w:type="paragraph" w:styleId="CommentSubject">
    <w:name w:val="annotation subject"/>
    <w:basedOn w:val="CommentText"/>
    <w:next w:val="CommentText"/>
    <w:link w:val="CommentSubjectChar"/>
    <w:uiPriority w:val="99"/>
    <w:semiHidden/>
    <w:unhideWhenUsed/>
    <w:rsid w:val="00EF20D5"/>
    <w:rPr>
      <w:b/>
      <w:bCs/>
    </w:rPr>
  </w:style>
  <w:style w:type="character" w:customStyle="1" w:styleId="CommentSubjectChar">
    <w:name w:val="Comment Subject Char"/>
    <w:basedOn w:val="CommentTextChar"/>
    <w:link w:val="CommentSubject"/>
    <w:uiPriority w:val="99"/>
    <w:semiHidden/>
    <w:rsid w:val="00EF20D5"/>
    <w:rPr>
      <w:b/>
      <w:bCs/>
      <w:sz w:val="20"/>
      <w:szCs w:val="20"/>
    </w:rPr>
  </w:style>
  <w:style w:type="paragraph" w:styleId="FootnoteText">
    <w:name w:val="footnote text"/>
    <w:basedOn w:val="Normal"/>
    <w:link w:val="FootnoteTextChar"/>
    <w:uiPriority w:val="99"/>
    <w:unhideWhenUsed/>
    <w:rsid w:val="00101C8D"/>
    <w:pPr>
      <w:spacing w:after="0" w:line="240" w:lineRule="auto"/>
    </w:pPr>
    <w:rPr>
      <w:sz w:val="20"/>
      <w:szCs w:val="20"/>
    </w:rPr>
  </w:style>
  <w:style w:type="character" w:customStyle="1" w:styleId="FootnoteTextChar">
    <w:name w:val="Footnote Text Char"/>
    <w:basedOn w:val="DefaultParagraphFont"/>
    <w:link w:val="FootnoteText"/>
    <w:uiPriority w:val="99"/>
    <w:rsid w:val="00101C8D"/>
    <w:rPr>
      <w:sz w:val="20"/>
      <w:szCs w:val="20"/>
    </w:rPr>
  </w:style>
  <w:style w:type="character" w:styleId="FootnoteReference">
    <w:name w:val="footnote reference"/>
    <w:basedOn w:val="DefaultParagraphFont"/>
    <w:uiPriority w:val="99"/>
    <w:semiHidden/>
    <w:unhideWhenUsed/>
    <w:rsid w:val="00101C8D"/>
    <w:rPr>
      <w:vertAlign w:val="superscript"/>
    </w:rPr>
  </w:style>
  <w:style w:type="paragraph" w:styleId="NoSpacing">
    <w:name w:val="No Spacing"/>
    <w:link w:val="NoSpacingChar"/>
    <w:uiPriority w:val="1"/>
    <w:qFormat/>
    <w:rsid w:val="00B741D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741D8"/>
    <w:rPr>
      <w:rFonts w:eastAsiaTheme="minorEastAsia"/>
      <w:lang w:val="en-US"/>
    </w:rPr>
  </w:style>
  <w:style w:type="character" w:styleId="UnresolvedMention">
    <w:name w:val="Unresolved Mention"/>
    <w:basedOn w:val="DefaultParagraphFont"/>
    <w:uiPriority w:val="99"/>
    <w:semiHidden/>
    <w:unhideWhenUsed/>
    <w:rsid w:val="00E3297F"/>
    <w:rPr>
      <w:color w:val="605E5C"/>
      <w:shd w:val="clear" w:color="auto" w:fill="E1DFDD"/>
    </w:rPr>
  </w:style>
  <w:style w:type="paragraph" w:customStyle="1" w:styleId="paragraph">
    <w:name w:val="paragraph"/>
    <w:basedOn w:val="Normal"/>
    <w:rsid w:val="00D76FC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76FC8"/>
  </w:style>
  <w:style w:type="character" w:customStyle="1" w:styleId="eop">
    <w:name w:val="eop"/>
    <w:basedOn w:val="DefaultParagraphFont"/>
    <w:rsid w:val="00D76FC8"/>
  </w:style>
  <w:style w:type="character" w:customStyle="1" w:styleId="ui-provider">
    <w:name w:val="ui-provider"/>
    <w:basedOn w:val="DefaultParagraphFont"/>
    <w:rsid w:val="00EF3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630453">
      <w:bodyDiv w:val="1"/>
      <w:marLeft w:val="0"/>
      <w:marRight w:val="0"/>
      <w:marTop w:val="0"/>
      <w:marBottom w:val="0"/>
      <w:divBdr>
        <w:top w:val="none" w:sz="0" w:space="0" w:color="auto"/>
        <w:left w:val="none" w:sz="0" w:space="0" w:color="auto"/>
        <w:bottom w:val="none" w:sz="0" w:space="0" w:color="auto"/>
        <w:right w:val="none" w:sz="0" w:space="0" w:color="auto"/>
      </w:divBdr>
    </w:div>
    <w:div w:id="901141314">
      <w:bodyDiv w:val="1"/>
      <w:marLeft w:val="0"/>
      <w:marRight w:val="0"/>
      <w:marTop w:val="0"/>
      <w:marBottom w:val="0"/>
      <w:divBdr>
        <w:top w:val="none" w:sz="0" w:space="0" w:color="auto"/>
        <w:left w:val="none" w:sz="0" w:space="0" w:color="auto"/>
        <w:bottom w:val="none" w:sz="0" w:space="0" w:color="auto"/>
        <w:right w:val="none" w:sz="0" w:space="0" w:color="auto"/>
      </w:divBdr>
    </w:div>
    <w:div w:id="1087265823">
      <w:bodyDiv w:val="1"/>
      <w:marLeft w:val="0"/>
      <w:marRight w:val="0"/>
      <w:marTop w:val="0"/>
      <w:marBottom w:val="0"/>
      <w:divBdr>
        <w:top w:val="none" w:sz="0" w:space="0" w:color="auto"/>
        <w:left w:val="none" w:sz="0" w:space="0" w:color="auto"/>
        <w:bottom w:val="none" w:sz="0" w:space="0" w:color="auto"/>
        <w:right w:val="none" w:sz="0" w:space="0" w:color="auto"/>
      </w:divBdr>
    </w:div>
    <w:div w:id="1166945922">
      <w:bodyDiv w:val="1"/>
      <w:marLeft w:val="0"/>
      <w:marRight w:val="0"/>
      <w:marTop w:val="0"/>
      <w:marBottom w:val="0"/>
      <w:divBdr>
        <w:top w:val="none" w:sz="0" w:space="0" w:color="auto"/>
        <w:left w:val="none" w:sz="0" w:space="0" w:color="auto"/>
        <w:bottom w:val="none" w:sz="0" w:space="0" w:color="auto"/>
        <w:right w:val="none" w:sz="0" w:space="0" w:color="auto"/>
      </w:divBdr>
    </w:div>
    <w:div w:id="167865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svg"/><Relationship Id="rId34" Type="http://schemas.openxmlformats.org/officeDocument/2006/relationships/hyperlink" Target="mailto:data@dewr.gov.au" TargetMode="Externa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image" Target="media/image6.svg"/><Relationship Id="rId25" Type="http://schemas.openxmlformats.org/officeDocument/2006/relationships/footer" Target="footer1.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ataanddigital.gov.au/strategy" TargetMode="External"/><Relationship Id="rId23" Type="http://schemas.openxmlformats.org/officeDocument/2006/relationships/header" Target="header1.xml"/><Relationship Id="rId28" Type="http://schemas.openxmlformats.org/officeDocument/2006/relationships/image" Target="media/image15.sv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creativecommons.org/licenses/by/4.0/legalcode" TargetMode="External"/><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apsc.gov.au/publication/aps-data-capability-framework/aps-data-capability-framework-user-guide" TargetMode="External"/><Relationship Id="rId2" Type="http://schemas.openxmlformats.org/officeDocument/2006/relationships/hyperlink" Target="https://www.apsc.gov.au/sites/default/files/2020-12/aps_data_professional_strategy_0.pdf" TargetMode="External"/><Relationship Id="rId1" Type="http://schemas.openxmlformats.org/officeDocument/2006/relationships/hyperlink" Target="https://www.finance.gov.au/government/public-data/data-sharing-factshee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Custom 5">
      <a:dk1>
        <a:sysClr val="windowText" lastClr="000000"/>
      </a:dk1>
      <a:lt1>
        <a:srgbClr val="FFFFFF"/>
      </a:lt1>
      <a:dk2>
        <a:srgbClr val="A4A7A9"/>
      </a:dk2>
      <a:lt2>
        <a:srgbClr val="D7D8D8"/>
      </a:lt2>
      <a:accent1>
        <a:srgbClr val="573393"/>
      </a:accent1>
      <a:accent2>
        <a:srgbClr val="009A9E"/>
      </a:accent2>
      <a:accent3>
        <a:srgbClr val="621F5C"/>
      </a:accent3>
      <a:accent4>
        <a:srgbClr val="B5C427"/>
      </a:accent4>
      <a:accent5>
        <a:srgbClr val="799F4B"/>
      </a:accent5>
      <a:accent6>
        <a:srgbClr val="0D2C6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and Workplace Relations Data Strategy 2024 to 2027</dc:title>
  <dc:subject/>
  <dc:creator/>
  <cp:keywords/>
  <dc:description/>
  <cp:lastModifiedBy/>
  <cp:revision>1</cp:revision>
  <dcterms:created xsi:type="dcterms:W3CDTF">2025-02-03T05:35:00Z</dcterms:created>
  <dcterms:modified xsi:type="dcterms:W3CDTF">2025-02-03T05:35:00Z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2025-02-03T05:35:24Z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4927bfb3-e10a-4561-9881-ae58b21e11fe</vt:lpwstr>
  </property>
  <property fmtid="{D5CDD505-2E9C-101B-9397-08002B2CF9AE}" pid="8" name="MSIP_Label_79d889eb-932f-4752-8739-64d25806ef64_ContentBits">
    <vt:lpwstr>0</vt:lpwstr>
  </property>
</Properties>
</file>