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11F70" w14:textId="78706E64" w:rsidR="002B3A01" w:rsidRDefault="002B3A01" w:rsidP="002B3A01">
      <w:pPr>
        <w:pStyle w:val="Heading1"/>
      </w:pPr>
      <w:r w:rsidRPr="002B3A01">
        <w:t>An opportunity to design training for the future</w:t>
      </w:r>
    </w:p>
    <w:p w14:paraId="74557073" w14:textId="75C670C5" w:rsidR="00A434DA" w:rsidRDefault="00A434DA" w:rsidP="00BA1C44">
      <w:r>
        <w:t xml:space="preserve">The change to the way qualifications are designed gives you and your industries greater choice in shaping qualifications that are fit-for-purpose, flexible, and aligned with workforce needs. </w:t>
      </w:r>
    </w:p>
    <w:p w14:paraId="0CC7E5EA" w14:textId="77777777" w:rsidR="00A434DA" w:rsidRDefault="00A434DA" w:rsidP="00BA1C44">
      <w:r>
        <w:t>It builds on the strengths of the vocational education and training (VET) system, preserving what works, while providing greater flexibility in the design of qualifications that make it easier for industries to shape training packages to reflect their needs — enabling more relevant, flexible training.</w:t>
      </w:r>
    </w:p>
    <w:p w14:paraId="6BCBF854" w14:textId="77777777" w:rsidR="00A434DA" w:rsidRDefault="00A434DA" w:rsidP="00BA1C44">
      <w:r>
        <w:t>As a Jobs and Skills Council (JSC), you’ll use the new purpose-led, principles-based approach to tailor qualifications, whether that’s to a specific job, a broad occupational group, or foundation-level entry points.</w:t>
      </w:r>
    </w:p>
    <w:p w14:paraId="0B02A2CF" w14:textId="77777777" w:rsidR="00A434DA" w:rsidRDefault="00A434DA" w:rsidP="00BA1C44">
      <w:r>
        <w:t xml:space="preserve">The new design approach and templates will be available from July 2025, with updated qualifications starting to roll out from the end of the year, depending on sector readiness and demand. </w:t>
      </w:r>
    </w:p>
    <w:p w14:paraId="7F2C8F13" w14:textId="77777777" w:rsidR="00A434DA" w:rsidRDefault="00A434DA" w:rsidP="00A434DA">
      <w:pPr>
        <w:pStyle w:val="Heading2"/>
      </w:pPr>
      <w:r>
        <w:t xml:space="preserve">Designing world-leading qualifications </w:t>
      </w:r>
    </w:p>
    <w:p w14:paraId="6B79CEBA" w14:textId="77777777" w:rsidR="00A434DA" w:rsidRDefault="00A434DA" w:rsidP="002B3A01">
      <w:r>
        <w:t>This is your opportunity to:</w:t>
      </w:r>
    </w:p>
    <w:p w14:paraId="3AFC94F4" w14:textId="77777777" w:rsidR="00A434DA" w:rsidRDefault="00A434DA" w:rsidP="002B3A01">
      <w:pPr>
        <w:pStyle w:val="ListParagraph"/>
        <w:numPr>
          <w:ilvl w:val="0"/>
          <w:numId w:val="7"/>
        </w:numPr>
      </w:pPr>
      <w:r>
        <w:t xml:space="preserve">Apply a purpose-led and principles-based approach to qualification design. </w:t>
      </w:r>
    </w:p>
    <w:p w14:paraId="06EB3753" w14:textId="77777777" w:rsidR="00A434DA" w:rsidRDefault="00A434DA" w:rsidP="002B3A01">
      <w:pPr>
        <w:pStyle w:val="ListParagraph"/>
        <w:numPr>
          <w:ilvl w:val="0"/>
          <w:numId w:val="7"/>
        </w:numPr>
      </w:pPr>
      <w:r>
        <w:t>Streamline qualifications where possible — reducing specificity and making skills more transferable across roles and sectors.</w:t>
      </w:r>
    </w:p>
    <w:p w14:paraId="08B62719" w14:textId="77777777" w:rsidR="00A434DA" w:rsidRDefault="00A434DA" w:rsidP="002B3A01">
      <w:pPr>
        <w:pStyle w:val="ListParagraph"/>
        <w:numPr>
          <w:ilvl w:val="0"/>
          <w:numId w:val="7"/>
        </w:numPr>
      </w:pPr>
      <w:r>
        <w:t>Strengthen industry confidence in qualifications that are clearer, more practical, and fit for the future.</w:t>
      </w:r>
    </w:p>
    <w:p w14:paraId="4F06A98C" w14:textId="77777777" w:rsidR="00A434DA" w:rsidRDefault="00A434DA" w:rsidP="002B3A01">
      <w:pPr>
        <w:pStyle w:val="ListParagraph"/>
        <w:numPr>
          <w:ilvl w:val="0"/>
          <w:numId w:val="7"/>
        </w:numPr>
      </w:pPr>
      <w:r>
        <w:t>Support improved career and skills outcomes by working directly with employers, learners, and training providers.</w:t>
      </w:r>
    </w:p>
    <w:p w14:paraId="4DA333EE" w14:textId="77777777" w:rsidR="00A434DA" w:rsidRDefault="00A434DA" w:rsidP="002B3A01">
      <w:pPr>
        <w:pStyle w:val="ListParagraph"/>
        <w:numPr>
          <w:ilvl w:val="0"/>
          <w:numId w:val="7"/>
        </w:numPr>
      </w:pPr>
      <w:r>
        <w:t>Lead innovation in qualification design and contribute to a world-leading VET system.</w:t>
      </w:r>
    </w:p>
    <w:p w14:paraId="090C03A9" w14:textId="77777777" w:rsidR="00A434DA" w:rsidRDefault="00A434DA" w:rsidP="00A434DA">
      <w:pPr>
        <w:pStyle w:val="Heading3"/>
      </w:pPr>
      <w:r>
        <w:t>Training package product development obligations</w:t>
      </w:r>
    </w:p>
    <w:p w14:paraId="2CF527D6" w14:textId="77777777" w:rsidR="00A434DA" w:rsidRDefault="00A434DA" w:rsidP="002B3A01">
      <w:r>
        <w:t xml:space="preserve">You’ll continue to lead training product development through the process outlined in the Training Package </w:t>
      </w:r>
      <w:proofErr w:type="spellStart"/>
      <w:r>
        <w:t>Organising</w:t>
      </w:r>
      <w:proofErr w:type="spellEnd"/>
      <w:r>
        <w:t xml:space="preserve"> Framework (TPOF). </w:t>
      </w:r>
    </w:p>
    <w:p w14:paraId="5406147B" w14:textId="77777777" w:rsidR="00A434DA" w:rsidRDefault="00A434DA" w:rsidP="002B3A01">
      <w:r>
        <w:t xml:space="preserve">There will be new tools to enable diversity and flexibility in qualification design, including: </w:t>
      </w:r>
    </w:p>
    <w:p w14:paraId="084CA76D" w14:textId="77777777" w:rsidR="00A434DA" w:rsidRDefault="00A434DA" w:rsidP="002B3A01">
      <w:pPr>
        <w:pStyle w:val="ListParagraph"/>
        <w:numPr>
          <w:ilvl w:val="0"/>
          <w:numId w:val="8"/>
        </w:numPr>
      </w:pPr>
      <w:r>
        <w:t xml:space="preserve">A revised </w:t>
      </w:r>
      <w:r>
        <w:rPr>
          <w:rStyle w:val="Texthighlightpurple"/>
        </w:rPr>
        <w:t>qualification template</w:t>
      </w:r>
      <w:r>
        <w:t xml:space="preserve"> that provides clearer expectations of graduate skills and knowledge, including foundation skills.</w:t>
      </w:r>
    </w:p>
    <w:p w14:paraId="7FBFB3EC" w14:textId="77777777" w:rsidR="00A434DA" w:rsidRDefault="00A434DA" w:rsidP="002B3A01">
      <w:pPr>
        <w:pStyle w:val="ListParagraph"/>
        <w:numPr>
          <w:ilvl w:val="0"/>
          <w:numId w:val="8"/>
        </w:numPr>
      </w:pPr>
      <w:r>
        <w:t xml:space="preserve">A new </w:t>
      </w:r>
      <w:r>
        <w:rPr>
          <w:rStyle w:val="Texthighlightpurple"/>
        </w:rPr>
        <w:t>Skill Set template</w:t>
      </w:r>
      <w:r>
        <w:t xml:space="preserve"> that provides a consistent approach for all credentials on the National Training Register.</w:t>
      </w:r>
    </w:p>
    <w:p w14:paraId="78664ED4" w14:textId="77777777" w:rsidR="00A434DA" w:rsidRDefault="00A434DA" w:rsidP="002B3A01">
      <w:pPr>
        <w:pStyle w:val="ListParagraph"/>
        <w:numPr>
          <w:ilvl w:val="0"/>
          <w:numId w:val="8"/>
        </w:numPr>
      </w:pPr>
      <w:r>
        <w:t xml:space="preserve">An adjusted </w:t>
      </w:r>
      <w:r>
        <w:rPr>
          <w:rStyle w:val="Texthighlightpurple"/>
        </w:rPr>
        <w:t>Unit of Competency template</w:t>
      </w:r>
      <w:r>
        <w:t xml:space="preserve"> that provides additional guidance and continues to support training for highly specific tasks and functions.</w:t>
      </w:r>
    </w:p>
    <w:p w14:paraId="07EB2304" w14:textId="77777777" w:rsidR="00A434DA" w:rsidRDefault="00A434DA" w:rsidP="002B3A01">
      <w:pPr>
        <w:pStyle w:val="ListParagraph"/>
        <w:numPr>
          <w:ilvl w:val="0"/>
          <w:numId w:val="8"/>
        </w:numPr>
      </w:pPr>
      <w:r>
        <w:t xml:space="preserve">A new, optional </w:t>
      </w:r>
      <w:r>
        <w:rPr>
          <w:rStyle w:val="Texthighlightpurple"/>
        </w:rPr>
        <w:t>Application of Skills and Knowledge template</w:t>
      </w:r>
      <w:r>
        <w:t xml:space="preserve"> that gives you the flexibility to take a knowledge-focused approach, moving away from task specification where appropriate.</w:t>
      </w:r>
    </w:p>
    <w:p w14:paraId="62AAF7A4" w14:textId="77777777" w:rsidR="00A434DA" w:rsidRDefault="00A434DA" w:rsidP="00A434DA">
      <w:pPr>
        <w:pStyle w:val="Heading3"/>
      </w:pPr>
      <w:r>
        <w:t>How flexibility supports industry needs</w:t>
      </w:r>
    </w:p>
    <w:p w14:paraId="53EB2857" w14:textId="77777777" w:rsidR="00A434DA" w:rsidRDefault="00A434DA" w:rsidP="002B3A01">
      <w:r>
        <w:t xml:space="preserve">This reform gives you the tools to decide what level of flexibility is right for your industry. </w:t>
      </w:r>
    </w:p>
    <w:p w14:paraId="7F7782AB" w14:textId="77777777" w:rsidR="00A434DA" w:rsidRDefault="00A434DA" w:rsidP="002B3A01">
      <w:r>
        <w:t>If your sector benefits from structured, task and function</w:t>
      </w:r>
      <w:r>
        <w:rPr>
          <w:rFonts w:ascii="Cambria Math" w:hAnsi="Cambria Math" w:cs="Cambria Math"/>
        </w:rPr>
        <w:t>‑</w:t>
      </w:r>
      <w:r>
        <w:t>based qualifications, you can keep them. If your industry needs broader, more transferable qualifications, you have the option to redesign.</w:t>
      </w:r>
    </w:p>
    <w:p w14:paraId="26DCDDFF" w14:textId="77777777" w:rsidR="00A434DA" w:rsidRDefault="00A434DA" w:rsidP="00A434DA">
      <w:pPr>
        <w:pStyle w:val="Heading3"/>
      </w:pPr>
      <w:r>
        <w:lastRenderedPageBreak/>
        <w:t>What’s changing and what it means for you</w:t>
      </w:r>
    </w:p>
    <w:tbl>
      <w:tblPr>
        <w:tblW w:w="9639" w:type="dxa"/>
        <w:tblInd w:w="-8" w:type="dxa"/>
        <w:tblBorders>
          <w:top w:val="single" w:sz="4" w:space="0" w:color="7062E7" w:themeColor="accent4"/>
          <w:left w:val="single" w:sz="4" w:space="0" w:color="7062E7" w:themeColor="accent4"/>
          <w:bottom w:val="single" w:sz="4" w:space="0" w:color="7062E7" w:themeColor="accent4"/>
          <w:right w:val="single" w:sz="4" w:space="0" w:color="7062E7" w:themeColor="accent4"/>
          <w:insideH w:val="single" w:sz="4" w:space="0" w:color="7062E7" w:themeColor="accent4"/>
          <w:insideV w:val="single" w:sz="4" w:space="0" w:color="7062E7" w:themeColor="accent4"/>
        </w:tblBorders>
        <w:tblLayout w:type="fixed"/>
        <w:tblCellMar>
          <w:left w:w="113" w:type="dxa"/>
          <w:right w:w="113" w:type="dxa"/>
        </w:tblCellMar>
        <w:tblLook w:val="0000" w:firstRow="0" w:lastRow="0" w:firstColumn="0" w:lastColumn="0" w:noHBand="0" w:noVBand="0"/>
      </w:tblPr>
      <w:tblGrid>
        <w:gridCol w:w="4536"/>
        <w:gridCol w:w="5103"/>
      </w:tblGrid>
      <w:tr w:rsidR="006E3880" w14:paraId="2C665108" w14:textId="77777777" w:rsidTr="005E054F">
        <w:trPr>
          <w:trHeight w:val="60"/>
        </w:trPr>
        <w:tc>
          <w:tcPr>
            <w:tcW w:w="4536" w:type="dxa"/>
            <w:shd w:val="clear" w:color="auto" w:fill="C89CF4" w:themeFill="accent5"/>
          </w:tcPr>
          <w:p w14:paraId="2367ADAF" w14:textId="77777777" w:rsidR="006E3880" w:rsidRPr="005E054F" w:rsidRDefault="006E3880" w:rsidP="00CF02A2">
            <w:pPr>
              <w:spacing w:before="120" w:after="120"/>
              <w:rPr>
                <w:b/>
                <w:bCs/>
              </w:rPr>
            </w:pPr>
            <w:r w:rsidRPr="005E054F">
              <w:rPr>
                <w:b/>
                <w:bCs/>
              </w:rPr>
              <w:t>What’s changing</w:t>
            </w:r>
          </w:p>
        </w:tc>
        <w:tc>
          <w:tcPr>
            <w:tcW w:w="5103" w:type="dxa"/>
            <w:shd w:val="clear" w:color="auto" w:fill="C89CF4" w:themeFill="accent5"/>
          </w:tcPr>
          <w:p w14:paraId="5B7ED961" w14:textId="77777777" w:rsidR="006E3880" w:rsidRPr="005E054F" w:rsidRDefault="006E3880" w:rsidP="00CF02A2">
            <w:pPr>
              <w:spacing w:before="120" w:after="120"/>
              <w:rPr>
                <w:b/>
                <w:bCs/>
              </w:rPr>
            </w:pPr>
            <w:r w:rsidRPr="005E054F">
              <w:rPr>
                <w:b/>
                <w:bCs/>
              </w:rPr>
              <w:t>What it means</w:t>
            </w:r>
          </w:p>
        </w:tc>
      </w:tr>
      <w:tr w:rsidR="006E3880" w14:paraId="02BC4784" w14:textId="77777777" w:rsidTr="00CF02A2">
        <w:trPr>
          <w:trHeight w:val="489"/>
        </w:trPr>
        <w:tc>
          <w:tcPr>
            <w:tcW w:w="4536" w:type="dxa"/>
          </w:tcPr>
          <w:p w14:paraId="6C3F5DDF" w14:textId="77777777" w:rsidR="006E3880" w:rsidRDefault="006E3880" w:rsidP="00CF02A2">
            <w:pPr>
              <w:spacing w:before="120" w:after="120"/>
            </w:pPr>
            <w:r>
              <w:t>Purpose-driven qualification design</w:t>
            </w:r>
          </w:p>
        </w:tc>
        <w:tc>
          <w:tcPr>
            <w:tcW w:w="5103" w:type="dxa"/>
          </w:tcPr>
          <w:p w14:paraId="5601162B" w14:textId="77777777" w:rsidR="006E3880" w:rsidRDefault="006E3880" w:rsidP="00CF02A2">
            <w:pPr>
              <w:spacing w:before="120" w:after="120"/>
            </w:pPr>
            <w:r>
              <w:t>More clarity and intent behind qualification design</w:t>
            </w:r>
          </w:p>
        </w:tc>
      </w:tr>
      <w:tr w:rsidR="006E3880" w14:paraId="3BC0CCA1" w14:textId="77777777" w:rsidTr="00CF02A2">
        <w:trPr>
          <w:trHeight w:val="60"/>
        </w:trPr>
        <w:tc>
          <w:tcPr>
            <w:tcW w:w="4536" w:type="dxa"/>
          </w:tcPr>
          <w:p w14:paraId="0C1048E8" w14:textId="77777777" w:rsidR="006E3880" w:rsidRDefault="006E3880" w:rsidP="00CF02A2">
            <w:pPr>
              <w:spacing w:before="120" w:after="120"/>
            </w:pPr>
            <w:r>
              <w:t>Updated and new Unit of Competency templates</w:t>
            </w:r>
          </w:p>
        </w:tc>
        <w:tc>
          <w:tcPr>
            <w:tcW w:w="5103" w:type="dxa"/>
          </w:tcPr>
          <w:p w14:paraId="67C9975E" w14:textId="77777777" w:rsidR="006E3880" w:rsidRDefault="006E3880" w:rsidP="00CF02A2">
            <w:pPr>
              <w:spacing w:before="120" w:after="120"/>
            </w:pPr>
            <w:r>
              <w:t>More choice over how skills and knowledge are framed</w:t>
            </w:r>
          </w:p>
        </w:tc>
      </w:tr>
      <w:tr w:rsidR="006E3880" w14:paraId="18D8CD59" w14:textId="77777777" w:rsidTr="00CF02A2">
        <w:trPr>
          <w:trHeight w:val="60"/>
        </w:trPr>
        <w:tc>
          <w:tcPr>
            <w:tcW w:w="4536" w:type="dxa"/>
          </w:tcPr>
          <w:p w14:paraId="6E76FEB9" w14:textId="77777777" w:rsidR="006E3880" w:rsidRDefault="006E3880" w:rsidP="00CF02A2">
            <w:pPr>
              <w:spacing w:before="120" w:after="120"/>
            </w:pPr>
            <w:r>
              <w:t>Consistency in embedding foundation skills</w:t>
            </w:r>
          </w:p>
        </w:tc>
        <w:tc>
          <w:tcPr>
            <w:tcW w:w="5103" w:type="dxa"/>
          </w:tcPr>
          <w:p w14:paraId="6616EEEC" w14:textId="77777777" w:rsidR="006E3880" w:rsidRDefault="006E3880" w:rsidP="00CF02A2">
            <w:pPr>
              <w:spacing w:before="120" w:after="120"/>
            </w:pPr>
            <w:r>
              <w:t>Described at the qualification level, to provide clearer expectations of graduate skills and knowledge outcomes</w:t>
            </w:r>
          </w:p>
        </w:tc>
      </w:tr>
      <w:tr w:rsidR="006E3880" w14:paraId="04914D73" w14:textId="77777777" w:rsidTr="00CF02A2">
        <w:trPr>
          <w:trHeight w:val="60"/>
        </w:trPr>
        <w:tc>
          <w:tcPr>
            <w:tcW w:w="4536" w:type="dxa"/>
          </w:tcPr>
          <w:p w14:paraId="504A7B3D" w14:textId="77777777" w:rsidR="006E3880" w:rsidRDefault="006E3880" w:rsidP="00CF02A2">
            <w:pPr>
              <w:spacing w:before="120" w:after="120"/>
            </w:pPr>
            <w:r>
              <w:t>Consistency in Skill Set template</w:t>
            </w:r>
          </w:p>
        </w:tc>
        <w:tc>
          <w:tcPr>
            <w:tcW w:w="5103" w:type="dxa"/>
          </w:tcPr>
          <w:p w14:paraId="5466BDEF" w14:textId="77777777" w:rsidR="006E3880" w:rsidRDefault="006E3880" w:rsidP="00CF02A2">
            <w:pPr>
              <w:spacing w:before="120" w:after="120"/>
            </w:pPr>
            <w:r>
              <w:t>Provides consistent approach for all credentials on the National Training Register</w:t>
            </w:r>
          </w:p>
        </w:tc>
      </w:tr>
      <w:tr w:rsidR="006E3880" w14:paraId="51C0AD17" w14:textId="77777777" w:rsidTr="00CF02A2">
        <w:trPr>
          <w:trHeight w:val="60"/>
        </w:trPr>
        <w:tc>
          <w:tcPr>
            <w:tcW w:w="4536" w:type="dxa"/>
          </w:tcPr>
          <w:p w14:paraId="5554DD2A" w14:textId="77777777" w:rsidR="006E3880" w:rsidRDefault="006E3880" w:rsidP="00CF02A2">
            <w:pPr>
              <w:spacing w:before="120" w:after="120"/>
            </w:pPr>
            <w:r>
              <w:t>Flexible implementation timelines</w:t>
            </w:r>
          </w:p>
        </w:tc>
        <w:tc>
          <w:tcPr>
            <w:tcW w:w="5103" w:type="dxa"/>
          </w:tcPr>
          <w:p w14:paraId="33B56A6D" w14:textId="77777777" w:rsidR="006E3880" w:rsidRDefault="006E3880" w:rsidP="00CF02A2">
            <w:pPr>
              <w:spacing w:before="120" w:after="120"/>
            </w:pPr>
            <w:r>
              <w:t>You can roll out changes at a pace that suits your sector</w:t>
            </w:r>
          </w:p>
        </w:tc>
      </w:tr>
      <w:tr w:rsidR="006E3880" w14:paraId="39960707" w14:textId="77777777" w:rsidTr="00CF02A2">
        <w:trPr>
          <w:trHeight w:val="60"/>
        </w:trPr>
        <w:tc>
          <w:tcPr>
            <w:tcW w:w="4536" w:type="dxa"/>
          </w:tcPr>
          <w:p w14:paraId="67BD2EDC" w14:textId="77777777" w:rsidR="006E3880" w:rsidRDefault="006E3880" w:rsidP="00CF02A2">
            <w:pPr>
              <w:spacing w:before="120" w:after="120"/>
            </w:pPr>
            <w:r>
              <w:t>Industry-led development</w:t>
            </w:r>
          </w:p>
        </w:tc>
        <w:tc>
          <w:tcPr>
            <w:tcW w:w="5103" w:type="dxa"/>
          </w:tcPr>
          <w:p w14:paraId="5FBB9027" w14:textId="77777777" w:rsidR="006E3880" w:rsidRDefault="006E3880" w:rsidP="00CF02A2">
            <w:pPr>
              <w:spacing w:before="120" w:after="120"/>
            </w:pPr>
            <w:r>
              <w:t>You continue to lead, backed by national tools and guidance</w:t>
            </w:r>
          </w:p>
        </w:tc>
      </w:tr>
    </w:tbl>
    <w:p w14:paraId="093F2272" w14:textId="77777777" w:rsidR="00A434DA" w:rsidRDefault="00A434DA" w:rsidP="006E3880"/>
    <w:p w14:paraId="56191CE5" w14:textId="77777777" w:rsidR="00A434DA" w:rsidRDefault="00A434DA" w:rsidP="00A434DA">
      <w:pPr>
        <w:pStyle w:val="Heading3"/>
      </w:pPr>
      <w:r>
        <w:t>What’s not changing?</w:t>
      </w:r>
    </w:p>
    <w:p w14:paraId="1C7660D9" w14:textId="77777777" w:rsidR="00A434DA" w:rsidRDefault="00A434DA" w:rsidP="002B3A01">
      <w:r>
        <w:t>No change to your core role in leading training package product development — just better tools and more options.</w:t>
      </w:r>
    </w:p>
    <w:p w14:paraId="046E2EA4" w14:textId="77777777" w:rsidR="00A434DA" w:rsidRDefault="00A434DA" w:rsidP="002B3A01">
      <w:r>
        <w:t>No forced changes to qualifications that are working — only where your industry sees the need.</w:t>
      </w:r>
    </w:p>
    <w:p w14:paraId="11FFF9D6" w14:textId="77777777" w:rsidR="00A434DA" w:rsidRDefault="00A434DA" w:rsidP="002B3A01">
      <w:r>
        <w:t xml:space="preserve">No changes to alignment with industry awards or certifications. </w:t>
      </w:r>
    </w:p>
    <w:p w14:paraId="6A8CC964" w14:textId="77777777" w:rsidR="00A434DA" w:rsidRPr="002B3A01" w:rsidRDefault="00A434DA" w:rsidP="002B3A01">
      <w:pPr>
        <w:rPr>
          <w:b/>
          <w:bCs/>
        </w:rPr>
      </w:pPr>
      <w:r w:rsidRPr="002B3A01">
        <w:rPr>
          <w:b/>
          <w:bCs/>
        </w:rPr>
        <w:t>This reform builds on the strengths of the VET system, preserving what works, while providing greater flexibility in the design of qualifications.</w:t>
      </w:r>
    </w:p>
    <w:p w14:paraId="52192D2F" w14:textId="7E799BCE" w:rsidR="00205DF0" w:rsidRPr="00A434DA" w:rsidRDefault="00205DF0" w:rsidP="002B3A01"/>
    <w:sectPr w:rsidR="00205DF0" w:rsidRPr="00A434DA" w:rsidSect="00205DF0">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418" w:left="1134" w:header="708"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BA779" w14:textId="77777777" w:rsidR="00E21B40" w:rsidRDefault="00E21B40" w:rsidP="00205DF0">
      <w:pPr>
        <w:spacing w:after="0"/>
      </w:pPr>
      <w:r>
        <w:separator/>
      </w:r>
    </w:p>
  </w:endnote>
  <w:endnote w:type="continuationSeparator" w:id="0">
    <w:p w14:paraId="74A954A0" w14:textId="77777777" w:rsidR="00E21B40" w:rsidRDefault="00E21B40" w:rsidP="00205D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arlow-Regular">
    <w:altName w:val="Calibri"/>
    <w:panose1 w:val="020B0604020202020204"/>
    <w:charset w:val="4D"/>
    <w:family w:val="auto"/>
    <w:pitch w:val="default"/>
    <w:sig w:usb0="00000003" w:usb1="00000000" w:usb2="00000000" w:usb3="00000000" w:csb0="00000001" w:csb1="00000000"/>
  </w:font>
  <w:font w:name="Barlow-Medium">
    <w:altName w:val="Calibri"/>
    <w:panose1 w:val="020B0604020202020204"/>
    <w:charset w:val="4D"/>
    <w:family w:val="auto"/>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075A8" w14:textId="77777777" w:rsidR="004C2AB8" w:rsidRDefault="004C2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873FB" w14:textId="22226EF7" w:rsidR="00205DF0" w:rsidRDefault="00205DF0">
    <w:pPr>
      <w:pStyle w:val="Footer"/>
      <w:rPr>
        <w:b/>
        <w:bCs/>
      </w:rPr>
    </w:pPr>
    <w:r>
      <w:rPr>
        <w:b/>
        <w:bCs/>
        <w:noProof/>
      </w:rPr>
      <mc:AlternateContent>
        <mc:Choice Requires="wps">
          <w:drawing>
            <wp:anchor distT="0" distB="0" distL="114300" distR="114300" simplePos="0" relativeHeight="251659264" behindDoc="1" locked="0" layoutInCell="1" allowOverlap="1" wp14:anchorId="470911D2" wp14:editId="639E4F29">
              <wp:simplePos x="0" y="0"/>
              <wp:positionH relativeFrom="column">
                <wp:posOffset>-777875</wp:posOffset>
              </wp:positionH>
              <wp:positionV relativeFrom="paragraph">
                <wp:posOffset>163398</wp:posOffset>
              </wp:positionV>
              <wp:extent cx="7694295" cy="1381287"/>
              <wp:effectExtent l="0" t="0" r="1905" b="3175"/>
              <wp:wrapNone/>
              <wp:docPr id="936081966" name="Rectangle 1"/>
              <wp:cNvGraphicFramePr/>
              <a:graphic xmlns:a="http://schemas.openxmlformats.org/drawingml/2006/main">
                <a:graphicData uri="http://schemas.microsoft.com/office/word/2010/wordprocessingShape">
                  <wps:wsp>
                    <wps:cNvSpPr/>
                    <wps:spPr>
                      <a:xfrm>
                        <a:off x="0" y="0"/>
                        <a:ext cx="7694295" cy="1381287"/>
                      </a:xfrm>
                      <a:prstGeom prst="rect">
                        <a:avLst/>
                      </a:prstGeom>
                      <a:solidFill>
                        <a:srgbClr val="C99C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5BD6A" id="Rectangle 1" o:spid="_x0000_s1026" style="position:absolute;margin-left:-61.25pt;margin-top:12.85pt;width:605.85pt;height:10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" fillcolor="#c99cf5" stroked="f" strokeweight="1pt"/>
          </w:pict>
        </mc:Fallback>
      </mc:AlternateContent>
    </w:r>
  </w:p>
  <w:p w14:paraId="21A492CE" w14:textId="49D97888" w:rsidR="00205DF0" w:rsidRDefault="00205DF0">
    <w:pPr>
      <w:pStyle w:val="Footer"/>
      <w:rPr>
        <w:b/>
        <w:bCs/>
      </w:rPr>
    </w:pPr>
  </w:p>
  <w:p w14:paraId="4B98AF85" w14:textId="747E3623" w:rsidR="00205DF0" w:rsidRDefault="00205DF0" w:rsidP="00205DF0">
    <w:pPr>
      <w:pStyle w:val="Footer"/>
      <w:spacing w:before="360"/>
      <w:ind w:left="1843"/>
      <w:rPr>
        <w:b/>
        <w:bCs/>
      </w:rPr>
    </w:pPr>
    <w:r w:rsidRPr="00205DF0">
      <w:rPr>
        <w:noProof/>
      </w:rPr>
      <w:drawing>
        <wp:anchor distT="0" distB="0" distL="114300" distR="114300" simplePos="0" relativeHeight="251658240" behindDoc="1" locked="0" layoutInCell="1" allowOverlap="1" wp14:anchorId="62488404" wp14:editId="494D73AD">
          <wp:simplePos x="0" y="0"/>
          <wp:positionH relativeFrom="column">
            <wp:posOffset>0</wp:posOffset>
          </wp:positionH>
          <wp:positionV relativeFrom="paragraph">
            <wp:posOffset>170383</wp:posOffset>
          </wp:positionV>
          <wp:extent cx="850900" cy="723900"/>
          <wp:effectExtent l="0" t="0" r="0" b="0"/>
          <wp:wrapTight wrapText="bothSides">
            <wp:wrapPolygon edited="0">
              <wp:start x="322" y="0"/>
              <wp:lineTo x="0" y="1137"/>
              <wp:lineTo x="0" y="20463"/>
              <wp:lineTo x="322" y="21221"/>
              <wp:lineTo x="20955" y="21221"/>
              <wp:lineTo x="21278" y="20463"/>
              <wp:lineTo x="21278" y="1137"/>
              <wp:lineTo x="20955" y="0"/>
              <wp:lineTo x="322" y="0"/>
            </wp:wrapPolygon>
          </wp:wrapTight>
          <wp:docPr id="1753355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355427" name=""/>
                  <pic:cNvPicPr/>
                </pic:nvPicPr>
                <pic:blipFill>
                  <a:blip r:embed="rId1"/>
                  <a:stretch>
                    <a:fillRect/>
                  </a:stretch>
                </pic:blipFill>
                <pic:spPr>
                  <a:xfrm>
                    <a:off x="0" y="0"/>
                    <a:ext cx="850900" cy="723900"/>
                  </a:xfrm>
                  <a:prstGeom prst="rect">
                    <a:avLst/>
                  </a:prstGeom>
                </pic:spPr>
              </pic:pic>
            </a:graphicData>
          </a:graphic>
          <wp14:sizeRelH relativeFrom="page">
            <wp14:pctWidth>0</wp14:pctWidth>
          </wp14:sizeRelH>
          <wp14:sizeRelV relativeFrom="page">
            <wp14:pctHeight>0</wp14:pctHeight>
          </wp14:sizeRelV>
        </wp:anchor>
      </w:drawing>
    </w:r>
    <w:r w:rsidRPr="00205DF0">
      <w:rPr>
        <w:b/>
        <w:bCs/>
      </w:rPr>
      <w:t xml:space="preserve">There’s support to help you understand what’s changing and what’s next. </w:t>
    </w:r>
    <w:r w:rsidRPr="00205DF0">
      <w:rPr>
        <w:b/>
        <w:bCs/>
      </w:rPr>
      <w:br/>
      <w:t>Engage with JSCs or visit</w:t>
    </w:r>
    <w:r w:rsidRPr="004C2AB8">
      <w:rPr>
        <w:b/>
        <w:bCs/>
        <w:color w:val="000000" w:themeColor="text1"/>
      </w:rPr>
      <w:t xml:space="preserve"> </w:t>
    </w:r>
    <w:hyperlink r:id="rId2" w:history="1">
      <w:r w:rsidR="004C2AB8" w:rsidRPr="004C2AB8">
        <w:rPr>
          <w:rStyle w:val="Hyperlink"/>
          <w:b/>
          <w:bCs/>
          <w:color w:val="000000" w:themeColor="text1"/>
        </w:rPr>
        <w:t>dewr.gov.au/vet-qualification-reform</w:t>
      </w:r>
    </w:hyperlink>
  </w:p>
  <w:p w14:paraId="601D8150" w14:textId="6C98BC3E" w:rsidR="00205DF0" w:rsidRPr="00205DF0" w:rsidRDefault="00205DF0" w:rsidP="00205DF0">
    <w:pPr>
      <w:spacing w:before="120"/>
      <w:ind w:left="1843"/>
      <w:rPr>
        <w:sz w:val="15"/>
        <w:szCs w:val="21"/>
      </w:rPr>
    </w:pPr>
    <w:r w:rsidRPr="00205DF0">
      <w:rPr>
        <w:sz w:val="15"/>
        <w:szCs w:val="21"/>
      </w:rPr>
      <w:t>Jobs and Skills Councils funded by the Australian Government Department of Employment and Workplace Relations.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E4379" w14:textId="77777777" w:rsidR="004C2AB8" w:rsidRDefault="004C2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0CD93" w14:textId="77777777" w:rsidR="00E21B40" w:rsidRDefault="00E21B40" w:rsidP="00205DF0">
      <w:pPr>
        <w:spacing w:after="0"/>
      </w:pPr>
      <w:r>
        <w:separator/>
      </w:r>
    </w:p>
  </w:footnote>
  <w:footnote w:type="continuationSeparator" w:id="0">
    <w:p w14:paraId="26442749" w14:textId="77777777" w:rsidR="00E21B40" w:rsidRDefault="00E21B40" w:rsidP="00205D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F264" w14:textId="77777777" w:rsidR="004C2AB8" w:rsidRDefault="004C2A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54284" w14:textId="77777777" w:rsidR="004C2AB8" w:rsidRDefault="004C2A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0242" w14:textId="77777777" w:rsidR="004C2AB8" w:rsidRDefault="004C2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55B6C"/>
    <w:multiLevelType w:val="hybridMultilevel"/>
    <w:tmpl w:val="977E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913D1"/>
    <w:multiLevelType w:val="hybridMultilevel"/>
    <w:tmpl w:val="FF284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C46F9"/>
    <w:multiLevelType w:val="hybridMultilevel"/>
    <w:tmpl w:val="E4FE9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C798B"/>
    <w:multiLevelType w:val="hybridMultilevel"/>
    <w:tmpl w:val="2B165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F4386"/>
    <w:multiLevelType w:val="hybridMultilevel"/>
    <w:tmpl w:val="69823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676919"/>
    <w:multiLevelType w:val="hybridMultilevel"/>
    <w:tmpl w:val="5B3EC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101BCA"/>
    <w:multiLevelType w:val="hybridMultilevel"/>
    <w:tmpl w:val="80A00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AD507C"/>
    <w:multiLevelType w:val="hybridMultilevel"/>
    <w:tmpl w:val="BC8E2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9665419">
    <w:abstractNumId w:val="4"/>
  </w:num>
  <w:num w:numId="2" w16cid:durableId="653223407">
    <w:abstractNumId w:val="5"/>
  </w:num>
  <w:num w:numId="3" w16cid:durableId="348724376">
    <w:abstractNumId w:val="3"/>
  </w:num>
  <w:num w:numId="4" w16cid:durableId="1563835559">
    <w:abstractNumId w:val="0"/>
  </w:num>
  <w:num w:numId="5" w16cid:durableId="1504315352">
    <w:abstractNumId w:val="2"/>
  </w:num>
  <w:num w:numId="6" w16cid:durableId="1827938047">
    <w:abstractNumId w:val="6"/>
  </w:num>
  <w:num w:numId="7" w16cid:durableId="1742482413">
    <w:abstractNumId w:val="7"/>
  </w:num>
  <w:num w:numId="8" w16cid:durableId="777414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F0"/>
    <w:rsid w:val="000B19CC"/>
    <w:rsid w:val="000D6DDA"/>
    <w:rsid w:val="000F183D"/>
    <w:rsid w:val="001C0D9E"/>
    <w:rsid w:val="00205DF0"/>
    <w:rsid w:val="002B3A01"/>
    <w:rsid w:val="003800CB"/>
    <w:rsid w:val="003D2A74"/>
    <w:rsid w:val="004A6788"/>
    <w:rsid w:val="004C2AB8"/>
    <w:rsid w:val="00527861"/>
    <w:rsid w:val="005E054F"/>
    <w:rsid w:val="006E3880"/>
    <w:rsid w:val="00725D11"/>
    <w:rsid w:val="007A6D0A"/>
    <w:rsid w:val="007F47FE"/>
    <w:rsid w:val="008213CE"/>
    <w:rsid w:val="00A434DA"/>
    <w:rsid w:val="00BA1C44"/>
    <w:rsid w:val="00BD4C83"/>
    <w:rsid w:val="00E21B40"/>
    <w:rsid w:val="00E37825"/>
    <w:rsid w:val="00ED01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83CC0"/>
  <w15:chartTrackingRefBased/>
  <w15:docId w15:val="{3EA9E31A-842A-6347-9C72-A9FA1D97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DF0"/>
    <w:pPr>
      <w:spacing w:after="240"/>
    </w:pPr>
    <w:rPr>
      <w:sz w:val="20"/>
      <w:szCs w:val="28"/>
    </w:rPr>
  </w:style>
  <w:style w:type="paragraph" w:styleId="Heading1">
    <w:name w:val="heading 1"/>
    <w:basedOn w:val="Normal"/>
    <w:next w:val="Normal"/>
    <w:link w:val="Heading1Char"/>
    <w:uiPriority w:val="9"/>
    <w:qFormat/>
    <w:rsid w:val="00205DF0"/>
    <w:pPr>
      <w:keepNext/>
      <w:keepLines/>
      <w:spacing w:before="360" w:after="80"/>
      <w:outlineLvl w:val="0"/>
    </w:pPr>
    <w:rPr>
      <w:rFonts w:asciiTheme="majorHAnsi" w:eastAsiaTheme="majorEastAsia" w:hAnsiTheme="majorHAnsi" w:cstheme="majorBidi"/>
      <w:color w:val="7063E8"/>
      <w:sz w:val="40"/>
      <w:szCs w:val="40"/>
    </w:rPr>
  </w:style>
  <w:style w:type="paragraph" w:styleId="Heading2">
    <w:name w:val="heading 2"/>
    <w:basedOn w:val="Normal"/>
    <w:next w:val="Normal"/>
    <w:link w:val="Heading2Char"/>
    <w:uiPriority w:val="9"/>
    <w:unhideWhenUsed/>
    <w:qFormat/>
    <w:rsid w:val="00205DF0"/>
    <w:pPr>
      <w:keepNext/>
      <w:keepLines/>
      <w:spacing w:before="160" w:after="80"/>
      <w:outlineLvl w:val="1"/>
    </w:pPr>
    <w:rPr>
      <w:rFonts w:asciiTheme="majorHAnsi" w:eastAsiaTheme="majorEastAsia" w:hAnsiTheme="majorHAnsi" w:cstheme="majorBidi"/>
      <w:color w:val="7063E8"/>
      <w:sz w:val="32"/>
      <w:szCs w:val="32"/>
    </w:rPr>
  </w:style>
  <w:style w:type="paragraph" w:styleId="Heading3">
    <w:name w:val="heading 3"/>
    <w:basedOn w:val="Normal"/>
    <w:next w:val="Normal"/>
    <w:link w:val="Heading3Char"/>
    <w:uiPriority w:val="9"/>
    <w:unhideWhenUsed/>
    <w:qFormat/>
    <w:rsid w:val="00205DF0"/>
    <w:pPr>
      <w:keepNext/>
      <w:keepLines/>
      <w:spacing w:before="160" w:after="80"/>
      <w:outlineLvl w:val="2"/>
    </w:pPr>
    <w:rPr>
      <w:rFonts w:eastAsiaTheme="majorEastAsia" w:cstheme="majorBidi"/>
      <w:color w:val="7063E8"/>
      <w:sz w:val="28"/>
    </w:rPr>
  </w:style>
  <w:style w:type="paragraph" w:styleId="Heading4">
    <w:name w:val="heading 4"/>
    <w:basedOn w:val="Normal"/>
    <w:next w:val="Normal"/>
    <w:link w:val="Heading4Char"/>
    <w:uiPriority w:val="9"/>
    <w:semiHidden/>
    <w:unhideWhenUsed/>
    <w:qFormat/>
    <w:rsid w:val="00205DF0"/>
    <w:pPr>
      <w:keepNext/>
      <w:keepLines/>
      <w:spacing w:before="80" w:after="40"/>
      <w:outlineLvl w:val="3"/>
    </w:pPr>
    <w:rPr>
      <w:rFonts w:eastAsiaTheme="majorEastAsia" w:cstheme="majorBidi"/>
      <w:i/>
      <w:iCs/>
      <w:color w:val="25DA7F" w:themeColor="accent1" w:themeShade="BF"/>
    </w:rPr>
  </w:style>
  <w:style w:type="paragraph" w:styleId="Heading5">
    <w:name w:val="heading 5"/>
    <w:basedOn w:val="Normal"/>
    <w:next w:val="Normal"/>
    <w:link w:val="Heading5Char"/>
    <w:uiPriority w:val="9"/>
    <w:semiHidden/>
    <w:unhideWhenUsed/>
    <w:qFormat/>
    <w:rsid w:val="00205DF0"/>
    <w:pPr>
      <w:keepNext/>
      <w:keepLines/>
      <w:spacing w:before="80" w:after="40"/>
      <w:outlineLvl w:val="4"/>
    </w:pPr>
    <w:rPr>
      <w:rFonts w:eastAsiaTheme="majorEastAsia" w:cstheme="majorBidi"/>
      <w:color w:val="25DA7F" w:themeColor="accent1" w:themeShade="BF"/>
    </w:rPr>
  </w:style>
  <w:style w:type="paragraph" w:styleId="Heading6">
    <w:name w:val="heading 6"/>
    <w:basedOn w:val="Normal"/>
    <w:next w:val="Normal"/>
    <w:link w:val="Heading6Char"/>
    <w:uiPriority w:val="9"/>
    <w:semiHidden/>
    <w:unhideWhenUsed/>
    <w:qFormat/>
    <w:rsid w:val="00205D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D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D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D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DF0"/>
    <w:rPr>
      <w:rFonts w:asciiTheme="majorHAnsi" w:eastAsiaTheme="majorEastAsia" w:hAnsiTheme="majorHAnsi" w:cstheme="majorBidi"/>
      <w:color w:val="7063E8"/>
      <w:sz w:val="40"/>
      <w:szCs w:val="40"/>
    </w:rPr>
  </w:style>
  <w:style w:type="character" w:customStyle="1" w:styleId="Heading2Char">
    <w:name w:val="Heading 2 Char"/>
    <w:basedOn w:val="DefaultParagraphFont"/>
    <w:link w:val="Heading2"/>
    <w:uiPriority w:val="9"/>
    <w:rsid w:val="00205DF0"/>
    <w:rPr>
      <w:rFonts w:asciiTheme="majorHAnsi" w:eastAsiaTheme="majorEastAsia" w:hAnsiTheme="majorHAnsi" w:cstheme="majorBidi"/>
      <w:color w:val="7063E8"/>
      <w:sz w:val="32"/>
      <w:szCs w:val="32"/>
    </w:rPr>
  </w:style>
  <w:style w:type="character" w:customStyle="1" w:styleId="Heading3Char">
    <w:name w:val="Heading 3 Char"/>
    <w:basedOn w:val="DefaultParagraphFont"/>
    <w:link w:val="Heading3"/>
    <w:uiPriority w:val="9"/>
    <w:rsid w:val="00205DF0"/>
    <w:rPr>
      <w:rFonts w:eastAsiaTheme="majorEastAsia" w:cstheme="majorBidi"/>
      <w:color w:val="7063E8"/>
      <w:sz w:val="28"/>
      <w:szCs w:val="28"/>
    </w:rPr>
  </w:style>
  <w:style w:type="character" w:customStyle="1" w:styleId="Heading4Char">
    <w:name w:val="Heading 4 Char"/>
    <w:basedOn w:val="DefaultParagraphFont"/>
    <w:link w:val="Heading4"/>
    <w:uiPriority w:val="9"/>
    <w:semiHidden/>
    <w:rsid w:val="00205DF0"/>
    <w:rPr>
      <w:rFonts w:eastAsiaTheme="majorEastAsia" w:cstheme="majorBidi"/>
      <w:i/>
      <w:iCs/>
      <w:color w:val="25DA7F" w:themeColor="accent1" w:themeShade="BF"/>
    </w:rPr>
  </w:style>
  <w:style w:type="character" w:customStyle="1" w:styleId="Heading5Char">
    <w:name w:val="Heading 5 Char"/>
    <w:basedOn w:val="DefaultParagraphFont"/>
    <w:link w:val="Heading5"/>
    <w:uiPriority w:val="9"/>
    <w:semiHidden/>
    <w:rsid w:val="00205DF0"/>
    <w:rPr>
      <w:rFonts w:eastAsiaTheme="majorEastAsia" w:cstheme="majorBidi"/>
      <w:color w:val="25DA7F" w:themeColor="accent1" w:themeShade="BF"/>
    </w:rPr>
  </w:style>
  <w:style w:type="character" w:customStyle="1" w:styleId="Heading6Char">
    <w:name w:val="Heading 6 Char"/>
    <w:basedOn w:val="DefaultParagraphFont"/>
    <w:link w:val="Heading6"/>
    <w:uiPriority w:val="9"/>
    <w:semiHidden/>
    <w:rsid w:val="00205D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D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D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DF0"/>
    <w:rPr>
      <w:rFonts w:eastAsiaTheme="majorEastAsia" w:cstheme="majorBidi"/>
      <w:color w:val="272727" w:themeColor="text1" w:themeTint="D8"/>
    </w:rPr>
  </w:style>
  <w:style w:type="paragraph" w:styleId="Title">
    <w:name w:val="Title"/>
    <w:basedOn w:val="Normal"/>
    <w:next w:val="Normal"/>
    <w:link w:val="TitleChar"/>
    <w:uiPriority w:val="10"/>
    <w:qFormat/>
    <w:rsid w:val="00205DF0"/>
    <w:pPr>
      <w:spacing w:after="80"/>
      <w:contextualSpacing/>
    </w:pPr>
    <w:rPr>
      <w:rFonts w:asciiTheme="majorHAnsi" w:eastAsiaTheme="majorEastAsia" w:hAnsiTheme="majorHAnsi" w:cstheme="majorBidi"/>
      <w:color w:val="7063E8"/>
      <w:spacing w:val="-10"/>
      <w:kern w:val="28"/>
      <w:sz w:val="56"/>
      <w:szCs w:val="56"/>
    </w:rPr>
  </w:style>
  <w:style w:type="character" w:customStyle="1" w:styleId="TitleChar">
    <w:name w:val="Title Char"/>
    <w:basedOn w:val="DefaultParagraphFont"/>
    <w:link w:val="Title"/>
    <w:uiPriority w:val="10"/>
    <w:rsid w:val="00205DF0"/>
    <w:rPr>
      <w:rFonts w:asciiTheme="majorHAnsi" w:eastAsiaTheme="majorEastAsia" w:hAnsiTheme="majorHAnsi" w:cstheme="majorBidi"/>
      <w:color w:val="7063E8"/>
      <w:spacing w:val="-10"/>
      <w:kern w:val="28"/>
      <w:sz w:val="56"/>
      <w:szCs w:val="56"/>
    </w:rPr>
  </w:style>
  <w:style w:type="paragraph" w:styleId="Subtitle">
    <w:name w:val="Subtitle"/>
    <w:basedOn w:val="Normal"/>
    <w:next w:val="Normal"/>
    <w:link w:val="SubtitleChar"/>
    <w:uiPriority w:val="11"/>
    <w:qFormat/>
    <w:rsid w:val="00205DF0"/>
    <w:pPr>
      <w:numPr>
        <w:ilvl w:val="1"/>
      </w:numPr>
      <w:spacing w:after="160"/>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205D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D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5DF0"/>
    <w:rPr>
      <w:i/>
      <w:iCs/>
      <w:color w:val="404040" w:themeColor="text1" w:themeTint="BF"/>
    </w:rPr>
  </w:style>
  <w:style w:type="paragraph" w:styleId="ListParagraph">
    <w:name w:val="List Paragraph"/>
    <w:basedOn w:val="Normal"/>
    <w:uiPriority w:val="34"/>
    <w:qFormat/>
    <w:rsid w:val="00205DF0"/>
    <w:pPr>
      <w:ind w:left="720"/>
      <w:contextualSpacing/>
    </w:pPr>
  </w:style>
  <w:style w:type="character" w:styleId="IntenseEmphasis">
    <w:name w:val="Intense Emphasis"/>
    <w:basedOn w:val="DefaultParagraphFont"/>
    <w:uiPriority w:val="21"/>
    <w:qFormat/>
    <w:rsid w:val="00205DF0"/>
    <w:rPr>
      <w:i/>
      <w:iCs/>
      <w:color w:val="25DA7F" w:themeColor="accent1" w:themeShade="BF"/>
    </w:rPr>
  </w:style>
  <w:style w:type="paragraph" w:styleId="IntenseQuote">
    <w:name w:val="Intense Quote"/>
    <w:basedOn w:val="Normal"/>
    <w:next w:val="Normal"/>
    <w:link w:val="IntenseQuoteChar"/>
    <w:uiPriority w:val="30"/>
    <w:qFormat/>
    <w:rsid w:val="00205DF0"/>
    <w:pPr>
      <w:pBdr>
        <w:top w:val="single" w:sz="4" w:space="10" w:color="25DA7F" w:themeColor="accent1" w:themeShade="BF"/>
        <w:bottom w:val="single" w:sz="4" w:space="10" w:color="25DA7F" w:themeColor="accent1" w:themeShade="BF"/>
      </w:pBdr>
      <w:spacing w:before="360" w:after="360"/>
      <w:ind w:left="864" w:right="864"/>
      <w:jc w:val="center"/>
    </w:pPr>
    <w:rPr>
      <w:i/>
      <w:iCs/>
      <w:color w:val="25DA7F" w:themeColor="accent1" w:themeShade="BF"/>
    </w:rPr>
  </w:style>
  <w:style w:type="character" w:customStyle="1" w:styleId="IntenseQuoteChar">
    <w:name w:val="Intense Quote Char"/>
    <w:basedOn w:val="DefaultParagraphFont"/>
    <w:link w:val="IntenseQuote"/>
    <w:uiPriority w:val="30"/>
    <w:rsid w:val="00205DF0"/>
    <w:rPr>
      <w:i/>
      <w:iCs/>
      <w:color w:val="25DA7F" w:themeColor="accent1" w:themeShade="BF"/>
    </w:rPr>
  </w:style>
  <w:style w:type="character" w:styleId="IntenseReference">
    <w:name w:val="Intense Reference"/>
    <w:basedOn w:val="DefaultParagraphFont"/>
    <w:uiPriority w:val="32"/>
    <w:qFormat/>
    <w:rsid w:val="00205DF0"/>
    <w:rPr>
      <w:b/>
      <w:bCs/>
      <w:smallCaps/>
      <w:color w:val="25DA7F" w:themeColor="accent1" w:themeShade="BF"/>
      <w:spacing w:val="5"/>
    </w:rPr>
  </w:style>
  <w:style w:type="paragraph" w:styleId="Header">
    <w:name w:val="header"/>
    <w:basedOn w:val="Normal"/>
    <w:link w:val="HeaderChar"/>
    <w:uiPriority w:val="99"/>
    <w:unhideWhenUsed/>
    <w:rsid w:val="00205DF0"/>
    <w:pPr>
      <w:tabs>
        <w:tab w:val="center" w:pos="4513"/>
        <w:tab w:val="right" w:pos="9026"/>
      </w:tabs>
      <w:spacing w:after="0"/>
    </w:pPr>
  </w:style>
  <w:style w:type="character" w:customStyle="1" w:styleId="HeaderChar">
    <w:name w:val="Header Char"/>
    <w:basedOn w:val="DefaultParagraphFont"/>
    <w:link w:val="Header"/>
    <w:uiPriority w:val="99"/>
    <w:rsid w:val="00205DF0"/>
    <w:rPr>
      <w:sz w:val="20"/>
      <w:szCs w:val="28"/>
    </w:rPr>
  </w:style>
  <w:style w:type="paragraph" w:styleId="Footer">
    <w:name w:val="footer"/>
    <w:basedOn w:val="Normal"/>
    <w:link w:val="FooterChar"/>
    <w:uiPriority w:val="99"/>
    <w:unhideWhenUsed/>
    <w:rsid w:val="00205DF0"/>
    <w:pPr>
      <w:tabs>
        <w:tab w:val="center" w:pos="4513"/>
        <w:tab w:val="right" w:pos="9026"/>
      </w:tabs>
      <w:spacing w:after="0"/>
    </w:pPr>
  </w:style>
  <w:style w:type="character" w:customStyle="1" w:styleId="FooterChar">
    <w:name w:val="Footer Char"/>
    <w:basedOn w:val="DefaultParagraphFont"/>
    <w:link w:val="Footer"/>
    <w:uiPriority w:val="99"/>
    <w:rsid w:val="00205DF0"/>
    <w:rPr>
      <w:sz w:val="20"/>
      <w:szCs w:val="28"/>
    </w:rPr>
  </w:style>
  <w:style w:type="paragraph" w:customStyle="1" w:styleId="Body">
    <w:name w:val="Body"/>
    <w:basedOn w:val="Normal"/>
    <w:uiPriority w:val="99"/>
    <w:rsid w:val="00205DF0"/>
    <w:pPr>
      <w:suppressAutoHyphens/>
      <w:autoSpaceDE w:val="0"/>
      <w:autoSpaceDN w:val="0"/>
      <w:adjustRightInd w:val="0"/>
      <w:spacing w:after="170" w:line="260" w:lineRule="atLeast"/>
      <w:textAlignment w:val="center"/>
    </w:pPr>
    <w:rPr>
      <w:rFonts w:ascii="Barlow-Regular" w:hAnsi="Barlow-Regular" w:cs="Barlow-Regular"/>
      <w:color w:val="000000"/>
      <w:kern w:val="0"/>
      <w:sz w:val="18"/>
      <w:szCs w:val="18"/>
      <w:lang w:val="en-US"/>
    </w:rPr>
  </w:style>
  <w:style w:type="character" w:styleId="Hyperlink">
    <w:name w:val="Hyperlink"/>
    <w:basedOn w:val="DefaultParagraphFont"/>
    <w:uiPriority w:val="99"/>
    <w:unhideWhenUsed/>
    <w:rsid w:val="004C2AB8"/>
    <w:rPr>
      <w:color w:val="F1ECE3" w:themeColor="hyperlink"/>
      <w:u w:val="single"/>
    </w:rPr>
  </w:style>
  <w:style w:type="character" w:styleId="UnresolvedMention">
    <w:name w:val="Unresolved Mention"/>
    <w:basedOn w:val="DefaultParagraphFont"/>
    <w:uiPriority w:val="99"/>
    <w:semiHidden/>
    <w:unhideWhenUsed/>
    <w:rsid w:val="004C2AB8"/>
    <w:rPr>
      <w:color w:val="605E5C"/>
      <w:shd w:val="clear" w:color="auto" w:fill="E1DFDD"/>
    </w:rPr>
  </w:style>
  <w:style w:type="paragraph" w:customStyle="1" w:styleId="Intropara">
    <w:name w:val="Intro para"/>
    <w:basedOn w:val="Body"/>
    <w:uiPriority w:val="99"/>
    <w:rsid w:val="00BD4C83"/>
    <w:pPr>
      <w:spacing w:line="300" w:lineRule="atLeast"/>
    </w:pPr>
    <w:rPr>
      <w:rFonts w:ascii="Barlow-Medium" w:hAnsi="Barlow-Medium" w:cs="Barlow-Medium"/>
      <w:sz w:val="23"/>
      <w:szCs w:val="23"/>
    </w:rPr>
  </w:style>
  <w:style w:type="paragraph" w:customStyle="1" w:styleId="Bullets">
    <w:name w:val="Bullets"/>
    <w:basedOn w:val="Body"/>
    <w:uiPriority w:val="99"/>
    <w:rsid w:val="00BD4C83"/>
    <w:pPr>
      <w:ind w:left="227" w:hanging="227"/>
    </w:pPr>
  </w:style>
  <w:style w:type="character" w:customStyle="1" w:styleId="Texthighlightpurple">
    <w:name w:val="Text highlight purple"/>
    <w:basedOn w:val="DefaultParagraphFont"/>
    <w:uiPriority w:val="99"/>
    <w:rsid w:val="00A434DA"/>
    <w:rPr>
      <w:b/>
      <w:bCs/>
      <w:color w:val="000000"/>
      <w:u w:val="thick" w:color="C99C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dewr.gov.au/vet-qualification-reform"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VET REFORM">
      <a:dk1>
        <a:srgbClr val="000000"/>
      </a:dk1>
      <a:lt1>
        <a:srgbClr val="FFFFFF"/>
      </a:lt1>
      <a:dk2>
        <a:srgbClr val="0E2841"/>
      </a:dk2>
      <a:lt2>
        <a:srgbClr val="F1ECE3"/>
      </a:lt2>
      <a:accent1>
        <a:srgbClr val="6FE7AB"/>
      </a:accent1>
      <a:accent2>
        <a:srgbClr val="C6FAC4"/>
      </a:accent2>
      <a:accent3>
        <a:srgbClr val="D8FF87"/>
      </a:accent3>
      <a:accent4>
        <a:srgbClr val="7062E7"/>
      </a:accent4>
      <a:accent5>
        <a:srgbClr val="C89CF4"/>
      </a:accent5>
      <a:accent6>
        <a:srgbClr val="ECFE66"/>
      </a:accent6>
      <a:hlink>
        <a:srgbClr val="F1ECE3"/>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d7472e-77be-4fdf-b10e-da2cedd8e25d">
      <Terms xmlns="http://schemas.microsoft.com/office/infopath/2007/PartnerControls"/>
    </lcf76f155ced4ddcb4097134ff3c332f>
    <TaxCatchAll xmlns="5b45fd23-8214-452c-accd-0ee665e52c1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809231156E4A40B928B6EC50EFED3B" ma:contentTypeVersion="12" ma:contentTypeDescription="Create a new document." ma:contentTypeScope="" ma:versionID="9d4438ca7a1c37957477ff7dba91cb52">
  <xsd:schema xmlns:xsd="http://www.w3.org/2001/XMLSchema" xmlns:xs="http://www.w3.org/2001/XMLSchema" xmlns:p="http://schemas.microsoft.com/office/2006/metadata/properties" xmlns:ns2="76d7472e-77be-4fdf-b10e-da2cedd8e25d" xmlns:ns3="5b45fd23-8214-452c-accd-0ee665e52c19" targetNamespace="http://schemas.microsoft.com/office/2006/metadata/properties" ma:root="true" ma:fieldsID="0637f7c6d0ee740e734144436c6d418f" ns2:_="" ns3:_="">
    <xsd:import namespace="76d7472e-77be-4fdf-b10e-da2cedd8e25d"/>
    <xsd:import namespace="5b45fd23-8214-452c-accd-0ee665e52c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7472e-77be-4fdf-b10e-da2cedd8e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45fd23-8214-452c-accd-0ee665e52c1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d0d29ae-169d-4e92-bc66-33ab70350774}" ma:internalName="TaxCatchAll" ma:showField="CatchAllData" ma:web="5b45fd23-8214-452c-accd-0ee665e52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F7AB2-7D56-4DD3-9919-630989E9A41A}">
  <ds:schemaRefs>
    <ds:schemaRef ds:uri="http://schemas.microsoft.com/office/2006/metadata/properties"/>
    <ds:schemaRef ds:uri="http://schemas.microsoft.com/office/infopath/2007/PartnerControls"/>
    <ds:schemaRef ds:uri="9ca3db3c-53fd-4d05-83ed-3a026d677ebc"/>
    <ds:schemaRef ds:uri="a89fec8e-fe4b-4b03-9aad-ff52a8554ba7"/>
  </ds:schemaRefs>
</ds:datastoreItem>
</file>

<file path=customXml/itemProps2.xml><?xml version="1.0" encoding="utf-8"?>
<ds:datastoreItem xmlns:ds="http://schemas.openxmlformats.org/officeDocument/2006/customXml" ds:itemID="{0CAED55E-FABB-49C4-8887-AFDF667D9BE5}"/>
</file>

<file path=customXml/itemProps3.xml><?xml version="1.0" encoding="utf-8"?>
<ds:datastoreItem xmlns:ds="http://schemas.openxmlformats.org/officeDocument/2006/customXml" ds:itemID="{0F5CAA93-C3B6-4DFB-8A37-67D0524CC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Tegan Clarkson</dc:creator>
  <cp:keywords/>
  <dc:description/>
  <cp:lastModifiedBy>Tegan Clarkson</cp:lastModifiedBy>
  <cp:revision>7</cp:revision>
  <dcterms:created xsi:type="dcterms:W3CDTF">2025-06-11T11:54:00Z</dcterms:created>
  <dcterms:modified xsi:type="dcterms:W3CDTF">2025-06-11T11:59:00Z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0x010100C3809231156E4A40B928B6EC50EFED3B</vt:lpwstr>
  </property>
  <property fmtid="{D5CDD505-2E9C-101B-9397-08002B2CF9AE}" pid="3" name="MediaServiceImageTags">
    <vt:lpwstr/>
  </property>
</Properties>
</file>