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 xmlns:oel="http://schemas.microsoft.com/office/2019/extlst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7E3B70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1A0966EC" w14:textId="3701C222" w:rsidR="007402F4" w:rsidRPr="00654A65" w:rsidRDefault="151AE816" w:rsidP="007402F4">
      <w:pPr>
        <w:pStyle w:val="Title"/>
      </w:pPr>
      <w:r>
        <w:t>J</w:t>
      </w:r>
      <w:r w:rsidR="6D662B26">
        <w:t>ob security and gender equ</w:t>
      </w:r>
      <w:r w:rsidR="00C011D9">
        <w:t>al</w:t>
      </w:r>
      <w:r w:rsidR="6D662B26">
        <w:t>ity</w:t>
      </w:r>
    </w:p>
    <w:tbl>
      <w:tblPr>
        <w:tblStyle w:val="TableGridLight"/>
        <w:tblpPr w:leftFromText="180" w:rightFromText="180" w:vertAnchor="text" w:horzAnchor="margin" w:tblpY="130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5172C" w:rsidRPr="0095172C" w14:paraId="2B98CA64" w14:textId="77777777" w:rsidTr="3872DFDB">
        <w:tc>
          <w:tcPr>
            <w:tcW w:w="9638" w:type="dxa"/>
          </w:tcPr>
          <w:p w14:paraId="69242B2A" w14:textId="4D5DD3F2" w:rsidR="0095172C" w:rsidRPr="0095172C" w:rsidRDefault="00BC6236" w:rsidP="0095172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="4D55E0F0" w:rsidRPr="3872DFDB">
              <w:rPr>
                <w:rFonts w:ascii="Calibri" w:hAnsi="Calibri" w:cs="Calibri"/>
                <w:b/>
                <w:bCs/>
                <w:sz w:val="24"/>
                <w:szCs w:val="24"/>
              </w:rPr>
              <w:t>form part of an Australian Government commitment to improve job security and put gender equ</w:t>
            </w:r>
            <w:r w:rsidR="00EE3E59">
              <w:rPr>
                <w:rFonts w:ascii="Calibri" w:hAnsi="Calibri" w:cs="Calibri"/>
                <w:b/>
                <w:bCs/>
                <w:sz w:val="24"/>
                <w:szCs w:val="24"/>
              </w:rPr>
              <w:t>al</w:t>
            </w:r>
            <w:r w:rsidR="4D55E0F0" w:rsidRPr="3872DFDB">
              <w:rPr>
                <w:rFonts w:ascii="Calibri" w:hAnsi="Calibri" w:cs="Calibri"/>
                <w:b/>
                <w:bCs/>
                <w:sz w:val="24"/>
                <w:szCs w:val="24"/>
              </w:rPr>
              <w:t>ity at the centre of the workplace relations system.</w:t>
            </w:r>
          </w:p>
        </w:tc>
      </w:tr>
    </w:tbl>
    <w:p w14:paraId="3732A970" w14:textId="109EA6A8" w:rsidR="009718E4" w:rsidRDefault="6086CF7E" w:rsidP="36D42DC2">
      <w:pPr>
        <w:pStyle w:val="Subtitle"/>
        <w:rPr>
          <w:lang w:val="en-GB"/>
        </w:rPr>
      </w:pPr>
      <w:r w:rsidRPr="3872DFDB">
        <w:rPr>
          <w:rFonts w:cs="Calibri"/>
          <w:sz w:val="44"/>
          <w:szCs w:val="44"/>
          <w:lang w:val="en-GB"/>
        </w:rPr>
        <w:t>Includ</w:t>
      </w:r>
      <w:r w:rsidR="4188A16D" w:rsidRPr="3872DFDB">
        <w:rPr>
          <w:rFonts w:cs="Calibri"/>
          <w:sz w:val="44"/>
          <w:szCs w:val="44"/>
          <w:lang w:val="en-GB"/>
        </w:rPr>
        <w:t>ing</w:t>
      </w:r>
      <w:r w:rsidRPr="3872DFDB">
        <w:rPr>
          <w:rFonts w:cs="Calibri"/>
          <w:sz w:val="44"/>
          <w:szCs w:val="44"/>
          <w:lang w:val="en-GB"/>
        </w:rPr>
        <w:t xml:space="preserve"> gender</w:t>
      </w:r>
      <w:r w:rsidR="43CFF096" w:rsidRPr="3872DFDB">
        <w:rPr>
          <w:rFonts w:cs="Calibri"/>
          <w:sz w:val="44"/>
          <w:szCs w:val="44"/>
          <w:lang w:val="en-GB"/>
        </w:rPr>
        <w:t xml:space="preserve"> equ</w:t>
      </w:r>
      <w:r w:rsidR="00EE3E59">
        <w:rPr>
          <w:rFonts w:cs="Calibri"/>
          <w:sz w:val="44"/>
          <w:szCs w:val="44"/>
          <w:lang w:val="en-GB"/>
        </w:rPr>
        <w:t>al</w:t>
      </w:r>
      <w:r w:rsidR="43CFF096" w:rsidRPr="3872DFDB">
        <w:rPr>
          <w:rFonts w:cs="Calibri"/>
          <w:sz w:val="44"/>
          <w:szCs w:val="44"/>
          <w:lang w:val="en-GB"/>
        </w:rPr>
        <w:t xml:space="preserve">ity and </w:t>
      </w:r>
      <w:r w:rsidR="15EF6830" w:rsidRPr="3872DFDB">
        <w:rPr>
          <w:rFonts w:cs="Calibri"/>
          <w:sz w:val="44"/>
          <w:szCs w:val="44"/>
          <w:lang w:val="en-GB"/>
        </w:rPr>
        <w:t>job security</w:t>
      </w:r>
      <w:r w:rsidR="43CFF096" w:rsidRPr="3872DFDB">
        <w:rPr>
          <w:rFonts w:cs="Calibri"/>
          <w:sz w:val="44"/>
          <w:szCs w:val="44"/>
          <w:lang w:val="en-GB"/>
        </w:rPr>
        <w:t xml:space="preserve"> in the</w:t>
      </w:r>
      <w:r w:rsidR="43CFF096" w:rsidRPr="3872DFDB">
        <w:rPr>
          <w:sz w:val="44"/>
          <w:szCs w:val="44"/>
          <w:lang w:val="en-GB"/>
        </w:rPr>
        <w:t xml:space="preserve"> </w:t>
      </w:r>
      <w:r w:rsidR="43CFF096" w:rsidRPr="00700678">
        <w:rPr>
          <w:sz w:val="44"/>
          <w:szCs w:val="44"/>
          <w:lang w:val="en-GB"/>
        </w:rPr>
        <w:t>objects of the Fair Work Act</w:t>
      </w:r>
    </w:p>
    <w:p w14:paraId="5496044F" w14:textId="77777777" w:rsidR="0095172C" w:rsidRPr="0095172C" w:rsidRDefault="0095172C" w:rsidP="0095172C">
      <w:pPr>
        <w:spacing w:after="0"/>
        <w:contextualSpacing/>
        <w:rPr>
          <w:lang w:val="en-GB"/>
        </w:rPr>
      </w:pPr>
    </w:p>
    <w:p w14:paraId="5BBFB9BC" w14:textId="34E138A0" w:rsidR="00243E97" w:rsidRDefault="00243E97" w:rsidP="0095172C">
      <w:pPr>
        <w:pStyle w:val="Heading1"/>
        <w:spacing w:after="0"/>
        <w:contextualSpacing/>
      </w:pPr>
      <w:r>
        <w:t xml:space="preserve">What </w:t>
      </w:r>
      <w:r w:rsidR="00CA1232">
        <w:t>has changed</w:t>
      </w:r>
      <w:r>
        <w:t>?</w:t>
      </w:r>
      <w:r w:rsidRPr="00286F3C">
        <w:rPr>
          <w:noProof/>
        </w:rPr>
        <w:t xml:space="preserve"> </w:t>
      </w:r>
    </w:p>
    <w:p w14:paraId="67DF8EA3" w14:textId="026A9280" w:rsidR="001F1A13" w:rsidRPr="0095172C" w:rsidRDefault="00DB3B22" w:rsidP="00207D34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1E1FF57D">
        <w:rPr>
          <w:rFonts w:ascii="Calibri" w:eastAsia="Calibri" w:hAnsi="Calibri" w:cs="Calibri"/>
          <w:sz w:val="24"/>
          <w:szCs w:val="24"/>
        </w:rPr>
        <w:t xml:space="preserve">The </w:t>
      </w:r>
      <w:r w:rsidRPr="1E1FF57D">
        <w:rPr>
          <w:rFonts w:ascii="Calibri" w:eastAsia="Calibri" w:hAnsi="Calibri" w:cs="Calibri"/>
          <w:i/>
          <w:iCs/>
          <w:sz w:val="24"/>
          <w:szCs w:val="24"/>
        </w:rPr>
        <w:t>Fair Work Legislation Amendment (Secure Jobs, Better Pay) Act 2022</w:t>
      </w:r>
      <w:r w:rsidRPr="1E1FF57D">
        <w:rPr>
          <w:rFonts w:ascii="Calibri" w:eastAsia="Calibri" w:hAnsi="Calibri" w:cs="Calibri"/>
          <w:sz w:val="24"/>
          <w:szCs w:val="24"/>
        </w:rPr>
        <w:t xml:space="preserve"> amends the </w:t>
      </w:r>
      <w:r w:rsidRPr="1E1FF57D">
        <w:rPr>
          <w:rFonts w:ascii="Calibri" w:eastAsia="Calibri" w:hAnsi="Calibri" w:cs="Calibri"/>
          <w:i/>
          <w:iCs/>
          <w:sz w:val="24"/>
          <w:szCs w:val="24"/>
        </w:rPr>
        <w:t>Fair Work Act 2009</w:t>
      </w:r>
      <w:r w:rsidRPr="1E1FF57D">
        <w:rPr>
          <w:rFonts w:ascii="Calibri" w:eastAsia="Calibri" w:hAnsi="Calibri" w:cs="Calibri"/>
          <w:sz w:val="24"/>
          <w:szCs w:val="24"/>
        </w:rPr>
        <w:t xml:space="preserve"> (the Act) </w:t>
      </w:r>
      <w:r w:rsidR="006B07EC" w:rsidRPr="54A84D0D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="00777FDA" w:rsidRPr="54A84D0D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60B6CDD3" w:rsidRPr="0C7F22D7">
        <w:rPr>
          <w:rFonts w:ascii="Calibri" w:eastAsia="Times New Roman" w:hAnsi="Calibri" w:cs="Calibri"/>
          <w:sz w:val="24"/>
          <w:szCs w:val="24"/>
          <w:lang w:eastAsia="en-AU"/>
        </w:rPr>
        <w:t xml:space="preserve">embed </w:t>
      </w:r>
      <w:r w:rsidR="63FF3F91" w:rsidRPr="0C7F22D7">
        <w:rPr>
          <w:rFonts w:ascii="Calibri" w:eastAsia="Times New Roman" w:hAnsi="Calibri" w:cs="Calibri"/>
          <w:sz w:val="24"/>
          <w:szCs w:val="24"/>
          <w:lang w:eastAsia="en-AU"/>
        </w:rPr>
        <w:t xml:space="preserve">the principles of job security </w:t>
      </w:r>
      <w:r w:rsidR="07262D7C" w:rsidRPr="0C7F22D7">
        <w:rPr>
          <w:rFonts w:ascii="Calibri" w:eastAsia="Times New Roman" w:hAnsi="Calibri" w:cs="Calibri"/>
          <w:sz w:val="24"/>
          <w:szCs w:val="24"/>
          <w:lang w:eastAsia="en-AU"/>
        </w:rPr>
        <w:t xml:space="preserve">and </w:t>
      </w:r>
      <w:r w:rsidR="63FF3F91" w:rsidRPr="0C7F22D7">
        <w:rPr>
          <w:rFonts w:ascii="Calibri" w:eastAsia="Times New Roman" w:hAnsi="Calibri" w:cs="Calibri"/>
          <w:sz w:val="24"/>
          <w:szCs w:val="24"/>
          <w:lang w:eastAsia="en-AU"/>
        </w:rPr>
        <w:t>gender equ</w:t>
      </w:r>
      <w:r w:rsidR="00EE3E59" w:rsidRPr="0C7F22D7">
        <w:rPr>
          <w:rFonts w:ascii="Calibri" w:eastAsia="Times New Roman" w:hAnsi="Calibri" w:cs="Calibri"/>
          <w:sz w:val="24"/>
          <w:szCs w:val="24"/>
          <w:lang w:eastAsia="en-AU"/>
        </w:rPr>
        <w:t>al</w:t>
      </w:r>
      <w:r w:rsidR="63FF3F91" w:rsidRPr="0C7F22D7">
        <w:rPr>
          <w:rFonts w:ascii="Calibri" w:eastAsia="Times New Roman" w:hAnsi="Calibri" w:cs="Calibri"/>
          <w:sz w:val="24"/>
          <w:szCs w:val="24"/>
          <w:lang w:eastAsia="en-AU"/>
        </w:rPr>
        <w:t>ity in the Fair Work Commission’s</w:t>
      </w:r>
      <w:r w:rsidR="17321743" w:rsidRPr="0C7F22D7">
        <w:rPr>
          <w:rFonts w:ascii="Calibri" w:eastAsia="Times New Roman" w:hAnsi="Calibri" w:cs="Calibri"/>
          <w:sz w:val="24"/>
          <w:szCs w:val="24"/>
          <w:lang w:eastAsia="en-AU"/>
        </w:rPr>
        <w:t xml:space="preserve"> (the Commission)</w:t>
      </w:r>
      <w:r w:rsidR="63FF3F91" w:rsidRPr="0C7F22D7">
        <w:rPr>
          <w:rFonts w:ascii="Calibri" w:eastAsia="Times New Roman" w:hAnsi="Calibri" w:cs="Calibri"/>
          <w:sz w:val="24"/>
          <w:szCs w:val="24"/>
          <w:lang w:eastAsia="en-AU"/>
        </w:rPr>
        <w:t xml:space="preserve"> decision</w:t>
      </w:r>
      <w:r w:rsidR="00052C5A">
        <w:rPr>
          <w:rFonts w:ascii="Calibri" w:eastAsia="Times New Roman" w:hAnsi="Calibri" w:cs="Calibri"/>
          <w:sz w:val="24"/>
          <w:szCs w:val="24"/>
          <w:lang w:eastAsia="en-AU"/>
        </w:rPr>
        <w:noBreakHyphen/>
      </w:r>
      <w:r w:rsidR="63FF3F91" w:rsidRPr="0C7F22D7">
        <w:rPr>
          <w:rFonts w:ascii="Calibri" w:eastAsia="Times New Roman" w:hAnsi="Calibri" w:cs="Calibri"/>
          <w:sz w:val="24"/>
          <w:szCs w:val="24"/>
          <w:lang w:eastAsia="en-AU"/>
        </w:rPr>
        <w:t>making processes.</w:t>
      </w:r>
    </w:p>
    <w:p w14:paraId="75A37A1D" w14:textId="77777777" w:rsidR="0095172C" w:rsidRDefault="0095172C" w:rsidP="0095172C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5768E73F" w14:textId="281B9CDD" w:rsidR="007617E6" w:rsidRPr="0095172C" w:rsidRDefault="002C720C" w:rsidP="0095172C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95172C">
        <w:rPr>
          <w:rFonts w:ascii="Calibri" w:hAnsi="Calibri" w:cs="Calibri"/>
          <w:sz w:val="24"/>
          <w:szCs w:val="24"/>
        </w:rPr>
        <w:t xml:space="preserve">The </w:t>
      </w:r>
      <w:r w:rsidR="0016353A">
        <w:rPr>
          <w:rFonts w:ascii="Calibri" w:hAnsi="Calibri" w:cs="Calibri"/>
          <w:sz w:val="24"/>
          <w:szCs w:val="24"/>
        </w:rPr>
        <w:t>amendments</w:t>
      </w:r>
      <w:r w:rsidRPr="0095172C">
        <w:rPr>
          <w:rFonts w:ascii="Calibri" w:hAnsi="Calibri" w:cs="Calibri"/>
          <w:sz w:val="24"/>
          <w:szCs w:val="24"/>
        </w:rPr>
        <w:t xml:space="preserve">: </w:t>
      </w:r>
    </w:p>
    <w:p w14:paraId="273DDA64" w14:textId="503A4B27" w:rsidR="007617E6" w:rsidRPr="0095172C" w:rsidRDefault="6C45F5A1" w:rsidP="0095172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3872DFDB">
        <w:rPr>
          <w:rFonts w:ascii="Calibri" w:eastAsia="Times New Roman" w:hAnsi="Calibri" w:cs="Calibri"/>
          <w:sz w:val="24"/>
          <w:szCs w:val="24"/>
          <w:lang w:eastAsia="en-AU"/>
        </w:rPr>
        <w:t>includ</w:t>
      </w:r>
      <w:r w:rsidR="6F2A7274" w:rsidRPr="3872DFDB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56F593B2" w:rsidRPr="3872DFDB">
        <w:rPr>
          <w:rFonts w:ascii="Calibri" w:hAnsi="Calibri" w:cs="Calibri"/>
          <w:sz w:val="24"/>
          <w:szCs w:val="24"/>
        </w:rPr>
        <w:t xml:space="preserve"> gender equ</w:t>
      </w:r>
      <w:r w:rsidR="004D1CE7">
        <w:rPr>
          <w:rFonts w:ascii="Calibri" w:hAnsi="Calibri" w:cs="Calibri"/>
          <w:sz w:val="24"/>
          <w:szCs w:val="24"/>
        </w:rPr>
        <w:t>al</w:t>
      </w:r>
      <w:r w:rsidR="56F593B2" w:rsidRPr="3872DFDB">
        <w:rPr>
          <w:rFonts w:ascii="Calibri" w:hAnsi="Calibri" w:cs="Calibri"/>
          <w:sz w:val="24"/>
          <w:szCs w:val="24"/>
        </w:rPr>
        <w:t xml:space="preserve">ity and </w:t>
      </w:r>
      <w:r w:rsidR="6DBC5272" w:rsidRPr="3872DFDB">
        <w:rPr>
          <w:rFonts w:ascii="Calibri" w:hAnsi="Calibri" w:cs="Calibri"/>
          <w:sz w:val="24"/>
          <w:szCs w:val="24"/>
        </w:rPr>
        <w:t>job security</w:t>
      </w:r>
      <w:r w:rsidR="56F593B2" w:rsidRPr="3872DFDB">
        <w:rPr>
          <w:rFonts w:ascii="Calibri" w:hAnsi="Calibri" w:cs="Calibri"/>
          <w:sz w:val="24"/>
          <w:szCs w:val="24"/>
        </w:rPr>
        <w:t xml:space="preserve"> in the object of the</w:t>
      </w:r>
      <w:r w:rsidR="35C471FB" w:rsidRPr="3872DFDB">
        <w:rPr>
          <w:rFonts w:ascii="Calibri" w:hAnsi="Calibri" w:cs="Calibri"/>
          <w:sz w:val="24"/>
          <w:szCs w:val="24"/>
        </w:rPr>
        <w:t xml:space="preserve"> </w:t>
      </w:r>
      <w:r w:rsidR="0C195605" w:rsidRPr="3872DFDB">
        <w:rPr>
          <w:rFonts w:ascii="Calibri" w:hAnsi="Calibri" w:cs="Calibri"/>
          <w:sz w:val="24"/>
          <w:szCs w:val="24"/>
        </w:rPr>
        <w:t>Act</w:t>
      </w:r>
      <w:r w:rsidR="56F593B2" w:rsidRPr="3872DFDB">
        <w:rPr>
          <w:rFonts w:ascii="Calibri" w:hAnsi="Calibri" w:cs="Calibri"/>
          <w:sz w:val="24"/>
          <w:szCs w:val="24"/>
        </w:rPr>
        <w:t xml:space="preserve">  </w:t>
      </w:r>
      <w:r w:rsidR="4070CB42" w:rsidRPr="3872DFDB">
        <w:rPr>
          <w:rFonts w:ascii="Calibri" w:hAnsi="Calibri" w:cs="Calibri"/>
          <w:sz w:val="24"/>
          <w:szCs w:val="24"/>
        </w:rPr>
        <w:t xml:space="preserve"> </w:t>
      </w:r>
    </w:p>
    <w:p w14:paraId="5AE5FA38" w14:textId="6761F640" w:rsidR="007617E6" w:rsidRPr="0095172C" w:rsidRDefault="163E292D" w:rsidP="0095172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C7F22D7">
        <w:rPr>
          <w:rFonts w:ascii="Calibri" w:hAnsi="Calibri" w:cs="Calibri"/>
          <w:sz w:val="24"/>
          <w:szCs w:val="24"/>
        </w:rPr>
        <w:t xml:space="preserve">amend </w:t>
      </w:r>
      <w:r w:rsidR="7914E6D5" w:rsidRPr="0C7F22D7">
        <w:rPr>
          <w:rFonts w:ascii="Calibri" w:hAnsi="Calibri" w:cs="Calibri"/>
          <w:sz w:val="24"/>
          <w:szCs w:val="24"/>
        </w:rPr>
        <w:t xml:space="preserve">the </w:t>
      </w:r>
      <w:r w:rsidR="004038B7" w:rsidRPr="0C7F22D7">
        <w:rPr>
          <w:rFonts w:ascii="Calibri" w:hAnsi="Calibri" w:cs="Calibri"/>
          <w:sz w:val="24"/>
          <w:szCs w:val="24"/>
        </w:rPr>
        <w:t>modern awards</w:t>
      </w:r>
      <w:r w:rsidR="3AFAA65B" w:rsidRPr="0C7F22D7">
        <w:rPr>
          <w:rFonts w:ascii="Calibri" w:hAnsi="Calibri" w:cs="Calibri"/>
          <w:sz w:val="24"/>
          <w:szCs w:val="24"/>
        </w:rPr>
        <w:t xml:space="preserve"> object</w:t>
      </w:r>
      <w:r w:rsidR="007B4AEF" w:rsidRPr="0C7F22D7">
        <w:rPr>
          <w:rFonts w:ascii="Calibri" w:hAnsi="Calibri" w:cs="Calibri"/>
          <w:sz w:val="24"/>
          <w:szCs w:val="24"/>
        </w:rPr>
        <w:t>iv</w:t>
      </w:r>
      <w:r w:rsidR="004038B7" w:rsidRPr="0C7F22D7">
        <w:rPr>
          <w:rFonts w:ascii="Calibri" w:hAnsi="Calibri" w:cs="Calibri"/>
          <w:sz w:val="24"/>
          <w:szCs w:val="24"/>
        </w:rPr>
        <w:t>e</w:t>
      </w:r>
      <w:r w:rsidR="3AFAA65B" w:rsidRPr="0C7F22D7">
        <w:rPr>
          <w:rFonts w:ascii="Calibri" w:hAnsi="Calibri" w:cs="Calibri"/>
          <w:sz w:val="24"/>
          <w:szCs w:val="24"/>
        </w:rPr>
        <w:t xml:space="preserve"> to include </w:t>
      </w:r>
      <w:r w:rsidR="00B34421" w:rsidRPr="0C7F22D7">
        <w:rPr>
          <w:rFonts w:ascii="Calibri" w:hAnsi="Calibri" w:cs="Calibri"/>
          <w:sz w:val="24"/>
          <w:szCs w:val="24"/>
        </w:rPr>
        <w:t>secure work</w:t>
      </w:r>
      <w:r w:rsidR="0C17BF7C" w:rsidRPr="0C7F22D7">
        <w:rPr>
          <w:rFonts w:ascii="Calibri" w:hAnsi="Calibri" w:cs="Calibri"/>
          <w:sz w:val="24"/>
          <w:szCs w:val="24"/>
        </w:rPr>
        <w:t xml:space="preserve"> and</w:t>
      </w:r>
      <w:r w:rsidR="001A6BD6" w:rsidRPr="0C7F22D7">
        <w:rPr>
          <w:rFonts w:ascii="Calibri" w:hAnsi="Calibri" w:cs="Calibri"/>
          <w:sz w:val="24"/>
          <w:szCs w:val="24"/>
        </w:rPr>
        <w:t xml:space="preserve"> </w:t>
      </w:r>
      <w:r w:rsidR="3AFAA65B" w:rsidRPr="0C7F22D7">
        <w:rPr>
          <w:rFonts w:ascii="Calibri" w:hAnsi="Calibri" w:cs="Calibri"/>
          <w:sz w:val="24"/>
          <w:szCs w:val="24"/>
        </w:rPr>
        <w:t>gender</w:t>
      </w:r>
      <w:r w:rsidR="4813179B" w:rsidRPr="0C7F22D7">
        <w:rPr>
          <w:rFonts w:ascii="Calibri" w:hAnsi="Calibri" w:cs="Calibri"/>
          <w:sz w:val="24"/>
          <w:szCs w:val="24"/>
        </w:rPr>
        <w:t xml:space="preserve"> </w:t>
      </w:r>
      <w:r w:rsidR="3AFAA65B" w:rsidRPr="0C7F22D7">
        <w:rPr>
          <w:rFonts w:ascii="Calibri" w:hAnsi="Calibri" w:cs="Calibri"/>
          <w:sz w:val="24"/>
          <w:szCs w:val="24"/>
        </w:rPr>
        <w:t>equ</w:t>
      </w:r>
      <w:r w:rsidR="693AA53C" w:rsidRPr="0C7F22D7">
        <w:rPr>
          <w:rFonts w:ascii="Calibri" w:hAnsi="Calibri" w:cs="Calibri"/>
          <w:sz w:val="24"/>
          <w:szCs w:val="24"/>
        </w:rPr>
        <w:t>al</w:t>
      </w:r>
      <w:r w:rsidR="3AFAA65B" w:rsidRPr="0C7F22D7">
        <w:rPr>
          <w:rFonts w:ascii="Calibri" w:hAnsi="Calibri" w:cs="Calibri"/>
          <w:sz w:val="24"/>
          <w:szCs w:val="24"/>
        </w:rPr>
        <w:t>ity</w:t>
      </w:r>
      <w:r w:rsidR="0E52B9AD" w:rsidRPr="0C7F22D7">
        <w:rPr>
          <w:rFonts w:ascii="Calibri" w:hAnsi="Calibri" w:cs="Calibri"/>
          <w:sz w:val="24"/>
          <w:szCs w:val="24"/>
        </w:rPr>
        <w:t>,</w:t>
      </w:r>
      <w:r w:rsidR="3AFAA65B" w:rsidRPr="0C7F22D7">
        <w:rPr>
          <w:rFonts w:ascii="Calibri" w:hAnsi="Calibri" w:cs="Calibri"/>
          <w:sz w:val="24"/>
          <w:szCs w:val="24"/>
        </w:rPr>
        <w:t xml:space="preserve"> </w:t>
      </w:r>
      <w:r w:rsidR="6A588D15" w:rsidRPr="0C7F22D7">
        <w:rPr>
          <w:rFonts w:ascii="Calibri" w:hAnsi="Calibri" w:cs="Calibri"/>
          <w:sz w:val="24"/>
          <w:szCs w:val="24"/>
        </w:rPr>
        <w:t xml:space="preserve">and </w:t>
      </w:r>
    </w:p>
    <w:p w14:paraId="3D26586B" w14:textId="3430E259" w:rsidR="007617E6" w:rsidRPr="0095172C" w:rsidRDefault="4F76889E" w:rsidP="0095172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C7F22D7">
        <w:rPr>
          <w:rFonts w:ascii="Calibri" w:hAnsi="Calibri" w:cs="Calibri"/>
          <w:sz w:val="24"/>
          <w:szCs w:val="24"/>
        </w:rPr>
        <w:t xml:space="preserve">amend </w:t>
      </w:r>
      <w:r w:rsidR="6A588D15" w:rsidRPr="0C7F22D7">
        <w:rPr>
          <w:rFonts w:ascii="Calibri" w:hAnsi="Calibri" w:cs="Calibri"/>
          <w:sz w:val="24"/>
          <w:szCs w:val="24"/>
        </w:rPr>
        <w:t xml:space="preserve">the minimum </w:t>
      </w:r>
      <w:proofErr w:type="gramStart"/>
      <w:r w:rsidR="6A588D15" w:rsidRPr="0C7F22D7">
        <w:rPr>
          <w:rFonts w:ascii="Calibri" w:hAnsi="Calibri" w:cs="Calibri"/>
          <w:sz w:val="24"/>
          <w:szCs w:val="24"/>
        </w:rPr>
        <w:t>wages</w:t>
      </w:r>
      <w:proofErr w:type="gramEnd"/>
      <w:r w:rsidR="6A588D15" w:rsidRPr="0C7F22D7">
        <w:rPr>
          <w:rFonts w:ascii="Calibri" w:hAnsi="Calibri" w:cs="Calibri"/>
          <w:sz w:val="24"/>
          <w:szCs w:val="24"/>
        </w:rPr>
        <w:t xml:space="preserve"> objective to include g</w:t>
      </w:r>
      <w:r w:rsidR="007617E6" w:rsidRPr="0C7F22D7">
        <w:rPr>
          <w:rFonts w:ascii="Calibri" w:hAnsi="Calibri" w:cs="Calibri"/>
          <w:sz w:val="24"/>
          <w:szCs w:val="24"/>
        </w:rPr>
        <w:t>ender equ</w:t>
      </w:r>
      <w:r w:rsidR="004D1CE7" w:rsidRPr="0C7F22D7">
        <w:rPr>
          <w:rFonts w:ascii="Calibri" w:hAnsi="Calibri" w:cs="Calibri"/>
          <w:sz w:val="24"/>
          <w:szCs w:val="24"/>
        </w:rPr>
        <w:t>al</w:t>
      </w:r>
      <w:r w:rsidR="007617E6" w:rsidRPr="0C7F22D7">
        <w:rPr>
          <w:rFonts w:ascii="Calibri" w:hAnsi="Calibri" w:cs="Calibri"/>
          <w:sz w:val="24"/>
          <w:szCs w:val="24"/>
        </w:rPr>
        <w:t>ity.</w:t>
      </w:r>
    </w:p>
    <w:p w14:paraId="5F4F2816" w14:textId="77777777" w:rsidR="0095172C" w:rsidRDefault="0095172C" w:rsidP="0095172C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293B74C1" w14:textId="458415F6" w:rsidR="00453E63" w:rsidRDefault="19A056C2" w:rsidP="3872DFDB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65499519">
        <w:rPr>
          <w:rFonts w:ascii="Calibri" w:hAnsi="Calibri" w:cs="Calibri"/>
          <w:sz w:val="24"/>
          <w:szCs w:val="24"/>
          <w:lang w:eastAsia="en-AU"/>
        </w:rPr>
        <w:t xml:space="preserve">As a result, the Commission </w:t>
      </w:r>
      <w:r w:rsidR="00DF6E41">
        <w:rPr>
          <w:rFonts w:ascii="Calibri" w:hAnsi="Calibri" w:cs="Calibri"/>
          <w:sz w:val="24"/>
          <w:szCs w:val="24"/>
          <w:lang w:eastAsia="en-AU"/>
        </w:rPr>
        <w:t xml:space="preserve">is </w:t>
      </w:r>
      <w:r w:rsidRPr="65499519">
        <w:rPr>
          <w:rFonts w:ascii="Calibri" w:hAnsi="Calibri" w:cs="Calibri"/>
          <w:sz w:val="24"/>
          <w:szCs w:val="24"/>
          <w:lang w:eastAsia="en-AU"/>
        </w:rPr>
        <w:t xml:space="preserve">required to take </w:t>
      </w:r>
      <w:r w:rsidR="72E9085A" w:rsidRPr="65499519">
        <w:rPr>
          <w:rFonts w:ascii="Calibri" w:hAnsi="Calibri" w:cs="Calibri"/>
          <w:sz w:val="24"/>
          <w:szCs w:val="24"/>
          <w:lang w:eastAsia="en-AU"/>
        </w:rPr>
        <w:t>these</w:t>
      </w:r>
      <w:r w:rsidR="0809569C" w:rsidRPr="654995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2E9085A" w:rsidRPr="65499519">
        <w:rPr>
          <w:rFonts w:ascii="Calibri" w:hAnsi="Calibri" w:cs="Calibri"/>
          <w:sz w:val="24"/>
          <w:szCs w:val="24"/>
          <w:lang w:eastAsia="en-AU"/>
        </w:rPr>
        <w:t>matters</w:t>
      </w:r>
      <w:r w:rsidR="0809569C" w:rsidRPr="654995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Pr="65499519">
        <w:rPr>
          <w:rFonts w:ascii="Calibri" w:hAnsi="Calibri" w:cs="Calibri"/>
          <w:sz w:val="24"/>
          <w:szCs w:val="24"/>
          <w:lang w:eastAsia="en-AU"/>
        </w:rPr>
        <w:t xml:space="preserve">into account when </w:t>
      </w:r>
      <w:r w:rsidR="015EE088" w:rsidRPr="65499519">
        <w:rPr>
          <w:rFonts w:ascii="Calibri" w:hAnsi="Calibri" w:cs="Calibri"/>
          <w:sz w:val="24"/>
          <w:szCs w:val="24"/>
          <w:lang w:eastAsia="en-AU"/>
        </w:rPr>
        <w:t>performing its functions</w:t>
      </w:r>
      <w:r w:rsidR="72E9085A" w:rsidRPr="65499519">
        <w:rPr>
          <w:rFonts w:ascii="Calibri" w:hAnsi="Calibri" w:cs="Calibri"/>
          <w:sz w:val="24"/>
          <w:szCs w:val="24"/>
          <w:lang w:eastAsia="en-AU"/>
        </w:rPr>
        <w:t xml:space="preserve"> or</w:t>
      </w:r>
      <w:r w:rsidR="015EE088" w:rsidRPr="654995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2E9085A" w:rsidRPr="65499519">
        <w:rPr>
          <w:rFonts w:ascii="Calibri" w:hAnsi="Calibri" w:cs="Calibri"/>
          <w:sz w:val="24"/>
          <w:szCs w:val="24"/>
          <w:lang w:eastAsia="en-AU"/>
        </w:rPr>
        <w:t>exercising its powers under the Act, including</w:t>
      </w:r>
      <w:r w:rsidR="35F9D85F" w:rsidRPr="65499519">
        <w:rPr>
          <w:rFonts w:ascii="Calibri" w:hAnsi="Calibri" w:cs="Calibri"/>
          <w:sz w:val="24"/>
          <w:szCs w:val="24"/>
          <w:lang w:eastAsia="en-AU"/>
        </w:rPr>
        <w:t xml:space="preserve"> when </w:t>
      </w:r>
      <w:r w:rsidR="72E9085A" w:rsidRPr="65499519">
        <w:rPr>
          <w:rFonts w:ascii="Calibri" w:hAnsi="Calibri" w:cs="Calibri"/>
          <w:sz w:val="24"/>
          <w:szCs w:val="24"/>
          <w:lang w:eastAsia="en-AU"/>
        </w:rPr>
        <w:t>varying</w:t>
      </w:r>
      <w:r w:rsidR="35F9D85F" w:rsidRPr="65499519">
        <w:rPr>
          <w:rFonts w:ascii="Calibri" w:hAnsi="Calibri" w:cs="Calibri"/>
          <w:sz w:val="24"/>
          <w:szCs w:val="24"/>
          <w:lang w:eastAsia="en-AU"/>
        </w:rPr>
        <w:t xml:space="preserve"> modern awards </w:t>
      </w:r>
      <w:r w:rsidRPr="65499519">
        <w:rPr>
          <w:rFonts w:ascii="Calibri" w:hAnsi="Calibri" w:cs="Calibri"/>
          <w:sz w:val="24"/>
          <w:szCs w:val="24"/>
          <w:lang w:eastAsia="en-AU"/>
        </w:rPr>
        <w:t>and</w:t>
      </w:r>
      <w:r w:rsidR="5D615E7B" w:rsidRPr="65499519">
        <w:rPr>
          <w:rFonts w:ascii="Calibri" w:hAnsi="Calibri" w:cs="Calibri"/>
          <w:sz w:val="24"/>
          <w:szCs w:val="24"/>
          <w:lang w:eastAsia="en-AU"/>
        </w:rPr>
        <w:t xml:space="preserve">, in the case of </w:t>
      </w:r>
      <w:r w:rsidRPr="65499519">
        <w:rPr>
          <w:rFonts w:ascii="Calibri" w:hAnsi="Calibri" w:cs="Calibri"/>
          <w:sz w:val="24"/>
          <w:szCs w:val="24"/>
          <w:lang w:eastAsia="en-AU"/>
        </w:rPr>
        <w:t>gender equ</w:t>
      </w:r>
      <w:r w:rsidR="00EE3E59">
        <w:rPr>
          <w:rFonts w:ascii="Calibri" w:hAnsi="Calibri" w:cs="Calibri"/>
          <w:sz w:val="24"/>
          <w:szCs w:val="24"/>
          <w:lang w:eastAsia="en-AU"/>
        </w:rPr>
        <w:t>al</w:t>
      </w:r>
      <w:r w:rsidRPr="65499519">
        <w:rPr>
          <w:rFonts w:ascii="Calibri" w:hAnsi="Calibri" w:cs="Calibri"/>
          <w:sz w:val="24"/>
          <w:szCs w:val="24"/>
          <w:lang w:eastAsia="en-AU"/>
        </w:rPr>
        <w:t>ity</w:t>
      </w:r>
      <w:r w:rsidR="0CB346A3" w:rsidRPr="65499519">
        <w:rPr>
          <w:rFonts w:ascii="Calibri" w:hAnsi="Calibri" w:cs="Calibri"/>
          <w:sz w:val="24"/>
          <w:szCs w:val="24"/>
          <w:lang w:eastAsia="en-AU"/>
        </w:rPr>
        <w:t xml:space="preserve">, </w:t>
      </w:r>
      <w:r w:rsidRPr="65499519">
        <w:rPr>
          <w:rFonts w:ascii="Calibri" w:hAnsi="Calibri" w:cs="Calibri"/>
          <w:sz w:val="24"/>
          <w:szCs w:val="24"/>
          <w:lang w:eastAsia="en-AU"/>
        </w:rPr>
        <w:t>when reviewing and setting minimum wages.</w:t>
      </w:r>
    </w:p>
    <w:p w14:paraId="0CF6CEC2" w14:textId="77777777" w:rsidR="0095172C" w:rsidRPr="0095172C" w:rsidRDefault="0095172C" w:rsidP="0095172C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4CC3ED05" w14:textId="774B6564" w:rsidR="00243E97" w:rsidRDefault="495BD42F" w:rsidP="0095172C">
      <w:pPr>
        <w:pStyle w:val="Heading1"/>
        <w:spacing w:after="0"/>
        <w:contextualSpacing/>
      </w:pPr>
      <w:r>
        <w:t>Wh</w:t>
      </w:r>
      <w:r w:rsidR="00333568">
        <w:t xml:space="preserve">at </w:t>
      </w:r>
      <w:r w:rsidR="000220DF">
        <w:t xml:space="preserve">do these changes </w:t>
      </w:r>
      <w:r w:rsidR="00333568">
        <w:t>mean</w:t>
      </w:r>
      <w:r>
        <w:t xml:space="preserve">? </w:t>
      </w:r>
    </w:p>
    <w:p w14:paraId="51809106" w14:textId="490FBC65" w:rsidR="001C4E00" w:rsidRPr="0095172C" w:rsidRDefault="001318BD" w:rsidP="0095172C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These amendments </w:t>
      </w:r>
      <w:r w:rsidR="60B6CDD3" w:rsidRPr="65499519">
        <w:rPr>
          <w:rFonts w:ascii="Calibri" w:hAnsi="Calibri" w:cs="Calibri"/>
          <w:sz w:val="24"/>
          <w:szCs w:val="24"/>
          <w:lang w:eastAsia="en-AU"/>
        </w:rPr>
        <w:t xml:space="preserve">ensure </w:t>
      </w:r>
      <w:r w:rsidR="5D4CA6D6" w:rsidRPr="65499519">
        <w:rPr>
          <w:rFonts w:ascii="Calibri" w:hAnsi="Calibri" w:cs="Calibri"/>
          <w:sz w:val="24"/>
          <w:szCs w:val="24"/>
          <w:lang w:eastAsia="en-AU"/>
        </w:rPr>
        <w:t>gender equ</w:t>
      </w:r>
      <w:r w:rsidR="004D1CE7">
        <w:rPr>
          <w:rFonts w:ascii="Calibri" w:hAnsi="Calibri" w:cs="Calibri"/>
          <w:sz w:val="24"/>
          <w:szCs w:val="24"/>
          <w:lang w:eastAsia="en-AU"/>
        </w:rPr>
        <w:t>al</w:t>
      </w:r>
      <w:r w:rsidR="5D4CA6D6" w:rsidRPr="65499519">
        <w:rPr>
          <w:rFonts w:ascii="Calibri" w:hAnsi="Calibri" w:cs="Calibri"/>
          <w:sz w:val="24"/>
          <w:szCs w:val="24"/>
          <w:lang w:eastAsia="en-AU"/>
        </w:rPr>
        <w:t xml:space="preserve">ity and </w:t>
      </w:r>
      <w:r w:rsidR="1B671EFC" w:rsidRPr="65499519">
        <w:rPr>
          <w:rFonts w:ascii="Calibri" w:hAnsi="Calibri" w:cs="Calibri"/>
          <w:sz w:val="24"/>
          <w:szCs w:val="24"/>
          <w:lang w:eastAsia="en-AU"/>
        </w:rPr>
        <w:t>job security</w:t>
      </w:r>
      <w:r w:rsidR="5D4CA6D6" w:rsidRPr="654995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5BFBB1E9" w:rsidRPr="65499519">
        <w:rPr>
          <w:rFonts w:ascii="Calibri" w:hAnsi="Calibri" w:cs="Calibri"/>
          <w:sz w:val="24"/>
          <w:szCs w:val="24"/>
          <w:lang w:eastAsia="en-AU"/>
        </w:rPr>
        <w:t xml:space="preserve">are given </w:t>
      </w:r>
      <w:r w:rsidR="007FC953" w:rsidRPr="65499519">
        <w:rPr>
          <w:rFonts w:ascii="Calibri" w:hAnsi="Calibri" w:cs="Calibri"/>
          <w:sz w:val="24"/>
          <w:szCs w:val="24"/>
          <w:lang w:eastAsia="en-AU"/>
        </w:rPr>
        <w:t xml:space="preserve">appropriate </w:t>
      </w:r>
      <w:r w:rsidR="5BFBB1E9" w:rsidRPr="65499519">
        <w:rPr>
          <w:rFonts w:ascii="Calibri" w:hAnsi="Calibri" w:cs="Calibri"/>
          <w:sz w:val="24"/>
          <w:szCs w:val="24"/>
          <w:lang w:eastAsia="en-AU"/>
        </w:rPr>
        <w:t>weight alongside other objectives</w:t>
      </w:r>
      <w:r w:rsidR="18544618" w:rsidRPr="65499519">
        <w:rPr>
          <w:rFonts w:ascii="Calibri" w:hAnsi="Calibri" w:cs="Calibri"/>
          <w:sz w:val="24"/>
          <w:szCs w:val="24"/>
          <w:lang w:eastAsia="en-AU"/>
        </w:rPr>
        <w:t>,</w:t>
      </w:r>
      <w:r w:rsidR="5BFBB1E9" w:rsidRPr="6549951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7DBAABF" w:rsidRPr="65499519">
        <w:rPr>
          <w:rFonts w:ascii="Calibri" w:hAnsi="Calibri" w:cs="Calibri"/>
          <w:sz w:val="24"/>
          <w:szCs w:val="24"/>
          <w:lang w:eastAsia="en-AU"/>
        </w:rPr>
        <w:t>such as productivity and economic growth, throughout the workplace relations framework</w:t>
      </w:r>
      <w:r w:rsidR="5BFBB1E9" w:rsidRPr="65499519">
        <w:rPr>
          <w:rFonts w:ascii="Calibri" w:hAnsi="Calibri" w:cs="Calibri"/>
          <w:sz w:val="24"/>
          <w:szCs w:val="24"/>
          <w:lang w:eastAsia="en-AU"/>
        </w:rPr>
        <w:t>.</w:t>
      </w:r>
    </w:p>
    <w:p w14:paraId="3624283C" w14:textId="77777777" w:rsidR="00F90894" w:rsidRPr="0095172C" w:rsidRDefault="00F90894" w:rsidP="0095172C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</w:p>
    <w:p w14:paraId="60094B8C" w14:textId="214DB8B9" w:rsidR="00F277CC" w:rsidRDefault="001C4E00" w:rsidP="0095172C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  <w:r w:rsidRPr="0095172C">
        <w:rPr>
          <w:rFonts w:ascii="Calibri" w:hAnsi="Calibri" w:cs="Calibri"/>
          <w:sz w:val="24"/>
          <w:szCs w:val="24"/>
          <w:lang w:eastAsia="en-AU"/>
        </w:rPr>
        <w:t>Gender equ</w:t>
      </w:r>
      <w:r w:rsidR="004D1CE7">
        <w:rPr>
          <w:rFonts w:ascii="Calibri" w:hAnsi="Calibri" w:cs="Calibri"/>
          <w:sz w:val="24"/>
          <w:szCs w:val="24"/>
          <w:lang w:eastAsia="en-AU"/>
        </w:rPr>
        <w:t>al</w:t>
      </w:r>
      <w:r w:rsidRPr="0095172C">
        <w:rPr>
          <w:rFonts w:ascii="Calibri" w:hAnsi="Calibri" w:cs="Calibri"/>
          <w:sz w:val="24"/>
          <w:szCs w:val="24"/>
          <w:lang w:eastAsia="en-AU"/>
        </w:rPr>
        <w:t xml:space="preserve">ity has been included in the minimum wages objective to ensure that equal remuneration, eliminating gender-based undervaluation and addressing gender pay gaps are considered in wage-related matters, including the Annual Wage Review. </w:t>
      </w:r>
    </w:p>
    <w:p w14:paraId="62DFE276" w14:textId="77777777" w:rsidR="0095172C" w:rsidRPr="0095172C" w:rsidRDefault="0095172C" w:rsidP="0095172C">
      <w:pPr>
        <w:spacing w:after="0"/>
        <w:contextualSpacing/>
        <w:textAlignment w:val="baseline"/>
        <w:rPr>
          <w:rFonts w:ascii="Calibri" w:hAnsi="Calibri" w:cs="Calibri"/>
          <w:sz w:val="24"/>
          <w:szCs w:val="24"/>
          <w:lang w:eastAsia="en-AU"/>
        </w:rPr>
      </w:pPr>
    </w:p>
    <w:p w14:paraId="65AF3C2E" w14:textId="7BBB400F" w:rsidR="00243E97" w:rsidRDefault="000334E7" w:rsidP="0095172C">
      <w:pPr>
        <w:pStyle w:val="Heading1"/>
        <w:spacing w:after="0"/>
        <w:contextualSpacing/>
      </w:pPr>
      <w:bookmarkStart w:id="0" w:name="_Hlk117000994"/>
      <w:r>
        <w:t xml:space="preserve">When will </w:t>
      </w:r>
      <w:r w:rsidR="000F3D3C">
        <w:t xml:space="preserve">these changes </w:t>
      </w:r>
      <w:r>
        <w:t>come into effect?</w:t>
      </w:r>
    </w:p>
    <w:p w14:paraId="6E2E4385" w14:textId="7647C9E0" w:rsidR="00FA31C3" w:rsidRPr="0095172C" w:rsidRDefault="000334E7" w:rsidP="0095172C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30F480CE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3BABD154" w:rsidRPr="30F480CE">
        <w:rPr>
          <w:rFonts w:ascii="Calibri" w:hAnsi="Calibri" w:cs="Calibri"/>
          <w:sz w:val="24"/>
          <w:szCs w:val="24"/>
          <w:lang w:eastAsia="en-AU"/>
        </w:rPr>
        <w:t xml:space="preserve">changes </w:t>
      </w:r>
      <w:r w:rsidR="000D611E">
        <w:rPr>
          <w:rFonts w:ascii="Calibri" w:hAnsi="Calibri" w:cs="Calibri"/>
          <w:sz w:val="24"/>
          <w:szCs w:val="24"/>
          <w:lang w:eastAsia="en-AU"/>
        </w:rPr>
        <w:t xml:space="preserve">came into effect </w:t>
      </w:r>
      <w:r w:rsidR="48F27EC1" w:rsidRPr="30F480CE">
        <w:rPr>
          <w:rFonts w:ascii="Calibri" w:hAnsi="Calibri" w:cs="Calibri"/>
          <w:sz w:val="24"/>
          <w:szCs w:val="24"/>
          <w:lang w:eastAsia="en-AU"/>
        </w:rPr>
        <w:t xml:space="preserve">on </w:t>
      </w:r>
      <w:r w:rsidR="0045731E" w:rsidRPr="30F480CE">
        <w:rPr>
          <w:rFonts w:ascii="Calibri" w:hAnsi="Calibri" w:cs="Calibri"/>
          <w:sz w:val="24"/>
          <w:szCs w:val="24"/>
          <w:lang w:eastAsia="en-AU"/>
        </w:rPr>
        <w:t>7</w:t>
      </w:r>
      <w:r w:rsidR="38458860" w:rsidRPr="30F480CE">
        <w:rPr>
          <w:rFonts w:ascii="Calibri" w:hAnsi="Calibri" w:cs="Calibri"/>
          <w:sz w:val="24"/>
          <w:szCs w:val="24"/>
          <w:lang w:eastAsia="en-AU"/>
        </w:rPr>
        <w:t xml:space="preserve"> December 2022. </w:t>
      </w:r>
    </w:p>
    <w:p w14:paraId="08AE8DCB" w14:textId="77777777" w:rsidR="00E800B5" w:rsidRDefault="00E800B5" w:rsidP="0095172C">
      <w:pPr>
        <w:pStyle w:val="Footer"/>
        <w:contextualSpacing/>
        <w:rPr>
          <w:lang w:eastAsia="en-AU"/>
        </w:rPr>
      </w:pPr>
    </w:p>
    <w:p w14:paraId="1CC9F400" w14:textId="77777777" w:rsidR="0095172C" w:rsidRDefault="0095172C" w:rsidP="0095172C">
      <w:pPr>
        <w:pStyle w:val="Footer"/>
        <w:contextualSpacing/>
        <w:rPr>
          <w:lang w:eastAsia="en-AU"/>
        </w:rPr>
      </w:pPr>
    </w:p>
    <w:p w14:paraId="742F0D42" w14:textId="0D8F5976" w:rsidR="00756680" w:rsidRDefault="00E800B5" w:rsidP="0095172C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bookmarkStart w:id="1" w:name="_Hlk117001103"/>
      <w:r w:rsidRPr="0095172C">
        <w:rPr>
          <w:rFonts w:ascii="Calibri" w:hAnsi="Calibri" w:cs="Calibri"/>
          <w:b/>
          <w:bCs/>
          <w:sz w:val="24"/>
          <w:szCs w:val="24"/>
          <w:lang w:eastAsia="en-AU"/>
        </w:rPr>
        <w:t>For more information on the Secure Jobs, Better pay package visit</w:t>
      </w:r>
      <w:r w:rsidR="0095172C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95172C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0" w:history="1">
        <w:r w:rsidR="0066779D" w:rsidRPr="0095172C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95172C">
        <w:rPr>
          <w:rFonts w:ascii="Calibri" w:hAnsi="Calibri" w:cs="Calibri"/>
          <w:b/>
          <w:bCs/>
          <w:sz w:val="24"/>
          <w:szCs w:val="24"/>
        </w:rPr>
        <w:t>.</w:t>
      </w:r>
    </w:p>
    <w:p w14:paraId="4F67BDF0" w14:textId="4D0F6E03" w:rsidR="00756680" w:rsidRDefault="00756680" w:rsidP="0095172C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3FC513D" w14:textId="7E2A0728" w:rsidR="00756680" w:rsidRPr="0095172C" w:rsidRDefault="00756680" w:rsidP="0095172C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</w:p>
    <w:bookmarkEnd w:id="0"/>
    <w:bookmarkEnd w:id="1"/>
    <w:p w14:paraId="7397558D" w14:textId="77777777" w:rsidR="00E800B5" w:rsidRDefault="00E800B5" w:rsidP="0095172C">
      <w:pPr>
        <w:spacing w:after="0"/>
        <w:contextualSpacing/>
        <w:rPr>
          <w:lang w:eastAsia="en-AU"/>
        </w:rPr>
      </w:pPr>
    </w:p>
    <w:p w14:paraId="1F7FD4E3" w14:textId="66986586" w:rsidR="00646346" w:rsidRDefault="00646346" w:rsidP="0095172C">
      <w:pPr>
        <w:pStyle w:val="ListNumber"/>
        <w:numPr>
          <w:ilvl w:val="0"/>
          <w:numId w:val="0"/>
        </w:numPr>
        <w:spacing w:after="0"/>
      </w:pPr>
    </w:p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22C6" w14:textId="77777777" w:rsidR="003B1046" w:rsidRDefault="003B1046" w:rsidP="00EE7FDA">
      <w:pPr>
        <w:spacing w:after="0"/>
      </w:pPr>
      <w:r>
        <w:separator/>
      </w:r>
    </w:p>
  </w:endnote>
  <w:endnote w:type="continuationSeparator" w:id="0">
    <w:p w14:paraId="1257B44F" w14:textId="77777777" w:rsidR="003B1046" w:rsidRDefault="003B1046" w:rsidP="00EE7FDA">
      <w:pPr>
        <w:spacing w:after="0"/>
      </w:pPr>
      <w:r>
        <w:continuationSeparator/>
      </w:r>
    </w:p>
  </w:endnote>
  <w:endnote w:type="continuationNotice" w:id="1">
    <w:p w14:paraId="0B7ED769" w14:textId="77777777" w:rsidR="003B1046" w:rsidRDefault="003B1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2DFD3F2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6D298351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E735" w14:textId="77777777" w:rsidR="003B1046" w:rsidRDefault="003B1046" w:rsidP="00D105E6">
      <w:pPr>
        <w:spacing w:after="60"/>
      </w:pPr>
      <w:r>
        <w:separator/>
      </w:r>
    </w:p>
  </w:footnote>
  <w:footnote w:type="continuationSeparator" w:id="0">
    <w:p w14:paraId="247BE4C6" w14:textId="77777777" w:rsidR="003B1046" w:rsidRDefault="003B1046" w:rsidP="00EE7FDA">
      <w:pPr>
        <w:spacing w:after="0"/>
      </w:pPr>
      <w:r>
        <w:continuationSeparator/>
      </w:r>
    </w:p>
  </w:footnote>
  <w:footnote w:type="continuationNotice" w:id="1">
    <w:p w14:paraId="7F346BEB" w14:textId="77777777" w:rsidR="003B1046" w:rsidRDefault="003B10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4E2"/>
    <w:multiLevelType w:val="multilevel"/>
    <w:tmpl w:val="B10A65AC"/>
    <w:numStyleLink w:val="Style1"/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8C3F5"/>
    <w:multiLevelType w:val="hybridMultilevel"/>
    <w:tmpl w:val="7368CEEA"/>
    <w:lvl w:ilvl="0" w:tplc="8F9A7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0F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AA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A6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7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6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E7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9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81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B05FA6"/>
    <w:multiLevelType w:val="hybridMultilevel"/>
    <w:tmpl w:val="513846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23"/>
  </w:num>
  <w:num w:numId="12">
    <w:abstractNumId w:val="21"/>
  </w:num>
  <w:num w:numId="13">
    <w:abstractNumId w:val="17"/>
  </w:num>
  <w:num w:numId="14">
    <w:abstractNumId w:val="0"/>
  </w:num>
  <w:num w:numId="15">
    <w:abstractNumId w:val="15"/>
  </w:num>
  <w:num w:numId="16">
    <w:abstractNumId w:val="19"/>
  </w:num>
  <w:num w:numId="17">
    <w:abstractNumId w:val="18"/>
  </w:num>
  <w:num w:numId="18">
    <w:abstractNumId w:val="13"/>
  </w:num>
  <w:num w:numId="19">
    <w:abstractNumId w:val="16"/>
  </w:num>
  <w:num w:numId="20">
    <w:abstractNumId w:val="5"/>
  </w:num>
  <w:num w:numId="21">
    <w:abstractNumId w:val="11"/>
  </w:num>
  <w:num w:numId="22">
    <w:abstractNumId w:val="4"/>
  </w:num>
  <w:num w:numId="23">
    <w:abstractNumId w:val="22"/>
  </w:num>
  <w:num w:numId="2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220DF"/>
    <w:rsid w:val="00031F0C"/>
    <w:rsid w:val="000334E7"/>
    <w:rsid w:val="00037765"/>
    <w:rsid w:val="00040F83"/>
    <w:rsid w:val="00052659"/>
    <w:rsid w:val="00052B07"/>
    <w:rsid w:val="00052C5A"/>
    <w:rsid w:val="000704B9"/>
    <w:rsid w:val="00074780"/>
    <w:rsid w:val="00081EBA"/>
    <w:rsid w:val="0009541A"/>
    <w:rsid w:val="000C0006"/>
    <w:rsid w:val="000C2420"/>
    <w:rsid w:val="000D611E"/>
    <w:rsid w:val="000E406E"/>
    <w:rsid w:val="000F3D3C"/>
    <w:rsid w:val="00101EF8"/>
    <w:rsid w:val="00105919"/>
    <w:rsid w:val="00106E49"/>
    <w:rsid w:val="00127215"/>
    <w:rsid w:val="001318BD"/>
    <w:rsid w:val="0013557F"/>
    <w:rsid w:val="00145A12"/>
    <w:rsid w:val="00155F8B"/>
    <w:rsid w:val="00160B99"/>
    <w:rsid w:val="0016353A"/>
    <w:rsid w:val="0016510A"/>
    <w:rsid w:val="00165A2C"/>
    <w:rsid w:val="00195EF0"/>
    <w:rsid w:val="001A6BD6"/>
    <w:rsid w:val="001B6D04"/>
    <w:rsid w:val="001C4E00"/>
    <w:rsid w:val="001C6347"/>
    <w:rsid w:val="001C65BE"/>
    <w:rsid w:val="001D7875"/>
    <w:rsid w:val="001E63A0"/>
    <w:rsid w:val="001F1A13"/>
    <w:rsid w:val="001F444A"/>
    <w:rsid w:val="001F7332"/>
    <w:rsid w:val="00207D34"/>
    <w:rsid w:val="00232D70"/>
    <w:rsid w:val="00234F39"/>
    <w:rsid w:val="00243E97"/>
    <w:rsid w:val="00244DD6"/>
    <w:rsid w:val="002462D7"/>
    <w:rsid w:val="00253AD5"/>
    <w:rsid w:val="00257065"/>
    <w:rsid w:val="002678F4"/>
    <w:rsid w:val="00275860"/>
    <w:rsid w:val="00275D69"/>
    <w:rsid w:val="00282577"/>
    <w:rsid w:val="00286F3C"/>
    <w:rsid w:val="002C720C"/>
    <w:rsid w:val="002E766F"/>
    <w:rsid w:val="002E76FC"/>
    <w:rsid w:val="002F4E58"/>
    <w:rsid w:val="00304CF4"/>
    <w:rsid w:val="00312F55"/>
    <w:rsid w:val="0031425C"/>
    <w:rsid w:val="00314C41"/>
    <w:rsid w:val="00316088"/>
    <w:rsid w:val="0032299D"/>
    <w:rsid w:val="003267A5"/>
    <w:rsid w:val="0033204C"/>
    <w:rsid w:val="00333568"/>
    <w:rsid w:val="0034022F"/>
    <w:rsid w:val="003950B0"/>
    <w:rsid w:val="003A7E8C"/>
    <w:rsid w:val="003B1046"/>
    <w:rsid w:val="003B13B2"/>
    <w:rsid w:val="003D1804"/>
    <w:rsid w:val="003D23D0"/>
    <w:rsid w:val="003E21F8"/>
    <w:rsid w:val="003E44F1"/>
    <w:rsid w:val="003F0880"/>
    <w:rsid w:val="004038B7"/>
    <w:rsid w:val="004141CE"/>
    <w:rsid w:val="00416770"/>
    <w:rsid w:val="00426E46"/>
    <w:rsid w:val="00440F0C"/>
    <w:rsid w:val="0044615B"/>
    <w:rsid w:val="00452738"/>
    <w:rsid w:val="00453E63"/>
    <w:rsid w:val="0045731E"/>
    <w:rsid w:val="0046637C"/>
    <w:rsid w:val="0047432C"/>
    <w:rsid w:val="004B3876"/>
    <w:rsid w:val="004B48A5"/>
    <w:rsid w:val="004C15CD"/>
    <w:rsid w:val="004D00B2"/>
    <w:rsid w:val="004D1CE7"/>
    <w:rsid w:val="004E3EC2"/>
    <w:rsid w:val="004F3CE3"/>
    <w:rsid w:val="004F5993"/>
    <w:rsid w:val="00517064"/>
    <w:rsid w:val="0051783B"/>
    <w:rsid w:val="00520CA0"/>
    <w:rsid w:val="00522E88"/>
    <w:rsid w:val="00524F0C"/>
    <w:rsid w:val="00526355"/>
    <w:rsid w:val="00534DC7"/>
    <w:rsid w:val="00551F70"/>
    <w:rsid w:val="0055355B"/>
    <w:rsid w:val="005565B8"/>
    <w:rsid w:val="00563129"/>
    <w:rsid w:val="0056338E"/>
    <w:rsid w:val="00566A2E"/>
    <w:rsid w:val="005725B2"/>
    <w:rsid w:val="00575DFC"/>
    <w:rsid w:val="00577A33"/>
    <w:rsid w:val="005808AC"/>
    <w:rsid w:val="00582D06"/>
    <w:rsid w:val="00586EA4"/>
    <w:rsid w:val="00592590"/>
    <w:rsid w:val="005C1A5D"/>
    <w:rsid w:val="005C370D"/>
    <w:rsid w:val="005D150B"/>
    <w:rsid w:val="005D2489"/>
    <w:rsid w:val="005F08A3"/>
    <w:rsid w:val="005F30FB"/>
    <w:rsid w:val="005F4431"/>
    <w:rsid w:val="006060A2"/>
    <w:rsid w:val="00610656"/>
    <w:rsid w:val="0063350D"/>
    <w:rsid w:val="00645A40"/>
    <w:rsid w:val="00646346"/>
    <w:rsid w:val="006522E6"/>
    <w:rsid w:val="00654A65"/>
    <w:rsid w:val="006550C9"/>
    <w:rsid w:val="00657B92"/>
    <w:rsid w:val="0066779D"/>
    <w:rsid w:val="00677687"/>
    <w:rsid w:val="00690CAD"/>
    <w:rsid w:val="00691F21"/>
    <w:rsid w:val="006A4284"/>
    <w:rsid w:val="006B07EC"/>
    <w:rsid w:val="006B2DC5"/>
    <w:rsid w:val="006B6774"/>
    <w:rsid w:val="006D0C00"/>
    <w:rsid w:val="006D1E27"/>
    <w:rsid w:val="006D2873"/>
    <w:rsid w:val="006D74F6"/>
    <w:rsid w:val="006D7710"/>
    <w:rsid w:val="006F2229"/>
    <w:rsid w:val="006F22E5"/>
    <w:rsid w:val="00700678"/>
    <w:rsid w:val="0070352E"/>
    <w:rsid w:val="00706143"/>
    <w:rsid w:val="00727EA9"/>
    <w:rsid w:val="00730B97"/>
    <w:rsid w:val="00737C1D"/>
    <w:rsid w:val="007402F4"/>
    <w:rsid w:val="00750268"/>
    <w:rsid w:val="00756680"/>
    <w:rsid w:val="007617E6"/>
    <w:rsid w:val="00761EE7"/>
    <w:rsid w:val="00773831"/>
    <w:rsid w:val="00774BA7"/>
    <w:rsid w:val="00777FDA"/>
    <w:rsid w:val="00782E5A"/>
    <w:rsid w:val="007835EB"/>
    <w:rsid w:val="0078584C"/>
    <w:rsid w:val="00790F14"/>
    <w:rsid w:val="00797750"/>
    <w:rsid w:val="007A3566"/>
    <w:rsid w:val="007A4F1A"/>
    <w:rsid w:val="007B4AEF"/>
    <w:rsid w:val="007C3D4E"/>
    <w:rsid w:val="007C7209"/>
    <w:rsid w:val="007D4962"/>
    <w:rsid w:val="007D6816"/>
    <w:rsid w:val="007E0686"/>
    <w:rsid w:val="007F63CC"/>
    <w:rsid w:val="007FC953"/>
    <w:rsid w:val="0080594C"/>
    <w:rsid w:val="008119C9"/>
    <w:rsid w:val="00813629"/>
    <w:rsid w:val="00817BD6"/>
    <w:rsid w:val="0082160B"/>
    <w:rsid w:val="00832F2D"/>
    <w:rsid w:val="00834133"/>
    <w:rsid w:val="0084305A"/>
    <w:rsid w:val="008447BA"/>
    <w:rsid w:val="00876539"/>
    <w:rsid w:val="008A28DA"/>
    <w:rsid w:val="008E5C93"/>
    <w:rsid w:val="008F24CE"/>
    <w:rsid w:val="00907CE5"/>
    <w:rsid w:val="0091508F"/>
    <w:rsid w:val="00926CBC"/>
    <w:rsid w:val="00931FEE"/>
    <w:rsid w:val="00940208"/>
    <w:rsid w:val="00944836"/>
    <w:rsid w:val="0095172C"/>
    <w:rsid w:val="00951F93"/>
    <w:rsid w:val="0095718B"/>
    <w:rsid w:val="00961F5C"/>
    <w:rsid w:val="00966674"/>
    <w:rsid w:val="00967E12"/>
    <w:rsid w:val="009718E4"/>
    <w:rsid w:val="00973379"/>
    <w:rsid w:val="009757B7"/>
    <w:rsid w:val="0098334F"/>
    <w:rsid w:val="0099276C"/>
    <w:rsid w:val="00997BE6"/>
    <w:rsid w:val="009D079F"/>
    <w:rsid w:val="009D337F"/>
    <w:rsid w:val="009E31E0"/>
    <w:rsid w:val="009E68E5"/>
    <w:rsid w:val="009F652B"/>
    <w:rsid w:val="00A112E2"/>
    <w:rsid w:val="00A1654A"/>
    <w:rsid w:val="00A23D73"/>
    <w:rsid w:val="00A34D39"/>
    <w:rsid w:val="00A472C9"/>
    <w:rsid w:val="00A513A6"/>
    <w:rsid w:val="00A55826"/>
    <w:rsid w:val="00A70EEB"/>
    <w:rsid w:val="00A713BC"/>
    <w:rsid w:val="00A74FD2"/>
    <w:rsid w:val="00A81FB9"/>
    <w:rsid w:val="00A82BDB"/>
    <w:rsid w:val="00A82E33"/>
    <w:rsid w:val="00A95FD7"/>
    <w:rsid w:val="00AA03F6"/>
    <w:rsid w:val="00AA2FD8"/>
    <w:rsid w:val="00AB49D3"/>
    <w:rsid w:val="00AE7D4F"/>
    <w:rsid w:val="00AF36DA"/>
    <w:rsid w:val="00B00423"/>
    <w:rsid w:val="00B03626"/>
    <w:rsid w:val="00B34421"/>
    <w:rsid w:val="00B41128"/>
    <w:rsid w:val="00B66A0A"/>
    <w:rsid w:val="00B81A68"/>
    <w:rsid w:val="00BA48C8"/>
    <w:rsid w:val="00BB57FE"/>
    <w:rsid w:val="00BC6236"/>
    <w:rsid w:val="00BD6E26"/>
    <w:rsid w:val="00BE133B"/>
    <w:rsid w:val="00BE54EE"/>
    <w:rsid w:val="00BE6D94"/>
    <w:rsid w:val="00BF12E8"/>
    <w:rsid w:val="00BF2EE7"/>
    <w:rsid w:val="00BF7BDF"/>
    <w:rsid w:val="00C011D9"/>
    <w:rsid w:val="00C04E0C"/>
    <w:rsid w:val="00C230BC"/>
    <w:rsid w:val="00C30A1E"/>
    <w:rsid w:val="00C36763"/>
    <w:rsid w:val="00C417DD"/>
    <w:rsid w:val="00C44A46"/>
    <w:rsid w:val="00C50AA1"/>
    <w:rsid w:val="00C55508"/>
    <w:rsid w:val="00C65EDF"/>
    <w:rsid w:val="00C66B71"/>
    <w:rsid w:val="00C83FF0"/>
    <w:rsid w:val="00C90258"/>
    <w:rsid w:val="00C91D7F"/>
    <w:rsid w:val="00C95ABA"/>
    <w:rsid w:val="00CA1232"/>
    <w:rsid w:val="00CC58D0"/>
    <w:rsid w:val="00CD38C9"/>
    <w:rsid w:val="00CD3AC2"/>
    <w:rsid w:val="00CD5F0D"/>
    <w:rsid w:val="00CE4CDA"/>
    <w:rsid w:val="00CF00DD"/>
    <w:rsid w:val="00CF6EBF"/>
    <w:rsid w:val="00D105E6"/>
    <w:rsid w:val="00D12123"/>
    <w:rsid w:val="00D2031B"/>
    <w:rsid w:val="00D5168B"/>
    <w:rsid w:val="00D84DC0"/>
    <w:rsid w:val="00D910F9"/>
    <w:rsid w:val="00D968F7"/>
    <w:rsid w:val="00D97626"/>
    <w:rsid w:val="00DA46BB"/>
    <w:rsid w:val="00DA67F2"/>
    <w:rsid w:val="00DB3B22"/>
    <w:rsid w:val="00DC4B71"/>
    <w:rsid w:val="00DC7821"/>
    <w:rsid w:val="00DD4EBE"/>
    <w:rsid w:val="00DE1663"/>
    <w:rsid w:val="00DF0B8A"/>
    <w:rsid w:val="00DF60E1"/>
    <w:rsid w:val="00DF6E41"/>
    <w:rsid w:val="00E0320C"/>
    <w:rsid w:val="00E04579"/>
    <w:rsid w:val="00E152DC"/>
    <w:rsid w:val="00E20D41"/>
    <w:rsid w:val="00E20EDD"/>
    <w:rsid w:val="00E31007"/>
    <w:rsid w:val="00E33CF2"/>
    <w:rsid w:val="00E420A4"/>
    <w:rsid w:val="00E55470"/>
    <w:rsid w:val="00E800B5"/>
    <w:rsid w:val="00E814A0"/>
    <w:rsid w:val="00E976E4"/>
    <w:rsid w:val="00EC0BCB"/>
    <w:rsid w:val="00EC4486"/>
    <w:rsid w:val="00EC63BF"/>
    <w:rsid w:val="00ED3F85"/>
    <w:rsid w:val="00EE3E59"/>
    <w:rsid w:val="00EE511B"/>
    <w:rsid w:val="00EE59F7"/>
    <w:rsid w:val="00EE68B6"/>
    <w:rsid w:val="00EE7FDA"/>
    <w:rsid w:val="00EF27F0"/>
    <w:rsid w:val="00F01F9E"/>
    <w:rsid w:val="00F0714A"/>
    <w:rsid w:val="00F11534"/>
    <w:rsid w:val="00F121AC"/>
    <w:rsid w:val="00F23048"/>
    <w:rsid w:val="00F23C4B"/>
    <w:rsid w:val="00F25A17"/>
    <w:rsid w:val="00F277CC"/>
    <w:rsid w:val="00F36B35"/>
    <w:rsid w:val="00F40F4D"/>
    <w:rsid w:val="00F54B75"/>
    <w:rsid w:val="00F55BB9"/>
    <w:rsid w:val="00F667A4"/>
    <w:rsid w:val="00F70E81"/>
    <w:rsid w:val="00F75E41"/>
    <w:rsid w:val="00F87DB0"/>
    <w:rsid w:val="00F90894"/>
    <w:rsid w:val="00F932AC"/>
    <w:rsid w:val="00FA1736"/>
    <w:rsid w:val="00FA31C3"/>
    <w:rsid w:val="00FB26C2"/>
    <w:rsid w:val="00FD0216"/>
    <w:rsid w:val="00FD6726"/>
    <w:rsid w:val="00FE068D"/>
    <w:rsid w:val="00FE0BBC"/>
    <w:rsid w:val="00FF5068"/>
    <w:rsid w:val="00FF73BA"/>
    <w:rsid w:val="015EE088"/>
    <w:rsid w:val="03899B73"/>
    <w:rsid w:val="0397B85D"/>
    <w:rsid w:val="053CDD6A"/>
    <w:rsid w:val="07262D7C"/>
    <w:rsid w:val="0785E3B4"/>
    <w:rsid w:val="07A59D25"/>
    <w:rsid w:val="07DBAABF"/>
    <w:rsid w:val="0809569C"/>
    <w:rsid w:val="0B061A7D"/>
    <w:rsid w:val="0B7DAF47"/>
    <w:rsid w:val="0C17BF7C"/>
    <w:rsid w:val="0C195605"/>
    <w:rsid w:val="0C7F22D7"/>
    <w:rsid w:val="0CAF82F7"/>
    <w:rsid w:val="0CB346A3"/>
    <w:rsid w:val="0E03D75A"/>
    <w:rsid w:val="0E52B9AD"/>
    <w:rsid w:val="0F1E9EF0"/>
    <w:rsid w:val="0F3AD5B8"/>
    <w:rsid w:val="0F70DF83"/>
    <w:rsid w:val="0F877AC6"/>
    <w:rsid w:val="10A9CED2"/>
    <w:rsid w:val="10D8A4FE"/>
    <w:rsid w:val="12698DB4"/>
    <w:rsid w:val="12DC7DFF"/>
    <w:rsid w:val="12FA619E"/>
    <w:rsid w:val="151AE816"/>
    <w:rsid w:val="15EF6830"/>
    <w:rsid w:val="16124F2C"/>
    <w:rsid w:val="163E292D"/>
    <w:rsid w:val="17095687"/>
    <w:rsid w:val="17321743"/>
    <w:rsid w:val="1762C90B"/>
    <w:rsid w:val="18544618"/>
    <w:rsid w:val="19A056C2"/>
    <w:rsid w:val="19EB84F2"/>
    <w:rsid w:val="1A5639E8"/>
    <w:rsid w:val="1A7CFA17"/>
    <w:rsid w:val="1AD873C9"/>
    <w:rsid w:val="1B671EFC"/>
    <w:rsid w:val="1D5CC280"/>
    <w:rsid w:val="1D69035A"/>
    <w:rsid w:val="1DD20A8F"/>
    <w:rsid w:val="1F1415FD"/>
    <w:rsid w:val="1F210DF8"/>
    <w:rsid w:val="20F70E84"/>
    <w:rsid w:val="21D34881"/>
    <w:rsid w:val="22C61AC4"/>
    <w:rsid w:val="23766835"/>
    <w:rsid w:val="23814BC3"/>
    <w:rsid w:val="23CB0327"/>
    <w:rsid w:val="24AC5037"/>
    <w:rsid w:val="2643EEFD"/>
    <w:rsid w:val="26D0B954"/>
    <w:rsid w:val="28001091"/>
    <w:rsid w:val="297A740B"/>
    <w:rsid w:val="2E06B722"/>
    <w:rsid w:val="2E58E324"/>
    <w:rsid w:val="2E61078A"/>
    <w:rsid w:val="30F480CE"/>
    <w:rsid w:val="32A2E59A"/>
    <w:rsid w:val="332B4182"/>
    <w:rsid w:val="34BD6589"/>
    <w:rsid w:val="35385D61"/>
    <w:rsid w:val="35C471FB"/>
    <w:rsid w:val="35F9D85F"/>
    <w:rsid w:val="3641D4B8"/>
    <w:rsid w:val="36C354F3"/>
    <w:rsid w:val="36D42DC2"/>
    <w:rsid w:val="374F469F"/>
    <w:rsid w:val="38458860"/>
    <w:rsid w:val="3872DFDB"/>
    <w:rsid w:val="388E2F1A"/>
    <w:rsid w:val="3A0D1DBA"/>
    <w:rsid w:val="3AFAA65B"/>
    <w:rsid w:val="3BABD154"/>
    <w:rsid w:val="3C06F6BE"/>
    <w:rsid w:val="3C2FF92C"/>
    <w:rsid w:val="3CE1D4CB"/>
    <w:rsid w:val="3D584185"/>
    <w:rsid w:val="3DBC3A61"/>
    <w:rsid w:val="3E4470EB"/>
    <w:rsid w:val="3FE0414C"/>
    <w:rsid w:val="404299B1"/>
    <w:rsid w:val="404B82D0"/>
    <w:rsid w:val="4070CB42"/>
    <w:rsid w:val="4188A16D"/>
    <w:rsid w:val="41B3008F"/>
    <w:rsid w:val="41DDD74A"/>
    <w:rsid w:val="43CFF096"/>
    <w:rsid w:val="4677473A"/>
    <w:rsid w:val="47739822"/>
    <w:rsid w:val="47D6CD9C"/>
    <w:rsid w:val="4813179B"/>
    <w:rsid w:val="4897E6D4"/>
    <w:rsid w:val="48F27EC1"/>
    <w:rsid w:val="495BD42F"/>
    <w:rsid w:val="4BD47DA6"/>
    <w:rsid w:val="4C55430C"/>
    <w:rsid w:val="4D55E0F0"/>
    <w:rsid w:val="4DBC8980"/>
    <w:rsid w:val="4DD86239"/>
    <w:rsid w:val="4F2CF191"/>
    <w:rsid w:val="4F76889E"/>
    <w:rsid w:val="5065F41F"/>
    <w:rsid w:val="52B19DB3"/>
    <w:rsid w:val="52F177AA"/>
    <w:rsid w:val="535A87E2"/>
    <w:rsid w:val="53FDA8FC"/>
    <w:rsid w:val="549A0E37"/>
    <w:rsid w:val="54A84D0D"/>
    <w:rsid w:val="55083A35"/>
    <w:rsid w:val="55AC178A"/>
    <w:rsid w:val="569F4089"/>
    <w:rsid w:val="56F593B2"/>
    <w:rsid w:val="573B7333"/>
    <w:rsid w:val="581D546C"/>
    <w:rsid w:val="592EC230"/>
    <w:rsid w:val="59996103"/>
    <w:rsid w:val="5B04A1EE"/>
    <w:rsid w:val="5BFBB1E9"/>
    <w:rsid w:val="5D4CA6D6"/>
    <w:rsid w:val="5D615E7B"/>
    <w:rsid w:val="5ECEFC9F"/>
    <w:rsid w:val="6086CF7E"/>
    <w:rsid w:val="60B6CDD3"/>
    <w:rsid w:val="61DAE669"/>
    <w:rsid w:val="63FF3F91"/>
    <w:rsid w:val="65499519"/>
    <w:rsid w:val="66599701"/>
    <w:rsid w:val="670FA0BD"/>
    <w:rsid w:val="67DB108B"/>
    <w:rsid w:val="687F24A4"/>
    <w:rsid w:val="68F67B4F"/>
    <w:rsid w:val="693AA53C"/>
    <w:rsid w:val="6A588D15"/>
    <w:rsid w:val="6B748BBA"/>
    <w:rsid w:val="6C45F5A1"/>
    <w:rsid w:val="6D662B26"/>
    <w:rsid w:val="6DBC5272"/>
    <w:rsid w:val="6F2A7274"/>
    <w:rsid w:val="706E1B80"/>
    <w:rsid w:val="70C792EA"/>
    <w:rsid w:val="711D0A07"/>
    <w:rsid w:val="72E9085A"/>
    <w:rsid w:val="73B585B5"/>
    <w:rsid w:val="73F452D1"/>
    <w:rsid w:val="74142A97"/>
    <w:rsid w:val="7566F1DC"/>
    <w:rsid w:val="7810DF9E"/>
    <w:rsid w:val="78CAE1D3"/>
    <w:rsid w:val="78E38CAE"/>
    <w:rsid w:val="7914E6D5"/>
    <w:rsid w:val="79927147"/>
    <w:rsid w:val="7AE20C0A"/>
    <w:rsid w:val="7B16D92C"/>
    <w:rsid w:val="7BF00EE7"/>
    <w:rsid w:val="7C56837A"/>
    <w:rsid w:val="7C72870F"/>
    <w:rsid w:val="7C74123C"/>
    <w:rsid w:val="7C8CB81D"/>
    <w:rsid w:val="7EA64484"/>
    <w:rsid w:val="7EB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3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3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3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E8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80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7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2022-12-07T06:10:00Z</dcterms:created>
  <dcterms:modified xsi:type="dcterms:W3CDTF">2022-12-07T06:36:00Z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2022-12-07T06:10:39Z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2200ca38-ad7d-44cf-b349-743be1efed15</vt:lpwstr>
  </property>
  <property fmtid="{D5CDD505-2E9C-101B-9397-08002B2CF9AE}" pid="8" name="MSIP_Label_5f877481-9e35-4b68-b667-876a73c6db41_ContentBits">
    <vt:lpwstr>0</vt:lpwstr>
  </property>
</Properties>
</file>