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D9547C" w14:textId="08FF615C" w:rsidR="005565B8" w:rsidRDefault="00F82EB5" w:rsidP="005A3138">
      <w:pPr>
        <w:spacing w:after="2040"/>
        <w:sectPr w:rsidR="005565B8" w:rsidSect="00895C2D">
          <w:footerReference w:type="default" r:id="rId11"/>
          <w:footerReference w:type="first" r:id="rId12"/>
          <w:pgSz w:w="11906" w:h="16838"/>
          <w:pgMar w:top="851" w:right="1021" w:bottom="1814" w:left="1021" w:header="680" w:footer="2800" w:gutter="0"/>
          <w:cols w:space="708"/>
          <w:titlePg/>
          <w:docGrid w:linePitch="360"/>
        </w:sectPr>
      </w:pPr>
      <w:r>
        <w:rPr>
          <w:noProof/>
          <w:lang w:eastAsia="en-AU"/>
        </w:rPr>
        <mc:AlternateContent>
          <mc:Choice Requires="wps">
            <w:drawing>
              <wp:anchor distT="0" distB="0" distL="114300" distR="114300" simplePos="0" relativeHeight="251659264" behindDoc="1" locked="0" layoutInCell="1" allowOverlap="1" wp14:anchorId="13FCE0BA" wp14:editId="2E752D8E">
                <wp:simplePos x="0" y="0"/>
                <wp:positionH relativeFrom="page">
                  <wp:posOffset>0</wp:posOffset>
                </wp:positionH>
                <wp:positionV relativeFrom="page">
                  <wp:posOffset>0</wp:posOffset>
                </wp:positionV>
                <wp:extent cx="7560000" cy="2300400"/>
                <wp:effectExtent l="0" t="0" r="3175" b="5080"/>
                <wp:wrapNone/>
                <wp:docPr id="1" name="Rectangl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60000" cy="23004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AB2380" id="Rectangle 1" o:spid="_x0000_s1026" alt="&quot;&quot;" style="position:absolute;margin-left:0;margin-top:0;width:595.3pt;height:18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3rkAIAAIYFAAAOAAAAZHJzL2Uyb0RvYy54bWysVFFPGzEMfp+0/xDlfdy1tMAqrqgCMU1C&#10;gICJ5zSXtCfl4sxJe+1+/ZzkejBAe5jWhzQ+25/tL7bPL3atYVuFvgFb8dFRyZmyEurGrir+4+n6&#10;yxlnPghbCwNWVXyvPL+Yf/503rmZGsMaTK2QEYj1s85VfB2CmxWFl2vVCn8ETllSasBWBBJxVdQo&#10;OkJvTTEuy5OiA6wdglTe09errOTzhK+1kuFOa68CMxWn3EI6MZ3LeBbzczFboXDrRvZpiH/IohWN&#10;paAD1JUIgm2weQfVNhLBgw5HEtoCtG6kSjVQNaPyTTWPa+FUqoXI8W6gyf8/WHm7vUfW1PR2nFnR&#10;0hM9EGnCroxio0hP5/yMrB7dPfaSp2usdaexjf9UBdslSvcDpWoXmKSPp9OTkn6cSdKNj8tyQgLh&#10;FC/uDn34pqBl8VJxpPCJSrG98SGbHkxiNA+mqa8bY5KAq+WlQbYV8X2no+nxuEf/w8zYaGwhumXE&#10;+KWIpeVi0i3sjYp2xj4oTZxQ+uOUSepGNcQRUiobRlm1FrXK4aep0Aw/eKRKE2BE1hR/wO4BYqe/&#10;x84wvX10VamZB+fyb4ll58EjRQYbBue2sYAfARiqqo+c7Q8kZWoiS0uo99QxCHmUvJPXDb3bjfDh&#10;XiDNDr017YNwR4c20FUc+htna8BfH32P9tTSpOWso1msuP+5Eag4M98tNfvX0WQShzcJk+npmAR8&#10;rVm+1thNewnUDtTQlF26RvtgDleN0D7T2ljEqKQSVlLsisuAB+Ey5B1Bi0eqxSKZ0cA6EW7so5MR&#10;PLIa+/Jp9yzQ9c0bqO9v4TC3Yvamh7Nt9LSw2ATQTWrwF157vmnYU+P0iyluk9dysnpZn/PfAAAA&#10;//8DAFBLAwQUAAYACAAAACEAlRGK09wAAAAGAQAADwAAAGRycy9kb3ducmV2LnhtbEyPQU+DQBCF&#10;7yb+h82YeLMLbSSWsjRqJPXa6sXbwE6BwM4SdtvCv3frxV4meXkv732TbSfTizONrrWsIF5EIIgr&#10;q1uuFXx/FU8vIJxH1thbJgUzOdjm93cZptpeeE/ng69FKGGXooLG+yGV0lUNGXQLOxAH72hHgz7I&#10;sZZ6xEsoN71cRlEiDbYcFhoc6L2hqjucjIKy3D3P+91bMq9/4sJNXfz50RVKPT5MrxsQnib/H4Yr&#10;fkCHPDCV9sTaiV5BeMT/3asXr6MERKlglSxXIPNM3uLnvwAAAP//AwBQSwECLQAUAAYACAAAACEA&#10;toM4kv4AAADhAQAAEwAAAAAAAAAAAAAAAAAAAAAAW0NvbnRlbnRfVHlwZXNdLnhtbFBLAQItABQA&#10;BgAIAAAAIQA4/SH/1gAAAJQBAAALAAAAAAAAAAAAAAAAAC8BAABfcmVscy8ucmVsc1BLAQItABQA&#10;BgAIAAAAIQDQbZ3rkAIAAIYFAAAOAAAAAAAAAAAAAAAAAC4CAABkcnMvZTJvRG9jLnhtbFBLAQIt&#10;ABQABgAIAAAAIQCVEYrT3AAAAAYBAAAPAAAAAAAAAAAAAAAAAOoEAABkcnMvZG93bnJldi54bWxQ&#10;SwUGAAAAAAQABADzAAAA8wUAAAAA&#10;" fillcolor="#051532" stroked="f" strokeweight="1pt">
                <w10:wrap anchorx="page" anchory="page"/>
              </v:rect>
            </w:pict>
          </mc:Fallback>
        </mc:AlternateContent>
      </w:r>
      <w:r w:rsidR="00286F3C">
        <w:rPr>
          <w:noProof/>
          <w:lang w:eastAsia="en-AU"/>
        </w:rPr>
        <w:drawing>
          <wp:inline distT="0" distB="0" distL="0" distR="0" wp14:anchorId="7D8C6F17" wp14:editId="6C7EC61D">
            <wp:extent cx="3203996" cy="1062908"/>
            <wp:effectExtent l="0" t="0" r="0" b="4445"/>
            <wp:docPr id="6" name="Picture 6" descr="Workforce Australia Employment Services delivered by 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kforce Australia Employment Services delivered by AG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3996" cy="1062908"/>
                    </a:xfrm>
                    <a:prstGeom prst="rect">
                      <a:avLst/>
                    </a:prstGeom>
                  </pic:spPr>
                </pic:pic>
              </a:graphicData>
            </a:graphic>
          </wp:inline>
        </w:drawing>
      </w:r>
    </w:p>
    <w:p w14:paraId="551B2916" w14:textId="1EF2C024" w:rsidR="00C71D3F" w:rsidRPr="00654A65" w:rsidRDefault="00C71D3F" w:rsidP="00C71D3F">
      <w:pPr>
        <w:pStyle w:val="Title"/>
      </w:pPr>
      <w:r>
        <w:t>Service Delivery Plan</w:t>
      </w:r>
    </w:p>
    <w:p w14:paraId="42A40105" w14:textId="63B7C838" w:rsidR="00C71D3F" w:rsidRDefault="00D03FDE" w:rsidP="00C71D3F">
      <w:pPr>
        <w:pStyle w:val="Heading1"/>
        <w:rPr>
          <w:rFonts w:eastAsiaTheme="minorEastAsia" w:cstheme="minorBidi"/>
          <w:color w:val="0E77CD"/>
          <w:spacing w:val="15"/>
          <w:sz w:val="40"/>
          <w:szCs w:val="22"/>
        </w:rPr>
      </w:pPr>
      <w:r>
        <w:rPr>
          <w:rFonts w:eastAsiaTheme="minorEastAsia" w:cstheme="minorBidi"/>
          <w:color w:val="0E77CD"/>
          <w:spacing w:val="15"/>
          <w:sz w:val="40"/>
          <w:szCs w:val="22"/>
        </w:rPr>
        <w:t>Employer</w:t>
      </w:r>
      <w:r w:rsidR="00C71D3F" w:rsidRPr="00C71D3F">
        <w:rPr>
          <w:rFonts w:eastAsiaTheme="minorEastAsia" w:cstheme="minorBidi"/>
          <w:color w:val="0E77CD"/>
          <w:spacing w:val="15"/>
          <w:sz w:val="40"/>
          <w:szCs w:val="22"/>
        </w:rPr>
        <w:t>’s Guide</w:t>
      </w:r>
    </w:p>
    <w:p w14:paraId="4F92D759" w14:textId="41C15F97" w:rsidR="00C71D3F" w:rsidRDefault="00C71D3F" w:rsidP="00C83CE5">
      <w:pPr>
        <w:pStyle w:val="Heading3"/>
      </w:pPr>
      <w:r>
        <w:t>About Us</w:t>
      </w:r>
    </w:p>
    <w:p w14:paraId="45781F26" w14:textId="77777777" w:rsidR="00620B1F" w:rsidRDefault="00620B1F" w:rsidP="00620B1F">
      <w:r>
        <w:t>For 39 year’s, AGA has been a leader in workforce participation and community engagement. Our expertise includes working with educationally disengaged youth with diverse circumstances, people with disability, Indigenous people, migrants &amp; refugees. </w:t>
      </w:r>
    </w:p>
    <w:p w14:paraId="2C4FD9E2" w14:textId="77777777" w:rsidR="00620B1F" w:rsidRDefault="00620B1F" w:rsidP="00620B1F">
      <w:r>
        <w:t xml:space="preserve">AGA has an inherent understanding of local labour markets, the industry skills needed, employer workforce requirements, and barriers to workforce participation. We have demonstrated our ability to support highly disadvantaged young people through the delivery of a range of services.   </w:t>
      </w:r>
    </w:p>
    <w:p w14:paraId="09E32B3E" w14:textId="77777777" w:rsidR="00620B1F" w:rsidRDefault="00620B1F" w:rsidP="00620B1F">
      <w:r>
        <w:t xml:space="preserve">AGA is part of the IntoWork Australia Group, which has operated as a key provider of recruitment, training employment, community and business services across Australia for over 35 years. Since then, IntoWork has expanded into a group of businesses that now operate nationwide. AGA has adopted </w:t>
      </w:r>
      <w:r>
        <w:lastRenderedPageBreak/>
        <w:t>IntoWork Australia’s values and is committed to fostering a positive and productive organisational culture.</w:t>
      </w:r>
    </w:p>
    <w:p w14:paraId="3A2DFBB3" w14:textId="77777777" w:rsidR="00620B1F" w:rsidRDefault="00620B1F" w:rsidP="00620B1F">
      <w:pPr>
        <w:pStyle w:val="Heading3"/>
      </w:pPr>
      <w:r>
        <w:t>We will uphold our purpose through our values:</w:t>
      </w:r>
    </w:p>
    <w:p w14:paraId="03013843" w14:textId="77777777" w:rsidR="00620B1F" w:rsidRDefault="00620B1F" w:rsidP="00620B1F">
      <w:pPr>
        <w:pStyle w:val="Heading4"/>
      </w:pPr>
      <w:r>
        <w:t>Collaboration</w:t>
      </w:r>
    </w:p>
    <w:p w14:paraId="60D80315" w14:textId="77777777" w:rsidR="00620B1F" w:rsidRDefault="00620B1F" w:rsidP="00620B1F">
      <w:r>
        <w:t>We grow and build using our respective strengths as a united team.</w:t>
      </w:r>
    </w:p>
    <w:p w14:paraId="1DA0164A" w14:textId="77777777" w:rsidR="00620B1F" w:rsidRDefault="00620B1F" w:rsidP="00620B1F">
      <w:pPr>
        <w:pStyle w:val="Heading4"/>
      </w:pPr>
      <w:r>
        <w:t>Courage</w:t>
      </w:r>
    </w:p>
    <w:p w14:paraId="2183DF83" w14:textId="77777777" w:rsidR="00620B1F" w:rsidRDefault="00620B1F" w:rsidP="00620B1F">
      <w:r>
        <w:t>We show determination to achieve our business goals and objectives.</w:t>
      </w:r>
    </w:p>
    <w:p w14:paraId="487FBA31" w14:textId="77777777" w:rsidR="00620B1F" w:rsidRDefault="00620B1F" w:rsidP="00620B1F">
      <w:pPr>
        <w:pStyle w:val="Heading4"/>
      </w:pPr>
      <w:r>
        <w:t>Innovation</w:t>
      </w:r>
    </w:p>
    <w:p w14:paraId="6716C5E3" w14:textId="77777777" w:rsidR="00620B1F" w:rsidRDefault="00620B1F" w:rsidP="00620B1F">
      <w:r>
        <w:t>We actively pursue new ideas and implement improved ways of working.</w:t>
      </w:r>
    </w:p>
    <w:p w14:paraId="6FB2785E" w14:textId="77777777" w:rsidR="00620B1F" w:rsidRDefault="00620B1F" w:rsidP="00620B1F">
      <w:pPr>
        <w:pStyle w:val="Heading4"/>
      </w:pPr>
      <w:r>
        <w:t>Integrity</w:t>
      </w:r>
    </w:p>
    <w:p w14:paraId="2CC0A55C" w14:textId="77777777" w:rsidR="00620B1F" w:rsidRDefault="00620B1F" w:rsidP="00620B1F">
      <w:r>
        <w:t>We create a culture of honesty, building trust, where our words become our actions.</w:t>
      </w:r>
    </w:p>
    <w:p w14:paraId="759493F5" w14:textId="77777777" w:rsidR="00620B1F" w:rsidRDefault="00620B1F" w:rsidP="00620B1F">
      <w:pPr>
        <w:pStyle w:val="Heading4"/>
      </w:pPr>
      <w:r>
        <w:t>Respect</w:t>
      </w:r>
    </w:p>
    <w:p w14:paraId="5FFD2087" w14:textId="77777777" w:rsidR="00620B1F" w:rsidRDefault="00620B1F" w:rsidP="00620B1F">
      <w:r>
        <w:t>Our focus on employer support has seen AGA grow to be a leader in the workforce industry.</w:t>
      </w:r>
    </w:p>
    <w:p w14:paraId="0E238FE8" w14:textId="77777777" w:rsidR="00620B1F" w:rsidRDefault="00620B1F" w:rsidP="00620B1F">
      <w:pPr>
        <w:pStyle w:val="Heading3"/>
      </w:pPr>
      <w:r>
        <w:t>Our Transition to Work (TtW) staff will ensure our TtW participants are ready to take on employment roles and responsibilities when they are first employed, utilising our foundation skills, which include:</w:t>
      </w:r>
    </w:p>
    <w:p w14:paraId="055462AB" w14:textId="77777777" w:rsidR="00620B1F" w:rsidRDefault="00620B1F" w:rsidP="00620B1F">
      <w:pPr>
        <w:pStyle w:val="ListParagraph"/>
        <w:numPr>
          <w:ilvl w:val="0"/>
          <w:numId w:val="14"/>
        </w:numPr>
      </w:pPr>
      <w:r>
        <w:t xml:space="preserve">Being a reliable employee. </w:t>
      </w:r>
    </w:p>
    <w:p w14:paraId="1159F41E" w14:textId="77777777" w:rsidR="00620B1F" w:rsidRDefault="00620B1F" w:rsidP="00620B1F">
      <w:pPr>
        <w:pStyle w:val="ListParagraph"/>
        <w:numPr>
          <w:ilvl w:val="0"/>
          <w:numId w:val="14"/>
        </w:numPr>
      </w:pPr>
      <w:r>
        <w:t>Responsibilities of an employee.</w:t>
      </w:r>
    </w:p>
    <w:p w14:paraId="42F6ED01" w14:textId="77777777" w:rsidR="00620B1F" w:rsidRDefault="00620B1F" w:rsidP="00620B1F">
      <w:pPr>
        <w:pStyle w:val="ListParagraph"/>
        <w:numPr>
          <w:ilvl w:val="0"/>
          <w:numId w:val="14"/>
        </w:numPr>
      </w:pPr>
      <w:r>
        <w:t>Presentation skills.</w:t>
      </w:r>
    </w:p>
    <w:p w14:paraId="15EF0B7E" w14:textId="77777777" w:rsidR="00620B1F" w:rsidRDefault="00620B1F" w:rsidP="00620B1F">
      <w:pPr>
        <w:pStyle w:val="ListParagraph"/>
        <w:numPr>
          <w:ilvl w:val="0"/>
          <w:numId w:val="14"/>
        </w:numPr>
      </w:pPr>
      <w:r>
        <w:t>How to create their quality job applications.</w:t>
      </w:r>
    </w:p>
    <w:p w14:paraId="0E98A93C" w14:textId="77777777" w:rsidR="00620B1F" w:rsidRDefault="00620B1F" w:rsidP="00620B1F">
      <w:pPr>
        <w:pStyle w:val="ListParagraph"/>
        <w:numPr>
          <w:ilvl w:val="0"/>
          <w:numId w:val="14"/>
        </w:numPr>
      </w:pPr>
      <w:r>
        <w:t>Preparing their résumés and interview skills.</w:t>
      </w:r>
    </w:p>
    <w:p w14:paraId="11A108B7" w14:textId="3D07D803" w:rsidR="00620B1F" w:rsidRDefault="00620B1F" w:rsidP="00620B1F">
      <w:pPr>
        <w:pStyle w:val="ListParagraph"/>
        <w:numPr>
          <w:ilvl w:val="0"/>
          <w:numId w:val="14"/>
        </w:numPr>
      </w:pPr>
      <w:r>
        <w:t>Apprenticeshi</w:t>
      </w:r>
      <w:r w:rsidR="00EC67AC">
        <w:t>p/Traineeship industry sessions.</w:t>
      </w:r>
    </w:p>
    <w:p w14:paraId="62D09869" w14:textId="77777777" w:rsidR="00620B1F" w:rsidRDefault="00620B1F" w:rsidP="00620B1F">
      <w:pPr>
        <w:pStyle w:val="Heading3"/>
      </w:pPr>
      <w:r>
        <w:lastRenderedPageBreak/>
        <w:t>How can we work for you?</w:t>
      </w:r>
    </w:p>
    <w:p w14:paraId="7773D28D" w14:textId="77777777" w:rsidR="00620B1F" w:rsidRDefault="00620B1F" w:rsidP="00620B1F">
      <w:pPr>
        <w:pStyle w:val="Heading4"/>
      </w:pPr>
      <w:r>
        <w:t>Our TtW Staff can:</w:t>
      </w:r>
    </w:p>
    <w:p w14:paraId="31616655" w14:textId="77777777" w:rsidR="00620B1F" w:rsidRDefault="00620B1F" w:rsidP="00620B1F">
      <w:pPr>
        <w:pStyle w:val="ListParagraph"/>
        <w:numPr>
          <w:ilvl w:val="0"/>
          <w:numId w:val="15"/>
        </w:numPr>
      </w:pPr>
      <w:r>
        <w:t>Assist you in developing your job requirements, which may include training needs.</w:t>
      </w:r>
    </w:p>
    <w:p w14:paraId="009F8F25" w14:textId="77777777" w:rsidR="00620B1F" w:rsidRDefault="00620B1F" w:rsidP="00620B1F">
      <w:pPr>
        <w:pStyle w:val="ListParagraph"/>
        <w:numPr>
          <w:ilvl w:val="0"/>
          <w:numId w:val="15"/>
        </w:numPr>
      </w:pPr>
      <w:r>
        <w:t>Match, pre-screen and assess suitable participants. They can also coordinate interviews.</w:t>
      </w:r>
    </w:p>
    <w:p w14:paraId="04431DC4" w14:textId="77777777" w:rsidR="00620B1F" w:rsidRDefault="00620B1F" w:rsidP="00620B1F">
      <w:pPr>
        <w:pStyle w:val="ListParagraph"/>
        <w:numPr>
          <w:ilvl w:val="0"/>
          <w:numId w:val="15"/>
        </w:numPr>
      </w:pPr>
      <w:r>
        <w:t xml:space="preserve">Support you and our TtW participants through the placement and months of employment to ensure everything goes smoothly. </w:t>
      </w:r>
    </w:p>
    <w:p w14:paraId="1DD998D6" w14:textId="77777777" w:rsidR="00620B1F" w:rsidRDefault="00620B1F" w:rsidP="00620B1F">
      <w:pPr>
        <w:pStyle w:val="ListParagraph"/>
        <w:numPr>
          <w:ilvl w:val="0"/>
          <w:numId w:val="15"/>
        </w:numPr>
      </w:pPr>
      <w:r>
        <w:t>Advertise your roles across multiple digital platforms.</w:t>
      </w:r>
    </w:p>
    <w:p w14:paraId="3FC9044B" w14:textId="70F6BFC2" w:rsidR="00620B1F" w:rsidRDefault="00620B1F" w:rsidP="00620B1F">
      <w:pPr>
        <w:pStyle w:val="Heading3"/>
      </w:pPr>
      <w:r>
        <w:t>Wage subsidies:</w:t>
      </w:r>
    </w:p>
    <w:p w14:paraId="1DB694CA" w14:textId="77777777" w:rsidR="00620B1F" w:rsidRDefault="00620B1F" w:rsidP="00620B1F">
      <w:r>
        <w:t>Our TtW Staff will provide you with support and advice how to access government funded wage subsidies for eligible participants.</w:t>
      </w:r>
    </w:p>
    <w:p w14:paraId="0076DBF5" w14:textId="77777777" w:rsidR="00620B1F" w:rsidRDefault="00620B1F" w:rsidP="00620B1F">
      <w:pPr>
        <w:pStyle w:val="ListParagraph"/>
        <w:numPr>
          <w:ilvl w:val="0"/>
          <w:numId w:val="16"/>
        </w:numPr>
      </w:pPr>
      <w:r>
        <w:t>Extra Support with pre-training programs.</w:t>
      </w:r>
    </w:p>
    <w:p w14:paraId="6AE0FFEC" w14:textId="77777777" w:rsidR="00620B1F" w:rsidRDefault="00620B1F" w:rsidP="00620B1F">
      <w:pPr>
        <w:pStyle w:val="ListParagraph"/>
        <w:numPr>
          <w:ilvl w:val="0"/>
          <w:numId w:val="16"/>
        </w:numPr>
      </w:pPr>
      <w:r>
        <w:t>AGA can partner with you to develop programs based on your requirements. Pre-training programs assist our TtW participants to meet your specific needs, ensuring they are the right fit for the role.</w:t>
      </w:r>
    </w:p>
    <w:p w14:paraId="54C6EA3C" w14:textId="77777777" w:rsidR="00620B1F" w:rsidRDefault="00620B1F" w:rsidP="00620B1F">
      <w:pPr>
        <w:pStyle w:val="Heading4"/>
      </w:pPr>
      <w:r>
        <w:t>A pre-training program may include:</w:t>
      </w:r>
    </w:p>
    <w:p w14:paraId="6E14DB95" w14:textId="77777777" w:rsidR="00620B1F" w:rsidRDefault="00620B1F" w:rsidP="00620B1F">
      <w:pPr>
        <w:pStyle w:val="ListParagraph"/>
        <w:numPr>
          <w:ilvl w:val="0"/>
          <w:numId w:val="17"/>
        </w:numPr>
      </w:pPr>
      <w:r>
        <w:t>Accredited or non-accredited training in skills and practices specific to your business.</w:t>
      </w:r>
    </w:p>
    <w:p w14:paraId="3138D087" w14:textId="77777777" w:rsidR="00620B1F" w:rsidRDefault="00620B1F" w:rsidP="00620B1F">
      <w:pPr>
        <w:pStyle w:val="ListParagraph"/>
        <w:numPr>
          <w:ilvl w:val="0"/>
          <w:numId w:val="17"/>
        </w:numPr>
      </w:pPr>
      <w:r>
        <w:t>Licence/ticket training.</w:t>
      </w:r>
    </w:p>
    <w:p w14:paraId="6BA48602" w14:textId="77777777" w:rsidR="00620B1F" w:rsidRDefault="00620B1F" w:rsidP="00620B1F">
      <w:pPr>
        <w:pStyle w:val="ListParagraph"/>
        <w:numPr>
          <w:ilvl w:val="0"/>
          <w:numId w:val="17"/>
        </w:numPr>
      </w:pPr>
      <w:r>
        <w:t>Literacy, numeracy and problem solving assessments.</w:t>
      </w:r>
    </w:p>
    <w:p w14:paraId="40AFB037" w14:textId="7CEED228" w:rsidR="00620B1F" w:rsidRDefault="00620B1F" w:rsidP="00620B1F">
      <w:pPr>
        <w:pStyle w:val="ListParagraph"/>
        <w:numPr>
          <w:ilvl w:val="0"/>
          <w:numId w:val="17"/>
        </w:numPr>
      </w:pPr>
      <w:r>
        <w:t xml:space="preserve">WHS training in the use of products or services. </w:t>
      </w:r>
    </w:p>
    <w:p w14:paraId="2F0810F6" w14:textId="77777777" w:rsidR="00620B1F" w:rsidRDefault="00620B1F" w:rsidP="00620B1F">
      <w:r>
        <w:t xml:space="preserve">AGA understands that your staffing requirements may fluctuate throughout the year. Our TtW staff can work with you to help plan around your requirements and develop training and recruitment plans to meet your needs. </w:t>
      </w:r>
    </w:p>
    <w:p w14:paraId="637F852E" w14:textId="77777777" w:rsidR="00620B1F" w:rsidRDefault="00620B1F" w:rsidP="00620B1F">
      <w:pPr>
        <w:pStyle w:val="Heading3"/>
      </w:pPr>
      <w:r>
        <w:lastRenderedPageBreak/>
        <w:t>Continuous Improvement:</w:t>
      </w:r>
    </w:p>
    <w:p w14:paraId="2E25316B" w14:textId="77777777" w:rsidR="00620B1F" w:rsidRDefault="00620B1F" w:rsidP="00620B1F">
      <w:r>
        <w:t>All employers are provided with our customer service charter that outlines how you can lodge employer suggestions, compliments or complaints with us or the Department of Employment and Workplace Relations.  We value your input as a stakeholder, this contributes to the growth and improve of AGA’s services.</w:t>
      </w:r>
    </w:p>
    <w:p w14:paraId="589DA768" w14:textId="4012EE94" w:rsidR="00620B1F" w:rsidRPr="00620B1F" w:rsidRDefault="00C71D3F" w:rsidP="00620B1F">
      <w:r>
        <w:t>All TtW Participants are provided with our customer service charter that outlines how you can lodge participant suggestions, compliments or complaints with us or the Department of Education, Skills and Employment. We value your input as a stakeholder, as this contributes to the growth and improvement of AGA’s services.</w:t>
      </w:r>
    </w:p>
    <w:p w14:paraId="283E1C87" w14:textId="77777777" w:rsidR="00620B1F" w:rsidRDefault="00620B1F" w:rsidP="00620B1F">
      <w:pPr>
        <w:pStyle w:val="Heading3"/>
      </w:pPr>
      <w:r w:rsidRPr="00C83CE5">
        <w:t>Contact</w:t>
      </w:r>
      <w:r>
        <w:t xml:space="preserve"> us:</w:t>
      </w:r>
    </w:p>
    <w:p w14:paraId="71D93CC2" w14:textId="77777777" w:rsidR="00620B1F" w:rsidRPr="00C83CE5" w:rsidRDefault="00620B1F" w:rsidP="00620B1F">
      <w:pPr>
        <w:rPr>
          <w:rStyle w:val="Strong"/>
        </w:rPr>
      </w:pPr>
      <w:r w:rsidRPr="00C83CE5">
        <w:rPr>
          <w:rStyle w:val="Strong"/>
        </w:rPr>
        <w:t>Phone:    1300 000 242</w:t>
      </w:r>
    </w:p>
    <w:p w14:paraId="35FCD6E3" w14:textId="77777777" w:rsidR="00620B1F" w:rsidRPr="00C83CE5" w:rsidRDefault="00620B1F" w:rsidP="00620B1F">
      <w:pPr>
        <w:rPr>
          <w:rStyle w:val="Strong"/>
        </w:rPr>
      </w:pPr>
      <w:r w:rsidRPr="00C83CE5">
        <w:rPr>
          <w:rStyle w:val="Strong"/>
        </w:rPr>
        <w:t>Email:      ttw@aga.com.au</w:t>
      </w:r>
    </w:p>
    <w:p w14:paraId="3FCC9868" w14:textId="77777777" w:rsidR="00620B1F" w:rsidRPr="00C83CE5" w:rsidRDefault="00620B1F" w:rsidP="00620B1F">
      <w:pPr>
        <w:rPr>
          <w:rStyle w:val="Strong"/>
        </w:rPr>
      </w:pPr>
      <w:r w:rsidRPr="00C83CE5">
        <w:rPr>
          <w:rStyle w:val="Strong"/>
        </w:rPr>
        <w:t>Website: www.aga.com.au</w:t>
      </w:r>
    </w:p>
    <w:p w14:paraId="26FFB4BC" w14:textId="10B3E0DA" w:rsidR="00620B1F" w:rsidRDefault="00620B1F" w:rsidP="00620B1F">
      <w:r>
        <w:t xml:space="preserve">Contact the </w:t>
      </w:r>
      <w:r w:rsidR="00D03FDE">
        <w:t xml:space="preserve">Department of Employment and Workplace Relations </w:t>
      </w:r>
      <w:r>
        <w:t>National Customer Service Line on</w:t>
      </w:r>
      <w:proofErr w:type="gramStart"/>
      <w:r>
        <w:t>:</w:t>
      </w:r>
      <w:proofErr w:type="gramEnd"/>
      <w:r>
        <w:br/>
      </w:r>
      <w:r>
        <w:rPr>
          <w:b/>
          <w:bCs/>
        </w:rPr>
        <w:t>1800 805 260</w:t>
      </w:r>
      <w:r>
        <w:t xml:space="preserve"> (free call from land lines) or email </w:t>
      </w:r>
      <w:r>
        <w:rPr>
          <w:b/>
          <w:bCs/>
        </w:rPr>
        <w:t>nationalcustomerserviceline@</w:t>
      </w:r>
      <w:r w:rsidR="00D03FDE" w:rsidRPr="00D03FDE">
        <w:rPr>
          <w:b/>
        </w:rPr>
        <w:t>dewr.gov.au.</w:t>
      </w:r>
    </w:p>
    <w:p w14:paraId="3AC559CD" w14:textId="77777777" w:rsidR="00620B1F" w:rsidRDefault="00620B1F" w:rsidP="00620B1F">
      <w:r>
        <w:t>If you have any concerns about your income support payments, you should contact Services Australia (https://www.servicesaustralia.gov.au/).</w:t>
      </w:r>
    </w:p>
    <w:p w14:paraId="3E3F94D9" w14:textId="77777777" w:rsidR="00620B1F" w:rsidRDefault="00620B1F" w:rsidP="00C83CE5">
      <w:pPr>
        <w:rPr>
          <w:color w:val="000000" w:themeColor="text1"/>
          <w:sz w:val="18"/>
          <w:szCs w:val="28"/>
        </w:rPr>
      </w:pPr>
    </w:p>
    <w:p w14:paraId="0463F86A" w14:textId="0A3DA48C" w:rsidR="00505695" w:rsidRDefault="00505695" w:rsidP="00EF2A30"/>
    <w:p w14:paraId="2D7492FB" w14:textId="6C378298" w:rsidR="00505695" w:rsidRDefault="00505695" w:rsidP="00EF2A30"/>
    <w:sectPr w:rsidR="00505695" w:rsidSect="00620B1F">
      <w:type w:val="continuous"/>
      <w:pgSz w:w="11906" w:h="16838"/>
      <w:pgMar w:top="1021" w:right="1021" w:bottom="5573" w:left="1021" w:header="0" w:footer="2756" w:gutter="0"/>
      <w:cols w:num="2"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8CB4" w14:textId="77777777" w:rsidR="00EE059C" w:rsidRDefault="00EE059C" w:rsidP="00EE7FDA">
      <w:pPr>
        <w:spacing w:after="0"/>
      </w:pPr>
      <w:r>
        <w:separator/>
      </w:r>
    </w:p>
  </w:endnote>
  <w:endnote w:type="continuationSeparator" w:id="0">
    <w:p w14:paraId="6056AF1D" w14:textId="77777777" w:rsidR="00EE059C" w:rsidRDefault="00EE059C"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PublicSans-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D719" w14:textId="2998CC89" w:rsidR="00105919" w:rsidRDefault="001B0CCD" w:rsidP="001B0CCD">
    <w:pPr>
      <w:pStyle w:val="Footer"/>
      <w:jc w:val="left"/>
    </w:pPr>
    <w:r>
      <w:rPr>
        <w:noProof/>
        <w:lang w:eastAsia="en-AU"/>
      </w:rPr>
      <w:drawing>
        <wp:anchor distT="0" distB="0" distL="114300" distR="114300" simplePos="0" relativeHeight="251659264" behindDoc="0" locked="0" layoutInCell="1" allowOverlap="1" wp14:anchorId="65EB7690" wp14:editId="4E444B1A">
          <wp:simplePos x="0" y="0"/>
          <wp:positionH relativeFrom="column">
            <wp:posOffset>-673735</wp:posOffset>
          </wp:positionH>
          <wp:positionV relativeFrom="paragraph">
            <wp:posOffset>893445</wp:posOffset>
          </wp:positionV>
          <wp:extent cx="7607598" cy="9956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GA_Footer_2.png"/>
                  <pic:cNvPicPr/>
                </pic:nvPicPr>
                <pic:blipFill>
                  <a:blip r:embed="rId1">
                    <a:extLst>
                      <a:ext uri="{28A0092B-C50C-407E-A947-70E740481C1C}">
                        <a14:useLocalDpi xmlns:a14="http://schemas.microsoft.com/office/drawing/2010/main" val="0"/>
                      </a:ext>
                    </a:extLst>
                  </a:blip>
                  <a:stretch>
                    <a:fillRect/>
                  </a:stretch>
                </pic:blipFill>
                <pic:spPr>
                  <a:xfrm>
                    <a:off x="0" y="0"/>
                    <a:ext cx="7607598" cy="9956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FC84" w14:textId="26D46CA0" w:rsidR="00505695" w:rsidRDefault="00895C2D" w:rsidP="00A94528">
    <w:pPr>
      <w:pStyle w:val="Footer"/>
      <w:rPr>
        <w:noProof/>
      </w:rPr>
    </w:pPr>
    <w:r>
      <w:rPr>
        <w:noProof/>
        <w:lang w:eastAsia="en-AU"/>
      </w:rPr>
      <w:drawing>
        <wp:anchor distT="0" distB="0" distL="114300" distR="114300" simplePos="0" relativeHeight="251658240" behindDoc="0" locked="0" layoutInCell="1" allowOverlap="1" wp14:anchorId="43E3A598" wp14:editId="49B8A335">
          <wp:simplePos x="0" y="0"/>
          <wp:positionH relativeFrom="column">
            <wp:posOffset>-648336</wp:posOffset>
          </wp:positionH>
          <wp:positionV relativeFrom="page">
            <wp:posOffset>8628380</wp:posOffset>
          </wp:positionV>
          <wp:extent cx="7607300" cy="20396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GA_Footer.png"/>
                  <pic:cNvPicPr/>
                </pic:nvPicPr>
                <pic:blipFill>
                  <a:blip r:embed="rId1">
                    <a:extLst>
                      <a:ext uri="{28A0092B-C50C-407E-A947-70E740481C1C}">
                        <a14:useLocalDpi xmlns:a14="http://schemas.microsoft.com/office/drawing/2010/main" val="0"/>
                      </a:ext>
                    </a:extLst>
                  </a:blip>
                  <a:stretch>
                    <a:fillRect/>
                  </a:stretch>
                </pic:blipFill>
                <pic:spPr>
                  <a:xfrm>
                    <a:off x="0" y="0"/>
                    <a:ext cx="7607300" cy="2039620"/>
                  </a:xfrm>
                  <a:prstGeom prst="rect">
                    <a:avLst/>
                  </a:prstGeom>
                </pic:spPr>
              </pic:pic>
            </a:graphicData>
          </a:graphic>
          <wp14:sizeRelH relativeFrom="page">
            <wp14:pctWidth>0</wp14:pctWidth>
          </wp14:sizeRelH>
          <wp14:sizeRelV relativeFrom="page">
            <wp14:pctHeight>0</wp14:pctHeight>
          </wp14:sizeRelV>
        </wp:anchor>
      </w:drawing>
    </w:r>
  </w:p>
  <w:p w14:paraId="1F9EF0F4" w14:textId="25B188A8" w:rsidR="00A94528" w:rsidRPr="00C77833" w:rsidRDefault="00A94528" w:rsidP="00895C2D">
    <w:pPr>
      <w:pStyle w:val="Footer"/>
      <w:jc w:val="lef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06E37" w14:textId="77777777" w:rsidR="00EE059C" w:rsidRDefault="00EE059C" w:rsidP="00D105E6">
      <w:pPr>
        <w:spacing w:after="60"/>
      </w:pPr>
      <w:r>
        <w:separator/>
      </w:r>
    </w:p>
  </w:footnote>
  <w:footnote w:type="continuationSeparator" w:id="0">
    <w:p w14:paraId="115BC6E6" w14:textId="77777777" w:rsidR="00EE059C" w:rsidRDefault="00EE059C"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10D"/>
    <w:multiLevelType w:val="multilevel"/>
    <w:tmpl w:val="1214E0D8"/>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04892055"/>
    <w:multiLevelType w:val="hybridMultilevel"/>
    <w:tmpl w:val="41D8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05396"/>
    <w:multiLevelType w:val="hybridMultilevel"/>
    <w:tmpl w:val="E7FC7468"/>
    <w:lvl w:ilvl="0" w:tplc="44804FDC">
      <w:start w:val="1"/>
      <w:numFmt w:val="bullet"/>
      <w:lvlText w:val=""/>
      <w:lvlJc w:val="left"/>
      <w:pPr>
        <w:ind w:left="284"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D7305"/>
    <w:multiLevelType w:val="hybridMultilevel"/>
    <w:tmpl w:val="A0B83702"/>
    <w:lvl w:ilvl="0" w:tplc="44804FDC">
      <w:start w:val="1"/>
      <w:numFmt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8224E2"/>
    <w:multiLevelType w:val="multilevel"/>
    <w:tmpl w:val="B10A65AC"/>
    <w:numStyleLink w:val="Style1"/>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97A6DC1"/>
    <w:multiLevelType w:val="multilevel"/>
    <w:tmpl w:val="4C06E666"/>
    <w:numStyleLink w:val="RSCBNumberList1"/>
  </w:abstractNum>
  <w:abstractNum w:abstractNumId="10" w15:restartNumberingAfterBreak="0">
    <w:nsid w:val="2EE53EF4"/>
    <w:multiLevelType w:val="multilevel"/>
    <w:tmpl w:val="4C06E666"/>
    <w:numStyleLink w:val="RSCBNumberList1"/>
  </w:abstractNum>
  <w:abstractNum w:abstractNumId="11" w15:restartNumberingAfterBreak="0">
    <w:nsid w:val="315706D0"/>
    <w:multiLevelType w:val="hybridMultilevel"/>
    <w:tmpl w:val="043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FD20B51"/>
    <w:multiLevelType w:val="hybridMultilevel"/>
    <w:tmpl w:val="A94A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51B4B"/>
    <w:multiLevelType w:val="hybridMultilevel"/>
    <w:tmpl w:val="7E2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D04F5"/>
    <w:multiLevelType w:val="multilevel"/>
    <w:tmpl w:val="4C06E666"/>
    <w:numStyleLink w:val="RSCBNumberList1"/>
  </w:abstractNum>
  <w:abstractNum w:abstractNumId="16"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6"/>
  </w:num>
  <w:num w:numId="5">
    <w:abstractNumId w:val="3"/>
  </w:num>
  <w:num w:numId="6">
    <w:abstractNumId w:val="7"/>
  </w:num>
  <w:num w:numId="7">
    <w:abstractNumId w:val="5"/>
  </w:num>
  <w:num w:numId="8">
    <w:abstractNumId w:val="8"/>
  </w:num>
  <w:num w:numId="9">
    <w:abstractNumId w:val="10"/>
  </w:num>
  <w:num w:numId="10">
    <w:abstractNumId w:val="9"/>
  </w:num>
  <w:num w:numId="11">
    <w:abstractNumId w:val="0"/>
  </w:num>
  <w:num w:numId="12">
    <w:abstractNumId w:val="2"/>
  </w:num>
  <w:num w:numId="13">
    <w:abstractNumId w:val="4"/>
  </w:num>
  <w:num w:numId="14">
    <w:abstractNumId w:val="13"/>
  </w:num>
  <w:num w:numId="15">
    <w:abstractNumId w:val="11"/>
  </w:num>
  <w:num w:numId="16">
    <w:abstractNumId w:val="14"/>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BC"/>
    <w:rsid w:val="00011BA5"/>
    <w:rsid w:val="00037765"/>
    <w:rsid w:val="00052659"/>
    <w:rsid w:val="00052B07"/>
    <w:rsid w:val="0009541A"/>
    <w:rsid w:val="000E406E"/>
    <w:rsid w:val="00105919"/>
    <w:rsid w:val="0013557F"/>
    <w:rsid w:val="00145A12"/>
    <w:rsid w:val="00146814"/>
    <w:rsid w:val="00155F8B"/>
    <w:rsid w:val="0016510A"/>
    <w:rsid w:val="00165A2C"/>
    <w:rsid w:val="00195EF0"/>
    <w:rsid w:val="001B0CCD"/>
    <w:rsid w:val="001B6D04"/>
    <w:rsid w:val="001C6347"/>
    <w:rsid w:val="001C65BE"/>
    <w:rsid w:val="001F444A"/>
    <w:rsid w:val="001F7332"/>
    <w:rsid w:val="00244DD6"/>
    <w:rsid w:val="002462D7"/>
    <w:rsid w:val="00247707"/>
    <w:rsid w:val="00253AD5"/>
    <w:rsid w:val="00257065"/>
    <w:rsid w:val="002678F4"/>
    <w:rsid w:val="00275860"/>
    <w:rsid w:val="00275D69"/>
    <w:rsid w:val="0028104D"/>
    <w:rsid w:val="00286F3C"/>
    <w:rsid w:val="002E766F"/>
    <w:rsid w:val="00312F55"/>
    <w:rsid w:val="0031425C"/>
    <w:rsid w:val="00316088"/>
    <w:rsid w:val="003267A5"/>
    <w:rsid w:val="003B13B2"/>
    <w:rsid w:val="003E21F8"/>
    <w:rsid w:val="003F0880"/>
    <w:rsid w:val="00410543"/>
    <w:rsid w:val="00426E46"/>
    <w:rsid w:val="00440F0C"/>
    <w:rsid w:val="0046637C"/>
    <w:rsid w:val="0047432C"/>
    <w:rsid w:val="004B48A5"/>
    <w:rsid w:val="004D00B2"/>
    <w:rsid w:val="004F3CE3"/>
    <w:rsid w:val="004F5993"/>
    <w:rsid w:val="00505695"/>
    <w:rsid w:val="00517064"/>
    <w:rsid w:val="00522E88"/>
    <w:rsid w:val="00530795"/>
    <w:rsid w:val="005565B8"/>
    <w:rsid w:val="00566A2E"/>
    <w:rsid w:val="005725B2"/>
    <w:rsid w:val="00575DFC"/>
    <w:rsid w:val="00577A33"/>
    <w:rsid w:val="00582D06"/>
    <w:rsid w:val="00586EA4"/>
    <w:rsid w:val="005A3138"/>
    <w:rsid w:val="005D150B"/>
    <w:rsid w:val="005D2489"/>
    <w:rsid w:val="005F08A3"/>
    <w:rsid w:val="00620B1F"/>
    <w:rsid w:val="0063350D"/>
    <w:rsid w:val="00654A65"/>
    <w:rsid w:val="00657B92"/>
    <w:rsid w:val="00682BD2"/>
    <w:rsid w:val="00691F21"/>
    <w:rsid w:val="006D1E27"/>
    <w:rsid w:val="006D7710"/>
    <w:rsid w:val="006F2229"/>
    <w:rsid w:val="00706143"/>
    <w:rsid w:val="00730B97"/>
    <w:rsid w:val="00737C1D"/>
    <w:rsid w:val="00774BA7"/>
    <w:rsid w:val="0078584C"/>
    <w:rsid w:val="007A3566"/>
    <w:rsid w:val="007C3D4E"/>
    <w:rsid w:val="007D0C8D"/>
    <w:rsid w:val="007D4962"/>
    <w:rsid w:val="007F63CC"/>
    <w:rsid w:val="0080594C"/>
    <w:rsid w:val="00813629"/>
    <w:rsid w:val="00817BD6"/>
    <w:rsid w:val="00832F2D"/>
    <w:rsid w:val="008447BA"/>
    <w:rsid w:val="00876539"/>
    <w:rsid w:val="00895C2D"/>
    <w:rsid w:val="008A28DA"/>
    <w:rsid w:val="008B15BA"/>
    <w:rsid w:val="008B4720"/>
    <w:rsid w:val="008F24CE"/>
    <w:rsid w:val="00931FEE"/>
    <w:rsid w:val="00944EC3"/>
    <w:rsid w:val="00957745"/>
    <w:rsid w:val="00961F5C"/>
    <w:rsid w:val="00973379"/>
    <w:rsid w:val="00997BE6"/>
    <w:rsid w:val="009D079F"/>
    <w:rsid w:val="009F652B"/>
    <w:rsid w:val="00A112E2"/>
    <w:rsid w:val="00A1654A"/>
    <w:rsid w:val="00A23D73"/>
    <w:rsid w:val="00A34D39"/>
    <w:rsid w:val="00A513A6"/>
    <w:rsid w:val="00A67F8B"/>
    <w:rsid w:val="00A70EEB"/>
    <w:rsid w:val="00A713BC"/>
    <w:rsid w:val="00A74FD2"/>
    <w:rsid w:val="00A81FB9"/>
    <w:rsid w:val="00A82BDB"/>
    <w:rsid w:val="00A94528"/>
    <w:rsid w:val="00AA03F6"/>
    <w:rsid w:val="00AA2FD8"/>
    <w:rsid w:val="00B00423"/>
    <w:rsid w:val="00B81A68"/>
    <w:rsid w:val="00B9097E"/>
    <w:rsid w:val="00BA48C8"/>
    <w:rsid w:val="00BB57FE"/>
    <w:rsid w:val="00BC41EF"/>
    <w:rsid w:val="00BD6E26"/>
    <w:rsid w:val="00BE133B"/>
    <w:rsid w:val="00BE54EE"/>
    <w:rsid w:val="00BE6D94"/>
    <w:rsid w:val="00BF2EE7"/>
    <w:rsid w:val="00BF7BDF"/>
    <w:rsid w:val="00C04E0C"/>
    <w:rsid w:val="00C230BC"/>
    <w:rsid w:val="00C2704D"/>
    <w:rsid w:val="00C30A1E"/>
    <w:rsid w:val="00C50AA1"/>
    <w:rsid w:val="00C55508"/>
    <w:rsid w:val="00C66B71"/>
    <w:rsid w:val="00C71D3F"/>
    <w:rsid w:val="00C83CE5"/>
    <w:rsid w:val="00CD38C9"/>
    <w:rsid w:val="00CD5F0D"/>
    <w:rsid w:val="00CF6EBF"/>
    <w:rsid w:val="00D03FDE"/>
    <w:rsid w:val="00D105E6"/>
    <w:rsid w:val="00D84DC0"/>
    <w:rsid w:val="00D854F3"/>
    <w:rsid w:val="00D910F9"/>
    <w:rsid w:val="00D97626"/>
    <w:rsid w:val="00DA46BB"/>
    <w:rsid w:val="00DD4EBE"/>
    <w:rsid w:val="00DE1663"/>
    <w:rsid w:val="00DE68E6"/>
    <w:rsid w:val="00DF0B8A"/>
    <w:rsid w:val="00DF60E1"/>
    <w:rsid w:val="00E55470"/>
    <w:rsid w:val="00E73AC5"/>
    <w:rsid w:val="00E76F21"/>
    <w:rsid w:val="00E814A0"/>
    <w:rsid w:val="00EC4486"/>
    <w:rsid w:val="00EC63BF"/>
    <w:rsid w:val="00EC67AC"/>
    <w:rsid w:val="00ED3F85"/>
    <w:rsid w:val="00EE059C"/>
    <w:rsid w:val="00EE511B"/>
    <w:rsid w:val="00EE59F7"/>
    <w:rsid w:val="00EE68B6"/>
    <w:rsid w:val="00EE68BB"/>
    <w:rsid w:val="00EE7FDA"/>
    <w:rsid w:val="00EF27F0"/>
    <w:rsid w:val="00EF2A30"/>
    <w:rsid w:val="00EF3F10"/>
    <w:rsid w:val="00F121AC"/>
    <w:rsid w:val="00F15585"/>
    <w:rsid w:val="00F23048"/>
    <w:rsid w:val="00F23C4B"/>
    <w:rsid w:val="00F25A17"/>
    <w:rsid w:val="00F25F67"/>
    <w:rsid w:val="00F36B35"/>
    <w:rsid w:val="00F54B75"/>
    <w:rsid w:val="00F55BB9"/>
    <w:rsid w:val="00F82EB5"/>
    <w:rsid w:val="00FA1736"/>
    <w:rsid w:val="00FD107E"/>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A30"/>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A94528"/>
    <w:pPr>
      <w:tabs>
        <w:tab w:val="center" w:pos="4513"/>
        <w:tab w:val="right" w:pos="9026"/>
      </w:tabs>
      <w:spacing w:after="0"/>
      <w:jc w:val="right"/>
    </w:pPr>
    <w:rPr>
      <w:sz w:val="17"/>
    </w:rPr>
  </w:style>
  <w:style w:type="character" w:customStyle="1" w:styleId="FooterChar">
    <w:name w:val="Footer Char"/>
    <w:basedOn w:val="DefaultParagraphFont"/>
    <w:link w:val="Footer"/>
    <w:uiPriority w:val="99"/>
    <w:rsid w:val="00A94528"/>
    <w:rPr>
      <w:sz w:val="17"/>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link w:val="BodyChar"/>
    <w:qFormat/>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EF2A30"/>
    <w:pPr>
      <w:spacing w:after="80" w:line="240" w:lineRule="auto"/>
    </w:pPr>
    <w:rPr>
      <w:sz w:val="20"/>
    </w:rPr>
    <w:tblPr/>
    <w:tcPr>
      <w:shd w:val="clear" w:color="auto" w:fill="auto"/>
      <w:tcMar>
        <w:top w:w="28" w:type="dxa"/>
        <w:left w:w="0" w:type="dxa"/>
        <w:bottom w:w="0" w:type="dxa"/>
        <w:right w:w="0"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basedOn w:val="Normal"/>
    <w:uiPriority w:val="1"/>
    <w:rsid w:val="00A94528"/>
    <w:pPr>
      <w:spacing w:after="0"/>
    </w:pPr>
    <w:rPr>
      <w:rFonts w:eastAsiaTheme="minorEastAsia"/>
      <w:sz w:val="22"/>
      <w:lang w:eastAsia="en-AU"/>
    </w:rPr>
  </w:style>
  <w:style w:type="character" w:customStyle="1" w:styleId="BodyChar">
    <w:name w:val="Body Char"/>
    <w:basedOn w:val="DefaultParagraphFont"/>
    <w:link w:val="Body"/>
    <w:rsid w:val="00A94528"/>
    <w:rPr>
      <w:rFonts w:ascii="News Gothic Com Light" w:hAnsi="News Gothic Com Light" w:cs="News Gothic Com Light"/>
      <w:color w:val="000000"/>
      <w:sz w:val="20"/>
      <w:szCs w:val="20"/>
      <w:lang w:val="en-US"/>
    </w:rPr>
  </w:style>
  <w:style w:type="paragraph" w:customStyle="1" w:styleId="SubjectHeading">
    <w:name w:val="Subject Heading"/>
    <w:basedOn w:val="Heading1"/>
    <w:qFormat/>
    <w:rsid w:val="00A94528"/>
    <w:pPr>
      <w:keepNext w:val="0"/>
      <w:keepLines w:val="0"/>
      <w:spacing w:before="480" w:after="240" w:line="276" w:lineRule="auto"/>
      <w:contextualSpacing/>
      <w:jc w:val="center"/>
    </w:pPr>
    <w:rPr>
      <w:rFonts w:asciiTheme="minorHAnsi" w:hAnsiTheme="minorHAnsi"/>
      <w:bCs/>
      <w:color w:val="auto"/>
      <w:sz w:val="22"/>
      <w:szCs w:val="22"/>
      <w:lang w:eastAsia="en-AU"/>
    </w:rPr>
  </w:style>
  <w:style w:type="paragraph" w:customStyle="1" w:styleId="Reference">
    <w:name w:val="Reference"/>
    <w:basedOn w:val="Normal"/>
    <w:qFormat/>
    <w:rsid w:val="00EF2A30"/>
    <w:pPr>
      <w:spacing w:after="0"/>
    </w:pPr>
  </w:style>
  <w:style w:type="paragraph" w:customStyle="1" w:styleId="Name">
    <w:name w:val="Name"/>
    <w:basedOn w:val="Normal"/>
    <w:qFormat/>
    <w:rsid w:val="00D854F3"/>
    <w:pPr>
      <w:spacing w:after="480"/>
      <w:jc w:val="right"/>
    </w:pPr>
  </w:style>
  <w:style w:type="paragraph" w:customStyle="1" w:styleId="Suburb">
    <w:name w:val="Suburb"/>
    <w:basedOn w:val="Normal"/>
    <w:qFormat/>
    <w:rsid w:val="00D854F3"/>
    <w:pPr>
      <w:spacing w:after="480"/>
    </w:pPr>
  </w:style>
  <w:style w:type="paragraph" w:customStyle="1" w:styleId="Yourssincerly">
    <w:name w:val="Yours sincerly"/>
    <w:basedOn w:val="Suburb"/>
    <w:qFormat/>
    <w:rsid w:val="00D854F3"/>
    <w:pPr>
      <w:spacing w:before="480"/>
    </w:pPr>
  </w:style>
  <w:style w:type="paragraph" w:customStyle="1" w:styleId="Body0">
    <w:name w:val="Body 0"/>
    <w:basedOn w:val="NoParagraphStyle"/>
    <w:uiPriority w:val="99"/>
    <w:rsid w:val="00410543"/>
    <w:pPr>
      <w:suppressAutoHyphens/>
      <w:spacing w:after="113" w:line="260" w:lineRule="atLeast"/>
    </w:pPr>
    <w:rPr>
      <w:rFonts w:ascii="PublicSans-Regular" w:hAnsi="PublicSans-Regular" w:cs="PublicSans-Regular"/>
      <w:spacing w:val="-3"/>
      <w:sz w:val="20"/>
      <w:szCs w:val="20"/>
      <w:lang w:val="en-GB"/>
    </w:rPr>
  </w:style>
  <w:style w:type="paragraph" w:customStyle="1" w:styleId="Bullets6">
    <w:name w:val="Bullets 6"/>
    <w:basedOn w:val="Body0"/>
    <w:uiPriority w:val="99"/>
    <w:rsid w:val="00620B1F"/>
    <w:pPr>
      <w:spacing w:after="57"/>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51143">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23451602">
      <w:bodyDiv w:val="1"/>
      <w:marLeft w:val="0"/>
      <w:marRight w:val="0"/>
      <w:marTop w:val="0"/>
      <w:marBottom w:val="0"/>
      <w:divBdr>
        <w:top w:val="none" w:sz="0" w:space="0" w:color="auto"/>
        <w:left w:val="none" w:sz="0" w:space="0" w:color="auto"/>
        <w:bottom w:val="none" w:sz="0" w:space="0" w:color="auto"/>
        <w:right w:val="none" w:sz="0" w:space="0" w:color="auto"/>
      </w:divBdr>
    </w:div>
    <w:div w:id="1504393647">
      <w:bodyDiv w:val="1"/>
      <w:marLeft w:val="0"/>
      <w:marRight w:val="0"/>
      <w:marTop w:val="0"/>
      <w:marBottom w:val="0"/>
      <w:divBdr>
        <w:top w:val="none" w:sz="0" w:space="0" w:color="auto"/>
        <w:left w:val="none" w:sz="0" w:space="0" w:color="auto"/>
        <w:bottom w:val="none" w:sz="0" w:space="0" w:color="auto"/>
        <w:right w:val="none" w:sz="0" w:space="0" w:color="auto"/>
      </w:divBdr>
    </w:div>
    <w:div w:id="15317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FD1BEA8B8FE41B469E400E6843303" ma:contentTypeVersion="12" ma:contentTypeDescription="Create a new document." ma:contentTypeScope="" ma:versionID="31251de1a35b4f7f1360b2a7a507b6f7">
  <xsd:schema xmlns:xsd="http://www.w3.org/2001/XMLSchema" xmlns:xs="http://www.w3.org/2001/XMLSchema" xmlns:p="http://schemas.microsoft.com/office/2006/metadata/properties" xmlns:ns3="25fbde7a-b22a-4f70-aeb7-4490589b2830" xmlns:ns4="c435b9f9-7a79-4c1c-ab3a-ef5ecfdb3564" targetNamespace="http://schemas.microsoft.com/office/2006/metadata/properties" ma:root="true" ma:fieldsID="1080342d4257f860fbc4725372b8a80a" ns3:_="" ns4:_="">
    <xsd:import namespace="25fbde7a-b22a-4f70-aeb7-4490589b2830"/>
    <xsd:import namespace="c435b9f9-7a79-4c1c-ab3a-ef5ecfdb35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bde7a-b22a-4f70-aeb7-4490589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5b9f9-7a79-4c1c-ab3a-ef5ecfdb3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9183-5962-4B17-B1F2-2240735B0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bde7a-b22a-4f70-aeb7-4490589b2830"/>
    <ds:schemaRef ds:uri="c435b9f9-7a79-4c1c-ab3a-ef5ecfdb3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ABA4C-64F8-4264-AC2F-773EE00AF582}">
  <ds:schemaRefs>
    <ds:schemaRef ds:uri="http://schemas.microsoft.com/sharepoint/v3/contenttype/forms"/>
  </ds:schemaRefs>
</ds:datastoreItem>
</file>

<file path=customXml/itemProps3.xml><?xml version="1.0" encoding="utf-8"?>
<ds:datastoreItem xmlns:ds="http://schemas.openxmlformats.org/officeDocument/2006/customXml" ds:itemID="{E125E38A-A226-45DE-B9C6-FE9A75878C5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5fbde7a-b22a-4f70-aeb7-4490589b2830"/>
    <ds:schemaRef ds:uri="c435b9f9-7a79-4c1c-ab3a-ef5ecfdb3564"/>
    <ds:schemaRef ds:uri="http://www.w3.org/XML/1998/namespace"/>
  </ds:schemaRefs>
</ds:datastoreItem>
</file>

<file path=customXml/itemProps4.xml><?xml version="1.0" encoding="utf-8"?>
<ds:datastoreItem xmlns:ds="http://schemas.openxmlformats.org/officeDocument/2006/customXml" ds:itemID="{EEB96971-5F02-43B9-9C93-E1061F9D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Desiree Kora</cp:lastModifiedBy>
  <cp:revision>2</cp:revision>
  <dcterms:created xsi:type="dcterms:W3CDTF">2022-09-20T03:09:00Z</dcterms:created>
  <dcterms:modified xsi:type="dcterms:W3CDTF">2022-09-20T03:09:00Z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2022-04-10T01:10:28Z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ac507ce3-6bb6-4824-acf4-6f8763c915cf</vt:lpwstr>
  </property>
  <property fmtid="{D5CDD505-2E9C-101B-9397-08002B2CF9AE}" pid="8" name="MSIP_Label_5f877481-9e35-4b68-b667-876a73c6db41_ContentBits">
    <vt:lpwstr>0</vt:lpwstr>
  </property>
  <property fmtid="{D5CDD505-2E9C-101B-9397-08002B2CF9AE}" pid="9" name="ContentTypeId">
    <vt:lpwstr>0x0101002DCFD1BEA8B8FE41B469E400E6843303</vt:lpwstr>
  </property>
</Properties>
</file>