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A11BD" w14:textId="77777777" w:rsidR="00A75541" w:rsidRDefault="00941CE4" w:rsidP="00A75541">
      <w:pPr>
        <w:spacing w:before="360"/>
        <w:jc w:val="center"/>
      </w:pPr>
      <w:r>
        <w:rPr>
          <w:caps/>
          <w:noProof/>
          <w:lang w:eastAsia="en-AU"/>
        </w:rPr>
        <w:drawing>
          <wp:inline distT="0" distB="0" distL="0" distR="0" wp14:anchorId="34655E2C" wp14:editId="2FDA9BF2">
            <wp:extent cx="2465705" cy="1371600"/>
            <wp:effectExtent l="0" t="0" r="0" b="0"/>
            <wp:docPr id="5" name="Picture 2"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ustralian Government Crest"/>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34C743B2" w14:textId="239ECF7F" w:rsidR="00A75541" w:rsidRPr="006C680B" w:rsidRDefault="00941CE4" w:rsidP="006C680B">
      <w:pPr>
        <w:pStyle w:val="Title"/>
      </w:pPr>
      <w:r w:rsidRPr="006C680B">
        <w:t xml:space="preserve">Australian Government response to the </w:t>
      </w:r>
      <w:r w:rsidRPr="006C680B">
        <w:br/>
      </w:r>
      <w:r w:rsidR="00B7630D" w:rsidRPr="006C680B">
        <w:t xml:space="preserve">Education and Employment Legislation Committee </w:t>
      </w:r>
      <w:r w:rsidRPr="006C680B">
        <w:t>report:</w:t>
      </w:r>
    </w:p>
    <w:p w14:paraId="5B7CDACE" w14:textId="6E63BAF9" w:rsidR="00A75541" w:rsidRPr="00ED3199" w:rsidRDefault="00B7630D" w:rsidP="00ED3199">
      <w:pPr>
        <w:pStyle w:val="Heading1"/>
      </w:pPr>
      <w:r w:rsidRPr="00ED3199">
        <w:t>Free TAFE Bill 2024 [Provisions]</w:t>
      </w:r>
    </w:p>
    <w:p w14:paraId="5FE2F430" w14:textId="5442778C" w:rsidR="00A75541" w:rsidRPr="00594A0A" w:rsidRDefault="00CC388A" w:rsidP="00A75541">
      <w:pPr>
        <w:spacing w:before="6840" w:after="120"/>
        <w:jc w:val="right"/>
        <w:rPr>
          <w:rFonts w:asciiTheme="minorHAnsi" w:hAnsiTheme="minorHAnsi" w:cstheme="minorHAnsi"/>
          <w:caps/>
          <w:sz w:val="28"/>
          <w:szCs w:val="28"/>
        </w:rPr>
      </w:pPr>
      <w:r>
        <w:rPr>
          <w:rFonts w:asciiTheme="minorHAnsi" w:hAnsiTheme="minorHAnsi" w:cstheme="minorHAnsi"/>
          <w:iCs/>
          <w:caps/>
          <w:sz w:val="28"/>
          <w:szCs w:val="28"/>
        </w:rPr>
        <w:t>OCTOBER</w:t>
      </w:r>
      <w:r w:rsidR="00B7630D">
        <w:rPr>
          <w:rFonts w:asciiTheme="minorHAnsi" w:hAnsiTheme="minorHAnsi" w:cstheme="minorHAnsi"/>
          <w:iCs/>
          <w:caps/>
          <w:sz w:val="28"/>
          <w:szCs w:val="28"/>
        </w:rPr>
        <w:t xml:space="preserve"> 2025</w:t>
      </w:r>
    </w:p>
    <w:p w14:paraId="53420FD2" w14:textId="77777777" w:rsidR="00A75541" w:rsidRDefault="00941CE4">
      <w:pPr>
        <w:spacing w:after="200" w:line="276" w:lineRule="auto"/>
      </w:pPr>
      <w:r>
        <w:br w:type="page"/>
      </w:r>
    </w:p>
    <w:p w14:paraId="6D6F1B3D" w14:textId="77777777" w:rsidR="00CC388A" w:rsidRPr="00ED3199" w:rsidRDefault="00CC388A" w:rsidP="00ED3199">
      <w:pPr>
        <w:pStyle w:val="Heading2"/>
      </w:pPr>
      <w:r w:rsidRPr="00ED3199">
        <w:lastRenderedPageBreak/>
        <w:t>Overview</w:t>
      </w:r>
    </w:p>
    <w:p w14:paraId="5A74D311" w14:textId="77777777" w:rsidR="00CC388A" w:rsidRDefault="00CC388A" w:rsidP="00CC388A">
      <w:pPr>
        <w:spacing w:before="120"/>
        <w:rPr>
          <w:rFonts w:asciiTheme="minorHAnsi" w:hAnsiTheme="minorHAnsi" w:cstheme="minorHAnsi"/>
          <w:iCs/>
        </w:rPr>
      </w:pPr>
      <w:r w:rsidRPr="00D119B7">
        <w:rPr>
          <w:rFonts w:asciiTheme="minorHAnsi" w:hAnsiTheme="minorHAnsi" w:cstheme="minorHAnsi"/>
          <w:iCs/>
        </w:rPr>
        <w:t xml:space="preserve">The Australian Government is committed </w:t>
      </w:r>
      <w:r>
        <w:rPr>
          <w:rFonts w:asciiTheme="minorHAnsi" w:hAnsiTheme="minorHAnsi" w:cstheme="minorHAnsi"/>
          <w:iCs/>
        </w:rPr>
        <w:t xml:space="preserve">to </w:t>
      </w:r>
      <w:r w:rsidRPr="00CB04FC">
        <w:rPr>
          <w:rFonts w:asciiTheme="minorHAnsi" w:hAnsiTheme="minorHAnsi" w:cstheme="minorHAnsi"/>
          <w:iCs/>
        </w:rPr>
        <w:t xml:space="preserve">ensuring </w:t>
      </w:r>
      <w:r>
        <w:rPr>
          <w:rFonts w:asciiTheme="minorHAnsi" w:hAnsiTheme="minorHAnsi" w:cstheme="minorHAnsi"/>
          <w:iCs/>
        </w:rPr>
        <w:t>Austra</w:t>
      </w:r>
      <w:r w:rsidRPr="00343639">
        <w:rPr>
          <w:rFonts w:asciiTheme="minorHAnsi" w:hAnsiTheme="minorHAnsi" w:cstheme="minorHAnsi"/>
          <w:iCs/>
        </w:rPr>
        <w:t xml:space="preserve">lia’s vocational education and training (VET) sector </w:t>
      </w:r>
      <w:r>
        <w:rPr>
          <w:rFonts w:asciiTheme="minorHAnsi" w:hAnsiTheme="minorHAnsi" w:cstheme="minorHAnsi"/>
          <w:iCs/>
        </w:rPr>
        <w:t>delivers</w:t>
      </w:r>
      <w:r w:rsidRPr="00343639">
        <w:rPr>
          <w:rFonts w:asciiTheme="minorHAnsi" w:hAnsiTheme="minorHAnsi" w:cstheme="minorHAnsi"/>
          <w:iCs/>
        </w:rPr>
        <w:t xml:space="preserve"> high</w:t>
      </w:r>
      <w:r>
        <w:rPr>
          <w:rFonts w:asciiTheme="minorHAnsi" w:hAnsiTheme="minorHAnsi" w:cstheme="minorHAnsi"/>
          <w:iCs/>
        </w:rPr>
        <w:t>-</w:t>
      </w:r>
      <w:r w:rsidRPr="00343639">
        <w:rPr>
          <w:rFonts w:asciiTheme="minorHAnsi" w:hAnsiTheme="minorHAnsi" w:cstheme="minorHAnsi"/>
          <w:iCs/>
        </w:rPr>
        <w:t>quality, responsive and accessible education and training</w:t>
      </w:r>
      <w:r>
        <w:rPr>
          <w:rFonts w:asciiTheme="minorHAnsi" w:hAnsiTheme="minorHAnsi" w:cstheme="minorHAnsi"/>
          <w:iCs/>
        </w:rPr>
        <w:t xml:space="preserve"> </w:t>
      </w:r>
      <w:r w:rsidRPr="00343639">
        <w:rPr>
          <w:rFonts w:asciiTheme="minorHAnsi" w:hAnsiTheme="minorHAnsi" w:cstheme="minorHAnsi"/>
          <w:iCs/>
        </w:rPr>
        <w:t>to boost productivity</w:t>
      </w:r>
      <w:r>
        <w:rPr>
          <w:rFonts w:asciiTheme="minorHAnsi" w:hAnsiTheme="minorHAnsi" w:cstheme="minorHAnsi"/>
          <w:iCs/>
        </w:rPr>
        <w:t>, address skills shortages,</w:t>
      </w:r>
      <w:r w:rsidRPr="00343639">
        <w:rPr>
          <w:rFonts w:asciiTheme="minorHAnsi" w:hAnsiTheme="minorHAnsi" w:cstheme="minorHAnsi"/>
          <w:iCs/>
        </w:rPr>
        <w:t xml:space="preserve"> and support Australians to obtain </w:t>
      </w:r>
      <w:r w:rsidRPr="00CB04FC">
        <w:rPr>
          <w:rFonts w:asciiTheme="minorHAnsi" w:hAnsiTheme="minorHAnsi" w:cstheme="minorHAnsi"/>
          <w:iCs/>
        </w:rPr>
        <w:t>secure</w:t>
      </w:r>
      <w:r>
        <w:rPr>
          <w:rFonts w:asciiTheme="minorHAnsi" w:hAnsiTheme="minorHAnsi" w:cstheme="minorHAnsi"/>
          <w:iCs/>
        </w:rPr>
        <w:t xml:space="preserve"> and </w:t>
      </w:r>
      <w:r w:rsidRPr="00CB04FC">
        <w:rPr>
          <w:rFonts w:asciiTheme="minorHAnsi" w:hAnsiTheme="minorHAnsi" w:cstheme="minorHAnsi"/>
          <w:iCs/>
        </w:rPr>
        <w:t>well-paid jobs</w:t>
      </w:r>
      <w:r>
        <w:rPr>
          <w:rFonts w:asciiTheme="minorHAnsi" w:hAnsiTheme="minorHAnsi" w:cstheme="minorHAnsi"/>
          <w:iCs/>
        </w:rPr>
        <w:t>, including those</w:t>
      </w:r>
      <w:bookmarkStart w:id="0" w:name="_Hlk198622212"/>
      <w:r w:rsidRPr="00343639">
        <w:rPr>
          <w:rFonts w:asciiTheme="minorHAnsi" w:hAnsiTheme="minorHAnsi" w:cstheme="minorHAnsi"/>
          <w:iCs/>
        </w:rPr>
        <w:t xml:space="preserve"> who </w:t>
      </w:r>
      <w:r>
        <w:rPr>
          <w:rFonts w:asciiTheme="minorHAnsi" w:hAnsiTheme="minorHAnsi" w:cstheme="minorHAnsi"/>
          <w:iCs/>
        </w:rPr>
        <w:t>typically face</w:t>
      </w:r>
      <w:r w:rsidRPr="00343639">
        <w:rPr>
          <w:rFonts w:asciiTheme="minorHAnsi" w:hAnsiTheme="minorHAnsi" w:cstheme="minorHAnsi"/>
          <w:iCs/>
        </w:rPr>
        <w:t xml:space="preserve"> barriers to </w:t>
      </w:r>
      <w:r>
        <w:rPr>
          <w:rFonts w:asciiTheme="minorHAnsi" w:hAnsiTheme="minorHAnsi" w:cstheme="minorHAnsi"/>
          <w:iCs/>
        </w:rPr>
        <w:t>participating</w:t>
      </w:r>
      <w:r w:rsidRPr="00343639">
        <w:rPr>
          <w:rFonts w:asciiTheme="minorHAnsi" w:hAnsiTheme="minorHAnsi" w:cstheme="minorHAnsi"/>
          <w:iCs/>
        </w:rPr>
        <w:t xml:space="preserve"> </w:t>
      </w:r>
      <w:r>
        <w:rPr>
          <w:rFonts w:asciiTheme="minorHAnsi" w:hAnsiTheme="minorHAnsi" w:cstheme="minorHAnsi"/>
          <w:iCs/>
        </w:rPr>
        <w:t>in education and employment.</w:t>
      </w:r>
    </w:p>
    <w:bookmarkEnd w:id="0"/>
    <w:p w14:paraId="4ED22032" w14:textId="77777777" w:rsidR="00CC388A" w:rsidRDefault="00CC388A" w:rsidP="00CC388A">
      <w:pPr>
        <w:spacing w:before="120"/>
        <w:rPr>
          <w:rFonts w:asciiTheme="minorHAnsi" w:hAnsiTheme="minorHAnsi" w:cstheme="minorHAnsi"/>
          <w:iCs/>
        </w:rPr>
      </w:pPr>
      <w:r w:rsidRPr="005D493B">
        <w:rPr>
          <w:rFonts w:asciiTheme="minorHAnsi" w:hAnsiTheme="minorHAnsi" w:cstheme="minorHAnsi"/>
          <w:iCs/>
        </w:rPr>
        <w:t xml:space="preserve">The </w:t>
      </w:r>
      <w:r>
        <w:rPr>
          <w:rFonts w:asciiTheme="minorHAnsi" w:hAnsiTheme="minorHAnsi" w:cstheme="minorHAnsi"/>
          <w:iCs/>
        </w:rPr>
        <w:t>government</w:t>
      </w:r>
      <w:r w:rsidRPr="005D493B">
        <w:rPr>
          <w:rFonts w:asciiTheme="minorHAnsi" w:hAnsiTheme="minorHAnsi" w:cstheme="minorHAnsi"/>
          <w:iCs/>
        </w:rPr>
        <w:t xml:space="preserve"> has made Free TAFE a permanent feature of the national VET system, supporting at least 100,000 Free TAFE and VET places per year from 2027</w:t>
      </w:r>
      <w:r>
        <w:rPr>
          <w:rFonts w:asciiTheme="minorHAnsi" w:hAnsiTheme="minorHAnsi" w:cstheme="minorHAnsi"/>
          <w:iCs/>
        </w:rPr>
        <w:t>,</w:t>
      </w:r>
      <w:r w:rsidRPr="005D493B">
        <w:rPr>
          <w:rFonts w:asciiTheme="minorHAnsi" w:hAnsiTheme="minorHAnsi" w:cstheme="minorHAnsi"/>
          <w:iCs/>
        </w:rPr>
        <w:t xml:space="preserve"> indexed to population growth</w:t>
      </w:r>
      <w:r>
        <w:rPr>
          <w:rFonts w:asciiTheme="minorHAnsi" w:hAnsiTheme="minorHAnsi" w:cstheme="minorHAnsi"/>
          <w:iCs/>
        </w:rPr>
        <w:t xml:space="preserve">. </w:t>
      </w:r>
    </w:p>
    <w:p w14:paraId="6E2A0304" w14:textId="77777777" w:rsidR="00CC388A" w:rsidRDefault="00CC388A" w:rsidP="00CC388A">
      <w:pPr>
        <w:spacing w:before="120"/>
        <w:rPr>
          <w:rFonts w:asciiTheme="minorHAnsi" w:hAnsiTheme="minorHAnsi" w:cstheme="minorHAnsi"/>
          <w:iCs/>
        </w:rPr>
      </w:pPr>
      <w:r>
        <w:rPr>
          <w:rFonts w:asciiTheme="minorHAnsi" w:hAnsiTheme="minorHAnsi" w:cstheme="minorHAnsi"/>
          <w:iCs/>
        </w:rPr>
        <w:t>It is</w:t>
      </w:r>
      <w:r w:rsidRPr="005D493B">
        <w:rPr>
          <w:rFonts w:asciiTheme="minorHAnsi" w:hAnsiTheme="minorHAnsi" w:cstheme="minorHAnsi"/>
          <w:iCs/>
        </w:rPr>
        <w:t xml:space="preserve"> underpinned by the </w:t>
      </w:r>
      <w:r w:rsidRPr="00AC1B52">
        <w:rPr>
          <w:rFonts w:asciiTheme="minorHAnsi" w:hAnsiTheme="minorHAnsi" w:cstheme="minorHAnsi"/>
          <w:i/>
        </w:rPr>
        <w:t>Free TAFE Act 2025</w:t>
      </w:r>
      <w:r>
        <w:rPr>
          <w:rFonts w:asciiTheme="minorHAnsi" w:hAnsiTheme="minorHAnsi" w:cstheme="minorHAnsi"/>
          <w:iCs/>
        </w:rPr>
        <w:t xml:space="preserve"> which</w:t>
      </w:r>
      <w:r w:rsidRPr="005D493B">
        <w:rPr>
          <w:rFonts w:asciiTheme="minorHAnsi" w:hAnsiTheme="minorHAnsi" w:cstheme="minorHAnsi"/>
          <w:iCs/>
        </w:rPr>
        <w:t xml:space="preserve"> </w:t>
      </w:r>
      <w:r w:rsidRPr="009E38BB">
        <w:rPr>
          <w:rFonts w:asciiTheme="minorHAnsi" w:hAnsiTheme="minorHAnsi" w:cstheme="minorHAnsi"/>
          <w:iCs/>
        </w:rPr>
        <w:t>commenced</w:t>
      </w:r>
      <w:r>
        <w:rPr>
          <w:rFonts w:asciiTheme="minorHAnsi" w:hAnsiTheme="minorHAnsi" w:cstheme="minorHAnsi"/>
          <w:iCs/>
        </w:rPr>
        <w:t xml:space="preserve"> on</w:t>
      </w:r>
      <w:r w:rsidRPr="009E38BB">
        <w:rPr>
          <w:rFonts w:asciiTheme="minorHAnsi" w:hAnsiTheme="minorHAnsi" w:cstheme="minorHAnsi"/>
          <w:iCs/>
        </w:rPr>
        <w:t xml:space="preserve"> 28</w:t>
      </w:r>
      <w:r>
        <w:rPr>
          <w:rFonts w:asciiTheme="minorHAnsi" w:hAnsiTheme="minorHAnsi" w:cstheme="minorHAnsi"/>
          <w:iCs/>
        </w:rPr>
        <w:t> </w:t>
      </w:r>
      <w:r w:rsidRPr="009E38BB">
        <w:rPr>
          <w:rFonts w:asciiTheme="minorHAnsi" w:hAnsiTheme="minorHAnsi" w:cstheme="minorHAnsi"/>
          <w:iCs/>
        </w:rPr>
        <w:t>March 2025</w:t>
      </w:r>
      <w:r>
        <w:rPr>
          <w:rFonts w:asciiTheme="minorHAnsi" w:hAnsiTheme="minorHAnsi" w:cstheme="minorHAnsi"/>
          <w:iCs/>
        </w:rPr>
        <w:t>. The Act</w:t>
      </w:r>
      <w:r w:rsidRPr="00E82203">
        <w:rPr>
          <w:rFonts w:asciiTheme="minorHAnsi" w:hAnsiTheme="minorHAnsi" w:cstheme="minorHAnsi"/>
          <w:iCs/>
        </w:rPr>
        <w:t xml:space="preserve"> </w:t>
      </w:r>
      <w:r w:rsidRPr="005D493B">
        <w:rPr>
          <w:rFonts w:asciiTheme="minorHAnsi" w:hAnsiTheme="minorHAnsi" w:cstheme="minorHAnsi"/>
          <w:iCs/>
        </w:rPr>
        <w:t>establish</w:t>
      </w:r>
      <w:r>
        <w:rPr>
          <w:rFonts w:asciiTheme="minorHAnsi" w:hAnsiTheme="minorHAnsi" w:cstheme="minorHAnsi"/>
          <w:iCs/>
        </w:rPr>
        <w:t>es</w:t>
      </w:r>
      <w:r w:rsidRPr="005D493B">
        <w:rPr>
          <w:rFonts w:asciiTheme="minorHAnsi" w:hAnsiTheme="minorHAnsi" w:cstheme="minorHAnsi"/>
          <w:iCs/>
        </w:rPr>
        <w:t xml:space="preserve"> an ongoing commitment to a grant of Commonwealth financial assistance to states to deliver Free TAFE places</w:t>
      </w:r>
      <w:r>
        <w:rPr>
          <w:rFonts w:asciiTheme="minorHAnsi" w:hAnsiTheme="minorHAnsi" w:cstheme="minorHAnsi"/>
          <w:iCs/>
        </w:rPr>
        <w:t xml:space="preserve"> and provides </w:t>
      </w:r>
      <w:r w:rsidRPr="00234A23">
        <w:rPr>
          <w:rFonts w:asciiTheme="minorHAnsi" w:hAnsiTheme="minorHAnsi" w:cstheme="minorHAnsi"/>
          <w:iCs/>
        </w:rPr>
        <w:t>certainty</w:t>
      </w:r>
      <w:r w:rsidRPr="000C0CFB">
        <w:rPr>
          <w:rFonts w:asciiTheme="minorHAnsi" w:hAnsiTheme="minorHAnsi" w:cstheme="minorHAnsi"/>
          <w:iCs/>
        </w:rPr>
        <w:t xml:space="preserve"> to students, teachers and trainers, VET providers, industry</w:t>
      </w:r>
      <w:r>
        <w:rPr>
          <w:rFonts w:asciiTheme="minorHAnsi" w:hAnsiTheme="minorHAnsi" w:cstheme="minorHAnsi"/>
          <w:iCs/>
        </w:rPr>
        <w:t>,</w:t>
      </w:r>
      <w:r w:rsidRPr="000C0CFB">
        <w:rPr>
          <w:rFonts w:asciiTheme="minorHAnsi" w:hAnsiTheme="minorHAnsi" w:cstheme="minorHAnsi"/>
          <w:iCs/>
        </w:rPr>
        <w:t xml:space="preserve"> </w:t>
      </w:r>
      <w:r>
        <w:rPr>
          <w:rFonts w:asciiTheme="minorHAnsi" w:hAnsiTheme="minorHAnsi" w:cstheme="minorHAnsi"/>
          <w:iCs/>
        </w:rPr>
        <w:t xml:space="preserve">and </w:t>
      </w:r>
      <w:r w:rsidRPr="000C0CFB">
        <w:rPr>
          <w:rFonts w:asciiTheme="minorHAnsi" w:hAnsiTheme="minorHAnsi" w:cstheme="minorHAnsi"/>
          <w:iCs/>
        </w:rPr>
        <w:t>states</w:t>
      </w:r>
      <w:r>
        <w:rPr>
          <w:rFonts w:asciiTheme="minorHAnsi" w:hAnsiTheme="minorHAnsi" w:cstheme="minorHAnsi"/>
          <w:iCs/>
        </w:rPr>
        <w:t xml:space="preserve"> and territories</w:t>
      </w:r>
      <w:r w:rsidRPr="000C0CFB">
        <w:rPr>
          <w:rFonts w:asciiTheme="minorHAnsi" w:hAnsiTheme="minorHAnsi" w:cstheme="minorHAnsi"/>
          <w:iCs/>
        </w:rPr>
        <w:t xml:space="preserve"> that Free TAFE will remain an ongoing </w:t>
      </w:r>
      <w:r>
        <w:rPr>
          <w:rFonts w:asciiTheme="minorHAnsi" w:hAnsiTheme="minorHAnsi" w:cstheme="minorHAnsi"/>
          <w:iCs/>
        </w:rPr>
        <w:t>national progra</w:t>
      </w:r>
      <w:r w:rsidRPr="000C0CFB">
        <w:rPr>
          <w:rFonts w:asciiTheme="minorHAnsi" w:hAnsiTheme="minorHAnsi" w:cstheme="minorHAnsi"/>
          <w:iCs/>
        </w:rPr>
        <w:t>m. </w:t>
      </w:r>
    </w:p>
    <w:p w14:paraId="5CC29D06" w14:textId="77777777" w:rsidR="00CC388A" w:rsidRDefault="00CC388A" w:rsidP="00CC388A">
      <w:pPr>
        <w:spacing w:before="120"/>
        <w:rPr>
          <w:rFonts w:asciiTheme="minorHAnsi" w:hAnsiTheme="minorHAnsi" w:cstheme="minorHAnsi"/>
          <w:iCs/>
        </w:rPr>
      </w:pPr>
      <w:r w:rsidRPr="005D493B">
        <w:rPr>
          <w:rFonts w:asciiTheme="minorHAnsi" w:hAnsiTheme="minorHAnsi" w:cstheme="minorHAnsi"/>
          <w:iCs/>
        </w:rPr>
        <w:t xml:space="preserve">Free TAFE places will be prioritised to </w:t>
      </w:r>
      <w:r>
        <w:rPr>
          <w:rFonts w:asciiTheme="minorHAnsi" w:hAnsiTheme="minorHAnsi" w:cstheme="minorHAnsi"/>
          <w:iCs/>
        </w:rPr>
        <w:t xml:space="preserve">vulnerable </w:t>
      </w:r>
      <w:r w:rsidRPr="005D493B">
        <w:rPr>
          <w:rFonts w:asciiTheme="minorHAnsi" w:hAnsiTheme="minorHAnsi" w:cstheme="minorHAnsi"/>
          <w:iCs/>
        </w:rPr>
        <w:t xml:space="preserve">cohorts and will be offered in fields of study in high demand and of national and state priority. It </w:t>
      </w:r>
      <w:r>
        <w:rPr>
          <w:rFonts w:asciiTheme="minorHAnsi" w:hAnsiTheme="minorHAnsi" w:cstheme="minorHAnsi"/>
          <w:iCs/>
        </w:rPr>
        <w:t>will provide</w:t>
      </w:r>
      <w:r w:rsidRPr="005D493B">
        <w:rPr>
          <w:rFonts w:asciiTheme="minorHAnsi" w:hAnsiTheme="minorHAnsi" w:cstheme="minorHAnsi"/>
          <w:iCs/>
        </w:rPr>
        <w:t xml:space="preserve"> cost-of-living relief to those who benefit most through the removal of tuition fees and by reducing the debt burden a student may carry over their lifetime</w:t>
      </w:r>
      <w:r>
        <w:rPr>
          <w:rFonts w:asciiTheme="minorHAnsi" w:hAnsiTheme="minorHAnsi" w:cstheme="minorHAnsi"/>
          <w:iCs/>
        </w:rPr>
        <w:t xml:space="preserve">. It will support national prosperity through building the skilled workforce Australia needs both now and into the </w:t>
      </w:r>
      <w:proofErr w:type="gramStart"/>
      <w:r>
        <w:rPr>
          <w:rFonts w:asciiTheme="minorHAnsi" w:hAnsiTheme="minorHAnsi" w:cstheme="minorHAnsi"/>
          <w:iCs/>
        </w:rPr>
        <w:t>future, and</w:t>
      </w:r>
      <w:proofErr w:type="gramEnd"/>
      <w:r>
        <w:rPr>
          <w:rFonts w:asciiTheme="minorHAnsi" w:hAnsiTheme="minorHAnsi" w:cstheme="minorHAnsi"/>
          <w:iCs/>
        </w:rPr>
        <w:t xml:space="preserve"> </w:t>
      </w:r>
      <w:r w:rsidRPr="005D493B">
        <w:rPr>
          <w:rFonts w:asciiTheme="minorHAnsi" w:hAnsiTheme="minorHAnsi" w:cstheme="minorHAnsi"/>
          <w:iCs/>
        </w:rPr>
        <w:t xml:space="preserve">deliver on the Government’s commitment to put TAFE at the centre of </w:t>
      </w:r>
      <w:r>
        <w:rPr>
          <w:rFonts w:asciiTheme="minorHAnsi" w:hAnsiTheme="minorHAnsi" w:cstheme="minorHAnsi"/>
          <w:iCs/>
        </w:rPr>
        <w:t xml:space="preserve">the </w:t>
      </w:r>
      <w:r w:rsidRPr="005D493B">
        <w:rPr>
          <w:rFonts w:asciiTheme="minorHAnsi" w:hAnsiTheme="minorHAnsi" w:cstheme="minorHAnsi"/>
          <w:iCs/>
        </w:rPr>
        <w:t>VET</w:t>
      </w:r>
      <w:r>
        <w:rPr>
          <w:rFonts w:asciiTheme="minorHAnsi" w:hAnsiTheme="minorHAnsi" w:cstheme="minorHAnsi"/>
          <w:iCs/>
        </w:rPr>
        <w:t xml:space="preserve"> system</w:t>
      </w:r>
      <w:r w:rsidRPr="005D493B">
        <w:rPr>
          <w:rFonts w:asciiTheme="minorHAnsi" w:hAnsiTheme="minorHAnsi" w:cstheme="minorHAnsi"/>
          <w:iCs/>
        </w:rPr>
        <w:t>.</w:t>
      </w:r>
    </w:p>
    <w:p w14:paraId="310ED0AA" w14:textId="77777777" w:rsidR="00CC388A" w:rsidRDefault="00CC388A" w:rsidP="00CC388A">
      <w:pPr>
        <w:spacing w:before="120"/>
        <w:rPr>
          <w:rFonts w:asciiTheme="minorHAnsi" w:hAnsiTheme="minorHAnsi" w:cstheme="minorHAnsi"/>
          <w:iCs/>
        </w:rPr>
      </w:pPr>
      <w:bookmarkStart w:id="1" w:name="_Hlk198622259"/>
      <w:r w:rsidRPr="00347308">
        <w:rPr>
          <w:rFonts w:asciiTheme="minorHAnsi" w:hAnsiTheme="minorHAnsi" w:cstheme="minorHAnsi"/>
          <w:iCs/>
        </w:rPr>
        <w:t xml:space="preserve">Free TAFE </w:t>
      </w:r>
      <w:r>
        <w:rPr>
          <w:rFonts w:asciiTheme="minorHAnsi" w:hAnsiTheme="minorHAnsi" w:cstheme="minorHAnsi"/>
          <w:iCs/>
        </w:rPr>
        <w:t xml:space="preserve">builds </w:t>
      </w:r>
      <w:r w:rsidRPr="00347308">
        <w:rPr>
          <w:rFonts w:asciiTheme="minorHAnsi" w:hAnsiTheme="minorHAnsi" w:cstheme="minorHAnsi"/>
          <w:iCs/>
        </w:rPr>
        <w:t xml:space="preserve">on the success of the 2023-2026 </w:t>
      </w:r>
      <w:bookmarkEnd w:id="1"/>
      <w:r w:rsidRPr="00347308">
        <w:rPr>
          <w:rFonts w:asciiTheme="minorHAnsi" w:hAnsiTheme="minorHAnsi" w:cstheme="minorHAnsi"/>
          <w:iCs/>
        </w:rPr>
        <w:t xml:space="preserve">Fee-Free TAFE </w:t>
      </w:r>
      <w:r>
        <w:rPr>
          <w:rFonts w:asciiTheme="minorHAnsi" w:hAnsiTheme="minorHAnsi" w:cstheme="minorHAnsi"/>
          <w:iCs/>
        </w:rPr>
        <w:t>Skills A</w:t>
      </w:r>
      <w:r w:rsidRPr="00347308">
        <w:rPr>
          <w:rFonts w:asciiTheme="minorHAnsi" w:hAnsiTheme="minorHAnsi" w:cstheme="minorHAnsi"/>
          <w:iCs/>
        </w:rPr>
        <w:t xml:space="preserve">greement between the </w:t>
      </w:r>
      <w:r>
        <w:rPr>
          <w:rFonts w:asciiTheme="minorHAnsi" w:hAnsiTheme="minorHAnsi" w:cstheme="minorHAnsi"/>
          <w:iCs/>
        </w:rPr>
        <w:t>Commonwealth</w:t>
      </w:r>
      <w:r w:rsidRPr="00347308">
        <w:rPr>
          <w:rFonts w:asciiTheme="minorHAnsi" w:hAnsiTheme="minorHAnsi" w:cstheme="minorHAnsi"/>
          <w:iCs/>
        </w:rPr>
        <w:t xml:space="preserve"> and states and territories,</w:t>
      </w:r>
      <w:r>
        <w:rPr>
          <w:rFonts w:asciiTheme="minorHAnsi" w:hAnsiTheme="minorHAnsi" w:cstheme="minorHAnsi"/>
          <w:iCs/>
        </w:rPr>
        <w:t xml:space="preserve"> which is</w:t>
      </w:r>
      <w:r w:rsidRPr="00347308">
        <w:rPr>
          <w:rFonts w:asciiTheme="minorHAnsi" w:hAnsiTheme="minorHAnsi" w:cstheme="minorHAnsi"/>
          <w:iCs/>
        </w:rPr>
        <w:t xml:space="preserve"> delivering </w:t>
      </w:r>
      <w:r>
        <w:rPr>
          <w:rFonts w:asciiTheme="minorHAnsi" w:hAnsiTheme="minorHAnsi" w:cstheme="minorHAnsi"/>
          <w:iCs/>
        </w:rPr>
        <w:t xml:space="preserve">over </w:t>
      </w:r>
      <w:r w:rsidRPr="005D493B">
        <w:rPr>
          <w:rFonts w:asciiTheme="minorHAnsi" w:hAnsiTheme="minorHAnsi" w:cstheme="minorHAnsi"/>
          <w:iCs/>
        </w:rPr>
        <w:t>500,000 Fee-Free TAFE and VET places across Australia</w:t>
      </w:r>
      <w:r>
        <w:rPr>
          <w:rFonts w:asciiTheme="minorHAnsi" w:hAnsiTheme="minorHAnsi" w:cstheme="minorHAnsi"/>
          <w:iCs/>
        </w:rPr>
        <w:t xml:space="preserve">. </w:t>
      </w:r>
    </w:p>
    <w:p w14:paraId="2067C94D" w14:textId="77777777" w:rsidR="00CC388A" w:rsidRDefault="00CC388A" w:rsidP="00CC388A">
      <w:pPr>
        <w:spacing w:before="120"/>
        <w:rPr>
          <w:rFonts w:asciiTheme="minorHAnsi" w:hAnsiTheme="minorHAnsi" w:cstheme="minorHAnsi"/>
          <w:iCs/>
        </w:rPr>
      </w:pPr>
      <w:r>
        <w:rPr>
          <w:rFonts w:asciiTheme="minorHAnsi" w:hAnsiTheme="minorHAnsi" w:cstheme="minorHAnsi"/>
          <w:iCs/>
        </w:rPr>
        <w:t>F</w:t>
      </w:r>
      <w:r w:rsidRPr="008B416C">
        <w:rPr>
          <w:rFonts w:asciiTheme="minorHAnsi" w:hAnsiTheme="minorHAnsi" w:cstheme="minorHAnsi"/>
          <w:iCs/>
        </w:rPr>
        <w:t>rom 1 January 2023 to 30 September 2024, there have been over 568,400 enrolments nationally in Fee-Free TAFE.</w:t>
      </w:r>
      <w:r>
        <w:rPr>
          <w:rFonts w:asciiTheme="minorHAnsi" w:hAnsiTheme="minorHAnsi" w:cstheme="minorHAnsi"/>
          <w:iCs/>
        </w:rPr>
        <w:t xml:space="preserve"> </w:t>
      </w:r>
      <w:r w:rsidRPr="003227C7">
        <w:rPr>
          <w:rFonts w:asciiTheme="minorHAnsi" w:hAnsiTheme="minorHAnsi" w:cstheme="minorHAnsi"/>
          <w:iCs/>
        </w:rPr>
        <w:t xml:space="preserve">More than 60% of </w:t>
      </w:r>
      <w:r>
        <w:rPr>
          <w:rFonts w:asciiTheme="minorHAnsi" w:hAnsiTheme="minorHAnsi" w:cstheme="minorHAnsi"/>
          <w:iCs/>
        </w:rPr>
        <w:t>enrolments</w:t>
      </w:r>
      <w:r w:rsidRPr="003227C7">
        <w:rPr>
          <w:rFonts w:asciiTheme="minorHAnsi" w:hAnsiTheme="minorHAnsi" w:cstheme="minorHAnsi"/>
          <w:iCs/>
        </w:rPr>
        <w:t xml:space="preserve"> </w:t>
      </w:r>
      <w:r>
        <w:rPr>
          <w:rFonts w:asciiTheme="minorHAnsi" w:hAnsiTheme="minorHAnsi" w:cstheme="minorHAnsi"/>
          <w:iCs/>
        </w:rPr>
        <w:t>have been by</w:t>
      </w:r>
      <w:r w:rsidRPr="003227C7">
        <w:rPr>
          <w:rFonts w:asciiTheme="minorHAnsi" w:hAnsiTheme="minorHAnsi" w:cstheme="minorHAnsi"/>
          <w:iCs/>
        </w:rPr>
        <w:t xml:space="preserve"> women,</w:t>
      </w:r>
      <w:r>
        <w:rPr>
          <w:rFonts w:asciiTheme="minorHAnsi" w:hAnsiTheme="minorHAnsi" w:cstheme="minorHAnsi"/>
          <w:iCs/>
        </w:rPr>
        <w:t xml:space="preserve"> around 25% by jobseekers</w:t>
      </w:r>
      <w:r w:rsidRPr="003227C7">
        <w:rPr>
          <w:rFonts w:asciiTheme="minorHAnsi" w:hAnsiTheme="minorHAnsi" w:cstheme="minorHAnsi"/>
          <w:iCs/>
        </w:rPr>
        <w:t xml:space="preserve"> and more than 30% </w:t>
      </w:r>
      <w:r>
        <w:rPr>
          <w:rFonts w:asciiTheme="minorHAnsi" w:hAnsiTheme="minorHAnsi" w:cstheme="minorHAnsi"/>
          <w:iCs/>
        </w:rPr>
        <w:t>by students</w:t>
      </w:r>
      <w:r w:rsidRPr="003227C7">
        <w:rPr>
          <w:rFonts w:asciiTheme="minorHAnsi" w:hAnsiTheme="minorHAnsi" w:cstheme="minorHAnsi"/>
          <w:iCs/>
        </w:rPr>
        <w:t xml:space="preserve"> in regional areas. </w:t>
      </w:r>
      <w:r w:rsidRPr="008B416C">
        <w:rPr>
          <w:rFonts w:asciiTheme="minorHAnsi" w:hAnsiTheme="minorHAnsi" w:cstheme="minorHAnsi"/>
          <w:iCs/>
        </w:rPr>
        <w:t>It has supported over 150,000 care sector course enrolments, over 54,000 technology and digital sector course enrolments and over 39,000 construction sector course enrolments</w:t>
      </w:r>
      <w:r>
        <w:rPr>
          <w:rFonts w:asciiTheme="minorHAnsi" w:hAnsiTheme="minorHAnsi" w:cstheme="minorHAnsi"/>
          <w:iCs/>
        </w:rPr>
        <w:t>.</w:t>
      </w:r>
    </w:p>
    <w:p w14:paraId="48A243A6" w14:textId="18AC0361" w:rsidR="00CC388A" w:rsidRPr="00594A0A" w:rsidRDefault="00CC388A" w:rsidP="00C75A90">
      <w:pPr>
        <w:pStyle w:val="Heading2"/>
        <w:spacing w:before="360"/>
      </w:pPr>
      <w:r w:rsidRPr="00594A0A">
        <w:t>Recommendation 1</w:t>
      </w:r>
    </w:p>
    <w:p w14:paraId="140A0562" w14:textId="77777777" w:rsidR="00CC388A" w:rsidRPr="00B7630D" w:rsidRDefault="00CC388A" w:rsidP="00CC388A">
      <w:pPr>
        <w:rPr>
          <w:rFonts w:asciiTheme="minorHAnsi" w:hAnsiTheme="minorHAnsi" w:cstheme="minorHAnsi"/>
          <w:b/>
          <w:iCs/>
        </w:rPr>
      </w:pPr>
      <w:r w:rsidRPr="00B7630D">
        <w:rPr>
          <w:rFonts w:asciiTheme="minorHAnsi" w:hAnsiTheme="minorHAnsi" w:cstheme="minorHAnsi"/>
          <w:b/>
          <w:iCs/>
        </w:rPr>
        <w:t>The committee recommends that the Senate pass the bill</w:t>
      </w:r>
      <w:r>
        <w:rPr>
          <w:rFonts w:asciiTheme="minorHAnsi" w:hAnsiTheme="minorHAnsi" w:cstheme="minorHAnsi"/>
          <w:b/>
          <w:iCs/>
        </w:rPr>
        <w:t>.</w:t>
      </w:r>
    </w:p>
    <w:p w14:paraId="5F7D3E6A" w14:textId="77777777" w:rsidR="00CC388A" w:rsidRPr="00B7630D" w:rsidRDefault="00CC388A" w:rsidP="00CC388A">
      <w:pPr>
        <w:rPr>
          <w:rFonts w:asciiTheme="minorHAnsi" w:hAnsiTheme="minorHAnsi" w:cstheme="minorHAnsi"/>
          <w:b/>
          <w:iCs/>
        </w:rPr>
      </w:pPr>
    </w:p>
    <w:p w14:paraId="62D06317" w14:textId="77777777" w:rsidR="00CC388A" w:rsidRDefault="00CC388A" w:rsidP="00CC388A">
      <w:pPr>
        <w:rPr>
          <w:rFonts w:asciiTheme="minorHAnsi" w:hAnsiTheme="minorHAnsi" w:cstheme="minorHAnsi"/>
          <w:iCs/>
        </w:rPr>
      </w:pPr>
      <w:r w:rsidRPr="00B7630D">
        <w:rPr>
          <w:rFonts w:asciiTheme="minorHAnsi" w:hAnsiTheme="minorHAnsi" w:cstheme="minorHAnsi"/>
          <w:iCs/>
        </w:rPr>
        <w:t xml:space="preserve">The </w:t>
      </w:r>
      <w:r>
        <w:rPr>
          <w:rFonts w:asciiTheme="minorHAnsi" w:hAnsiTheme="minorHAnsi" w:cstheme="minorHAnsi"/>
          <w:iCs/>
        </w:rPr>
        <w:t>g</w:t>
      </w:r>
      <w:r w:rsidRPr="00B7630D">
        <w:rPr>
          <w:rFonts w:asciiTheme="minorHAnsi" w:hAnsiTheme="minorHAnsi" w:cstheme="minorHAnsi"/>
          <w:iCs/>
        </w:rPr>
        <w:t xml:space="preserve">overnment </w:t>
      </w:r>
      <w:r>
        <w:rPr>
          <w:rFonts w:asciiTheme="minorHAnsi" w:hAnsiTheme="minorHAnsi" w:cstheme="minorHAnsi"/>
          <w:iCs/>
        </w:rPr>
        <w:t>supports</w:t>
      </w:r>
      <w:r w:rsidRPr="00B7630D">
        <w:rPr>
          <w:rFonts w:asciiTheme="minorHAnsi" w:hAnsiTheme="minorHAnsi" w:cstheme="minorHAnsi"/>
          <w:iCs/>
        </w:rPr>
        <w:t xml:space="preserve"> this recommendation.</w:t>
      </w:r>
    </w:p>
    <w:p w14:paraId="6F76497C" w14:textId="77777777" w:rsidR="00CC388A" w:rsidRDefault="00CC388A" w:rsidP="00CC388A">
      <w:pPr>
        <w:rPr>
          <w:rFonts w:asciiTheme="minorHAnsi" w:hAnsiTheme="minorHAnsi" w:cstheme="minorHAnsi"/>
          <w:iCs/>
        </w:rPr>
      </w:pPr>
    </w:p>
    <w:p w14:paraId="27EE1BF9" w14:textId="77777777" w:rsidR="00CC388A" w:rsidRPr="00B7630D" w:rsidRDefault="00CC388A" w:rsidP="00CC388A">
      <w:pPr>
        <w:rPr>
          <w:rFonts w:asciiTheme="minorHAnsi" w:hAnsiTheme="minorHAnsi" w:cstheme="minorHAnsi"/>
          <w:iCs/>
        </w:rPr>
      </w:pPr>
      <w:r w:rsidRPr="00D119B7">
        <w:rPr>
          <w:rFonts w:asciiTheme="minorHAnsi" w:hAnsiTheme="minorHAnsi" w:cstheme="minorHAnsi"/>
          <w:iCs/>
        </w:rPr>
        <w:t xml:space="preserve">The </w:t>
      </w:r>
      <w:r>
        <w:rPr>
          <w:rFonts w:asciiTheme="minorHAnsi" w:hAnsiTheme="minorHAnsi" w:cstheme="minorHAnsi"/>
          <w:iCs/>
        </w:rPr>
        <w:t xml:space="preserve">Bill passed both houses of Parliament </w:t>
      </w:r>
      <w:r w:rsidRPr="00D119B7">
        <w:rPr>
          <w:rFonts w:asciiTheme="minorHAnsi" w:hAnsiTheme="minorHAnsi" w:cstheme="minorHAnsi"/>
          <w:iCs/>
        </w:rPr>
        <w:t xml:space="preserve">on </w:t>
      </w:r>
      <w:r>
        <w:rPr>
          <w:rFonts w:asciiTheme="minorHAnsi" w:hAnsiTheme="minorHAnsi" w:cstheme="minorHAnsi"/>
          <w:iCs/>
        </w:rPr>
        <w:t xml:space="preserve">26 March 2025, and the </w:t>
      </w:r>
      <w:r w:rsidRPr="0032271F">
        <w:rPr>
          <w:rFonts w:asciiTheme="minorHAnsi" w:hAnsiTheme="minorHAnsi" w:cstheme="minorHAnsi"/>
          <w:i/>
        </w:rPr>
        <w:t>Free TAFE Act 2025</w:t>
      </w:r>
      <w:r>
        <w:rPr>
          <w:rFonts w:asciiTheme="minorHAnsi" w:hAnsiTheme="minorHAnsi" w:cstheme="minorHAnsi"/>
          <w:iCs/>
        </w:rPr>
        <w:t xml:space="preserve"> commenced on 28 March 2025.</w:t>
      </w:r>
    </w:p>
    <w:p w14:paraId="74B3F818" w14:textId="77777777" w:rsidR="00CC388A" w:rsidRDefault="00CC388A" w:rsidP="00CC388A">
      <w:pPr>
        <w:rPr>
          <w:rFonts w:asciiTheme="minorHAnsi" w:hAnsiTheme="minorHAnsi" w:cstheme="minorHAnsi"/>
          <w:b/>
          <w:iCs/>
        </w:rPr>
      </w:pPr>
    </w:p>
    <w:p w14:paraId="3741AC5A" w14:textId="77777777" w:rsidR="00CC388A" w:rsidRPr="002C55BA" w:rsidRDefault="00CC388A" w:rsidP="002C55BA">
      <w:pPr>
        <w:pStyle w:val="Heading2"/>
        <w:rPr>
          <w:iCs/>
          <w:u w:val="single"/>
        </w:rPr>
      </w:pPr>
      <w:r w:rsidRPr="002C55BA">
        <w:rPr>
          <w:u w:val="single"/>
        </w:rPr>
        <w:t xml:space="preserve">Coalition Senators’ dissenting report </w:t>
      </w:r>
    </w:p>
    <w:p w14:paraId="6D7DC771" w14:textId="77777777" w:rsidR="00CC388A" w:rsidRPr="00C75A90" w:rsidRDefault="00CC388A" w:rsidP="00C75A90">
      <w:pPr>
        <w:pStyle w:val="Heading3"/>
      </w:pPr>
      <w:r w:rsidRPr="00C75A90">
        <w:t>Recommendation 1</w:t>
      </w:r>
    </w:p>
    <w:p w14:paraId="0D593696" w14:textId="77777777" w:rsidR="00CC388A" w:rsidRPr="00B7630D" w:rsidRDefault="00CC388A" w:rsidP="00CC388A">
      <w:pPr>
        <w:rPr>
          <w:rFonts w:asciiTheme="minorHAnsi" w:hAnsiTheme="minorHAnsi" w:cstheme="minorHAnsi"/>
          <w:b/>
          <w:iCs/>
        </w:rPr>
      </w:pPr>
      <w:r w:rsidRPr="00B7630D">
        <w:rPr>
          <w:rFonts w:asciiTheme="minorHAnsi" w:hAnsiTheme="minorHAnsi" w:cstheme="minorHAnsi"/>
          <w:b/>
          <w:iCs/>
        </w:rPr>
        <w:t>That the Free TAFE Bill 2024 not be passed by the Senate</w:t>
      </w:r>
      <w:r>
        <w:rPr>
          <w:rFonts w:asciiTheme="minorHAnsi" w:hAnsiTheme="minorHAnsi" w:cstheme="minorHAnsi"/>
          <w:b/>
          <w:iCs/>
        </w:rPr>
        <w:t>.</w:t>
      </w:r>
    </w:p>
    <w:p w14:paraId="328FC7C6" w14:textId="77777777" w:rsidR="00CC388A" w:rsidRPr="00B7630D" w:rsidRDefault="00CC388A" w:rsidP="00CC388A">
      <w:pPr>
        <w:rPr>
          <w:rFonts w:asciiTheme="minorHAnsi" w:hAnsiTheme="minorHAnsi" w:cstheme="minorHAnsi"/>
          <w:iCs/>
        </w:rPr>
      </w:pPr>
    </w:p>
    <w:p w14:paraId="50EFC202" w14:textId="77777777" w:rsidR="00CC388A" w:rsidRDefault="00CC388A" w:rsidP="00CC388A">
      <w:pPr>
        <w:rPr>
          <w:rFonts w:asciiTheme="minorHAnsi" w:hAnsiTheme="minorHAnsi" w:cstheme="minorHAnsi"/>
          <w:iCs/>
        </w:rPr>
      </w:pPr>
      <w:r w:rsidRPr="00B7630D">
        <w:rPr>
          <w:rFonts w:asciiTheme="minorHAnsi" w:hAnsiTheme="minorHAnsi" w:cstheme="minorHAnsi"/>
          <w:iCs/>
        </w:rPr>
        <w:t xml:space="preserve">The </w:t>
      </w:r>
      <w:r>
        <w:rPr>
          <w:rFonts w:asciiTheme="minorHAnsi" w:hAnsiTheme="minorHAnsi" w:cstheme="minorHAnsi"/>
          <w:iCs/>
        </w:rPr>
        <w:t>g</w:t>
      </w:r>
      <w:r w:rsidRPr="00B7630D">
        <w:rPr>
          <w:rFonts w:asciiTheme="minorHAnsi" w:hAnsiTheme="minorHAnsi" w:cstheme="minorHAnsi"/>
          <w:iCs/>
        </w:rPr>
        <w:t xml:space="preserve">overnment </w:t>
      </w:r>
      <w:r>
        <w:rPr>
          <w:rFonts w:asciiTheme="minorHAnsi" w:hAnsiTheme="minorHAnsi" w:cstheme="minorHAnsi"/>
          <w:iCs/>
        </w:rPr>
        <w:t>does not support</w:t>
      </w:r>
      <w:r w:rsidRPr="00B7630D">
        <w:rPr>
          <w:rFonts w:asciiTheme="minorHAnsi" w:hAnsiTheme="minorHAnsi" w:cstheme="minorHAnsi"/>
          <w:iCs/>
        </w:rPr>
        <w:t xml:space="preserve"> this recommendation.</w:t>
      </w:r>
      <w:r>
        <w:rPr>
          <w:rFonts w:asciiTheme="minorHAnsi" w:hAnsiTheme="minorHAnsi" w:cstheme="minorHAnsi"/>
          <w:iCs/>
        </w:rPr>
        <w:t xml:space="preserve"> </w:t>
      </w:r>
    </w:p>
    <w:p w14:paraId="18F2A0B8" w14:textId="77777777" w:rsidR="00CC388A" w:rsidRDefault="00CC388A" w:rsidP="00CC388A">
      <w:pPr>
        <w:rPr>
          <w:rFonts w:asciiTheme="minorHAnsi" w:hAnsiTheme="minorHAnsi" w:cstheme="minorHAnsi"/>
          <w:iCs/>
        </w:rPr>
      </w:pPr>
    </w:p>
    <w:p w14:paraId="2F0C6C17" w14:textId="77777777" w:rsidR="00CC388A" w:rsidRDefault="00CC388A" w:rsidP="00CC388A">
      <w:pPr>
        <w:rPr>
          <w:rFonts w:asciiTheme="minorHAnsi" w:hAnsiTheme="minorHAnsi" w:cstheme="minorHAnsi"/>
          <w:iCs/>
        </w:rPr>
      </w:pPr>
      <w:r>
        <w:rPr>
          <w:rFonts w:asciiTheme="minorHAnsi" w:hAnsiTheme="minorHAnsi" w:cstheme="minorHAnsi"/>
          <w:iCs/>
        </w:rPr>
        <w:lastRenderedPageBreak/>
        <w:t xml:space="preserve">Free TAFE will help to </w:t>
      </w:r>
      <w:r w:rsidRPr="00434D09">
        <w:rPr>
          <w:rFonts w:asciiTheme="minorHAnsi" w:hAnsiTheme="minorHAnsi" w:cstheme="minorHAnsi"/>
          <w:iCs/>
        </w:rPr>
        <w:t>address local and national skills shortages</w:t>
      </w:r>
      <w:r>
        <w:rPr>
          <w:rFonts w:asciiTheme="minorHAnsi" w:hAnsiTheme="minorHAnsi" w:cstheme="minorHAnsi"/>
          <w:iCs/>
        </w:rPr>
        <w:t xml:space="preserve"> to boost productivity</w:t>
      </w:r>
      <w:r w:rsidRPr="00434D09">
        <w:rPr>
          <w:rFonts w:asciiTheme="minorHAnsi" w:hAnsiTheme="minorHAnsi" w:cstheme="minorHAnsi"/>
          <w:iCs/>
        </w:rPr>
        <w:t>,</w:t>
      </w:r>
      <w:r>
        <w:rPr>
          <w:rFonts w:asciiTheme="minorHAnsi" w:hAnsiTheme="minorHAnsi" w:cstheme="minorHAnsi"/>
          <w:iCs/>
        </w:rPr>
        <w:t xml:space="preserve"> support Australians </w:t>
      </w:r>
      <w:r w:rsidRPr="00434D09">
        <w:rPr>
          <w:rFonts w:asciiTheme="minorHAnsi" w:hAnsiTheme="minorHAnsi" w:cstheme="minorHAnsi"/>
          <w:iCs/>
        </w:rPr>
        <w:t xml:space="preserve">to </w:t>
      </w:r>
      <w:r>
        <w:rPr>
          <w:rFonts w:asciiTheme="minorHAnsi" w:hAnsiTheme="minorHAnsi" w:cstheme="minorHAnsi"/>
          <w:iCs/>
        </w:rPr>
        <w:t>obtain meaningful and well-paid jobs, and</w:t>
      </w:r>
      <w:r w:rsidRPr="00434D09">
        <w:rPr>
          <w:rFonts w:asciiTheme="minorHAnsi" w:hAnsiTheme="minorHAnsi" w:cstheme="minorHAnsi"/>
          <w:iCs/>
        </w:rPr>
        <w:t xml:space="preserve"> delive</w:t>
      </w:r>
      <w:r>
        <w:rPr>
          <w:rFonts w:asciiTheme="minorHAnsi" w:hAnsiTheme="minorHAnsi" w:cstheme="minorHAnsi"/>
          <w:iCs/>
        </w:rPr>
        <w:t>r</w:t>
      </w:r>
      <w:r w:rsidRPr="00434D09">
        <w:rPr>
          <w:rFonts w:asciiTheme="minorHAnsi" w:hAnsiTheme="minorHAnsi" w:cstheme="minorHAnsi"/>
          <w:iCs/>
        </w:rPr>
        <w:t xml:space="preserve"> cost of living relief to those who need it most</w:t>
      </w:r>
      <w:r>
        <w:rPr>
          <w:rFonts w:asciiTheme="minorHAnsi" w:hAnsiTheme="minorHAnsi" w:cstheme="minorHAnsi"/>
          <w:iCs/>
        </w:rPr>
        <w:t>.</w:t>
      </w:r>
    </w:p>
    <w:p w14:paraId="0A9B7F82" w14:textId="77777777" w:rsidR="00CC388A" w:rsidRPr="002C55BA" w:rsidRDefault="00CC388A" w:rsidP="002C55BA">
      <w:pPr>
        <w:pStyle w:val="Heading2"/>
        <w:spacing w:before="240"/>
        <w:rPr>
          <w:u w:val="single"/>
        </w:rPr>
      </w:pPr>
      <w:r w:rsidRPr="002C55BA">
        <w:rPr>
          <w:u w:val="single"/>
        </w:rPr>
        <w:t>Australian Greens’ additional comments</w:t>
      </w:r>
    </w:p>
    <w:p w14:paraId="0A7746D7" w14:textId="77777777" w:rsidR="00CC388A" w:rsidRPr="00B7630D" w:rsidRDefault="00CC388A" w:rsidP="00C75A90">
      <w:pPr>
        <w:pStyle w:val="Heading3"/>
      </w:pPr>
      <w:r w:rsidRPr="00B7630D">
        <w:t>Recommendation 1</w:t>
      </w:r>
    </w:p>
    <w:p w14:paraId="1CE56AD1" w14:textId="77777777" w:rsidR="00CC388A" w:rsidRDefault="00CC388A" w:rsidP="00CC388A">
      <w:pPr>
        <w:rPr>
          <w:rFonts w:asciiTheme="minorHAnsi" w:hAnsiTheme="minorHAnsi" w:cstheme="minorHAnsi"/>
          <w:b/>
          <w:iCs/>
        </w:rPr>
      </w:pPr>
      <w:r w:rsidRPr="00E1189D">
        <w:rPr>
          <w:rFonts w:asciiTheme="minorHAnsi" w:hAnsiTheme="minorHAnsi" w:cstheme="minorHAnsi"/>
          <w:b/>
          <w:iCs/>
        </w:rPr>
        <w:t>That the Australian Government legislate the Free TAFE Bill 2024 in this term of government.</w:t>
      </w:r>
    </w:p>
    <w:p w14:paraId="283F9D0F" w14:textId="77777777" w:rsidR="00CC388A" w:rsidRPr="00E1189D" w:rsidRDefault="00CC388A" w:rsidP="00CC388A">
      <w:pPr>
        <w:rPr>
          <w:rFonts w:asciiTheme="minorHAnsi" w:hAnsiTheme="minorHAnsi" w:cstheme="minorHAnsi"/>
          <w:b/>
          <w:iCs/>
        </w:rPr>
      </w:pPr>
    </w:p>
    <w:p w14:paraId="2B7906B7" w14:textId="77777777" w:rsidR="00CC388A" w:rsidRDefault="00CC388A" w:rsidP="00CC388A">
      <w:pPr>
        <w:keepLines/>
        <w:rPr>
          <w:rFonts w:asciiTheme="minorHAnsi" w:hAnsiTheme="minorHAnsi" w:cstheme="minorHAnsi"/>
          <w:iCs/>
        </w:rPr>
      </w:pPr>
      <w:r w:rsidRPr="00B7630D">
        <w:rPr>
          <w:rFonts w:asciiTheme="minorHAnsi" w:hAnsiTheme="minorHAnsi" w:cstheme="minorHAnsi"/>
          <w:iCs/>
        </w:rPr>
        <w:t xml:space="preserve">The </w:t>
      </w:r>
      <w:r>
        <w:rPr>
          <w:rFonts w:asciiTheme="minorHAnsi" w:hAnsiTheme="minorHAnsi" w:cstheme="minorHAnsi"/>
          <w:iCs/>
        </w:rPr>
        <w:t>g</w:t>
      </w:r>
      <w:r w:rsidRPr="00B7630D">
        <w:rPr>
          <w:rFonts w:asciiTheme="minorHAnsi" w:hAnsiTheme="minorHAnsi" w:cstheme="minorHAnsi"/>
          <w:iCs/>
        </w:rPr>
        <w:t xml:space="preserve">overnment </w:t>
      </w:r>
      <w:r>
        <w:rPr>
          <w:rFonts w:asciiTheme="minorHAnsi" w:hAnsiTheme="minorHAnsi" w:cstheme="minorHAnsi"/>
          <w:iCs/>
        </w:rPr>
        <w:t>supports</w:t>
      </w:r>
      <w:r w:rsidRPr="00B7630D">
        <w:rPr>
          <w:rFonts w:asciiTheme="minorHAnsi" w:hAnsiTheme="minorHAnsi" w:cstheme="minorHAnsi"/>
          <w:iCs/>
        </w:rPr>
        <w:t xml:space="preserve"> this recommendation.</w:t>
      </w:r>
      <w:r>
        <w:rPr>
          <w:rFonts w:asciiTheme="minorHAnsi" w:hAnsiTheme="minorHAnsi" w:cstheme="minorHAnsi"/>
          <w:iCs/>
        </w:rPr>
        <w:t xml:space="preserve"> </w:t>
      </w:r>
    </w:p>
    <w:p w14:paraId="5D037225" w14:textId="77777777" w:rsidR="00CC388A" w:rsidRPr="00B7630D" w:rsidRDefault="00CC388A" w:rsidP="00C75A90">
      <w:pPr>
        <w:pStyle w:val="Heading3"/>
      </w:pPr>
      <w:r w:rsidRPr="00B7630D">
        <w:t>Recommendation 2</w:t>
      </w:r>
    </w:p>
    <w:p w14:paraId="683EE336" w14:textId="77777777" w:rsidR="00CC388A" w:rsidRDefault="00CC388A" w:rsidP="00CC388A">
      <w:pPr>
        <w:spacing w:before="240" w:after="120"/>
        <w:rPr>
          <w:rFonts w:asciiTheme="minorHAnsi" w:hAnsiTheme="minorHAnsi" w:cstheme="minorHAnsi"/>
          <w:b/>
        </w:rPr>
      </w:pPr>
      <w:r w:rsidRPr="00B7630D">
        <w:rPr>
          <w:rFonts w:asciiTheme="minorHAnsi" w:hAnsiTheme="minorHAnsi" w:cstheme="minorHAnsi"/>
          <w:b/>
        </w:rPr>
        <w:t>That the Australian Government wipe all student debt and make university and TAFE free for everyone.</w:t>
      </w:r>
    </w:p>
    <w:p w14:paraId="4F9F6C6D" w14:textId="77777777" w:rsidR="00CC388A" w:rsidRDefault="00CC388A" w:rsidP="00CC388A">
      <w:pPr>
        <w:spacing w:before="240" w:after="120"/>
        <w:rPr>
          <w:rFonts w:ascii="Calibri" w:hAnsi="Calibri" w:cs="Calibri"/>
        </w:rPr>
      </w:pPr>
      <w:r w:rsidRPr="6D5A7684">
        <w:rPr>
          <w:rFonts w:asciiTheme="minorHAnsi" w:hAnsiTheme="minorHAnsi" w:cstheme="minorBidi"/>
        </w:rPr>
        <w:t xml:space="preserve">The </w:t>
      </w:r>
      <w:r>
        <w:rPr>
          <w:rFonts w:asciiTheme="minorHAnsi" w:hAnsiTheme="minorHAnsi" w:cstheme="minorBidi"/>
        </w:rPr>
        <w:t>g</w:t>
      </w:r>
      <w:r w:rsidRPr="6D5A7684">
        <w:rPr>
          <w:rFonts w:asciiTheme="minorHAnsi" w:hAnsiTheme="minorHAnsi" w:cstheme="minorBidi"/>
        </w:rPr>
        <w:t>overnment does not support this recommendation.</w:t>
      </w:r>
    </w:p>
    <w:p w14:paraId="320F7B53" w14:textId="77777777" w:rsidR="00CC388A" w:rsidRPr="00B7630D" w:rsidRDefault="00CC388A" w:rsidP="00C75A90">
      <w:pPr>
        <w:pStyle w:val="Heading3"/>
      </w:pPr>
      <w:r w:rsidRPr="00B7630D">
        <w:t>Recommendation 3</w:t>
      </w:r>
    </w:p>
    <w:p w14:paraId="16FADDF2" w14:textId="77777777" w:rsidR="00CC388A" w:rsidRDefault="00CC388A" w:rsidP="00CC388A">
      <w:pPr>
        <w:spacing w:before="240" w:after="120"/>
        <w:rPr>
          <w:rFonts w:asciiTheme="minorHAnsi" w:hAnsiTheme="minorHAnsi" w:cstheme="minorHAnsi"/>
          <w:b/>
        </w:rPr>
      </w:pPr>
      <w:r w:rsidRPr="00B7630D">
        <w:rPr>
          <w:rFonts w:asciiTheme="minorHAnsi" w:hAnsiTheme="minorHAnsi" w:cstheme="minorHAnsi"/>
          <w:b/>
        </w:rPr>
        <w:t>That the Australian Government increase investment in TAFEs to update infrastructure and equipment, and ensure secure jobs, fair pay and conditions</w:t>
      </w:r>
      <w:r>
        <w:rPr>
          <w:rFonts w:asciiTheme="minorHAnsi" w:hAnsiTheme="minorHAnsi" w:cstheme="minorHAnsi"/>
          <w:b/>
        </w:rPr>
        <w:t xml:space="preserve"> </w:t>
      </w:r>
      <w:r w:rsidRPr="00B7630D">
        <w:rPr>
          <w:rFonts w:asciiTheme="minorHAnsi" w:hAnsiTheme="minorHAnsi" w:cstheme="minorHAnsi"/>
          <w:b/>
        </w:rPr>
        <w:t>for staff, and adequate resources and support for both staff and students.</w:t>
      </w:r>
    </w:p>
    <w:p w14:paraId="312148A2" w14:textId="77777777" w:rsidR="00CC388A" w:rsidRDefault="00CC388A" w:rsidP="00CC388A">
      <w:pPr>
        <w:spacing w:before="240" w:after="120"/>
        <w:rPr>
          <w:rFonts w:asciiTheme="minorHAnsi" w:hAnsiTheme="minorHAnsi" w:cstheme="minorHAnsi"/>
          <w:bCs/>
        </w:rPr>
      </w:pPr>
      <w:r w:rsidRPr="00B7630D">
        <w:rPr>
          <w:rFonts w:asciiTheme="minorHAnsi" w:hAnsiTheme="minorHAnsi" w:cstheme="minorHAnsi"/>
          <w:iCs/>
        </w:rPr>
        <w:t xml:space="preserve">The </w:t>
      </w:r>
      <w:r>
        <w:rPr>
          <w:rFonts w:asciiTheme="minorHAnsi" w:hAnsiTheme="minorHAnsi" w:cstheme="minorHAnsi"/>
          <w:iCs/>
        </w:rPr>
        <w:t>g</w:t>
      </w:r>
      <w:r w:rsidRPr="00B7630D">
        <w:rPr>
          <w:rFonts w:asciiTheme="minorHAnsi" w:hAnsiTheme="minorHAnsi" w:cstheme="minorHAnsi"/>
          <w:iCs/>
        </w:rPr>
        <w:t>overnment notes this recommendation.</w:t>
      </w:r>
      <w:r w:rsidRPr="00B7630D">
        <w:rPr>
          <w:rFonts w:asciiTheme="minorHAnsi" w:hAnsiTheme="minorHAnsi" w:cstheme="minorHAnsi"/>
          <w:bCs/>
        </w:rPr>
        <w:t xml:space="preserve"> </w:t>
      </w:r>
    </w:p>
    <w:p w14:paraId="64EC3FC6" w14:textId="77777777" w:rsidR="00CC388A" w:rsidRDefault="00CC388A" w:rsidP="00CC388A">
      <w:pPr>
        <w:spacing w:before="240" w:after="120"/>
        <w:rPr>
          <w:rFonts w:asciiTheme="minorHAnsi" w:hAnsiTheme="minorHAnsi" w:cstheme="minorHAnsi"/>
          <w:bCs/>
        </w:rPr>
      </w:pPr>
      <w:r w:rsidRPr="007175D0">
        <w:rPr>
          <w:rFonts w:asciiTheme="minorHAnsi" w:hAnsiTheme="minorHAnsi" w:cstheme="minorHAnsi"/>
          <w:bCs/>
        </w:rPr>
        <w:t xml:space="preserve">Funding for the VET system is a joint responsibility of the Commonwealth and the state and territory governments. The </w:t>
      </w:r>
      <w:r>
        <w:rPr>
          <w:rFonts w:asciiTheme="minorHAnsi" w:hAnsiTheme="minorHAnsi" w:cstheme="minorHAnsi"/>
          <w:bCs/>
        </w:rPr>
        <w:t>Commonwealth</w:t>
      </w:r>
      <w:r w:rsidRPr="007175D0">
        <w:rPr>
          <w:rFonts w:asciiTheme="minorHAnsi" w:hAnsiTheme="minorHAnsi" w:cstheme="minorHAnsi"/>
          <w:bCs/>
        </w:rPr>
        <w:t xml:space="preserve"> contributes to the VET system by </w:t>
      </w:r>
      <w:r>
        <w:rPr>
          <w:rFonts w:asciiTheme="minorHAnsi" w:hAnsiTheme="minorHAnsi" w:cstheme="minorHAnsi"/>
          <w:bCs/>
        </w:rPr>
        <w:t xml:space="preserve">both </w:t>
      </w:r>
      <w:r w:rsidRPr="007175D0">
        <w:rPr>
          <w:rFonts w:asciiTheme="minorHAnsi" w:hAnsiTheme="minorHAnsi" w:cstheme="minorHAnsi"/>
          <w:bCs/>
        </w:rPr>
        <w:t>directly funding parts of the national training system and providing funding to states and territories to operate their training systems.</w:t>
      </w:r>
    </w:p>
    <w:p w14:paraId="56576F5D" w14:textId="77777777" w:rsidR="00CC388A" w:rsidRDefault="00CC388A" w:rsidP="00CC388A">
      <w:pPr>
        <w:spacing w:before="240" w:after="120"/>
        <w:rPr>
          <w:rFonts w:asciiTheme="minorHAnsi" w:hAnsiTheme="minorHAnsi" w:cstheme="minorHAnsi"/>
          <w:bCs/>
        </w:rPr>
      </w:pPr>
      <w:r w:rsidRPr="00AE4DB3">
        <w:rPr>
          <w:rFonts w:asciiTheme="minorHAnsi" w:hAnsiTheme="minorHAnsi" w:cstheme="minorHAnsi"/>
          <w:bCs/>
        </w:rPr>
        <w:t xml:space="preserve">Under the </w:t>
      </w:r>
      <w:r>
        <w:rPr>
          <w:rFonts w:asciiTheme="minorHAnsi" w:hAnsiTheme="minorHAnsi" w:cstheme="minorHAnsi"/>
          <w:bCs/>
        </w:rPr>
        <w:t>National Skills Agreement,</w:t>
      </w:r>
      <w:r w:rsidRPr="000A2C7E">
        <w:rPr>
          <w:rFonts w:asciiTheme="minorHAnsi" w:hAnsiTheme="minorHAnsi" w:cstheme="minorHAnsi"/>
          <w:bCs/>
        </w:rPr>
        <w:t xml:space="preserve"> </w:t>
      </w:r>
      <w:r>
        <w:rPr>
          <w:rFonts w:asciiTheme="minorHAnsi" w:hAnsiTheme="minorHAnsi" w:cstheme="minorHAnsi"/>
          <w:bCs/>
        </w:rPr>
        <w:t>the</w:t>
      </w:r>
      <w:r w:rsidRPr="000A2C7E">
        <w:rPr>
          <w:rFonts w:asciiTheme="minorHAnsi" w:hAnsiTheme="minorHAnsi" w:cstheme="minorHAnsi"/>
          <w:bCs/>
        </w:rPr>
        <w:t xml:space="preserve"> Commonwealth </w:t>
      </w:r>
      <w:r>
        <w:rPr>
          <w:rFonts w:asciiTheme="minorHAnsi" w:hAnsiTheme="minorHAnsi" w:cstheme="minorHAnsi"/>
          <w:bCs/>
        </w:rPr>
        <w:t>is investing</w:t>
      </w:r>
      <w:r w:rsidRPr="000A2C7E">
        <w:rPr>
          <w:rFonts w:asciiTheme="minorHAnsi" w:hAnsiTheme="minorHAnsi" w:cstheme="minorHAnsi"/>
          <w:bCs/>
        </w:rPr>
        <w:t xml:space="preserve"> up to $12.6 billion </w:t>
      </w:r>
      <w:r>
        <w:rPr>
          <w:rFonts w:asciiTheme="minorHAnsi" w:hAnsiTheme="minorHAnsi" w:cstheme="minorHAnsi"/>
          <w:bCs/>
        </w:rPr>
        <w:t xml:space="preserve">over 2024 to 2028 </w:t>
      </w:r>
      <w:r w:rsidRPr="000A2C7E">
        <w:rPr>
          <w:rFonts w:asciiTheme="minorHAnsi" w:hAnsiTheme="minorHAnsi" w:cstheme="minorHAnsi"/>
          <w:bCs/>
        </w:rPr>
        <w:t>to expand and transform access to the VET sector, support training providers to deliver quality education and training, and implement reforms to address critical skills needs. This represents an additional $3.7</w:t>
      </w:r>
      <w:r>
        <w:rPr>
          <w:rFonts w:asciiTheme="minorHAnsi" w:hAnsiTheme="minorHAnsi" w:cstheme="minorHAnsi"/>
          <w:bCs/>
        </w:rPr>
        <w:t> </w:t>
      </w:r>
      <w:r w:rsidRPr="000A2C7E">
        <w:rPr>
          <w:rFonts w:asciiTheme="minorHAnsi" w:hAnsiTheme="minorHAnsi" w:cstheme="minorHAnsi"/>
          <w:bCs/>
        </w:rPr>
        <w:t>billion on previous funding levels</w:t>
      </w:r>
      <w:r>
        <w:rPr>
          <w:rFonts w:asciiTheme="minorHAnsi" w:hAnsiTheme="minorHAnsi" w:cstheme="minorHAnsi"/>
          <w:bCs/>
        </w:rPr>
        <w:t>. It includes up</w:t>
      </w:r>
      <w:r w:rsidRPr="00AE4DB3">
        <w:rPr>
          <w:rFonts w:asciiTheme="minorHAnsi" w:hAnsiTheme="minorHAnsi" w:cstheme="minorHAnsi"/>
          <w:bCs/>
        </w:rPr>
        <w:t xml:space="preserve"> to $11.3 billion in </w:t>
      </w:r>
      <w:r>
        <w:rPr>
          <w:rFonts w:asciiTheme="minorHAnsi" w:hAnsiTheme="minorHAnsi" w:cstheme="minorHAnsi"/>
          <w:bCs/>
        </w:rPr>
        <w:t xml:space="preserve">flexible </w:t>
      </w:r>
      <w:r w:rsidRPr="00AE4DB3">
        <w:rPr>
          <w:rFonts w:asciiTheme="minorHAnsi" w:hAnsiTheme="minorHAnsi" w:cstheme="minorHAnsi"/>
          <w:bCs/>
        </w:rPr>
        <w:t xml:space="preserve">funding </w:t>
      </w:r>
      <w:r>
        <w:rPr>
          <w:rFonts w:asciiTheme="minorHAnsi" w:hAnsiTheme="minorHAnsi" w:cstheme="minorHAnsi"/>
          <w:bCs/>
        </w:rPr>
        <w:t>for</w:t>
      </w:r>
      <w:r w:rsidRPr="00AE4DB3">
        <w:rPr>
          <w:rFonts w:asciiTheme="minorHAnsi" w:hAnsiTheme="minorHAnsi" w:cstheme="minorHAnsi"/>
          <w:bCs/>
        </w:rPr>
        <w:t xml:space="preserve"> state and territor</w:t>
      </w:r>
      <w:r>
        <w:rPr>
          <w:rFonts w:asciiTheme="minorHAnsi" w:hAnsiTheme="minorHAnsi" w:cstheme="minorHAnsi"/>
          <w:bCs/>
        </w:rPr>
        <w:t>y skills systems. States and territories can use this funding for a range of purposes, including investing in TAFE infrastructure and equipment, supports for students and staffing costs. Through the Agreement, a</w:t>
      </w:r>
      <w:r w:rsidRPr="00CE19F7">
        <w:rPr>
          <w:rFonts w:asciiTheme="minorHAnsi" w:hAnsiTheme="minorHAnsi" w:cstheme="minorHAnsi"/>
          <w:bCs/>
        </w:rPr>
        <w:t>ll governments have</w:t>
      </w:r>
      <w:r>
        <w:rPr>
          <w:rFonts w:asciiTheme="minorHAnsi" w:hAnsiTheme="minorHAnsi" w:cstheme="minorHAnsi"/>
          <w:bCs/>
        </w:rPr>
        <w:t xml:space="preserve"> also</w:t>
      </w:r>
      <w:r w:rsidRPr="00CE19F7">
        <w:rPr>
          <w:rFonts w:asciiTheme="minorHAnsi" w:hAnsiTheme="minorHAnsi" w:cstheme="minorHAnsi"/>
          <w:bCs/>
        </w:rPr>
        <w:t xml:space="preserve"> acknowledged the importance of TAFEs as enduring institutions with a public interest mandate</w:t>
      </w:r>
      <w:r>
        <w:rPr>
          <w:rFonts w:asciiTheme="minorHAnsi" w:hAnsiTheme="minorHAnsi" w:cstheme="minorHAnsi"/>
          <w:bCs/>
        </w:rPr>
        <w:t>.</w:t>
      </w:r>
      <w:r w:rsidRPr="00CE19F7">
        <w:rPr>
          <w:rFonts w:asciiTheme="minorHAnsi" w:hAnsiTheme="minorHAnsi" w:cstheme="minorHAnsi"/>
          <w:bCs/>
        </w:rPr>
        <w:t xml:space="preserve"> </w:t>
      </w:r>
    </w:p>
    <w:p w14:paraId="735813DB" w14:textId="77777777" w:rsidR="00CC388A" w:rsidRPr="00AE4DB3" w:rsidRDefault="00CC388A" w:rsidP="00CC388A">
      <w:pPr>
        <w:spacing w:before="240" w:after="120"/>
        <w:rPr>
          <w:rFonts w:asciiTheme="minorHAnsi" w:hAnsiTheme="minorHAnsi" w:cstheme="minorHAnsi"/>
          <w:bCs/>
        </w:rPr>
      </w:pPr>
      <w:r>
        <w:rPr>
          <w:rFonts w:asciiTheme="minorHAnsi" w:hAnsiTheme="minorHAnsi" w:cstheme="minorHAnsi"/>
          <w:bCs/>
        </w:rPr>
        <w:t>The government is also investing $50 million in TAFE infrastructure through</w:t>
      </w:r>
      <w:r w:rsidRPr="00DA728C">
        <w:rPr>
          <w:rFonts w:asciiTheme="minorHAnsi" w:hAnsiTheme="minorHAnsi" w:cstheme="minorHAnsi"/>
          <w:bCs/>
        </w:rPr>
        <w:t xml:space="preserve"> the TAFE</w:t>
      </w:r>
      <w:r>
        <w:rPr>
          <w:rFonts w:asciiTheme="minorHAnsi" w:hAnsiTheme="minorHAnsi" w:cstheme="minorHAnsi"/>
          <w:bCs/>
        </w:rPr>
        <w:t> </w:t>
      </w:r>
      <w:r w:rsidRPr="00DA728C">
        <w:rPr>
          <w:rFonts w:asciiTheme="minorHAnsi" w:hAnsiTheme="minorHAnsi" w:cstheme="minorHAnsi"/>
          <w:bCs/>
        </w:rPr>
        <w:t xml:space="preserve">Technology Fund to support TAFEs across the country to upgrade and expand facilities including laboratories, workshops, and IT services. </w:t>
      </w:r>
    </w:p>
    <w:p w14:paraId="14FEA6EE" w14:textId="77777777" w:rsidR="00CC388A" w:rsidRPr="00B7630D" w:rsidRDefault="00CC388A" w:rsidP="00C75A90">
      <w:pPr>
        <w:pStyle w:val="Heading3"/>
        <w:spacing w:before="1080"/>
      </w:pPr>
      <w:r w:rsidRPr="00B7630D">
        <w:lastRenderedPageBreak/>
        <w:t>Recommendation 4</w:t>
      </w:r>
    </w:p>
    <w:p w14:paraId="0856C15F" w14:textId="77777777" w:rsidR="00CC388A" w:rsidRDefault="00CC388A" w:rsidP="00CC388A">
      <w:pPr>
        <w:keepNext/>
        <w:spacing w:before="240" w:after="120"/>
        <w:rPr>
          <w:rFonts w:asciiTheme="minorHAnsi" w:hAnsiTheme="minorHAnsi" w:cstheme="minorHAnsi"/>
          <w:b/>
        </w:rPr>
      </w:pPr>
      <w:r w:rsidRPr="00B7630D">
        <w:rPr>
          <w:rFonts w:asciiTheme="minorHAnsi" w:hAnsiTheme="minorHAnsi" w:cstheme="minorHAnsi"/>
          <w:b/>
        </w:rPr>
        <w:t xml:space="preserve">That the Australian Government move administration of the Adult Migrant English Program from the Department of Home Affairs to the Department of </w:t>
      </w:r>
      <w:r>
        <w:rPr>
          <w:rFonts w:asciiTheme="minorHAnsi" w:hAnsiTheme="minorHAnsi" w:cstheme="minorHAnsi"/>
          <w:b/>
        </w:rPr>
        <w:t>Education.</w:t>
      </w:r>
    </w:p>
    <w:p w14:paraId="034502E0" w14:textId="77777777" w:rsidR="00CC388A" w:rsidRPr="007847BB" w:rsidRDefault="00CC388A" w:rsidP="00CC388A">
      <w:pPr>
        <w:spacing w:before="240" w:after="120"/>
        <w:rPr>
          <w:rFonts w:asciiTheme="minorHAnsi" w:hAnsiTheme="minorHAnsi" w:cstheme="minorHAnsi"/>
          <w:bCs/>
        </w:rPr>
      </w:pPr>
      <w:r w:rsidRPr="007847BB">
        <w:rPr>
          <w:rFonts w:asciiTheme="minorHAnsi" w:hAnsiTheme="minorHAnsi" w:cstheme="minorHAnsi"/>
          <w:bCs/>
        </w:rPr>
        <w:t xml:space="preserve">The </w:t>
      </w:r>
      <w:r>
        <w:rPr>
          <w:rFonts w:asciiTheme="minorHAnsi" w:hAnsiTheme="minorHAnsi" w:cstheme="minorHAnsi"/>
          <w:bCs/>
        </w:rPr>
        <w:t>g</w:t>
      </w:r>
      <w:r w:rsidRPr="007847BB">
        <w:rPr>
          <w:rFonts w:asciiTheme="minorHAnsi" w:hAnsiTheme="minorHAnsi" w:cstheme="minorHAnsi"/>
          <w:bCs/>
        </w:rPr>
        <w:t>overnment does not support the recommendation.</w:t>
      </w:r>
    </w:p>
    <w:p w14:paraId="098C090B" w14:textId="77777777" w:rsidR="00CC388A" w:rsidRPr="007847BB" w:rsidRDefault="00CC388A" w:rsidP="00CC388A">
      <w:pPr>
        <w:spacing w:before="240" w:after="120"/>
        <w:rPr>
          <w:rFonts w:asciiTheme="minorHAnsi" w:hAnsiTheme="minorHAnsi" w:cstheme="minorHAnsi"/>
          <w:bCs/>
        </w:rPr>
      </w:pPr>
      <w:r w:rsidRPr="007847BB">
        <w:rPr>
          <w:rFonts w:asciiTheme="minorHAnsi" w:hAnsiTheme="minorHAnsi" w:cstheme="minorHAnsi"/>
          <w:bCs/>
        </w:rPr>
        <w:t xml:space="preserve">As the </w:t>
      </w:r>
      <w:r>
        <w:rPr>
          <w:rFonts w:asciiTheme="minorHAnsi" w:hAnsiTheme="minorHAnsi" w:cstheme="minorHAnsi"/>
          <w:bCs/>
        </w:rPr>
        <w:t>Commonwealth’s</w:t>
      </w:r>
      <w:r w:rsidRPr="007847BB">
        <w:rPr>
          <w:rFonts w:asciiTheme="minorHAnsi" w:hAnsiTheme="minorHAnsi" w:cstheme="minorHAnsi"/>
          <w:bCs/>
        </w:rPr>
        <w:t xml:space="preserve"> largest settlement program, the Adult Migrant English Program (AMEP) is well placed within the Department of Home Affairs, which also has responsibility for migrant, humanitarian settlement and multicultural affairs policy and programs. The synergies between these related services within the Department of Home Affairs</w:t>
      </w:r>
      <w:r w:rsidRPr="007847BB" w:rsidDel="00520360">
        <w:rPr>
          <w:rFonts w:asciiTheme="minorHAnsi" w:hAnsiTheme="minorHAnsi" w:cstheme="minorHAnsi"/>
          <w:bCs/>
        </w:rPr>
        <w:t xml:space="preserve"> </w:t>
      </w:r>
      <w:r w:rsidRPr="007847BB">
        <w:rPr>
          <w:rFonts w:asciiTheme="minorHAnsi" w:hAnsiTheme="minorHAnsi" w:cstheme="minorHAnsi"/>
          <w:bCs/>
        </w:rPr>
        <w:t xml:space="preserve">better achieves Australia’s overall settlement policy objectives and the successful integration, social and economic participation of migrants and humanitarian entrants. </w:t>
      </w:r>
    </w:p>
    <w:p w14:paraId="5C43B148" w14:textId="77777777" w:rsidR="00CC388A" w:rsidRPr="007847BB" w:rsidRDefault="00CC388A" w:rsidP="00CC388A">
      <w:pPr>
        <w:spacing w:before="240" w:after="120"/>
        <w:rPr>
          <w:rFonts w:asciiTheme="minorHAnsi" w:hAnsiTheme="minorHAnsi" w:cstheme="minorHAnsi"/>
          <w:bCs/>
        </w:rPr>
      </w:pPr>
      <w:r w:rsidRPr="007847BB">
        <w:rPr>
          <w:rFonts w:asciiTheme="minorHAnsi" w:hAnsiTheme="minorHAnsi" w:cstheme="minorHAnsi"/>
          <w:bCs/>
        </w:rPr>
        <w:t xml:space="preserve">Given the profile of its clients and the strong focus on settlement in the AMEP curriculum, the AMEP should not been viewed solely through the lens of an education service, but as a critical component of Australia’s overarching Settlement framework, which falls within DHA’s remit. </w:t>
      </w:r>
    </w:p>
    <w:p w14:paraId="2BF4F02A" w14:textId="77777777" w:rsidR="00CC388A" w:rsidRPr="007847BB" w:rsidRDefault="00CC388A" w:rsidP="00CC388A">
      <w:pPr>
        <w:spacing w:before="240" w:after="120"/>
        <w:rPr>
          <w:rFonts w:asciiTheme="minorHAnsi" w:hAnsiTheme="minorHAnsi" w:cstheme="minorHAnsi"/>
          <w:bCs/>
        </w:rPr>
      </w:pPr>
      <w:r w:rsidRPr="007847BB">
        <w:rPr>
          <w:rFonts w:asciiTheme="minorHAnsi" w:hAnsiTheme="minorHAnsi" w:cstheme="minorHAnsi"/>
          <w:bCs/>
        </w:rPr>
        <w:t xml:space="preserve">From 1 January 2026, a new AMEP Business Model will commence, developed through extensive consultation. The model will provide greater flexibility and enhanced client, and teacher supports to further improve English language and settlement outcomes for AMEP clients. </w:t>
      </w:r>
    </w:p>
    <w:p w14:paraId="2430AA27" w14:textId="77777777" w:rsidR="002172ED" w:rsidRDefault="002172ED" w:rsidP="002172ED">
      <w:pPr>
        <w:spacing w:before="240"/>
      </w:pPr>
    </w:p>
    <w:sectPr w:rsidR="002172ED" w:rsidSect="00CF44B9">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429FA" w14:textId="77777777" w:rsidR="00735BE7" w:rsidRDefault="00735BE7" w:rsidP="00735BE7">
      <w:r>
        <w:separator/>
      </w:r>
    </w:p>
  </w:endnote>
  <w:endnote w:type="continuationSeparator" w:id="0">
    <w:p w14:paraId="6B9C185C" w14:textId="77777777" w:rsidR="00735BE7" w:rsidRDefault="00735BE7" w:rsidP="0073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72F78" w14:textId="77777777" w:rsidR="00735BE7" w:rsidRDefault="00735BE7" w:rsidP="00735BE7">
      <w:r>
        <w:separator/>
      </w:r>
    </w:p>
  </w:footnote>
  <w:footnote w:type="continuationSeparator" w:id="0">
    <w:p w14:paraId="62A0B417" w14:textId="77777777" w:rsidR="00735BE7" w:rsidRDefault="00735BE7" w:rsidP="00735B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409CF"/>
    <w:multiLevelType w:val="hybridMultilevel"/>
    <w:tmpl w:val="235CF1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CA1413"/>
    <w:multiLevelType w:val="multilevel"/>
    <w:tmpl w:val="BB5E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86218E"/>
    <w:multiLevelType w:val="hybridMultilevel"/>
    <w:tmpl w:val="E842B6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C560E30"/>
    <w:multiLevelType w:val="hybridMultilevel"/>
    <w:tmpl w:val="1908A2AA"/>
    <w:lvl w:ilvl="0" w:tplc="9828ADBC">
      <w:start w:val="1"/>
      <w:numFmt w:val="bullet"/>
      <w:lvlText w:val=""/>
      <w:lvlJc w:val="left"/>
      <w:pPr>
        <w:ind w:left="360" w:hanging="360"/>
      </w:pPr>
      <w:rPr>
        <w:rFonts w:ascii="Symbol" w:hAnsi="Symbol" w:hint="default"/>
      </w:rPr>
    </w:lvl>
    <w:lvl w:ilvl="1" w:tplc="7A1845EA" w:tentative="1">
      <w:start w:val="1"/>
      <w:numFmt w:val="bullet"/>
      <w:lvlText w:val="o"/>
      <w:lvlJc w:val="left"/>
      <w:pPr>
        <w:ind w:left="1080" w:hanging="360"/>
      </w:pPr>
      <w:rPr>
        <w:rFonts w:ascii="Courier New" w:hAnsi="Courier New" w:cs="Courier New" w:hint="default"/>
      </w:rPr>
    </w:lvl>
    <w:lvl w:ilvl="2" w:tplc="6E6EE81C" w:tentative="1">
      <w:start w:val="1"/>
      <w:numFmt w:val="bullet"/>
      <w:lvlText w:val=""/>
      <w:lvlJc w:val="left"/>
      <w:pPr>
        <w:ind w:left="1800" w:hanging="360"/>
      </w:pPr>
      <w:rPr>
        <w:rFonts w:ascii="Wingdings" w:hAnsi="Wingdings" w:hint="default"/>
      </w:rPr>
    </w:lvl>
    <w:lvl w:ilvl="3" w:tplc="1A049026" w:tentative="1">
      <w:start w:val="1"/>
      <w:numFmt w:val="bullet"/>
      <w:lvlText w:val=""/>
      <w:lvlJc w:val="left"/>
      <w:pPr>
        <w:ind w:left="2520" w:hanging="360"/>
      </w:pPr>
      <w:rPr>
        <w:rFonts w:ascii="Symbol" w:hAnsi="Symbol" w:hint="default"/>
      </w:rPr>
    </w:lvl>
    <w:lvl w:ilvl="4" w:tplc="67C20218" w:tentative="1">
      <w:start w:val="1"/>
      <w:numFmt w:val="bullet"/>
      <w:lvlText w:val="o"/>
      <w:lvlJc w:val="left"/>
      <w:pPr>
        <w:ind w:left="3240" w:hanging="360"/>
      </w:pPr>
      <w:rPr>
        <w:rFonts w:ascii="Courier New" w:hAnsi="Courier New" w:cs="Courier New" w:hint="default"/>
      </w:rPr>
    </w:lvl>
    <w:lvl w:ilvl="5" w:tplc="C2605182" w:tentative="1">
      <w:start w:val="1"/>
      <w:numFmt w:val="bullet"/>
      <w:lvlText w:val=""/>
      <w:lvlJc w:val="left"/>
      <w:pPr>
        <w:ind w:left="3960" w:hanging="360"/>
      </w:pPr>
      <w:rPr>
        <w:rFonts w:ascii="Wingdings" w:hAnsi="Wingdings" w:hint="default"/>
      </w:rPr>
    </w:lvl>
    <w:lvl w:ilvl="6" w:tplc="785CF8A0" w:tentative="1">
      <w:start w:val="1"/>
      <w:numFmt w:val="bullet"/>
      <w:lvlText w:val=""/>
      <w:lvlJc w:val="left"/>
      <w:pPr>
        <w:ind w:left="4680" w:hanging="360"/>
      </w:pPr>
      <w:rPr>
        <w:rFonts w:ascii="Symbol" w:hAnsi="Symbol" w:hint="default"/>
      </w:rPr>
    </w:lvl>
    <w:lvl w:ilvl="7" w:tplc="996C483E" w:tentative="1">
      <w:start w:val="1"/>
      <w:numFmt w:val="bullet"/>
      <w:lvlText w:val="o"/>
      <w:lvlJc w:val="left"/>
      <w:pPr>
        <w:ind w:left="5400" w:hanging="360"/>
      </w:pPr>
      <w:rPr>
        <w:rFonts w:ascii="Courier New" w:hAnsi="Courier New" w:cs="Courier New" w:hint="default"/>
      </w:rPr>
    </w:lvl>
    <w:lvl w:ilvl="8" w:tplc="C2CCC0B0" w:tentative="1">
      <w:start w:val="1"/>
      <w:numFmt w:val="bullet"/>
      <w:lvlText w:val=""/>
      <w:lvlJc w:val="left"/>
      <w:pPr>
        <w:ind w:left="6120" w:hanging="360"/>
      </w:pPr>
      <w:rPr>
        <w:rFonts w:ascii="Wingdings" w:hAnsi="Wingdings" w:hint="default"/>
      </w:rPr>
    </w:lvl>
  </w:abstractNum>
  <w:abstractNum w:abstractNumId="4" w15:restartNumberingAfterBreak="0">
    <w:nsid w:val="35DB54C4"/>
    <w:multiLevelType w:val="hybridMultilevel"/>
    <w:tmpl w:val="79285D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36C08B58"/>
    <w:multiLevelType w:val="hybridMultilevel"/>
    <w:tmpl w:val="99B674EA"/>
    <w:lvl w:ilvl="0" w:tplc="CBE220A8">
      <w:start w:val="1"/>
      <w:numFmt w:val="bullet"/>
      <w:lvlText w:val=""/>
      <w:lvlJc w:val="left"/>
      <w:pPr>
        <w:ind w:left="720" w:hanging="360"/>
      </w:pPr>
      <w:rPr>
        <w:rFonts w:ascii="Symbol" w:hAnsi="Symbol" w:hint="default"/>
      </w:rPr>
    </w:lvl>
    <w:lvl w:ilvl="1" w:tplc="30826094">
      <w:start w:val="1"/>
      <w:numFmt w:val="bullet"/>
      <w:lvlText w:val="o"/>
      <w:lvlJc w:val="left"/>
      <w:pPr>
        <w:ind w:left="1440" w:hanging="360"/>
      </w:pPr>
      <w:rPr>
        <w:rFonts w:ascii="Courier New" w:hAnsi="Courier New" w:hint="default"/>
      </w:rPr>
    </w:lvl>
    <w:lvl w:ilvl="2" w:tplc="8F5E7944">
      <w:start w:val="1"/>
      <w:numFmt w:val="bullet"/>
      <w:lvlText w:val=""/>
      <w:lvlJc w:val="left"/>
      <w:pPr>
        <w:ind w:left="2160" w:hanging="360"/>
      </w:pPr>
      <w:rPr>
        <w:rFonts w:ascii="Wingdings" w:hAnsi="Wingdings" w:hint="default"/>
      </w:rPr>
    </w:lvl>
    <w:lvl w:ilvl="3" w:tplc="C846B62C">
      <w:start w:val="1"/>
      <w:numFmt w:val="bullet"/>
      <w:lvlText w:val=""/>
      <w:lvlJc w:val="left"/>
      <w:pPr>
        <w:ind w:left="2880" w:hanging="360"/>
      </w:pPr>
      <w:rPr>
        <w:rFonts w:ascii="Symbol" w:hAnsi="Symbol" w:hint="default"/>
      </w:rPr>
    </w:lvl>
    <w:lvl w:ilvl="4" w:tplc="241464A6">
      <w:start w:val="1"/>
      <w:numFmt w:val="bullet"/>
      <w:lvlText w:val="o"/>
      <w:lvlJc w:val="left"/>
      <w:pPr>
        <w:ind w:left="3600" w:hanging="360"/>
      </w:pPr>
      <w:rPr>
        <w:rFonts w:ascii="Courier New" w:hAnsi="Courier New" w:hint="default"/>
      </w:rPr>
    </w:lvl>
    <w:lvl w:ilvl="5" w:tplc="8A4ADFBE">
      <w:start w:val="1"/>
      <w:numFmt w:val="bullet"/>
      <w:lvlText w:val=""/>
      <w:lvlJc w:val="left"/>
      <w:pPr>
        <w:ind w:left="4320" w:hanging="360"/>
      </w:pPr>
      <w:rPr>
        <w:rFonts w:ascii="Wingdings" w:hAnsi="Wingdings" w:hint="default"/>
      </w:rPr>
    </w:lvl>
    <w:lvl w:ilvl="6" w:tplc="31CE2AD4">
      <w:start w:val="1"/>
      <w:numFmt w:val="bullet"/>
      <w:lvlText w:val=""/>
      <w:lvlJc w:val="left"/>
      <w:pPr>
        <w:ind w:left="5040" w:hanging="360"/>
      </w:pPr>
      <w:rPr>
        <w:rFonts w:ascii="Symbol" w:hAnsi="Symbol" w:hint="default"/>
      </w:rPr>
    </w:lvl>
    <w:lvl w:ilvl="7" w:tplc="95E4D4BE">
      <w:start w:val="1"/>
      <w:numFmt w:val="bullet"/>
      <w:lvlText w:val="o"/>
      <w:lvlJc w:val="left"/>
      <w:pPr>
        <w:ind w:left="5760" w:hanging="360"/>
      </w:pPr>
      <w:rPr>
        <w:rFonts w:ascii="Courier New" w:hAnsi="Courier New" w:hint="default"/>
      </w:rPr>
    </w:lvl>
    <w:lvl w:ilvl="8" w:tplc="F768E8CC">
      <w:start w:val="1"/>
      <w:numFmt w:val="bullet"/>
      <w:lvlText w:val=""/>
      <w:lvlJc w:val="left"/>
      <w:pPr>
        <w:ind w:left="6480" w:hanging="360"/>
      </w:pPr>
      <w:rPr>
        <w:rFonts w:ascii="Wingdings" w:hAnsi="Wingdings" w:hint="default"/>
      </w:rPr>
    </w:lvl>
  </w:abstractNum>
  <w:abstractNum w:abstractNumId="6" w15:restartNumberingAfterBreak="0">
    <w:nsid w:val="3A9234A2"/>
    <w:multiLevelType w:val="hybridMultilevel"/>
    <w:tmpl w:val="F5D0DC0C"/>
    <w:lvl w:ilvl="0" w:tplc="63204FDA">
      <w:start w:val="1"/>
      <w:numFmt w:val="bullet"/>
      <w:lvlText w:val=""/>
      <w:lvlJc w:val="left"/>
      <w:pPr>
        <w:ind w:left="720" w:hanging="360"/>
      </w:pPr>
      <w:rPr>
        <w:rFonts w:ascii="Symbol" w:hAnsi="Symbol" w:hint="default"/>
      </w:rPr>
    </w:lvl>
    <w:lvl w:ilvl="1" w:tplc="BAC4A98A" w:tentative="1">
      <w:start w:val="1"/>
      <w:numFmt w:val="bullet"/>
      <w:lvlText w:val="o"/>
      <w:lvlJc w:val="left"/>
      <w:pPr>
        <w:ind w:left="1440" w:hanging="360"/>
      </w:pPr>
      <w:rPr>
        <w:rFonts w:ascii="Courier New" w:hAnsi="Courier New" w:cs="Courier New" w:hint="default"/>
      </w:rPr>
    </w:lvl>
    <w:lvl w:ilvl="2" w:tplc="835260DC" w:tentative="1">
      <w:start w:val="1"/>
      <w:numFmt w:val="bullet"/>
      <w:lvlText w:val=""/>
      <w:lvlJc w:val="left"/>
      <w:pPr>
        <w:ind w:left="2160" w:hanging="360"/>
      </w:pPr>
      <w:rPr>
        <w:rFonts w:ascii="Wingdings" w:hAnsi="Wingdings" w:hint="default"/>
      </w:rPr>
    </w:lvl>
    <w:lvl w:ilvl="3" w:tplc="4B4AECB6" w:tentative="1">
      <w:start w:val="1"/>
      <w:numFmt w:val="bullet"/>
      <w:lvlText w:val=""/>
      <w:lvlJc w:val="left"/>
      <w:pPr>
        <w:ind w:left="2880" w:hanging="360"/>
      </w:pPr>
      <w:rPr>
        <w:rFonts w:ascii="Symbol" w:hAnsi="Symbol" w:hint="default"/>
      </w:rPr>
    </w:lvl>
    <w:lvl w:ilvl="4" w:tplc="AFA2535A" w:tentative="1">
      <w:start w:val="1"/>
      <w:numFmt w:val="bullet"/>
      <w:lvlText w:val="o"/>
      <w:lvlJc w:val="left"/>
      <w:pPr>
        <w:ind w:left="3600" w:hanging="360"/>
      </w:pPr>
      <w:rPr>
        <w:rFonts w:ascii="Courier New" w:hAnsi="Courier New" w:cs="Courier New" w:hint="default"/>
      </w:rPr>
    </w:lvl>
    <w:lvl w:ilvl="5" w:tplc="F73C7824" w:tentative="1">
      <w:start w:val="1"/>
      <w:numFmt w:val="bullet"/>
      <w:lvlText w:val=""/>
      <w:lvlJc w:val="left"/>
      <w:pPr>
        <w:ind w:left="4320" w:hanging="360"/>
      </w:pPr>
      <w:rPr>
        <w:rFonts w:ascii="Wingdings" w:hAnsi="Wingdings" w:hint="default"/>
      </w:rPr>
    </w:lvl>
    <w:lvl w:ilvl="6" w:tplc="61381258" w:tentative="1">
      <w:start w:val="1"/>
      <w:numFmt w:val="bullet"/>
      <w:lvlText w:val=""/>
      <w:lvlJc w:val="left"/>
      <w:pPr>
        <w:ind w:left="5040" w:hanging="360"/>
      </w:pPr>
      <w:rPr>
        <w:rFonts w:ascii="Symbol" w:hAnsi="Symbol" w:hint="default"/>
      </w:rPr>
    </w:lvl>
    <w:lvl w:ilvl="7" w:tplc="030EA22E" w:tentative="1">
      <w:start w:val="1"/>
      <w:numFmt w:val="bullet"/>
      <w:lvlText w:val="o"/>
      <w:lvlJc w:val="left"/>
      <w:pPr>
        <w:ind w:left="5760" w:hanging="360"/>
      </w:pPr>
      <w:rPr>
        <w:rFonts w:ascii="Courier New" w:hAnsi="Courier New" w:cs="Courier New" w:hint="default"/>
      </w:rPr>
    </w:lvl>
    <w:lvl w:ilvl="8" w:tplc="48CAC486" w:tentative="1">
      <w:start w:val="1"/>
      <w:numFmt w:val="bullet"/>
      <w:lvlText w:val=""/>
      <w:lvlJc w:val="left"/>
      <w:pPr>
        <w:ind w:left="6480" w:hanging="360"/>
      </w:pPr>
      <w:rPr>
        <w:rFonts w:ascii="Wingdings" w:hAnsi="Wingdings" w:hint="default"/>
      </w:rPr>
    </w:lvl>
  </w:abstractNum>
  <w:abstractNum w:abstractNumId="7" w15:restartNumberingAfterBreak="0">
    <w:nsid w:val="3F1666C3"/>
    <w:multiLevelType w:val="hybridMultilevel"/>
    <w:tmpl w:val="89D084A8"/>
    <w:lvl w:ilvl="0" w:tplc="189A3432">
      <w:start w:val="1"/>
      <w:numFmt w:val="bullet"/>
      <w:lvlText w:val=""/>
      <w:lvlJc w:val="left"/>
      <w:pPr>
        <w:ind w:left="720" w:hanging="360"/>
      </w:pPr>
      <w:rPr>
        <w:rFonts w:ascii="Symbol" w:hAnsi="Symbol" w:hint="default"/>
      </w:rPr>
    </w:lvl>
    <w:lvl w:ilvl="1" w:tplc="B6A448C4" w:tentative="1">
      <w:start w:val="1"/>
      <w:numFmt w:val="bullet"/>
      <w:lvlText w:val="o"/>
      <w:lvlJc w:val="left"/>
      <w:pPr>
        <w:ind w:left="1440" w:hanging="360"/>
      </w:pPr>
      <w:rPr>
        <w:rFonts w:ascii="Courier New" w:hAnsi="Courier New" w:cs="Courier New" w:hint="default"/>
      </w:rPr>
    </w:lvl>
    <w:lvl w:ilvl="2" w:tplc="01207CE6" w:tentative="1">
      <w:start w:val="1"/>
      <w:numFmt w:val="bullet"/>
      <w:lvlText w:val=""/>
      <w:lvlJc w:val="left"/>
      <w:pPr>
        <w:ind w:left="2160" w:hanging="360"/>
      </w:pPr>
      <w:rPr>
        <w:rFonts w:ascii="Wingdings" w:hAnsi="Wingdings" w:hint="default"/>
      </w:rPr>
    </w:lvl>
    <w:lvl w:ilvl="3" w:tplc="286AB9B8" w:tentative="1">
      <w:start w:val="1"/>
      <w:numFmt w:val="bullet"/>
      <w:lvlText w:val=""/>
      <w:lvlJc w:val="left"/>
      <w:pPr>
        <w:ind w:left="2880" w:hanging="360"/>
      </w:pPr>
      <w:rPr>
        <w:rFonts w:ascii="Symbol" w:hAnsi="Symbol" w:hint="default"/>
      </w:rPr>
    </w:lvl>
    <w:lvl w:ilvl="4" w:tplc="604EFA4E" w:tentative="1">
      <w:start w:val="1"/>
      <w:numFmt w:val="bullet"/>
      <w:lvlText w:val="o"/>
      <w:lvlJc w:val="left"/>
      <w:pPr>
        <w:ind w:left="3600" w:hanging="360"/>
      </w:pPr>
      <w:rPr>
        <w:rFonts w:ascii="Courier New" w:hAnsi="Courier New" w:cs="Courier New" w:hint="default"/>
      </w:rPr>
    </w:lvl>
    <w:lvl w:ilvl="5" w:tplc="4B58E274" w:tentative="1">
      <w:start w:val="1"/>
      <w:numFmt w:val="bullet"/>
      <w:lvlText w:val=""/>
      <w:lvlJc w:val="left"/>
      <w:pPr>
        <w:ind w:left="4320" w:hanging="360"/>
      </w:pPr>
      <w:rPr>
        <w:rFonts w:ascii="Wingdings" w:hAnsi="Wingdings" w:hint="default"/>
      </w:rPr>
    </w:lvl>
    <w:lvl w:ilvl="6" w:tplc="07E2C8B6" w:tentative="1">
      <w:start w:val="1"/>
      <w:numFmt w:val="bullet"/>
      <w:lvlText w:val=""/>
      <w:lvlJc w:val="left"/>
      <w:pPr>
        <w:ind w:left="5040" w:hanging="360"/>
      </w:pPr>
      <w:rPr>
        <w:rFonts w:ascii="Symbol" w:hAnsi="Symbol" w:hint="default"/>
      </w:rPr>
    </w:lvl>
    <w:lvl w:ilvl="7" w:tplc="6CA21A70" w:tentative="1">
      <w:start w:val="1"/>
      <w:numFmt w:val="bullet"/>
      <w:lvlText w:val="o"/>
      <w:lvlJc w:val="left"/>
      <w:pPr>
        <w:ind w:left="5760" w:hanging="360"/>
      </w:pPr>
      <w:rPr>
        <w:rFonts w:ascii="Courier New" w:hAnsi="Courier New" w:cs="Courier New" w:hint="default"/>
      </w:rPr>
    </w:lvl>
    <w:lvl w:ilvl="8" w:tplc="875C74D0" w:tentative="1">
      <w:start w:val="1"/>
      <w:numFmt w:val="bullet"/>
      <w:lvlText w:val=""/>
      <w:lvlJc w:val="left"/>
      <w:pPr>
        <w:ind w:left="6480" w:hanging="360"/>
      </w:pPr>
      <w:rPr>
        <w:rFonts w:ascii="Wingdings" w:hAnsi="Wingdings" w:hint="default"/>
      </w:rPr>
    </w:lvl>
  </w:abstractNum>
  <w:abstractNum w:abstractNumId="8" w15:restartNumberingAfterBreak="0">
    <w:nsid w:val="6F8C1532"/>
    <w:multiLevelType w:val="hybridMultilevel"/>
    <w:tmpl w:val="AD621C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88118171">
    <w:abstractNumId w:val="6"/>
  </w:num>
  <w:num w:numId="2" w16cid:durableId="450786378">
    <w:abstractNumId w:val="7"/>
  </w:num>
  <w:num w:numId="3" w16cid:durableId="140267917">
    <w:abstractNumId w:val="7"/>
  </w:num>
  <w:num w:numId="4" w16cid:durableId="1594977066">
    <w:abstractNumId w:val="3"/>
  </w:num>
  <w:num w:numId="5" w16cid:durableId="1909878559">
    <w:abstractNumId w:val="4"/>
  </w:num>
  <w:num w:numId="6" w16cid:durableId="2089111593">
    <w:abstractNumId w:val="0"/>
  </w:num>
  <w:num w:numId="7" w16cid:durableId="86002678">
    <w:abstractNumId w:val="8"/>
  </w:num>
  <w:num w:numId="8" w16cid:durableId="27798099">
    <w:abstractNumId w:val="5"/>
  </w:num>
  <w:num w:numId="9" w16cid:durableId="387846779">
    <w:abstractNumId w:val="2"/>
  </w:num>
  <w:num w:numId="10" w16cid:durableId="631059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541"/>
    <w:rsid w:val="000514F0"/>
    <w:rsid w:val="00076FB1"/>
    <w:rsid w:val="00085329"/>
    <w:rsid w:val="000909F6"/>
    <w:rsid w:val="000A2C7E"/>
    <w:rsid w:val="000A6520"/>
    <w:rsid w:val="000B2316"/>
    <w:rsid w:val="000B75EE"/>
    <w:rsid w:val="000C0CFB"/>
    <w:rsid w:val="000C28F0"/>
    <w:rsid w:val="00121B28"/>
    <w:rsid w:val="00125135"/>
    <w:rsid w:val="001346EE"/>
    <w:rsid w:val="0014074D"/>
    <w:rsid w:val="001513EE"/>
    <w:rsid w:val="00162E1C"/>
    <w:rsid w:val="0019670A"/>
    <w:rsid w:val="001B051A"/>
    <w:rsid w:val="001B28EC"/>
    <w:rsid w:val="001C3888"/>
    <w:rsid w:val="001D072C"/>
    <w:rsid w:val="001E7D35"/>
    <w:rsid w:val="002172ED"/>
    <w:rsid w:val="00222537"/>
    <w:rsid w:val="002771F6"/>
    <w:rsid w:val="0029624B"/>
    <w:rsid w:val="002C55BA"/>
    <w:rsid w:val="002D564A"/>
    <w:rsid w:val="002D7CCB"/>
    <w:rsid w:val="00311BF4"/>
    <w:rsid w:val="0032271F"/>
    <w:rsid w:val="003227C7"/>
    <w:rsid w:val="00343639"/>
    <w:rsid w:val="00343BD7"/>
    <w:rsid w:val="003441D9"/>
    <w:rsid w:val="00347308"/>
    <w:rsid w:val="0036198A"/>
    <w:rsid w:val="003A441A"/>
    <w:rsid w:val="003D0C17"/>
    <w:rsid w:val="003D253B"/>
    <w:rsid w:val="004316E7"/>
    <w:rsid w:val="00434D09"/>
    <w:rsid w:val="00442245"/>
    <w:rsid w:val="00455E46"/>
    <w:rsid w:val="0046191B"/>
    <w:rsid w:val="004907DD"/>
    <w:rsid w:val="004C2C27"/>
    <w:rsid w:val="004C754B"/>
    <w:rsid w:val="004D68C5"/>
    <w:rsid w:val="004E6562"/>
    <w:rsid w:val="004F1AD0"/>
    <w:rsid w:val="0052021E"/>
    <w:rsid w:val="00520360"/>
    <w:rsid w:val="00537F89"/>
    <w:rsid w:val="00594A0A"/>
    <w:rsid w:val="005B51B7"/>
    <w:rsid w:val="005B524C"/>
    <w:rsid w:val="005B7EA3"/>
    <w:rsid w:val="005D0B59"/>
    <w:rsid w:val="005D493B"/>
    <w:rsid w:val="005D73EB"/>
    <w:rsid w:val="006175A6"/>
    <w:rsid w:val="00625C4E"/>
    <w:rsid w:val="006266F5"/>
    <w:rsid w:val="006C680B"/>
    <w:rsid w:val="006C794F"/>
    <w:rsid w:val="006E7830"/>
    <w:rsid w:val="006E7E41"/>
    <w:rsid w:val="00702E25"/>
    <w:rsid w:val="0071229D"/>
    <w:rsid w:val="00712561"/>
    <w:rsid w:val="00715EB4"/>
    <w:rsid w:val="007175D0"/>
    <w:rsid w:val="00735BE7"/>
    <w:rsid w:val="007539F0"/>
    <w:rsid w:val="0075623E"/>
    <w:rsid w:val="007847BB"/>
    <w:rsid w:val="00795D9A"/>
    <w:rsid w:val="007A6CE3"/>
    <w:rsid w:val="007B33EF"/>
    <w:rsid w:val="007D31FF"/>
    <w:rsid w:val="007E6EE0"/>
    <w:rsid w:val="008672FE"/>
    <w:rsid w:val="008854C7"/>
    <w:rsid w:val="00892CF4"/>
    <w:rsid w:val="0089610B"/>
    <w:rsid w:val="008A20F6"/>
    <w:rsid w:val="008B416C"/>
    <w:rsid w:val="008F2CA9"/>
    <w:rsid w:val="00941CE4"/>
    <w:rsid w:val="00947E3D"/>
    <w:rsid w:val="0098766C"/>
    <w:rsid w:val="00993CF3"/>
    <w:rsid w:val="009E38BB"/>
    <w:rsid w:val="00A11326"/>
    <w:rsid w:val="00A41864"/>
    <w:rsid w:val="00A45D82"/>
    <w:rsid w:val="00A71A67"/>
    <w:rsid w:val="00A75541"/>
    <w:rsid w:val="00AE4DB3"/>
    <w:rsid w:val="00AE53E9"/>
    <w:rsid w:val="00B4213E"/>
    <w:rsid w:val="00B6491C"/>
    <w:rsid w:val="00B67E7C"/>
    <w:rsid w:val="00B75A9E"/>
    <w:rsid w:val="00B7630D"/>
    <w:rsid w:val="00B801A0"/>
    <w:rsid w:val="00C012D6"/>
    <w:rsid w:val="00C37BE9"/>
    <w:rsid w:val="00C63F2B"/>
    <w:rsid w:val="00C75A90"/>
    <w:rsid w:val="00C8204E"/>
    <w:rsid w:val="00CB04FC"/>
    <w:rsid w:val="00CC388A"/>
    <w:rsid w:val="00CD7607"/>
    <w:rsid w:val="00CE19F7"/>
    <w:rsid w:val="00CE4162"/>
    <w:rsid w:val="00CF44B9"/>
    <w:rsid w:val="00D073AD"/>
    <w:rsid w:val="00D119B7"/>
    <w:rsid w:val="00D21AB7"/>
    <w:rsid w:val="00D523D2"/>
    <w:rsid w:val="00D652B1"/>
    <w:rsid w:val="00DA728C"/>
    <w:rsid w:val="00DB0E00"/>
    <w:rsid w:val="00DB7FFE"/>
    <w:rsid w:val="00DF0446"/>
    <w:rsid w:val="00DF2C52"/>
    <w:rsid w:val="00DF441A"/>
    <w:rsid w:val="00DF6CAB"/>
    <w:rsid w:val="00E01E08"/>
    <w:rsid w:val="00E1189D"/>
    <w:rsid w:val="00E30C0C"/>
    <w:rsid w:val="00E64C3B"/>
    <w:rsid w:val="00E73DA3"/>
    <w:rsid w:val="00E75F54"/>
    <w:rsid w:val="00E811C8"/>
    <w:rsid w:val="00E82203"/>
    <w:rsid w:val="00E958E3"/>
    <w:rsid w:val="00EB31EE"/>
    <w:rsid w:val="00EC2749"/>
    <w:rsid w:val="00ED3199"/>
    <w:rsid w:val="00EF51C9"/>
    <w:rsid w:val="00F00528"/>
    <w:rsid w:val="00F3520C"/>
    <w:rsid w:val="00F3719B"/>
    <w:rsid w:val="00F445F4"/>
    <w:rsid w:val="00F766ED"/>
    <w:rsid w:val="00F82D13"/>
    <w:rsid w:val="00F852B6"/>
    <w:rsid w:val="00F90D42"/>
    <w:rsid w:val="00FA79ED"/>
    <w:rsid w:val="00FB608B"/>
    <w:rsid w:val="00FE72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428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F5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D3199"/>
    <w:pPr>
      <w:spacing w:before="360"/>
      <w:jc w:val="center"/>
      <w:outlineLvl w:val="0"/>
    </w:pPr>
    <w:rPr>
      <w:rFonts w:asciiTheme="minorHAnsi" w:hAnsiTheme="minorHAnsi" w:cstheme="minorHAnsi"/>
      <w:sz w:val="36"/>
      <w:szCs w:val="36"/>
    </w:rPr>
  </w:style>
  <w:style w:type="paragraph" w:styleId="Heading2">
    <w:name w:val="heading 2"/>
    <w:basedOn w:val="Normal"/>
    <w:next w:val="Normal"/>
    <w:link w:val="Heading2Char"/>
    <w:uiPriority w:val="9"/>
    <w:unhideWhenUsed/>
    <w:qFormat/>
    <w:rsid w:val="00ED3199"/>
    <w:pPr>
      <w:spacing w:after="120"/>
      <w:outlineLvl w:val="1"/>
    </w:pPr>
    <w:rPr>
      <w:rFonts w:asciiTheme="minorHAnsi" w:hAnsiTheme="minorHAnsi" w:cstheme="minorHAnsi"/>
      <w:b/>
    </w:rPr>
  </w:style>
  <w:style w:type="paragraph" w:styleId="Heading3">
    <w:name w:val="heading 3"/>
    <w:basedOn w:val="Normal"/>
    <w:next w:val="Normal"/>
    <w:link w:val="Heading3Char"/>
    <w:uiPriority w:val="9"/>
    <w:unhideWhenUsed/>
    <w:qFormat/>
    <w:rsid w:val="00C75A90"/>
    <w:pPr>
      <w:spacing w:before="240" w:after="120"/>
      <w:outlineLvl w:val="2"/>
    </w:pPr>
    <w:rPr>
      <w:rFonts w:asciiTheme="minorHAnsi" w:hAnsiTheme="minorHAnsi" w:cstheme="minorHAnsi"/>
      <w:b/>
    </w:rPr>
  </w:style>
  <w:style w:type="paragraph" w:styleId="Heading6">
    <w:name w:val="heading 6"/>
    <w:basedOn w:val="Normal"/>
    <w:next w:val="Normal"/>
    <w:link w:val="Heading6Char"/>
    <w:uiPriority w:val="9"/>
    <w:unhideWhenUsed/>
    <w:qFormat/>
    <w:rsid w:val="004907DD"/>
    <w:pPr>
      <w:spacing w:before="200" w:line="276" w:lineRule="auto"/>
      <w:outlineLvl w:val="5"/>
    </w:pPr>
    <w:rPr>
      <w:rFonts w:ascii="Calibri" w:eastAsiaTheme="majorEastAsia" w:hAnsi="Calibri" w:cstheme="majorBidi"/>
      <w:b/>
      <w:bCs/>
      <w:i/>
      <w:iCs/>
      <w:color w:val="75757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GBBodyText">
    <w:name w:val="IGB_Body Text"/>
    <w:basedOn w:val="Normal"/>
    <w:rsid w:val="00A75541"/>
    <w:pPr>
      <w:suppressAutoHyphens/>
      <w:autoSpaceDE w:val="0"/>
      <w:autoSpaceDN w:val="0"/>
      <w:adjustRightInd w:val="0"/>
      <w:spacing w:after="120" w:line="240" w:lineRule="atLeast"/>
      <w:textAlignment w:val="center"/>
    </w:pPr>
    <w:rPr>
      <w:rFonts w:ascii="Calibri" w:hAnsi="Calibri" w:cs="Garamond"/>
      <w:color w:val="000000"/>
      <w:sz w:val="21"/>
      <w:szCs w:val="22"/>
      <w:lang w:val="en-GB" w:eastAsia="en-AU"/>
    </w:rPr>
  </w:style>
  <w:style w:type="paragraph" w:customStyle="1" w:styleId="Default">
    <w:name w:val="Default"/>
    <w:rsid w:val="007A6CE3"/>
    <w:pPr>
      <w:autoSpaceDE w:val="0"/>
      <w:autoSpaceDN w:val="0"/>
      <w:adjustRightInd w:val="0"/>
      <w:spacing w:after="0" w:line="240" w:lineRule="auto"/>
    </w:pPr>
    <w:rPr>
      <w:rFonts w:ascii="Arial" w:hAnsi="Arial" w:cs="Arial"/>
      <w:color w:val="000000"/>
      <w:sz w:val="24"/>
      <w:szCs w:val="24"/>
    </w:rPr>
  </w:style>
  <w:style w:type="character" w:customStyle="1" w:styleId="Heading6Char">
    <w:name w:val="Heading 6 Char"/>
    <w:basedOn w:val="DefaultParagraphFont"/>
    <w:link w:val="Heading6"/>
    <w:uiPriority w:val="9"/>
    <w:rsid w:val="004907DD"/>
    <w:rPr>
      <w:rFonts w:ascii="Calibri" w:eastAsiaTheme="majorEastAsia" w:hAnsi="Calibri" w:cstheme="majorBidi"/>
      <w:b/>
      <w:bCs/>
      <w:i/>
      <w:iCs/>
      <w:color w:val="757575"/>
    </w:rPr>
  </w:style>
  <w:style w:type="paragraph" w:styleId="ListParagraph">
    <w:name w:val="List Paragraph"/>
    <w:basedOn w:val="Normal"/>
    <w:uiPriority w:val="34"/>
    <w:qFormat/>
    <w:rsid w:val="00DF0446"/>
    <w:pPr>
      <w:ind w:left="720"/>
      <w:contextualSpacing/>
    </w:pPr>
    <w:rPr>
      <w:sz w:val="20"/>
      <w:szCs w:val="20"/>
    </w:rPr>
  </w:style>
  <w:style w:type="character" w:styleId="CommentReference">
    <w:name w:val="annotation reference"/>
    <w:basedOn w:val="DefaultParagraphFont"/>
    <w:uiPriority w:val="99"/>
    <w:semiHidden/>
    <w:unhideWhenUsed/>
    <w:rsid w:val="00D119B7"/>
    <w:rPr>
      <w:sz w:val="16"/>
      <w:szCs w:val="16"/>
    </w:rPr>
  </w:style>
  <w:style w:type="paragraph" w:styleId="CommentText">
    <w:name w:val="annotation text"/>
    <w:basedOn w:val="Normal"/>
    <w:link w:val="CommentTextChar"/>
    <w:uiPriority w:val="99"/>
    <w:unhideWhenUsed/>
    <w:rsid w:val="00D119B7"/>
    <w:rPr>
      <w:sz w:val="20"/>
      <w:szCs w:val="20"/>
    </w:rPr>
  </w:style>
  <w:style w:type="character" w:customStyle="1" w:styleId="CommentTextChar">
    <w:name w:val="Comment Text Char"/>
    <w:basedOn w:val="DefaultParagraphFont"/>
    <w:link w:val="CommentText"/>
    <w:uiPriority w:val="99"/>
    <w:rsid w:val="00D119B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19B7"/>
    <w:rPr>
      <w:b/>
      <w:bCs/>
    </w:rPr>
  </w:style>
  <w:style w:type="character" w:customStyle="1" w:styleId="CommentSubjectChar">
    <w:name w:val="Comment Subject Char"/>
    <w:basedOn w:val="CommentTextChar"/>
    <w:link w:val="CommentSubject"/>
    <w:uiPriority w:val="99"/>
    <w:semiHidden/>
    <w:rsid w:val="00D119B7"/>
    <w:rPr>
      <w:rFonts w:ascii="Times New Roman" w:eastAsia="Times New Roman" w:hAnsi="Times New Roman" w:cs="Times New Roman"/>
      <w:b/>
      <w:bCs/>
      <w:sz w:val="20"/>
      <w:szCs w:val="20"/>
    </w:rPr>
  </w:style>
  <w:style w:type="paragraph" w:styleId="Revision">
    <w:name w:val="Revision"/>
    <w:hidden/>
    <w:uiPriority w:val="99"/>
    <w:semiHidden/>
    <w:rsid w:val="00E01E08"/>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D3199"/>
    <w:rPr>
      <w:rFonts w:eastAsia="Times New Roman" w:cstheme="minorHAnsi"/>
      <w:sz w:val="36"/>
      <w:szCs w:val="36"/>
    </w:rPr>
  </w:style>
  <w:style w:type="character" w:customStyle="1" w:styleId="Heading2Char">
    <w:name w:val="Heading 2 Char"/>
    <w:basedOn w:val="DefaultParagraphFont"/>
    <w:link w:val="Heading2"/>
    <w:uiPriority w:val="9"/>
    <w:rsid w:val="00ED3199"/>
    <w:rPr>
      <w:rFonts w:eastAsia="Times New Roman" w:cstheme="minorHAnsi"/>
      <w:b/>
      <w:sz w:val="24"/>
      <w:szCs w:val="24"/>
    </w:rPr>
  </w:style>
  <w:style w:type="character" w:customStyle="1" w:styleId="Heading3Char">
    <w:name w:val="Heading 3 Char"/>
    <w:basedOn w:val="DefaultParagraphFont"/>
    <w:link w:val="Heading3"/>
    <w:uiPriority w:val="9"/>
    <w:rsid w:val="00C75A90"/>
    <w:rPr>
      <w:rFonts w:eastAsia="Times New Roman" w:cstheme="minorHAnsi"/>
      <w:b/>
      <w:sz w:val="24"/>
      <w:szCs w:val="24"/>
    </w:rPr>
  </w:style>
  <w:style w:type="paragraph" w:styleId="Title">
    <w:name w:val="Title"/>
    <w:basedOn w:val="Heading1"/>
    <w:next w:val="Normal"/>
    <w:link w:val="TitleChar"/>
    <w:uiPriority w:val="10"/>
    <w:qFormat/>
    <w:rsid w:val="006C680B"/>
  </w:style>
  <w:style w:type="character" w:customStyle="1" w:styleId="TitleChar">
    <w:name w:val="Title Char"/>
    <w:basedOn w:val="DefaultParagraphFont"/>
    <w:link w:val="Title"/>
    <w:uiPriority w:val="10"/>
    <w:rsid w:val="006C680B"/>
    <w:rPr>
      <w:rFonts w:eastAsia="Times New Roman" w:cstheme="minorHAnsi"/>
      <w:sz w:val="36"/>
      <w:szCs w:val="36"/>
    </w:rPr>
  </w:style>
  <w:style w:type="paragraph" w:styleId="Header">
    <w:name w:val="header"/>
    <w:basedOn w:val="Normal"/>
    <w:link w:val="HeaderChar"/>
    <w:uiPriority w:val="99"/>
    <w:unhideWhenUsed/>
    <w:rsid w:val="00735BE7"/>
    <w:pPr>
      <w:tabs>
        <w:tab w:val="center" w:pos="4513"/>
        <w:tab w:val="right" w:pos="9026"/>
      </w:tabs>
    </w:pPr>
  </w:style>
  <w:style w:type="character" w:customStyle="1" w:styleId="HeaderChar">
    <w:name w:val="Header Char"/>
    <w:basedOn w:val="DefaultParagraphFont"/>
    <w:link w:val="Header"/>
    <w:uiPriority w:val="99"/>
    <w:rsid w:val="00735BE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35BE7"/>
    <w:pPr>
      <w:tabs>
        <w:tab w:val="center" w:pos="4513"/>
        <w:tab w:val="right" w:pos="9026"/>
      </w:tabs>
    </w:pPr>
  </w:style>
  <w:style w:type="character" w:customStyle="1" w:styleId="FooterChar">
    <w:name w:val="Footer Char"/>
    <w:basedOn w:val="DefaultParagraphFont"/>
    <w:link w:val="Footer"/>
    <w:uiPriority w:val="99"/>
    <w:rsid w:val="00735BE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00813">
      <w:bodyDiv w:val="1"/>
      <w:marLeft w:val="0"/>
      <w:marRight w:val="0"/>
      <w:marTop w:val="0"/>
      <w:marBottom w:val="0"/>
      <w:divBdr>
        <w:top w:val="none" w:sz="0" w:space="0" w:color="auto"/>
        <w:left w:val="none" w:sz="0" w:space="0" w:color="auto"/>
        <w:bottom w:val="none" w:sz="0" w:space="0" w:color="auto"/>
        <w:right w:val="none" w:sz="0" w:space="0" w:color="auto"/>
      </w:divBdr>
    </w:div>
    <w:div w:id="326908007">
      <w:bodyDiv w:val="1"/>
      <w:marLeft w:val="0"/>
      <w:marRight w:val="0"/>
      <w:marTop w:val="0"/>
      <w:marBottom w:val="0"/>
      <w:divBdr>
        <w:top w:val="none" w:sz="0" w:space="0" w:color="auto"/>
        <w:left w:val="none" w:sz="0" w:space="0" w:color="auto"/>
        <w:bottom w:val="none" w:sz="0" w:space="0" w:color="auto"/>
        <w:right w:val="none" w:sz="0" w:space="0" w:color="auto"/>
      </w:divBdr>
    </w:div>
    <w:div w:id="493573619">
      <w:bodyDiv w:val="1"/>
      <w:marLeft w:val="0"/>
      <w:marRight w:val="0"/>
      <w:marTop w:val="0"/>
      <w:marBottom w:val="0"/>
      <w:divBdr>
        <w:top w:val="none" w:sz="0" w:space="0" w:color="auto"/>
        <w:left w:val="none" w:sz="0" w:space="0" w:color="auto"/>
        <w:bottom w:val="none" w:sz="0" w:space="0" w:color="auto"/>
        <w:right w:val="none" w:sz="0" w:space="0" w:color="auto"/>
      </w:divBdr>
    </w:div>
    <w:div w:id="541096814">
      <w:bodyDiv w:val="1"/>
      <w:marLeft w:val="0"/>
      <w:marRight w:val="0"/>
      <w:marTop w:val="0"/>
      <w:marBottom w:val="0"/>
      <w:divBdr>
        <w:top w:val="none" w:sz="0" w:space="0" w:color="auto"/>
        <w:left w:val="none" w:sz="0" w:space="0" w:color="auto"/>
        <w:bottom w:val="none" w:sz="0" w:space="0" w:color="auto"/>
        <w:right w:val="none" w:sz="0" w:space="0" w:color="auto"/>
      </w:divBdr>
    </w:div>
    <w:div w:id="766999093">
      <w:bodyDiv w:val="1"/>
      <w:marLeft w:val="0"/>
      <w:marRight w:val="0"/>
      <w:marTop w:val="0"/>
      <w:marBottom w:val="0"/>
      <w:divBdr>
        <w:top w:val="none" w:sz="0" w:space="0" w:color="auto"/>
        <w:left w:val="none" w:sz="0" w:space="0" w:color="auto"/>
        <w:bottom w:val="none" w:sz="0" w:space="0" w:color="auto"/>
        <w:right w:val="none" w:sz="0" w:space="0" w:color="auto"/>
      </w:divBdr>
    </w:div>
    <w:div w:id="125863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83057-22B1-4417-83E9-7CD0337E6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909</Words>
  <Characters>5185</Characters>
  <Application>Microsoft Office Word</Application>
  <DocSecurity>0</DocSecurity>
  <Lines>101</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Education and Employment Legislation Committee report: Free TAFE Bill 2024 [Provisions]</dc:title>
  <dc:subject/>
  <dc:creator/>
  <cp:lastModifiedBy/>
  <cp:revision>1</cp:revision>
  <dcterms:created xsi:type="dcterms:W3CDTF">2025-10-15T06:52:00Z</dcterms:created>
  <dcterms:modified xsi:type="dcterms:W3CDTF">2025-10-15T06:52:00Z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2025-10-15T06:52:43Z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b5b57e57-0302-4a9e-931b-a821b0bb76f3</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