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5378" w14:textId="77777777" w:rsidR="00067075" w:rsidRDefault="007D7892" w:rsidP="00E14881">
      <w:sdt>
        <w:sdtPr>
          <w:id w:val="48349803"/>
          <w:lock w:val="sdtContentLocked"/>
          <w:showingPlcHdr/>
          <w15:appearance w15:val="hidden"/>
          <w:picture/>
        </w:sdtPr>
        <w:sdtEndPr/>
        <w:sdtContent/>
      </w:sdt>
      <w:sdt>
        <w:sdtPr>
          <w:id w:val="1978328425"/>
          <w:lock w:val="sdtContentLocked"/>
          <w:showingPlcHdr/>
          <w15:appearance w15:val="hidden"/>
          <w:picture/>
        </w:sdtPr>
        <w:sdtEndPr/>
        <w:sdtContent>
          <w:r w:rsidR="00936BF0">
            <w:rPr>
              <w:noProof/>
            </w:rPr>
            <w:drawing>
              <wp:inline distT="0" distB="0" distL="0" distR="0" wp14:anchorId="3BDAF814" wp14:editId="005CBF11">
                <wp:extent cx="2372559" cy="727075"/>
                <wp:effectExtent l="0" t="0" r="8890" b="0"/>
                <wp:docPr id="1" name="Picture 3" descr="Australian Government Department of Employment and Workplace Relatio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Australian Government Department of Employment and Workplace Relations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2559" cy="727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</w:p>
    <w:sdt>
      <w:sdtPr>
        <w:id w:val="-1175726244"/>
        <w:lock w:val="sdtContentLocked"/>
        <w:showingPlcHdr/>
        <w15:appearance w15:val="hidden"/>
        <w:picture/>
      </w:sdtPr>
      <w:sdtEndPr/>
      <w:sdtContent>
        <w:p w14:paraId="2882EB47" w14:textId="77777777" w:rsidR="00EC6A53" w:rsidRDefault="00C7081F" w:rsidP="00122E94">
          <w:pPr>
            <w:spacing w:before="100" w:beforeAutospacing="1" w:after="0"/>
            <w:sectPr w:rsidR="00EC6A53" w:rsidSect="00DE0402">
              <w:type w:val="continuous"/>
              <w:pgSz w:w="11906" w:h="16838"/>
              <w:pgMar w:top="851" w:right="1418" w:bottom="1418" w:left="1418" w:header="0" w:footer="709" w:gutter="0"/>
              <w:cols w:space="708"/>
              <w:titlePg/>
              <w:docGrid w:linePitch="360"/>
            </w:sect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20E0BE8" wp14:editId="082E1BDD">
                <wp:simplePos x="0" y="0"/>
                <wp:positionH relativeFrom="page">
                  <wp:posOffset>-9525</wp:posOffset>
                </wp:positionH>
                <wp:positionV relativeFrom="page">
                  <wp:posOffset>9525</wp:posOffset>
                </wp:positionV>
                <wp:extent cx="7577998" cy="2545352"/>
                <wp:effectExtent l="0" t="0" r="4445" b="7620"/>
                <wp:wrapNone/>
                <wp:docPr id="3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7998" cy="2545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4188BD9D" w14:textId="3375A079" w:rsidR="006D154E" w:rsidRPr="00E36EF8" w:rsidRDefault="00EB3A1A" w:rsidP="0090468C">
      <w:pPr>
        <w:pStyle w:val="Title"/>
        <w:tabs>
          <w:tab w:val="left" w:pos="6915"/>
        </w:tabs>
        <w:spacing w:before="1440"/>
      </w:pPr>
      <w:r w:rsidRPr="00EB3A1A">
        <w:t>How to make a submission</w:t>
      </w:r>
      <w:r w:rsidR="0083778B">
        <w:tab/>
      </w:r>
    </w:p>
    <w:p w14:paraId="35DEFA11" w14:textId="215D2957" w:rsidR="002B1CE5" w:rsidRPr="00197B31" w:rsidRDefault="00EB3A1A" w:rsidP="006D154E">
      <w:pPr>
        <w:pStyle w:val="Subtitle"/>
      </w:pPr>
      <w:r>
        <w:t xml:space="preserve">Shaping the future of employment services </w:t>
      </w:r>
    </w:p>
    <w:p w14:paraId="33D9C76D" w14:textId="497F2F68" w:rsidR="00EB3A1A" w:rsidRDefault="00EB3A1A" w:rsidP="00EB3A1A">
      <w:pPr>
        <w:rPr>
          <w:lang w:eastAsia="en-AU"/>
        </w:rPr>
      </w:pPr>
      <w:r>
        <w:t xml:space="preserve">This guide explains the different ways you can make a submission in response to the </w:t>
      </w:r>
      <w:hyperlink r:id="rId13" w:history="1">
        <w:r w:rsidRPr="00F469C7">
          <w:rPr>
            <w:rStyle w:val="Hyperlink"/>
          </w:rPr>
          <w:t>Shaping the future of employment services Discussion Paper</w:t>
        </w:r>
      </w:hyperlink>
      <w:r>
        <w:t xml:space="preserve"> (discussion paper), and where to find the </w:t>
      </w:r>
      <w:proofErr w:type="gramStart"/>
      <w:r>
        <w:t>documents</w:t>
      </w:r>
      <w:proofErr w:type="gramEnd"/>
      <w:r>
        <w:t xml:space="preserve"> you may need.</w:t>
      </w:r>
    </w:p>
    <w:p w14:paraId="44C46EBF" w14:textId="75588934" w:rsidR="00EB3A1A" w:rsidRDefault="00EB3A1A" w:rsidP="00EB3A1A">
      <w:pPr>
        <w:rPr>
          <w:lang w:eastAsia="en-AU"/>
        </w:rPr>
      </w:pPr>
      <w:r w:rsidRPr="00EB3A1A">
        <w:rPr>
          <w:rStyle w:val="Heading1Char"/>
        </w:rPr>
        <w:t>Ways to make a submission</w:t>
      </w:r>
      <w:r>
        <w:br/>
        <w:t>You can choose one option that works best for you or</w:t>
      </w:r>
      <w:r w:rsidRPr="00203C93">
        <w:t xml:space="preserve"> use a combination of options</w:t>
      </w:r>
      <w:r>
        <w:t>.</w:t>
      </w:r>
    </w:p>
    <w:p w14:paraId="32E7A5E8" w14:textId="77777777" w:rsidR="00F469C7" w:rsidRDefault="00F469C7" w:rsidP="00F469C7">
      <w:pPr>
        <w:numPr>
          <w:ilvl w:val="0"/>
          <w:numId w:val="18"/>
        </w:numPr>
        <w:spacing w:after="160"/>
      </w:pPr>
      <w:r>
        <w:rPr>
          <w:b/>
          <w:bCs/>
        </w:rPr>
        <w:t>Answer the questions online</w:t>
      </w:r>
      <w:r>
        <w:t xml:space="preserve"> – You can work through the consultation questions step by step on the submission webpage.</w:t>
      </w:r>
    </w:p>
    <w:p w14:paraId="3ED98089" w14:textId="77777777" w:rsidR="00EB3A1A" w:rsidRDefault="00EB3A1A" w:rsidP="00EB3A1A">
      <w:pPr>
        <w:numPr>
          <w:ilvl w:val="0"/>
          <w:numId w:val="18"/>
        </w:numPr>
        <w:spacing w:after="160"/>
      </w:pPr>
      <w:r>
        <w:rPr>
          <w:b/>
          <w:bCs/>
        </w:rPr>
        <w:t>Upload your own document</w:t>
      </w:r>
      <w:r>
        <w:t xml:space="preserve"> – such as a written submission, letter or report.</w:t>
      </w:r>
    </w:p>
    <w:p w14:paraId="3924D7DE" w14:textId="77777777" w:rsidR="00EB3A1A" w:rsidRDefault="00EB3A1A" w:rsidP="00EB3A1A">
      <w:pPr>
        <w:numPr>
          <w:ilvl w:val="0"/>
          <w:numId w:val="18"/>
        </w:numPr>
        <w:spacing w:after="160"/>
        <w:rPr>
          <w:lang w:eastAsia="en-AU"/>
        </w:rPr>
      </w:pPr>
      <w:r>
        <w:rPr>
          <w:b/>
          <w:bCs/>
        </w:rPr>
        <w:t>Use a submission template and upload it</w:t>
      </w:r>
      <w:r>
        <w:t xml:space="preserve"> – This option is useful if you want to respond to the consultation questions in a document. </w:t>
      </w:r>
    </w:p>
    <w:p w14:paraId="557A4028" w14:textId="609B3483" w:rsidR="00EB3A1A" w:rsidRDefault="00EB3A1A" w:rsidP="00EB3A1A">
      <w:pPr>
        <w:numPr>
          <w:ilvl w:val="1"/>
          <w:numId w:val="18"/>
        </w:numPr>
        <w:spacing w:after="160"/>
        <w:rPr>
          <w:lang w:eastAsia="en-AU"/>
        </w:rPr>
      </w:pPr>
      <w:r>
        <w:rPr>
          <w:lang w:eastAsia="en-AU"/>
        </w:rPr>
        <w:t>There is a</w:t>
      </w:r>
      <w:r w:rsidR="00512D20">
        <w:rPr>
          <w:lang w:eastAsia="en-AU"/>
        </w:rPr>
        <w:t xml:space="preserve"> </w:t>
      </w:r>
      <w:hyperlink r:id="rId14" w:history="1">
        <w:r w:rsidR="00512D20" w:rsidRPr="003C2A53">
          <w:rPr>
            <w:rStyle w:val="Hyperlink"/>
            <w:lang w:eastAsia="en-AU"/>
          </w:rPr>
          <w:t xml:space="preserve">standard </w:t>
        </w:r>
        <w:r w:rsidRPr="003C2A53">
          <w:rPr>
            <w:rStyle w:val="Hyperlink"/>
            <w:lang w:eastAsia="en-AU"/>
          </w:rPr>
          <w:t>template</w:t>
        </w:r>
      </w:hyperlink>
      <w:r>
        <w:rPr>
          <w:lang w:eastAsia="en-AU"/>
        </w:rPr>
        <w:t xml:space="preserve"> that accompanies the discussion paper, and a template included in the </w:t>
      </w:r>
      <w:hyperlink r:id="rId15" w:history="1">
        <w:r w:rsidRPr="007A13A0">
          <w:rPr>
            <w:rStyle w:val="Hyperlink"/>
            <w:lang w:eastAsia="en-AU"/>
          </w:rPr>
          <w:t>Easy Read version</w:t>
        </w:r>
      </w:hyperlink>
      <w:r>
        <w:rPr>
          <w:lang w:eastAsia="en-AU"/>
        </w:rPr>
        <w:t>.</w:t>
      </w:r>
    </w:p>
    <w:p w14:paraId="4DFC1692" w14:textId="77777777" w:rsidR="00EB3A1A" w:rsidRDefault="00EB3A1A" w:rsidP="00EB3A1A">
      <w:pPr>
        <w:numPr>
          <w:ilvl w:val="1"/>
          <w:numId w:val="18"/>
        </w:numPr>
        <w:spacing w:after="160"/>
        <w:rPr>
          <w:lang w:eastAsia="en-AU"/>
        </w:rPr>
      </w:pPr>
      <w:r>
        <w:rPr>
          <w:lang w:eastAsia="en-AU"/>
        </w:rPr>
        <w:t>Each template includes the consultation questions and space to respond. You can choose the version that best suits you, then upload your completed document.</w:t>
      </w:r>
    </w:p>
    <w:p w14:paraId="6208E516" w14:textId="77777777" w:rsidR="00EB3A1A" w:rsidRDefault="00EB3A1A" w:rsidP="00EB3A1A">
      <w:pPr>
        <w:numPr>
          <w:ilvl w:val="0"/>
          <w:numId w:val="18"/>
        </w:numPr>
        <w:spacing w:after="160"/>
      </w:pPr>
      <w:r>
        <w:rPr>
          <w:b/>
          <w:bCs/>
        </w:rPr>
        <w:t>Give general written feedback online</w:t>
      </w:r>
      <w:r>
        <w:t xml:space="preserve"> – You can provide a shorter response if you want to share overall comments or suggestions.</w:t>
      </w:r>
    </w:p>
    <w:p w14:paraId="0A496898" w14:textId="561F6486" w:rsidR="00EB3A1A" w:rsidRDefault="00EB3A1A" w:rsidP="00EB3A1A">
      <w:r>
        <w:t xml:space="preserve">To get started, go to the </w:t>
      </w:r>
      <w:hyperlink r:id="rId16" w:history="1">
        <w:r w:rsidRPr="00C73F8D">
          <w:rPr>
            <w:rStyle w:val="Hyperlink"/>
          </w:rPr>
          <w:t>consultation website</w:t>
        </w:r>
      </w:hyperlink>
      <w:r>
        <w:t xml:space="preserve"> and select </w:t>
      </w:r>
      <w:r>
        <w:rPr>
          <w:b/>
        </w:rPr>
        <w:t>Make a submission</w:t>
      </w:r>
      <w:r>
        <w:t xml:space="preserve">. The website will guide you through the process and help you choose your preferred option. </w:t>
      </w:r>
    </w:p>
    <w:p w14:paraId="3D3E3C67" w14:textId="629B5792" w:rsidR="00EB3A1A" w:rsidRDefault="00EB3A1A" w:rsidP="00EB3A1A">
      <w:r w:rsidRPr="00EB3A1A">
        <w:rPr>
          <w:rStyle w:val="Heading1Char"/>
        </w:rPr>
        <w:t>Documents and support</w:t>
      </w:r>
      <w:r w:rsidRPr="00EB3A1A">
        <w:rPr>
          <w:rStyle w:val="Heading2Char"/>
        </w:rPr>
        <w:br/>
      </w:r>
      <w:r>
        <w:t xml:space="preserve">You may find it helpful to read the </w:t>
      </w:r>
      <w:hyperlink r:id="rId17" w:history="1">
        <w:r w:rsidRPr="00F469C7">
          <w:rPr>
            <w:rStyle w:val="Hyperlink"/>
          </w:rPr>
          <w:t>Discussion Paper</w:t>
        </w:r>
      </w:hyperlink>
      <w:r>
        <w:rPr>
          <w:u w:val="single"/>
        </w:rPr>
        <w:t xml:space="preserve"> </w:t>
      </w:r>
      <w:r>
        <w:t xml:space="preserve">before you start. You can also use the </w:t>
      </w:r>
      <w:hyperlink r:id="rId18" w:history="1">
        <w:r w:rsidRPr="007A13A0">
          <w:rPr>
            <w:rStyle w:val="Hyperlink"/>
          </w:rPr>
          <w:t>Easy Read Discussion Paper</w:t>
        </w:r>
      </w:hyperlink>
      <w:r>
        <w:t xml:space="preserve"> if you want a simpler version. </w:t>
      </w:r>
    </w:p>
    <w:p w14:paraId="17A00334" w14:textId="589B719A" w:rsidR="00EB3A1A" w:rsidRDefault="00EB3A1A" w:rsidP="00EB3A1A">
      <w:r>
        <w:t xml:space="preserve">All relevant documents can also be found on the </w:t>
      </w:r>
      <w:hyperlink r:id="rId19" w:history="1">
        <w:r w:rsidR="00F469C7">
          <w:rPr>
            <w:rStyle w:val="Hyperlink"/>
          </w:rPr>
          <w:t>Consultation Hub</w:t>
        </w:r>
      </w:hyperlink>
      <w:r>
        <w:t xml:space="preserve"> in a variety of formats, including Word (.docx) and PDF. </w:t>
      </w:r>
    </w:p>
    <w:p w14:paraId="70A795D0" w14:textId="77777777" w:rsidR="00EB3A1A" w:rsidRDefault="00EB3A1A" w:rsidP="00EB3A1A">
      <w:pPr>
        <w:pStyle w:val="Heading1"/>
      </w:pPr>
      <w:r>
        <w:lastRenderedPageBreak/>
        <w:t>Helpful tips before you submit</w:t>
      </w:r>
    </w:p>
    <w:p w14:paraId="682B480B" w14:textId="77777777" w:rsidR="00EB3A1A" w:rsidRPr="00C73F8D" w:rsidRDefault="00EB3A1A" w:rsidP="00EB3A1A">
      <w:pPr>
        <w:pStyle w:val="ListParagraph"/>
        <w:numPr>
          <w:ilvl w:val="0"/>
          <w:numId w:val="19"/>
        </w:numPr>
        <w:spacing w:after="160" w:line="278" w:lineRule="auto"/>
      </w:pPr>
      <w:r w:rsidRPr="00C73F8D">
        <w:t xml:space="preserve">You do not need to answer every question. You can focus on the parts that matter most to you. </w:t>
      </w:r>
    </w:p>
    <w:p w14:paraId="5F77B505" w14:textId="77777777" w:rsidR="00EB3A1A" w:rsidRPr="00AD0D73" w:rsidRDefault="00EB3A1A" w:rsidP="00EB3A1A">
      <w:pPr>
        <w:pStyle w:val="ListParagraph"/>
        <w:numPr>
          <w:ilvl w:val="0"/>
          <w:numId w:val="19"/>
        </w:numPr>
        <w:spacing w:after="160" w:line="278" w:lineRule="auto"/>
        <w:rPr>
          <w:lang w:eastAsia="en-AU"/>
        </w:rPr>
      </w:pPr>
      <w:r w:rsidRPr="00C73F8D">
        <w:t>If you are completing your submission online, you can save your progress and come back to it later.</w:t>
      </w:r>
    </w:p>
    <w:p w14:paraId="0E6877A8" w14:textId="77777777" w:rsidR="00EB3A1A" w:rsidRDefault="00EB3A1A" w:rsidP="00EB3A1A">
      <w:pPr>
        <w:spacing w:after="0" w:line="300" w:lineRule="atLeast"/>
        <w:rPr>
          <w:rFonts w:eastAsia="Times New Roman" w:cstheme="minorHAnsi"/>
          <w:b/>
          <w:bCs/>
          <w:lang w:eastAsia="en-AU"/>
        </w:rPr>
      </w:pPr>
      <w:r w:rsidRPr="00EB3A1A">
        <w:rPr>
          <w:rStyle w:val="Heading2Char"/>
        </w:rPr>
        <w:t>Closing date</w:t>
      </w:r>
      <w:r>
        <w:rPr>
          <w:rFonts w:eastAsia="Times New Roman" w:cstheme="minorHAnsi"/>
          <w:b/>
          <w:bCs/>
          <w:lang w:eastAsia="en-AU"/>
        </w:rPr>
        <w:br/>
      </w:r>
      <w:r w:rsidRPr="00364645">
        <w:rPr>
          <w:rFonts w:eastAsia="Times New Roman" w:cstheme="minorHAnsi"/>
          <w:lang w:eastAsia="en-AU"/>
        </w:rPr>
        <w:t xml:space="preserve">Please </w:t>
      </w:r>
      <w:r>
        <w:rPr>
          <w:rFonts w:eastAsia="Times New Roman" w:cstheme="minorHAnsi"/>
          <w:lang w:eastAsia="en-AU"/>
        </w:rPr>
        <w:t>s</w:t>
      </w:r>
      <w:r w:rsidRPr="00364645">
        <w:rPr>
          <w:rFonts w:eastAsia="Times New Roman" w:cstheme="minorHAnsi"/>
          <w:lang w:eastAsia="en-AU"/>
        </w:rPr>
        <w:t xml:space="preserve">ubmit your response by </w:t>
      </w:r>
      <w:r w:rsidRPr="00364645">
        <w:rPr>
          <w:rFonts w:eastAsia="Times New Roman" w:cstheme="minorHAnsi"/>
          <w:b/>
          <w:bCs/>
          <w:lang w:eastAsia="en-AU"/>
        </w:rPr>
        <w:t>5:00pm AEST on Friday 31 July 2026.</w:t>
      </w:r>
    </w:p>
    <w:p w14:paraId="58C31EA7" w14:textId="77777777" w:rsidR="00EB3A1A" w:rsidRDefault="00EB3A1A" w:rsidP="00EB3A1A">
      <w:pPr>
        <w:spacing w:after="0" w:line="300" w:lineRule="atLeast"/>
        <w:rPr>
          <w:rFonts w:eastAsia="Times New Roman" w:cstheme="minorHAnsi"/>
          <w:b/>
          <w:bCs/>
          <w:lang w:eastAsia="en-AU"/>
        </w:rPr>
      </w:pPr>
    </w:p>
    <w:p w14:paraId="507BD677" w14:textId="7449A190" w:rsidR="00EB3A1A" w:rsidRPr="00C44371" w:rsidRDefault="00EB3A1A" w:rsidP="00EB3A1A">
      <w:pPr>
        <w:spacing w:after="0" w:line="300" w:lineRule="atLeast"/>
        <w:rPr>
          <w:rFonts w:eastAsia="Times New Roman" w:cstheme="minorHAnsi"/>
          <w:b/>
          <w:lang w:eastAsia="en-AU"/>
        </w:rPr>
      </w:pPr>
      <w:r>
        <w:rPr>
          <w:rFonts w:eastAsia="Times New Roman" w:cstheme="minorHAnsi"/>
          <w:lang w:eastAsia="en-AU"/>
        </w:rPr>
        <w:t xml:space="preserve">For </w:t>
      </w:r>
      <w:r w:rsidRPr="00953831">
        <w:rPr>
          <w:rFonts w:eastAsia="Times New Roman" w:cstheme="minorHAnsi"/>
          <w:lang w:eastAsia="en-AU"/>
        </w:rPr>
        <w:t xml:space="preserve">further support </w:t>
      </w:r>
      <w:r>
        <w:rPr>
          <w:rFonts w:eastAsia="Times New Roman" w:cstheme="minorHAnsi"/>
          <w:lang w:eastAsia="en-AU"/>
        </w:rPr>
        <w:t>please email</w:t>
      </w:r>
      <w:r>
        <w:rPr>
          <w:rFonts w:eastAsia="Times New Roman" w:cstheme="minorHAnsi"/>
          <w:b/>
          <w:bCs/>
          <w:lang w:eastAsia="en-AU"/>
        </w:rPr>
        <w:t xml:space="preserve"> ESREngagement@dewr.gov.au</w:t>
      </w:r>
    </w:p>
    <w:sectPr w:rsidR="00EB3A1A" w:rsidRPr="00C44371" w:rsidSect="00C7081F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5B730" w14:textId="77777777" w:rsidR="007D7892" w:rsidRDefault="007D7892" w:rsidP="0051352E">
      <w:pPr>
        <w:spacing w:after="0" w:line="240" w:lineRule="auto"/>
      </w:pPr>
      <w:r>
        <w:separator/>
      </w:r>
    </w:p>
  </w:endnote>
  <w:endnote w:type="continuationSeparator" w:id="0">
    <w:p w14:paraId="7EC49EB1" w14:textId="77777777" w:rsidR="007D7892" w:rsidRDefault="007D7892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A2D35" w14:textId="77777777" w:rsidR="007D7892" w:rsidRDefault="007D7892" w:rsidP="0051352E">
      <w:pPr>
        <w:spacing w:after="0" w:line="240" w:lineRule="auto"/>
      </w:pPr>
      <w:r>
        <w:separator/>
      </w:r>
    </w:p>
  </w:footnote>
  <w:footnote w:type="continuationSeparator" w:id="0">
    <w:p w14:paraId="24DA50DF" w14:textId="77777777" w:rsidR="007D7892" w:rsidRDefault="007D7892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F834E3"/>
    <w:multiLevelType w:val="multilevel"/>
    <w:tmpl w:val="449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FA51F08"/>
    <w:multiLevelType w:val="hybridMultilevel"/>
    <w:tmpl w:val="68702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60396">
    <w:abstractNumId w:val="9"/>
  </w:num>
  <w:num w:numId="2" w16cid:durableId="342510552">
    <w:abstractNumId w:val="7"/>
  </w:num>
  <w:num w:numId="3" w16cid:durableId="1594895232">
    <w:abstractNumId w:val="6"/>
  </w:num>
  <w:num w:numId="4" w16cid:durableId="1820461966">
    <w:abstractNumId w:val="5"/>
  </w:num>
  <w:num w:numId="5" w16cid:durableId="1501845443">
    <w:abstractNumId w:val="4"/>
  </w:num>
  <w:num w:numId="6" w16cid:durableId="729040880">
    <w:abstractNumId w:val="8"/>
  </w:num>
  <w:num w:numId="7" w16cid:durableId="278419321">
    <w:abstractNumId w:val="3"/>
  </w:num>
  <w:num w:numId="8" w16cid:durableId="574701396">
    <w:abstractNumId w:val="2"/>
  </w:num>
  <w:num w:numId="9" w16cid:durableId="2082634113">
    <w:abstractNumId w:val="1"/>
  </w:num>
  <w:num w:numId="10" w16cid:durableId="806321090">
    <w:abstractNumId w:val="0"/>
  </w:num>
  <w:num w:numId="11" w16cid:durableId="63377158">
    <w:abstractNumId w:val="10"/>
  </w:num>
  <w:num w:numId="12" w16cid:durableId="1523323380">
    <w:abstractNumId w:val="13"/>
  </w:num>
  <w:num w:numId="13" w16cid:durableId="933829800">
    <w:abstractNumId w:val="14"/>
  </w:num>
  <w:num w:numId="14" w16cid:durableId="1181817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5928808">
    <w:abstractNumId w:val="13"/>
  </w:num>
  <w:num w:numId="16" w16cid:durableId="1166021225">
    <w:abstractNumId w:val="14"/>
  </w:num>
  <w:num w:numId="17" w16cid:durableId="1814981661">
    <w:abstractNumId w:val="10"/>
  </w:num>
  <w:num w:numId="18" w16cid:durableId="1297562142">
    <w:abstractNumId w:val="12"/>
  </w:num>
  <w:num w:numId="19" w16cid:durableId="12335870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8C"/>
    <w:rsid w:val="0003210B"/>
    <w:rsid w:val="00040032"/>
    <w:rsid w:val="00042F07"/>
    <w:rsid w:val="00052BBC"/>
    <w:rsid w:val="00055B57"/>
    <w:rsid w:val="00067075"/>
    <w:rsid w:val="00085EBA"/>
    <w:rsid w:val="00087C31"/>
    <w:rsid w:val="000A3ECA"/>
    <w:rsid w:val="000A453D"/>
    <w:rsid w:val="000E280D"/>
    <w:rsid w:val="000E5867"/>
    <w:rsid w:val="00103D56"/>
    <w:rsid w:val="00111085"/>
    <w:rsid w:val="00117110"/>
    <w:rsid w:val="00122E94"/>
    <w:rsid w:val="00140A92"/>
    <w:rsid w:val="00155FF0"/>
    <w:rsid w:val="00157F35"/>
    <w:rsid w:val="00197B31"/>
    <w:rsid w:val="001B0B9A"/>
    <w:rsid w:val="00204CCE"/>
    <w:rsid w:val="00217EAB"/>
    <w:rsid w:val="0022498C"/>
    <w:rsid w:val="00225433"/>
    <w:rsid w:val="0022626C"/>
    <w:rsid w:val="00236FDF"/>
    <w:rsid w:val="002446A8"/>
    <w:rsid w:val="00254B49"/>
    <w:rsid w:val="00265916"/>
    <w:rsid w:val="002724D0"/>
    <w:rsid w:val="00295335"/>
    <w:rsid w:val="002A7840"/>
    <w:rsid w:val="002B1CE5"/>
    <w:rsid w:val="002F4DB3"/>
    <w:rsid w:val="00350FFA"/>
    <w:rsid w:val="00381605"/>
    <w:rsid w:val="00382F07"/>
    <w:rsid w:val="003A2EFF"/>
    <w:rsid w:val="003C2A53"/>
    <w:rsid w:val="003D73D6"/>
    <w:rsid w:val="003F0286"/>
    <w:rsid w:val="00414677"/>
    <w:rsid w:val="0041711A"/>
    <w:rsid w:val="00437493"/>
    <w:rsid w:val="00453C04"/>
    <w:rsid w:val="00466DE7"/>
    <w:rsid w:val="0047241E"/>
    <w:rsid w:val="004774AD"/>
    <w:rsid w:val="00487E9C"/>
    <w:rsid w:val="00495658"/>
    <w:rsid w:val="00497764"/>
    <w:rsid w:val="004B1F5B"/>
    <w:rsid w:val="004B43AE"/>
    <w:rsid w:val="004D2870"/>
    <w:rsid w:val="004E2F7A"/>
    <w:rsid w:val="00511396"/>
    <w:rsid w:val="00512D20"/>
    <w:rsid w:val="0051352E"/>
    <w:rsid w:val="00517DA7"/>
    <w:rsid w:val="00520A33"/>
    <w:rsid w:val="00527AE4"/>
    <w:rsid w:val="00537E9E"/>
    <w:rsid w:val="0055569D"/>
    <w:rsid w:val="00596A88"/>
    <w:rsid w:val="00596F47"/>
    <w:rsid w:val="005B6788"/>
    <w:rsid w:val="005D7CE7"/>
    <w:rsid w:val="00604FB1"/>
    <w:rsid w:val="00610A38"/>
    <w:rsid w:val="00630DDF"/>
    <w:rsid w:val="00662A42"/>
    <w:rsid w:val="00672680"/>
    <w:rsid w:val="00684454"/>
    <w:rsid w:val="006B0B39"/>
    <w:rsid w:val="006B1262"/>
    <w:rsid w:val="006D154E"/>
    <w:rsid w:val="006E5D6E"/>
    <w:rsid w:val="00704585"/>
    <w:rsid w:val="00721B03"/>
    <w:rsid w:val="00745FFC"/>
    <w:rsid w:val="007517CD"/>
    <w:rsid w:val="007570DC"/>
    <w:rsid w:val="00757803"/>
    <w:rsid w:val="00761AA7"/>
    <w:rsid w:val="00772060"/>
    <w:rsid w:val="007A13A0"/>
    <w:rsid w:val="007B1ABA"/>
    <w:rsid w:val="007B74C5"/>
    <w:rsid w:val="007C5DFD"/>
    <w:rsid w:val="007D7892"/>
    <w:rsid w:val="007F7F22"/>
    <w:rsid w:val="0083778B"/>
    <w:rsid w:val="008419DF"/>
    <w:rsid w:val="00842C50"/>
    <w:rsid w:val="008479A8"/>
    <w:rsid w:val="008507C1"/>
    <w:rsid w:val="00861934"/>
    <w:rsid w:val="008B00B6"/>
    <w:rsid w:val="008B796D"/>
    <w:rsid w:val="008C7397"/>
    <w:rsid w:val="008D76A5"/>
    <w:rsid w:val="008E22BA"/>
    <w:rsid w:val="008F0AC9"/>
    <w:rsid w:val="00900F7F"/>
    <w:rsid w:val="0090468C"/>
    <w:rsid w:val="00927939"/>
    <w:rsid w:val="009303E4"/>
    <w:rsid w:val="0093473D"/>
    <w:rsid w:val="00934FB8"/>
    <w:rsid w:val="00936BF0"/>
    <w:rsid w:val="00944ECC"/>
    <w:rsid w:val="00966B9B"/>
    <w:rsid w:val="00972F57"/>
    <w:rsid w:val="00995280"/>
    <w:rsid w:val="009C2572"/>
    <w:rsid w:val="009C5945"/>
    <w:rsid w:val="00A03364"/>
    <w:rsid w:val="00A14B02"/>
    <w:rsid w:val="00A17AC3"/>
    <w:rsid w:val="00A24E6E"/>
    <w:rsid w:val="00A43694"/>
    <w:rsid w:val="00A52ED5"/>
    <w:rsid w:val="00A56FC7"/>
    <w:rsid w:val="00A668BF"/>
    <w:rsid w:val="00A72575"/>
    <w:rsid w:val="00A74071"/>
    <w:rsid w:val="00A754E4"/>
    <w:rsid w:val="00AA124A"/>
    <w:rsid w:val="00AA2A96"/>
    <w:rsid w:val="00AB5C89"/>
    <w:rsid w:val="00AB5EF4"/>
    <w:rsid w:val="00AF35BE"/>
    <w:rsid w:val="00B100CC"/>
    <w:rsid w:val="00B456C5"/>
    <w:rsid w:val="00B6689D"/>
    <w:rsid w:val="00B72368"/>
    <w:rsid w:val="00B937E2"/>
    <w:rsid w:val="00BA04E1"/>
    <w:rsid w:val="00BB03D5"/>
    <w:rsid w:val="00BB7474"/>
    <w:rsid w:val="00BC6B85"/>
    <w:rsid w:val="00C54D58"/>
    <w:rsid w:val="00C573E1"/>
    <w:rsid w:val="00C60222"/>
    <w:rsid w:val="00C7081F"/>
    <w:rsid w:val="00C7233F"/>
    <w:rsid w:val="00C736D3"/>
    <w:rsid w:val="00C830CD"/>
    <w:rsid w:val="00C92D2E"/>
    <w:rsid w:val="00C93CC8"/>
    <w:rsid w:val="00C95DF6"/>
    <w:rsid w:val="00CB10F9"/>
    <w:rsid w:val="00CC3BA4"/>
    <w:rsid w:val="00CD228C"/>
    <w:rsid w:val="00D84A24"/>
    <w:rsid w:val="00DA1B7B"/>
    <w:rsid w:val="00DB1ACB"/>
    <w:rsid w:val="00DB79DF"/>
    <w:rsid w:val="00DE0402"/>
    <w:rsid w:val="00DE1D12"/>
    <w:rsid w:val="00E001DC"/>
    <w:rsid w:val="00E02099"/>
    <w:rsid w:val="00E118C4"/>
    <w:rsid w:val="00E14881"/>
    <w:rsid w:val="00E36EF8"/>
    <w:rsid w:val="00E5680E"/>
    <w:rsid w:val="00E64712"/>
    <w:rsid w:val="00E67289"/>
    <w:rsid w:val="00E779A8"/>
    <w:rsid w:val="00E86228"/>
    <w:rsid w:val="00E9345D"/>
    <w:rsid w:val="00E93617"/>
    <w:rsid w:val="00EA32F7"/>
    <w:rsid w:val="00EB3A1A"/>
    <w:rsid w:val="00EC6A53"/>
    <w:rsid w:val="00EE5EEB"/>
    <w:rsid w:val="00F20685"/>
    <w:rsid w:val="00F230CD"/>
    <w:rsid w:val="00F469C7"/>
    <w:rsid w:val="00F51C18"/>
    <w:rsid w:val="00F82FD8"/>
    <w:rsid w:val="00F93BFF"/>
    <w:rsid w:val="00FA31E2"/>
    <w:rsid w:val="00FB6477"/>
    <w:rsid w:val="00FC0764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9F111A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3AE"/>
    <w:pPr>
      <w:spacing w:after="200" w:line="276" w:lineRule="auto"/>
    </w:pPr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B31"/>
    <w:pPr>
      <w:keepNext/>
      <w:keepLines/>
      <w:spacing w:before="600" w:after="0"/>
      <w:outlineLvl w:val="0"/>
    </w:pPr>
    <w:rPr>
      <w:rFonts w:ascii="Aptos Display" w:eastAsiaTheme="majorEastAsia" w:hAnsi="Aptos Display" w:cstheme="majorBidi"/>
      <w:b/>
      <w:color w:val="262165" w:themeColor="text2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B31"/>
    <w:pPr>
      <w:keepNext/>
      <w:keepLines/>
      <w:spacing w:before="240" w:after="0"/>
      <w:outlineLvl w:val="1"/>
    </w:pPr>
    <w:rPr>
      <w:rFonts w:ascii="Aptos Display" w:eastAsiaTheme="majorEastAsia" w:hAnsi="Aptos Display" w:cstheme="majorBidi"/>
      <w:b/>
      <w:color w:val="0060A1" w:themeColor="accent1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7B31"/>
    <w:pPr>
      <w:keepNext/>
      <w:keepLines/>
      <w:spacing w:before="240" w:after="0"/>
      <w:outlineLvl w:val="2"/>
    </w:pPr>
    <w:rPr>
      <w:rFonts w:ascii="Aptos Display" w:eastAsiaTheme="majorEastAsia" w:hAnsi="Aptos Display" w:cstheme="majorBidi"/>
      <w:b/>
      <w:color w:val="000000" w:themeColor="text1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7B31"/>
    <w:pPr>
      <w:keepNext/>
      <w:keepLines/>
      <w:spacing w:before="240" w:after="0"/>
      <w:outlineLvl w:val="3"/>
    </w:pPr>
    <w:rPr>
      <w:rFonts w:ascii="Aptos Display" w:eastAsiaTheme="majorEastAsia" w:hAnsi="Aptos Display" w:cstheme="majorBidi"/>
      <w:b/>
      <w:iCs/>
      <w:color w:val="262165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7B31"/>
    <w:pPr>
      <w:keepNext/>
      <w:keepLines/>
      <w:spacing w:before="240" w:after="0"/>
      <w:outlineLvl w:val="4"/>
    </w:pPr>
    <w:rPr>
      <w:rFonts w:ascii="Aptos Display" w:eastAsiaTheme="majorEastAsia" w:hAnsi="Aptos Display" w:cstheme="majorBidi"/>
      <w:b/>
      <w:color w:val="0060A1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43AE"/>
    <w:pPr>
      <w:keepNext/>
      <w:keepLines/>
      <w:spacing w:before="240" w:after="0"/>
      <w:outlineLvl w:val="5"/>
    </w:pPr>
    <w:rPr>
      <w:rFonts w:ascii="Aptos Display" w:eastAsiaTheme="majorEastAsia" w:hAnsi="Aptos Display" w:cstheme="majorBidi"/>
      <w:b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43AE"/>
    <w:pPr>
      <w:keepNext/>
      <w:keepLines/>
      <w:spacing w:before="40" w:after="60"/>
      <w:outlineLvl w:val="6"/>
    </w:pPr>
    <w:rPr>
      <w:rFonts w:ascii="Aptos Display" w:eastAsiaTheme="majorEastAsia" w:hAnsi="Aptos Display" w:cstheme="majorBidi"/>
      <w:b/>
      <w:iCs/>
      <w:color w:val="262165" w:themeColor="accent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3AE"/>
    <w:pPr>
      <w:keepNext/>
      <w:keepLines/>
      <w:spacing w:before="40" w:after="0"/>
      <w:outlineLvl w:val="7"/>
    </w:pPr>
    <w:rPr>
      <w:rFonts w:ascii="Aptos Display" w:eastAsiaTheme="majorEastAsia" w:hAnsi="Aptos Display" w:cstheme="majorBidi"/>
      <w:b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936BF0"/>
    <w:pPr>
      <w:spacing w:before="1080" w:after="0" w:line="240" w:lineRule="auto"/>
    </w:pPr>
    <w:rPr>
      <w:rFonts w:ascii="Aptos Display" w:eastAsiaTheme="majorEastAsia" w:hAnsi="Aptos Display" w:cstheme="majorBidi"/>
      <w:b/>
      <w:color w:val="262165" w:themeColor="text2"/>
      <w:spacing w:val="-10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936BF0"/>
    <w:rPr>
      <w:rFonts w:ascii="Aptos Display" w:eastAsiaTheme="majorEastAsia" w:hAnsi="Aptos Display" w:cstheme="majorBidi"/>
      <w:b/>
      <w:color w:val="262165" w:themeColor="text2"/>
      <w:spacing w:val="-10"/>
      <w:kern w:val="28"/>
      <w:sz w:val="6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197B31"/>
    <w:pPr>
      <w:numPr>
        <w:ilvl w:val="1"/>
      </w:numPr>
      <w:spacing w:after="0"/>
    </w:pPr>
    <w:rPr>
      <w:rFonts w:ascii="Aptos Display" w:eastAsiaTheme="minorEastAsia" w:hAnsi="Aptos Display"/>
      <w:color w:val="0060A1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97B31"/>
    <w:rPr>
      <w:rFonts w:ascii="Aptos Display" w:eastAsiaTheme="minorEastAsia" w:hAnsi="Aptos Display"/>
      <w:color w:val="0060A1" w:themeColor="accent1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97B31"/>
    <w:rPr>
      <w:rFonts w:ascii="Aptos Display" w:eastAsiaTheme="majorEastAsia" w:hAnsi="Aptos Display" w:cstheme="majorBidi"/>
      <w:b/>
      <w:color w:val="262165" w:themeColor="text2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7B31"/>
    <w:rPr>
      <w:rFonts w:ascii="Aptos Display" w:eastAsiaTheme="majorEastAsia" w:hAnsi="Aptos Display" w:cstheme="majorBidi"/>
      <w:b/>
      <w:color w:val="0060A1" w:themeColor="accent1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7B31"/>
    <w:rPr>
      <w:rFonts w:ascii="Aptos Display" w:eastAsiaTheme="majorEastAsia" w:hAnsi="Aptos Display" w:cstheme="majorBidi"/>
      <w:b/>
      <w:color w:val="000000" w:themeColor="text1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97B31"/>
    <w:rPr>
      <w:rFonts w:ascii="Aptos Display" w:eastAsiaTheme="majorEastAsia" w:hAnsi="Aptos Display" w:cstheme="majorBidi"/>
      <w:b/>
      <w:iCs/>
      <w:color w:val="262165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97B31"/>
    <w:rPr>
      <w:rFonts w:ascii="Aptos Display" w:eastAsiaTheme="majorEastAsia" w:hAnsi="Aptos Display" w:cstheme="majorBidi"/>
      <w:b/>
      <w:color w:val="0060A1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B43AE"/>
    <w:rPr>
      <w:rFonts w:ascii="Aptos Display" w:eastAsiaTheme="majorEastAsia" w:hAnsi="Aptos Display" w:cstheme="majorBidi"/>
      <w:b/>
      <w:color w:val="000000" w:themeColor="text1"/>
    </w:rPr>
  </w:style>
  <w:style w:type="character" w:styleId="Hyperlink">
    <w:name w:val="Hyperlink"/>
    <w:basedOn w:val="DefaultParagraphFont"/>
    <w:uiPriority w:val="99"/>
    <w:unhideWhenUsed/>
    <w:qFormat/>
    <w:rsid w:val="00197B31"/>
    <w:rPr>
      <w:color w:val="0060A1" w:themeColor="accent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B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A14B02"/>
    <w:rPr>
      <w:b/>
      <w:bCs/>
    </w:rPr>
  </w:style>
  <w:style w:type="table" w:styleId="TableGrid">
    <w:name w:val="Table Grid"/>
    <w:basedOn w:val="TableNormal"/>
    <w:uiPriority w:val="39"/>
    <w:rsid w:val="00A1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A14B02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14B02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A14B02"/>
    <w:rPr>
      <w:rFonts w:ascii="Aptos Display" w:hAnsi="Aptos Display"/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A14B02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A14B02"/>
    <w:pPr>
      <w:spacing w:before="100" w:beforeAutospacing="1" w:after="100" w:afterAutospacing="1" w:line="240" w:lineRule="auto"/>
    </w:pPr>
    <w:rPr>
      <w:rFonts w:ascii="Aptos Display" w:hAnsi="Aptos Displa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Aptos Display" w:hAnsi="Aptos Display"/>
        <w:b/>
        <w:color w:val="FFFFFF" w:themeColor="background1"/>
      </w:rPr>
      <w:tblPr/>
      <w:tcPr>
        <w:shd w:val="clear" w:color="auto" w:fill="0060A1" w:themeFill="accent1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140A92"/>
    <w:pPr>
      <w:spacing w:line="360" w:lineRule="auto"/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A14B02"/>
    <w:pPr>
      <w:numPr>
        <w:numId w:val="17"/>
      </w:numPr>
      <w:spacing w:line="360" w:lineRule="auto"/>
      <w:contextualSpacing/>
    </w:pPr>
  </w:style>
  <w:style w:type="paragraph" w:styleId="ListBullet">
    <w:name w:val="List Bullet"/>
    <w:basedOn w:val="Normal"/>
    <w:uiPriority w:val="99"/>
    <w:unhideWhenUsed/>
    <w:qFormat/>
    <w:rsid w:val="00A14B02"/>
    <w:pPr>
      <w:numPr>
        <w:numId w:val="15"/>
      </w:numPr>
      <w:spacing w:line="360" w:lineRule="auto"/>
      <w:contextualSpacing/>
    </w:pPr>
  </w:style>
  <w:style w:type="paragraph" w:styleId="List">
    <w:name w:val="List"/>
    <w:basedOn w:val="ListBullet"/>
    <w:uiPriority w:val="99"/>
    <w:unhideWhenUsed/>
    <w:qFormat/>
    <w:rsid w:val="00A14B02"/>
    <w:pPr>
      <w:numPr>
        <w:numId w:val="16"/>
      </w:numPr>
    </w:pPr>
  </w:style>
  <w:style w:type="paragraph" w:styleId="Header">
    <w:name w:val="header"/>
    <w:basedOn w:val="Normal"/>
    <w:link w:val="Head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02"/>
    <w:rPr>
      <w:rFonts w:ascii="Aptos Display" w:hAnsi="Aptos Display"/>
    </w:rPr>
  </w:style>
  <w:style w:type="paragraph" w:styleId="Footer">
    <w:name w:val="footer"/>
    <w:basedOn w:val="Normal"/>
    <w:link w:val="Foot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02"/>
    <w:rPr>
      <w:rFonts w:ascii="Aptos Display" w:hAnsi="Aptos Display"/>
    </w:rPr>
  </w:style>
  <w:style w:type="paragraph" w:styleId="TOC1">
    <w:name w:val="toc 1"/>
    <w:basedOn w:val="Normal"/>
    <w:next w:val="Normal"/>
    <w:autoRedefine/>
    <w:uiPriority w:val="39"/>
    <w:unhideWhenUsed/>
    <w:rsid w:val="00A14B02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14B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14B02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14B02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02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4B43AE"/>
    <w:rPr>
      <w:rFonts w:ascii="Aptos Display" w:eastAsiaTheme="majorEastAsia" w:hAnsi="Aptos Display" w:cstheme="majorBidi"/>
      <w:b/>
      <w:iCs/>
      <w:color w:val="262165" w:themeColor="accent5"/>
    </w:rPr>
  </w:style>
  <w:style w:type="paragraph" w:customStyle="1" w:styleId="numberedpara">
    <w:name w:val="numbered para"/>
    <w:basedOn w:val="Normal"/>
    <w:rsid w:val="004B43AE"/>
    <w:pPr>
      <w:numPr>
        <w:numId w:val="14"/>
      </w:numPr>
      <w:spacing w:before="120" w:after="0" w:line="240" w:lineRule="auto"/>
    </w:pPr>
    <w:rPr>
      <w:rFonts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14B02"/>
    <w:rPr>
      <w:color w:val="611D57" w:themeColor="followed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3AE"/>
    <w:rPr>
      <w:rFonts w:ascii="Aptos Display" w:eastAsiaTheme="majorEastAsia" w:hAnsi="Aptos Display" w:cstheme="majorBidi"/>
      <w:b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F469C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69C7"/>
    <w:pPr>
      <w:spacing w:after="0" w:line="240" w:lineRule="auto"/>
    </w:pPr>
    <w:rPr>
      <w:rFonts w:ascii="Aptos" w:hAnsi="Aptos"/>
    </w:rPr>
  </w:style>
  <w:style w:type="character" w:styleId="CommentReference">
    <w:name w:val="annotation reference"/>
    <w:basedOn w:val="DefaultParagraphFont"/>
    <w:uiPriority w:val="99"/>
    <w:semiHidden/>
    <w:unhideWhenUsed/>
    <w:rsid w:val="00604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F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FB1"/>
    <w:rPr>
      <w:rFonts w:ascii="Aptos" w:hAnsi="Apto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F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FB1"/>
    <w:rPr>
      <w:rFonts w:ascii="Aptos" w:hAnsi="Apto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ewr.gov.au/employment-services-reform/shaping-future-employment-services-discussion-paper" TargetMode="External"/><Relationship Id="rId18" Type="http://schemas.openxmlformats.org/officeDocument/2006/relationships/hyperlink" Target="https://www.dewr.gov.au/node/17635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yperlink" Target="https://www.dewr.gov.au/employment-services-reform/shaping-future-employment-services-discussion-pape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onsultations.dewr.gov.au/employment-services-reform-discussion-paper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dewr.gov.au/node/17635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consultations.dewr.gov.au/employment-services-reform-discussion-pape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ewr.gov.au/node/17650" TargetMode="External"/></Relationships>
</file>

<file path=word/theme/theme1.xml><?xml version="1.0" encoding="utf-8"?>
<a:theme xmlns:a="http://schemas.openxmlformats.org/drawingml/2006/main" name="Office Theme">
  <a:themeElements>
    <a:clrScheme name="DEWR Employment Services Reform">
      <a:dk1>
        <a:srgbClr val="000000"/>
      </a:dk1>
      <a:lt1>
        <a:srgbClr val="FFFFFF"/>
      </a:lt1>
      <a:dk2>
        <a:srgbClr val="262165"/>
      </a:dk2>
      <a:lt2>
        <a:srgbClr val="4CBFAD"/>
      </a:lt2>
      <a:accent1>
        <a:srgbClr val="0060A1"/>
      </a:accent1>
      <a:accent2>
        <a:srgbClr val="90D6EC"/>
      </a:accent2>
      <a:accent3>
        <a:srgbClr val="A6BD38"/>
      </a:accent3>
      <a:accent4>
        <a:srgbClr val="4CBFAD"/>
      </a:accent4>
      <a:accent5>
        <a:srgbClr val="262165"/>
      </a:accent5>
      <a:accent6>
        <a:srgbClr val="78A34F"/>
      </a:accent6>
      <a:hlink>
        <a:srgbClr val="0060A1"/>
      </a:hlink>
      <a:folHlink>
        <a:srgbClr val="611D5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A52B46EEEDA47B6B6A35158694B1C" ma:contentTypeVersion="15" ma:contentTypeDescription="Create a new document." ma:contentTypeScope="" ma:versionID="59c640edc9176f8d700b3de660796e3b">
  <xsd:schema xmlns:xsd="http://www.w3.org/2001/XMLSchema" xmlns:xs="http://www.w3.org/2001/XMLSchema" xmlns:p="http://schemas.microsoft.com/office/2006/metadata/properties" xmlns:ns2="662f470d-560d-4736-ba32-07fd4b99c2f4" xmlns:ns3="e23a528d-e584-4fd7-bee7-79bd04b414bd" targetNamespace="http://schemas.microsoft.com/office/2006/metadata/properties" ma:root="true" ma:fieldsID="8d809a529cd5d5b211ca00578a315f0a" ns2:_="" ns3:_="">
    <xsd:import namespace="662f470d-560d-4736-ba32-07fd4b99c2f4"/>
    <xsd:import namespace="e23a528d-e584-4fd7-bee7-79bd04b41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f470d-560d-4736-ba32-07fd4b99c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unt" ma:index="21" nillable="true" ma:displayName="count" ma:format="Dropdown" ma:internalName="count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a528d-e584-4fd7-bee7-79bd04b41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57c13-bd5b-4176-b298-65c035ab43d4}" ma:internalName="TaxCatchAll" ma:showField="CatchAllData" ma:web="e23a528d-e584-4fd7-bee7-79bd04b41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 xmlns="662f470d-560d-4736-ba32-07fd4b99c2f4" xsi:nil="true"/>
    <lcf76f155ced4ddcb4097134ff3c332f xmlns="662f470d-560d-4736-ba32-07fd4b99c2f4">
      <Terms xmlns="http://schemas.microsoft.com/office/infopath/2007/PartnerControls"/>
    </lcf76f155ced4ddcb4097134ff3c332f>
    <TaxCatchAll xmlns="e23a528d-e584-4fd7-bee7-79bd04b414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725D0-AF82-4E34-B652-F93AD21D4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f470d-560d-4736-ba32-07fd4b99c2f4"/>
    <ds:schemaRef ds:uri="e23a528d-e584-4fd7-bee7-79bd04b41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36AF67-9570-4364-899A-E8B66EDE57C7}">
  <ds:schemaRefs>
    <ds:schemaRef ds:uri="http://schemas.microsoft.com/office/2006/metadata/properties"/>
    <ds:schemaRef ds:uri="http://schemas.microsoft.com/office/infopath/2007/PartnerControls"/>
    <ds:schemaRef ds:uri="662f470d-560d-4736-ba32-07fd4b99c2f4"/>
    <ds:schemaRef ds:uri="e23a528d-e584-4fd7-bee7-79bd04b414bd"/>
  </ds:schemaRefs>
</ds:datastoreItem>
</file>

<file path=customXml/itemProps3.xml><?xml version="1.0" encoding="utf-8"?>
<ds:datastoreItem xmlns:ds="http://schemas.openxmlformats.org/officeDocument/2006/customXml" ds:itemID="{58CCFEB6-BEE8-46CD-B0F8-EAAA7B6BF0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B3481C-4F8F-4511-A8C8-2874F0C5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1618</Characters>
  <Application>Microsoft Office Word</Application>
  <DocSecurity>0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Links>
    <vt:vector size="42" baseType="variant">
      <vt:variant>
        <vt:i4>1572943</vt:i4>
      </vt:variant>
      <vt:variant>
        <vt:i4>18</vt:i4>
      </vt:variant>
      <vt:variant>
        <vt:i4>0</vt:i4>
      </vt:variant>
      <vt:variant>
        <vt:i4>5</vt:i4>
      </vt:variant>
      <vt:variant>
        <vt:lpwstr>https://consultations.dewr.gov.au/employment-services-reform-discussion-paper</vt:lpwstr>
      </vt:variant>
      <vt:variant>
        <vt:lpwstr/>
      </vt:variant>
      <vt:variant>
        <vt:i4>3670120</vt:i4>
      </vt:variant>
      <vt:variant>
        <vt:i4>15</vt:i4>
      </vt:variant>
      <vt:variant>
        <vt:i4>0</vt:i4>
      </vt:variant>
      <vt:variant>
        <vt:i4>5</vt:i4>
      </vt:variant>
      <vt:variant>
        <vt:lpwstr>https://www.dewr.gov.au/node/17635</vt:lpwstr>
      </vt:variant>
      <vt:variant>
        <vt:lpwstr/>
      </vt:variant>
      <vt:variant>
        <vt:i4>3801193</vt:i4>
      </vt:variant>
      <vt:variant>
        <vt:i4>12</vt:i4>
      </vt:variant>
      <vt:variant>
        <vt:i4>0</vt:i4>
      </vt:variant>
      <vt:variant>
        <vt:i4>5</vt:i4>
      </vt:variant>
      <vt:variant>
        <vt:lpwstr>https://www.dewr.gov.au/employment-services-reform/shaping-future-employment-services-discussion-paper</vt:lpwstr>
      </vt:variant>
      <vt:variant>
        <vt:lpwstr/>
      </vt:variant>
      <vt:variant>
        <vt:i4>3604541</vt:i4>
      </vt:variant>
      <vt:variant>
        <vt:i4>9</vt:i4>
      </vt:variant>
      <vt:variant>
        <vt:i4>0</vt:i4>
      </vt:variant>
      <vt:variant>
        <vt:i4>5</vt:i4>
      </vt:variant>
      <vt:variant>
        <vt:lpwstr>https://consultations.dewr.gov.au/employment-services-reform-discussion-paper/</vt:lpwstr>
      </vt:variant>
      <vt:variant>
        <vt:lpwstr/>
      </vt:variant>
      <vt:variant>
        <vt:i4>3670120</vt:i4>
      </vt:variant>
      <vt:variant>
        <vt:i4>6</vt:i4>
      </vt:variant>
      <vt:variant>
        <vt:i4>0</vt:i4>
      </vt:variant>
      <vt:variant>
        <vt:i4>5</vt:i4>
      </vt:variant>
      <vt:variant>
        <vt:lpwstr>https://www.dewr.gov.au/node/17635</vt:lpwstr>
      </vt:variant>
      <vt:variant>
        <vt:lpwstr/>
      </vt:variant>
      <vt:variant>
        <vt:i4>3997806</vt:i4>
      </vt:variant>
      <vt:variant>
        <vt:i4>3</vt:i4>
      </vt:variant>
      <vt:variant>
        <vt:i4>0</vt:i4>
      </vt:variant>
      <vt:variant>
        <vt:i4>5</vt:i4>
      </vt:variant>
      <vt:variant>
        <vt:lpwstr>https://www.dewr.gov.au/node/17650</vt:lpwstr>
      </vt:variant>
      <vt:variant>
        <vt:lpwstr/>
      </vt:variant>
      <vt:variant>
        <vt:i4>3801193</vt:i4>
      </vt:variant>
      <vt:variant>
        <vt:i4>0</vt:i4>
      </vt:variant>
      <vt:variant>
        <vt:i4>0</vt:i4>
      </vt:variant>
      <vt:variant>
        <vt:i4>5</vt:i4>
      </vt:variant>
      <vt:variant>
        <vt:lpwstr>https://www.dewr.gov.au/employment-services-reform/shaping-future-employment-services-discussion-paper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make a submission guide</dc:title>
  <dc:subject/>
  <dc:creator/>
  <cp:keywords/>
  <dc:description/>
  <cp:lastModifiedBy/>
  <cp:revision>1</cp:revision>
  <dcterms:created xsi:type="dcterms:W3CDTF">2026-05-26T07:15:00Z</dcterms:created>
  <dcterms:modified xsi:type="dcterms:W3CDTF">2026-05-26T07:17:00Z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2026-05-26T07:15:40Z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f3b119d7-77ff-455e-97e6-2d4afa99e79b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  <property fmtid="{D5CDD505-2E9C-101B-9397-08002B2CF9AE}" pid="10" name="Order">
    <vt:r8>203500</vt:r8>
  </property>
  <property fmtid="{D5CDD505-2E9C-101B-9397-08002B2CF9AE}" pid="11" name="ItemFunction">
    <vt:lpwstr>1976;#communication|9d5354d3-d1c2-4163-a4db-c06e4aa61e3a</vt:lpwstr>
  </property>
  <property fmtid="{D5CDD505-2E9C-101B-9397-08002B2CF9AE}" pid="12" name="ItemType">
    <vt:lpwstr>1999;#template|60f4875c-5740-43a9-8840-cfcba2da81bd</vt:lpwstr>
  </property>
  <property fmtid="{D5CDD505-2E9C-101B-9397-08002B2CF9AE}" pid="13" name="MediaServiceImageTags">
    <vt:lpwstr/>
  </property>
  <property fmtid="{D5CDD505-2E9C-101B-9397-08002B2CF9AE}" pid="14" name="ContentTypeId">
    <vt:lpwstr>0x0101003C6A52B46EEEDA47B6B6A35158694B1C</vt:lpwstr>
  </property>
  <property fmtid="{D5CDD505-2E9C-101B-9397-08002B2CF9AE}" pid="15" name="IntranetKeywords">
    <vt:lpwstr/>
  </property>
  <property fmtid="{D5CDD505-2E9C-101B-9397-08002B2CF9AE}" pid="16" name="DocumentType">
    <vt:lpwstr>40;#Template|53a221cc-9320-4def-8306-8b4e731f6e2e</vt:lpwstr>
  </property>
  <property fmtid="{D5CDD505-2E9C-101B-9397-08002B2CF9AE}" pid="17" name="_ExtendedDescription">
    <vt:lpwstr>DEWR A4 Factsheet Template - Portrait</vt:lpwstr>
  </property>
  <property fmtid="{D5CDD505-2E9C-101B-9397-08002B2CF9AE}" pid="18" name="Stream">
    <vt:lpwstr>41;#Corporate|7bb9040f-4cd9-44c7-bbc0-0be84bb7e1f8;#3;# Communication|e33a97c0-aa3b-4cc8-bf05-e9cabbeb225f</vt:lpwstr>
  </property>
  <property fmtid="{D5CDD505-2E9C-101B-9397-08002B2CF9AE}" pid="19" name="ItemKeywords">
    <vt:lpwstr>1996;#template|9706ad1b-dfa6-4d44-b515-12d7e5bc9d3f;#1980;#Branding|0a1f5508-ce36-4b6e-9019-600efbc3632a</vt:lpwstr>
  </property>
  <property fmtid="{D5CDD505-2E9C-101B-9397-08002B2CF9AE}" pid="20" name="docLang">
    <vt:lpwstr>en</vt:lpwstr>
  </property>
</Properties>
</file>