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798A" w14:textId="77777777" w:rsidR="00107DD5" w:rsidRDefault="00000000" w:rsidP="001B1440">
      <w:pPr>
        <w:spacing w:before="100" w:beforeAutospacing="1"/>
      </w:pPr>
      <w:sdt>
        <w:sdtPr>
          <w:id w:val="1816989120"/>
          <w:lock w:val="sdtContentLocked"/>
          <w:showingPlcHdr/>
          <w15:appearance w15:val="hidden"/>
          <w:picture/>
        </w:sdtPr>
        <w:sdtContent>
          <w:r w:rsidR="00415A5E">
            <w:rPr>
              <w:noProof/>
            </w:rPr>
            <w:drawing>
              <wp:anchor distT="0" distB="0" distL="114300" distR="114300" simplePos="0" relativeHeight="251658240" behindDoc="1" locked="0" layoutInCell="1" allowOverlap="1" wp14:anchorId="45762D13" wp14:editId="7E81BD9D">
                <wp:simplePos x="0" y="0"/>
                <wp:positionH relativeFrom="page">
                  <wp:align>center</wp:align>
                </wp:positionH>
                <wp:positionV relativeFrom="page">
                  <wp:align>top</wp:align>
                </wp:positionV>
                <wp:extent cx="7585200" cy="10728000"/>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5200" cy="10728000"/>
                        </a:xfrm>
                        <a:prstGeom prst="rect">
                          <a:avLst/>
                        </a:prstGeom>
                      </pic:spPr>
                    </pic:pic>
                  </a:graphicData>
                </a:graphic>
                <wp14:sizeRelH relativeFrom="margin">
                  <wp14:pctWidth>0</wp14:pctWidth>
                </wp14:sizeRelH>
                <wp14:sizeRelV relativeFrom="margin">
                  <wp14:pctHeight>0</wp14:pctHeight>
                </wp14:sizeRelV>
              </wp:anchor>
            </w:drawing>
          </w:r>
        </w:sdtContent>
      </w:sdt>
      <w:sdt>
        <w:sdtPr>
          <w:id w:val="-728842739"/>
          <w:lock w:val="sdtContentLocked"/>
          <w:showingPlcHdr/>
          <w15:appearance w15:val="hidden"/>
          <w:picture/>
        </w:sdtPr>
        <w:sdtContent>
          <w:r w:rsidR="00415A5E" w:rsidRPr="001B1440">
            <w:rPr>
              <w:noProof/>
            </w:rPr>
            <w:drawing>
              <wp:inline distT="0" distB="0" distL="0" distR="0" wp14:anchorId="35E7C4EB" wp14:editId="0B8ED3CC">
                <wp:extent cx="2466947" cy="756000"/>
                <wp:effectExtent l="0" t="0" r="0" b="6350"/>
                <wp:docPr id="3" name="Graphic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mployment and Workplace Relation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6947" cy="756000"/>
                        </a:xfrm>
                        <a:prstGeom prst="rect">
                          <a:avLst/>
                        </a:prstGeom>
                      </pic:spPr>
                    </pic:pic>
                  </a:graphicData>
                </a:graphic>
              </wp:inline>
            </w:drawing>
          </w:r>
        </w:sdtContent>
      </w:sdt>
    </w:p>
    <w:bookmarkStart w:id="0" w:name="_Toc234315537" w:displacedByCustomXml="next"/>
    <w:bookmarkStart w:id="1" w:name="_Toc233830759" w:displacedByCustomXml="next"/>
    <w:bookmarkStart w:id="2" w:name="_Toc126923157" w:displacedByCustomXml="next"/>
    <w:bookmarkStart w:id="3" w:name="_Toc126923146" w:displacedByCustomXml="next"/>
    <w:sdt>
      <w:sdtPr>
        <w:rPr>
          <w:rFonts w:ascii="Aptos" w:eastAsiaTheme="minorHAnsi" w:hAnsi="Aptos" w:cstheme="minorBidi"/>
          <w:bCs/>
          <w:sz w:val="48"/>
          <w:szCs w:val="48"/>
        </w:rPr>
        <w:alias w:val="Title"/>
        <w:tag w:val=""/>
        <w:id w:val="1478495247"/>
        <w:placeholder>
          <w:docPart w:val="7F4921D7CB1C46729D31F87B6A5FBC0D"/>
        </w:placeholder>
        <w:dataBinding w:prefixMappings="xmlns:ns0='http://purl.org/dc/elements/1.1/' xmlns:ns1='http://schemas.openxmlformats.org/package/2006/metadata/core-properties' " w:xpath="/ns1:coreProperties[1]/ns0:title[1]" w:storeItemID="{6C3C8BC8-F283-45AE-878A-BAB7291924A1}"/>
        <w:text/>
      </w:sdtPr>
      <w:sdtContent>
        <w:p w14:paraId="40B99300" w14:textId="4BF3A949" w:rsidR="00221D8F" w:rsidRDefault="00DB062C" w:rsidP="00DB062C">
          <w:pPr>
            <w:pStyle w:val="Heading1"/>
            <w:ind w:right="2472"/>
          </w:pPr>
          <w:r w:rsidRPr="00DB062C">
            <w:rPr>
              <w:rFonts w:ascii="Aptos" w:eastAsiaTheme="minorHAnsi" w:hAnsi="Aptos" w:cstheme="minorBidi"/>
              <w:bCs/>
              <w:sz w:val="48"/>
              <w:szCs w:val="48"/>
            </w:rPr>
            <w:t>VET Data Provision</w:t>
          </w:r>
          <w:r>
            <w:rPr>
              <w:rFonts w:ascii="Aptos" w:eastAsiaTheme="minorHAnsi" w:hAnsi="Aptos" w:cstheme="minorBidi"/>
              <w:bCs/>
              <w:sz w:val="48"/>
              <w:szCs w:val="48"/>
            </w:rPr>
            <w:t xml:space="preserve"> </w:t>
          </w:r>
          <w:r w:rsidRPr="00DB062C">
            <w:rPr>
              <w:rFonts w:ascii="Aptos" w:eastAsiaTheme="minorHAnsi" w:hAnsi="Aptos" w:cstheme="minorBidi"/>
              <w:bCs/>
              <w:sz w:val="48"/>
              <w:szCs w:val="48"/>
            </w:rPr>
            <w:t>Exemptions Policy</w:t>
          </w:r>
        </w:p>
      </w:sdtContent>
    </w:sdt>
    <w:bookmarkEnd w:id="0" w:displacedByCustomXml="prev"/>
    <w:bookmarkEnd w:id="1" w:displacedByCustomXml="prev"/>
    <w:bookmarkEnd w:id="2" w:displacedByCustomXml="prev"/>
    <w:bookmarkEnd w:id="3" w:displacedByCustomXml="prev"/>
    <w:p w14:paraId="2A49482F" w14:textId="68CBCCD5" w:rsidR="00921BBD" w:rsidRDefault="00306E4F" w:rsidP="008F1EF4">
      <w:pPr>
        <w:pStyle w:val="Subtitle"/>
      </w:pPr>
      <w:r>
        <w:t>From 1 October 2026</w:t>
      </w:r>
      <w:r w:rsidR="00921BBD">
        <w:br w:type="page"/>
      </w:r>
    </w:p>
    <w:p w14:paraId="58870774" w14:textId="77777777" w:rsidR="0063018C" w:rsidRPr="0063018C" w:rsidRDefault="0063018C" w:rsidP="0063018C">
      <w:pPr>
        <w:autoSpaceDE w:val="0"/>
        <w:autoSpaceDN w:val="0"/>
        <w:spacing w:before="0" w:after="240"/>
        <w:textAlignment w:val="center"/>
        <w:rPr>
          <w:rFonts w:ascii="Aptos SemiBold" w:eastAsia="Arial" w:hAnsi="Aptos SemiBold" w:cs="Arial"/>
          <w:color w:val="051532"/>
          <w:kern w:val="22"/>
          <w:lang w:val="en-US"/>
        </w:rPr>
      </w:pPr>
      <w:bookmarkStart w:id="4" w:name="_Toc126923147"/>
      <w:bookmarkStart w:id="5" w:name="_Toc126923158"/>
      <w:bookmarkStart w:id="6" w:name="_Toc126923317"/>
      <w:r w:rsidRPr="0063018C">
        <w:rPr>
          <w:rFonts w:eastAsia="Arial" w:cs="Arial"/>
          <w:noProof/>
          <w:color w:val="051532"/>
          <w:kern w:val="22"/>
          <w:lang w:val="en-US"/>
        </w:rPr>
        <w:lastRenderedPageBreak/>
        <w:drawing>
          <wp:inline distT="0" distB="0" distL="0" distR="0" wp14:anchorId="4F35D12B" wp14:editId="4911D9BA">
            <wp:extent cx="216000" cy="216000"/>
            <wp:effectExtent l="0" t="0" r="0" b="0"/>
            <wp:docPr id="167513837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138372" name="Graphic 1">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216000" cy="216000"/>
                    </a:xfrm>
                    <a:prstGeom prst="rect">
                      <a:avLst/>
                    </a:prstGeom>
                  </pic:spPr>
                </pic:pic>
              </a:graphicData>
            </a:graphic>
          </wp:inline>
        </w:drawing>
      </w:r>
      <w:r w:rsidRPr="0063018C">
        <w:rPr>
          <w:rFonts w:ascii="Aptos SemiBold" w:eastAsia="Arial" w:hAnsi="Aptos SemiBold" w:cs="Arial"/>
          <w:color w:val="051532"/>
          <w:kern w:val="22"/>
          <w:lang w:val="en-US"/>
        </w:rPr>
        <w:t xml:space="preserve"> </w:t>
      </w:r>
      <w:r w:rsidRPr="0063018C">
        <w:rPr>
          <w:rFonts w:eastAsia="Arial" w:cs="Arial"/>
          <w:noProof/>
          <w:color w:val="051532"/>
          <w:kern w:val="22"/>
          <w:lang w:val="en-US"/>
        </w:rPr>
        <w:drawing>
          <wp:inline distT="0" distB="0" distL="0" distR="0" wp14:anchorId="2CA25814" wp14:editId="777F24D9">
            <wp:extent cx="216000" cy="216000"/>
            <wp:effectExtent l="0" t="0" r="0" b="0"/>
            <wp:docPr id="1384453069"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53069" name="Graphic 1">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216000" cy="216000"/>
                    </a:xfrm>
                    <a:prstGeom prst="rect">
                      <a:avLst/>
                    </a:prstGeom>
                  </pic:spPr>
                </pic:pic>
              </a:graphicData>
            </a:graphic>
          </wp:inline>
        </w:drawing>
      </w:r>
      <w:r w:rsidRPr="0063018C">
        <w:rPr>
          <w:rFonts w:ascii="Aptos SemiBold" w:eastAsia="Arial" w:hAnsi="Aptos SemiBold" w:cs="Arial"/>
          <w:color w:val="051532"/>
          <w:kern w:val="22"/>
          <w:lang w:val="en-US"/>
        </w:rPr>
        <w:t xml:space="preserve">  CC BY 4.0 AU</w:t>
      </w:r>
    </w:p>
    <w:p w14:paraId="2F127CE1" w14:textId="77777777" w:rsidR="00D15320" w:rsidRDefault="00D15320" w:rsidP="00D15320">
      <w:pPr>
        <w:spacing w:before="0" w:after="160"/>
      </w:pPr>
      <w:proofErr w:type="gramStart"/>
      <w:r>
        <w:t>With the exception of</w:t>
      </w:r>
      <w:proofErr w:type="gramEnd"/>
      <w:r>
        <w:t xml:space="preserve"> the Commonwealth Coat of Arms, the Department’s logo, any material protected by a </w:t>
      </w:r>
      <w:proofErr w:type="gramStart"/>
      <w:r>
        <w:t>trade mark</w:t>
      </w:r>
      <w:proofErr w:type="gramEnd"/>
      <w:r>
        <w:t xml:space="preserve"> and where otherwise noted all material presented in this document is provided under a Creative Commons Attribution 4.0 International (https://creativecommons.org/licenses/by/4.0/) licence.</w:t>
      </w:r>
    </w:p>
    <w:p w14:paraId="734D9C60" w14:textId="77777777" w:rsidR="00D15320" w:rsidRDefault="00D15320" w:rsidP="00D15320">
      <w:pPr>
        <w:spacing w:before="0" w:after="160"/>
      </w:pPr>
      <w:r>
        <w:t>The details of the relevant licence conditions are available on the Creative Commons website (accessible using the links provided) as is the full legal code for the CC BY 4.0 International (https://creativecommons.org/licenses/by/4.0/legalcode)</w:t>
      </w:r>
    </w:p>
    <w:p w14:paraId="30E1E981" w14:textId="7CBA394A" w:rsidR="00616A38" w:rsidRDefault="00D15320" w:rsidP="00D15320">
      <w:pPr>
        <w:spacing w:before="0" w:after="160"/>
      </w:pPr>
      <w:r>
        <w:t xml:space="preserve">The document must be attributed as the </w:t>
      </w:r>
      <w:r w:rsidR="00914BE5" w:rsidRPr="00914BE5">
        <w:t>VET Data Provision Exemptions Policy</w:t>
      </w:r>
      <w:r w:rsidR="002C72FE">
        <w:t>.</w:t>
      </w:r>
    </w:p>
    <w:tbl>
      <w:tblPr>
        <w:tblStyle w:val="EDU-Basic"/>
        <w:tblW w:w="0" w:type="auto"/>
        <w:tblLook w:val="0420" w:firstRow="1" w:lastRow="0" w:firstColumn="0" w:lastColumn="0" w:noHBand="0" w:noVBand="1"/>
      </w:tblPr>
      <w:tblGrid>
        <w:gridCol w:w="1164"/>
        <w:gridCol w:w="2604"/>
        <w:gridCol w:w="1527"/>
        <w:gridCol w:w="2497"/>
        <w:gridCol w:w="1474"/>
      </w:tblGrid>
      <w:tr w:rsidR="001C69D8" w14:paraId="745A67AF" w14:textId="77777777" w:rsidTr="0064408B">
        <w:trPr>
          <w:cnfStyle w:val="100000000000" w:firstRow="1" w:lastRow="0" w:firstColumn="0" w:lastColumn="0" w:oddVBand="0" w:evenVBand="0" w:oddHBand="0" w:evenHBand="0" w:firstRowFirstColumn="0" w:firstRowLastColumn="0" w:lastRowFirstColumn="0" w:lastRowLastColumn="0"/>
          <w:trHeight w:val="397"/>
          <w:tblHeader/>
        </w:trPr>
        <w:tc>
          <w:tcPr>
            <w:tcW w:w="1164" w:type="dxa"/>
          </w:tcPr>
          <w:p w14:paraId="4C022750" w14:textId="38553D46" w:rsidR="001C69D8" w:rsidRDefault="001C69D8" w:rsidP="00881909">
            <w:pPr>
              <w:spacing w:after="100"/>
            </w:pPr>
            <w:r>
              <w:t>Version</w:t>
            </w:r>
          </w:p>
        </w:tc>
        <w:tc>
          <w:tcPr>
            <w:tcW w:w="2604" w:type="dxa"/>
          </w:tcPr>
          <w:p w14:paraId="09AB0667" w14:textId="71171AB8" w:rsidR="001C69D8" w:rsidRDefault="001C69D8" w:rsidP="00881909">
            <w:pPr>
              <w:spacing w:after="0"/>
            </w:pPr>
            <w:r>
              <w:t>Amendment details</w:t>
            </w:r>
          </w:p>
        </w:tc>
        <w:tc>
          <w:tcPr>
            <w:tcW w:w="1527" w:type="dxa"/>
          </w:tcPr>
          <w:p w14:paraId="1780F998" w14:textId="33EB33ED" w:rsidR="001C69D8" w:rsidRDefault="001C69D8" w:rsidP="00881909">
            <w:pPr>
              <w:spacing w:after="0"/>
            </w:pPr>
            <w:r>
              <w:t>Author</w:t>
            </w:r>
          </w:p>
        </w:tc>
        <w:tc>
          <w:tcPr>
            <w:tcW w:w="2497" w:type="dxa"/>
          </w:tcPr>
          <w:p w14:paraId="67C6A730" w14:textId="71FBE8FE" w:rsidR="001C69D8" w:rsidRDefault="009F1E06" w:rsidP="00881909">
            <w:pPr>
              <w:spacing w:after="0"/>
            </w:pPr>
            <w:r w:rsidRPr="38528C66">
              <w:rPr>
                <w:rFonts w:ascii="Calibri" w:eastAsia="Calibri" w:hAnsi="Calibri" w:cs="Calibri"/>
                <w:color w:val="FFFFFF" w:themeColor="background1"/>
              </w:rPr>
              <w:t>Approved/Endorsed by</w:t>
            </w:r>
          </w:p>
        </w:tc>
        <w:tc>
          <w:tcPr>
            <w:tcW w:w="1474" w:type="dxa"/>
          </w:tcPr>
          <w:p w14:paraId="012144D6" w14:textId="2F649305" w:rsidR="001C69D8" w:rsidRDefault="007528CF" w:rsidP="00881909">
            <w:pPr>
              <w:spacing w:after="0"/>
            </w:pPr>
            <w:r>
              <w:t>Date</w:t>
            </w:r>
          </w:p>
        </w:tc>
      </w:tr>
      <w:tr w:rsidR="001C69D8" w14:paraId="4F4DA43C" w14:textId="77777777" w:rsidTr="0064408B">
        <w:trPr>
          <w:trHeight w:val="397"/>
        </w:trPr>
        <w:tc>
          <w:tcPr>
            <w:tcW w:w="1164" w:type="dxa"/>
          </w:tcPr>
          <w:p w14:paraId="4B488947" w14:textId="1F9C214C" w:rsidR="001C69D8" w:rsidRDefault="00B77C0A" w:rsidP="00881909">
            <w:pPr>
              <w:spacing w:after="0"/>
            </w:pPr>
            <w:r>
              <w:t>1</w:t>
            </w:r>
          </w:p>
        </w:tc>
        <w:tc>
          <w:tcPr>
            <w:tcW w:w="2604" w:type="dxa"/>
          </w:tcPr>
          <w:p w14:paraId="38C752F8" w14:textId="2BA0F4A3" w:rsidR="001C69D8" w:rsidRDefault="00B77C0A" w:rsidP="00881909">
            <w:pPr>
              <w:spacing w:after="0"/>
            </w:pPr>
            <w:r w:rsidRPr="00B77C0A">
              <w:t>Implements VET Data Provision Exemptions Policy</w:t>
            </w:r>
          </w:p>
        </w:tc>
        <w:tc>
          <w:tcPr>
            <w:tcW w:w="1527" w:type="dxa"/>
          </w:tcPr>
          <w:p w14:paraId="3CF19194" w14:textId="682F5630" w:rsidR="001C69D8" w:rsidRDefault="0064408B" w:rsidP="00881909">
            <w:pPr>
              <w:spacing w:after="0"/>
            </w:pPr>
            <w:r>
              <w:rPr>
                <w:rFonts w:ascii="Calibri" w:eastAsia="Calibri" w:hAnsi="Calibri" w:cs="Calibri"/>
              </w:rPr>
              <w:t>Bronwyn Todd</w:t>
            </w:r>
          </w:p>
        </w:tc>
        <w:tc>
          <w:tcPr>
            <w:tcW w:w="2497" w:type="dxa"/>
          </w:tcPr>
          <w:p w14:paraId="7AA15747" w14:textId="566B564F" w:rsidR="001C69D8" w:rsidRDefault="00CB060A" w:rsidP="00881909">
            <w:pPr>
              <w:spacing w:after="0"/>
            </w:pPr>
            <w:r w:rsidRPr="00AE5DC8">
              <w:rPr>
                <w:rFonts w:ascii="Calibri" w:eastAsia="Calibri" w:hAnsi="Calibri" w:cs="Calibri"/>
              </w:rPr>
              <w:t>Skills and Workforce Ministers’ Council Meeting</w:t>
            </w:r>
          </w:p>
        </w:tc>
        <w:tc>
          <w:tcPr>
            <w:tcW w:w="1474" w:type="dxa"/>
          </w:tcPr>
          <w:p w14:paraId="51C6B654" w14:textId="18396095" w:rsidR="001C69D8" w:rsidRDefault="007528CF" w:rsidP="00881909">
            <w:pPr>
              <w:spacing w:after="0"/>
            </w:pPr>
            <w:r>
              <w:t>19/06/2026</w:t>
            </w:r>
          </w:p>
        </w:tc>
      </w:tr>
    </w:tbl>
    <w:p w14:paraId="03750A83" w14:textId="46BF385C" w:rsidR="00D15320" w:rsidRDefault="00D15320" w:rsidP="00D15320">
      <w:pPr>
        <w:spacing w:before="0" w:after="160"/>
      </w:pPr>
      <w:r>
        <w:br w:type="page"/>
      </w:r>
    </w:p>
    <w:sdt>
      <w:sdtPr>
        <w:rPr>
          <w:rFonts w:ascii="Aptos" w:eastAsiaTheme="minorEastAsia" w:hAnsi="Aptos" w:cstheme="minorBidi"/>
          <w:b w:val="0"/>
          <w:color w:val="auto"/>
          <w:sz w:val="22"/>
          <w:szCs w:val="22"/>
          <w:lang w:val="en-AU"/>
        </w:rPr>
        <w:id w:val="968160600"/>
        <w:docPartObj>
          <w:docPartGallery w:val="Table of Contents"/>
          <w:docPartUnique/>
        </w:docPartObj>
      </w:sdtPr>
      <w:sdtEndPr>
        <w:rPr>
          <w:noProof/>
        </w:rPr>
      </w:sdtEndPr>
      <w:sdtContent>
        <w:p w14:paraId="3C20EBFA" w14:textId="77777777" w:rsidR="00D15320" w:rsidRPr="00B85963" w:rsidRDefault="00D15320" w:rsidP="00D06362">
          <w:pPr>
            <w:pStyle w:val="TOCHeading"/>
            <w:rPr>
              <w:rFonts w:ascii="Aptos" w:hAnsi="Aptos"/>
            </w:rPr>
          </w:pPr>
          <w:r w:rsidRPr="00B85963">
            <w:rPr>
              <w:rFonts w:ascii="Aptos" w:hAnsi="Aptos"/>
            </w:rPr>
            <w:t>Contents</w:t>
          </w:r>
        </w:p>
        <w:p w14:paraId="6152ED55" w14:textId="3BCA5C3E" w:rsidR="00AE4903" w:rsidRPr="00B85963" w:rsidRDefault="005012F5">
          <w:pPr>
            <w:pStyle w:val="TOC1"/>
            <w:rPr>
              <w:rFonts w:eastAsiaTheme="minorEastAsia"/>
              <w:bCs w:val="0"/>
              <w:color w:val="auto"/>
              <w:kern w:val="2"/>
              <w:sz w:val="24"/>
              <w:szCs w:val="24"/>
              <w:lang w:eastAsia="en-AU"/>
              <w14:ligatures w14:val="standardContextual"/>
            </w:rPr>
          </w:pPr>
          <w:r w:rsidRPr="00B85963">
            <w:fldChar w:fldCharType="begin"/>
          </w:r>
          <w:r w:rsidRPr="00B85963">
            <w:instrText xml:space="preserve"> TOC \o "1-3" \h \z \u </w:instrText>
          </w:r>
          <w:r w:rsidRPr="00B85963">
            <w:fldChar w:fldCharType="separate"/>
          </w:r>
          <w:hyperlink w:anchor="_Toc234315537" w:history="1">
            <w:r w:rsidR="00AE4903" w:rsidRPr="00B85963">
              <w:rPr>
                <w:rStyle w:val="Hyperlink"/>
              </w:rPr>
              <w:t>VET Data Provision Exemptions Policy 2026</w:t>
            </w:r>
            <w:r w:rsidR="00AE4903" w:rsidRPr="00B85963">
              <w:rPr>
                <w:webHidden/>
              </w:rPr>
              <w:tab/>
            </w:r>
            <w:r w:rsidR="00AE4903" w:rsidRPr="00B85963">
              <w:rPr>
                <w:webHidden/>
              </w:rPr>
              <w:fldChar w:fldCharType="begin"/>
            </w:r>
            <w:r w:rsidR="00AE4903" w:rsidRPr="00B85963">
              <w:rPr>
                <w:webHidden/>
              </w:rPr>
              <w:instrText xml:space="preserve"> PAGEREF _Toc234315537 \h </w:instrText>
            </w:r>
            <w:r w:rsidR="00AE4903" w:rsidRPr="00B85963">
              <w:rPr>
                <w:webHidden/>
              </w:rPr>
            </w:r>
            <w:r w:rsidR="00AE4903" w:rsidRPr="00B85963">
              <w:rPr>
                <w:webHidden/>
              </w:rPr>
              <w:fldChar w:fldCharType="separate"/>
            </w:r>
            <w:r w:rsidR="00AE4903" w:rsidRPr="00B85963">
              <w:rPr>
                <w:webHidden/>
              </w:rPr>
              <w:t>1</w:t>
            </w:r>
            <w:r w:rsidR="00AE4903" w:rsidRPr="00B85963">
              <w:rPr>
                <w:webHidden/>
              </w:rPr>
              <w:fldChar w:fldCharType="end"/>
            </w:r>
          </w:hyperlink>
        </w:p>
        <w:p w14:paraId="4567B3FD" w14:textId="33A2FB9E" w:rsidR="00AE4903" w:rsidRPr="00B85963" w:rsidRDefault="00AE4903">
          <w:pPr>
            <w:pStyle w:val="TOC2"/>
            <w:rPr>
              <w:rFonts w:ascii="Aptos" w:eastAsiaTheme="minorEastAsia" w:hAnsi="Aptos"/>
              <w:kern w:val="2"/>
              <w:lang w:eastAsia="en-AU"/>
              <w14:ligatures w14:val="standardContextual"/>
            </w:rPr>
          </w:pPr>
          <w:hyperlink w:anchor="_Toc234315538" w:history="1">
            <w:r w:rsidRPr="00B85963">
              <w:rPr>
                <w:rStyle w:val="Hyperlink"/>
                <w:rFonts w:ascii="Aptos" w:hAnsi="Aptos"/>
                <w:bCs/>
              </w:rPr>
              <w:t>1.</w:t>
            </w:r>
            <w:r w:rsidRPr="00B85963">
              <w:rPr>
                <w:rStyle w:val="Hyperlink"/>
                <w:rFonts w:ascii="Aptos" w:hAnsi="Aptos"/>
              </w:rPr>
              <w:t xml:space="preserve"> Purpose Statement</w:t>
            </w:r>
            <w:r w:rsidRPr="00B85963">
              <w:rPr>
                <w:rFonts w:ascii="Aptos" w:hAnsi="Aptos"/>
                <w:webHidden/>
              </w:rPr>
              <w:tab/>
            </w:r>
            <w:r w:rsidRPr="00B85963">
              <w:rPr>
                <w:rFonts w:ascii="Aptos" w:hAnsi="Aptos"/>
                <w:webHidden/>
              </w:rPr>
              <w:fldChar w:fldCharType="begin"/>
            </w:r>
            <w:r w:rsidRPr="00B85963">
              <w:rPr>
                <w:rFonts w:ascii="Aptos" w:hAnsi="Aptos"/>
                <w:webHidden/>
              </w:rPr>
              <w:instrText xml:space="preserve"> PAGEREF _Toc234315538 \h </w:instrText>
            </w:r>
            <w:r w:rsidRPr="00B85963">
              <w:rPr>
                <w:rFonts w:ascii="Aptos" w:hAnsi="Aptos"/>
                <w:webHidden/>
              </w:rPr>
            </w:r>
            <w:r w:rsidRPr="00B85963">
              <w:rPr>
                <w:rFonts w:ascii="Aptos" w:hAnsi="Aptos"/>
                <w:webHidden/>
              </w:rPr>
              <w:fldChar w:fldCharType="separate"/>
            </w:r>
            <w:r w:rsidRPr="00B85963">
              <w:rPr>
                <w:rFonts w:ascii="Aptos" w:hAnsi="Aptos"/>
                <w:webHidden/>
              </w:rPr>
              <w:t>4</w:t>
            </w:r>
            <w:r w:rsidRPr="00B85963">
              <w:rPr>
                <w:rFonts w:ascii="Aptos" w:hAnsi="Aptos"/>
                <w:webHidden/>
              </w:rPr>
              <w:fldChar w:fldCharType="end"/>
            </w:r>
          </w:hyperlink>
        </w:p>
        <w:p w14:paraId="3670D025" w14:textId="06B69352" w:rsidR="00AE4903" w:rsidRPr="00B85963" w:rsidRDefault="00AE4903">
          <w:pPr>
            <w:pStyle w:val="TOC2"/>
            <w:rPr>
              <w:rFonts w:ascii="Aptos" w:eastAsiaTheme="minorEastAsia" w:hAnsi="Aptos"/>
              <w:kern w:val="2"/>
              <w:lang w:eastAsia="en-AU"/>
              <w14:ligatures w14:val="standardContextual"/>
            </w:rPr>
          </w:pPr>
          <w:hyperlink w:anchor="_Toc234315539" w:history="1">
            <w:r w:rsidRPr="00B85963">
              <w:rPr>
                <w:rStyle w:val="Hyperlink"/>
                <w:rFonts w:ascii="Aptos" w:hAnsi="Aptos"/>
                <w:bCs/>
              </w:rPr>
              <w:t>2.</w:t>
            </w:r>
            <w:r w:rsidRPr="00B85963">
              <w:rPr>
                <w:rStyle w:val="Hyperlink"/>
                <w:rFonts w:ascii="Aptos" w:hAnsi="Aptos"/>
              </w:rPr>
              <w:t xml:space="preserve"> Applying for an exemption</w:t>
            </w:r>
            <w:r w:rsidRPr="00B85963">
              <w:rPr>
                <w:rFonts w:ascii="Aptos" w:hAnsi="Aptos"/>
                <w:webHidden/>
              </w:rPr>
              <w:tab/>
            </w:r>
            <w:r w:rsidRPr="00B85963">
              <w:rPr>
                <w:rFonts w:ascii="Aptos" w:hAnsi="Aptos"/>
                <w:webHidden/>
              </w:rPr>
              <w:fldChar w:fldCharType="begin"/>
            </w:r>
            <w:r w:rsidRPr="00B85963">
              <w:rPr>
                <w:rFonts w:ascii="Aptos" w:hAnsi="Aptos"/>
                <w:webHidden/>
              </w:rPr>
              <w:instrText xml:space="preserve"> PAGEREF _Toc234315539 \h </w:instrText>
            </w:r>
            <w:r w:rsidRPr="00B85963">
              <w:rPr>
                <w:rFonts w:ascii="Aptos" w:hAnsi="Aptos"/>
                <w:webHidden/>
              </w:rPr>
            </w:r>
            <w:r w:rsidRPr="00B85963">
              <w:rPr>
                <w:rFonts w:ascii="Aptos" w:hAnsi="Aptos"/>
                <w:webHidden/>
              </w:rPr>
              <w:fldChar w:fldCharType="separate"/>
            </w:r>
            <w:r w:rsidRPr="00B85963">
              <w:rPr>
                <w:rFonts w:ascii="Aptos" w:hAnsi="Aptos"/>
                <w:webHidden/>
              </w:rPr>
              <w:t>4</w:t>
            </w:r>
            <w:r w:rsidRPr="00B85963">
              <w:rPr>
                <w:rFonts w:ascii="Aptos" w:hAnsi="Aptos"/>
                <w:webHidden/>
              </w:rPr>
              <w:fldChar w:fldCharType="end"/>
            </w:r>
          </w:hyperlink>
        </w:p>
        <w:p w14:paraId="20EDF01D" w14:textId="630FB39A" w:rsidR="00AE4903" w:rsidRPr="00B85963" w:rsidRDefault="00AE4903">
          <w:pPr>
            <w:pStyle w:val="TOC2"/>
            <w:rPr>
              <w:rFonts w:ascii="Aptos" w:eastAsiaTheme="minorEastAsia" w:hAnsi="Aptos"/>
              <w:kern w:val="2"/>
              <w:lang w:eastAsia="en-AU"/>
              <w14:ligatures w14:val="standardContextual"/>
            </w:rPr>
          </w:pPr>
          <w:hyperlink w:anchor="_Toc234315540" w:history="1">
            <w:r w:rsidRPr="00B85963">
              <w:rPr>
                <w:rStyle w:val="Hyperlink"/>
                <w:rFonts w:ascii="Aptos" w:hAnsi="Aptos"/>
                <w:bCs/>
              </w:rPr>
              <w:t>3.</w:t>
            </w:r>
            <w:r w:rsidRPr="00B85963">
              <w:rPr>
                <w:rStyle w:val="Hyperlink"/>
                <w:rFonts w:ascii="Aptos" w:hAnsi="Aptos"/>
              </w:rPr>
              <w:t xml:space="preserve"> Exemption categories</w:t>
            </w:r>
            <w:r w:rsidRPr="00B85963">
              <w:rPr>
                <w:rFonts w:ascii="Aptos" w:hAnsi="Aptos"/>
                <w:webHidden/>
              </w:rPr>
              <w:tab/>
            </w:r>
            <w:r w:rsidRPr="00B85963">
              <w:rPr>
                <w:rFonts w:ascii="Aptos" w:hAnsi="Aptos"/>
                <w:webHidden/>
              </w:rPr>
              <w:fldChar w:fldCharType="begin"/>
            </w:r>
            <w:r w:rsidRPr="00B85963">
              <w:rPr>
                <w:rFonts w:ascii="Aptos" w:hAnsi="Aptos"/>
                <w:webHidden/>
              </w:rPr>
              <w:instrText xml:space="preserve"> PAGEREF _Toc234315540 \h </w:instrText>
            </w:r>
            <w:r w:rsidRPr="00B85963">
              <w:rPr>
                <w:rFonts w:ascii="Aptos" w:hAnsi="Aptos"/>
                <w:webHidden/>
              </w:rPr>
            </w:r>
            <w:r w:rsidRPr="00B85963">
              <w:rPr>
                <w:rFonts w:ascii="Aptos" w:hAnsi="Aptos"/>
                <w:webHidden/>
              </w:rPr>
              <w:fldChar w:fldCharType="separate"/>
            </w:r>
            <w:r w:rsidRPr="00B85963">
              <w:rPr>
                <w:rFonts w:ascii="Aptos" w:hAnsi="Aptos"/>
                <w:webHidden/>
              </w:rPr>
              <w:t>4</w:t>
            </w:r>
            <w:r w:rsidRPr="00B85963">
              <w:rPr>
                <w:rFonts w:ascii="Aptos" w:hAnsi="Aptos"/>
                <w:webHidden/>
              </w:rPr>
              <w:fldChar w:fldCharType="end"/>
            </w:r>
          </w:hyperlink>
        </w:p>
        <w:p w14:paraId="632145C0" w14:textId="3967831B" w:rsidR="00AE4903" w:rsidRPr="00B85963" w:rsidRDefault="00AE4903">
          <w:pPr>
            <w:pStyle w:val="TOC2"/>
            <w:rPr>
              <w:rFonts w:ascii="Aptos" w:eastAsiaTheme="minorEastAsia" w:hAnsi="Aptos"/>
              <w:kern w:val="2"/>
              <w:lang w:eastAsia="en-AU"/>
              <w14:ligatures w14:val="standardContextual"/>
            </w:rPr>
          </w:pPr>
          <w:hyperlink w:anchor="_Toc234315541" w:history="1">
            <w:r w:rsidRPr="00B85963">
              <w:rPr>
                <w:rStyle w:val="Hyperlink"/>
                <w:rFonts w:ascii="Aptos" w:hAnsi="Aptos"/>
                <w:bCs/>
              </w:rPr>
              <w:t>4. Exemption A: Training for national security, border protection or policing</w:t>
            </w:r>
            <w:r w:rsidRPr="00B85963">
              <w:rPr>
                <w:rStyle w:val="Hyperlink"/>
                <w:rFonts w:ascii="Aptos" w:hAnsi="Aptos"/>
              </w:rPr>
              <w:t xml:space="preserve"> matters</w:t>
            </w:r>
            <w:r w:rsidRPr="00B85963">
              <w:rPr>
                <w:rFonts w:ascii="Aptos" w:hAnsi="Aptos"/>
                <w:webHidden/>
              </w:rPr>
              <w:tab/>
            </w:r>
            <w:r w:rsidRPr="00B85963">
              <w:rPr>
                <w:rFonts w:ascii="Aptos" w:hAnsi="Aptos"/>
                <w:webHidden/>
              </w:rPr>
              <w:fldChar w:fldCharType="begin"/>
            </w:r>
            <w:r w:rsidRPr="00B85963">
              <w:rPr>
                <w:rFonts w:ascii="Aptos" w:hAnsi="Aptos"/>
                <w:webHidden/>
              </w:rPr>
              <w:instrText xml:space="preserve"> PAGEREF _Toc234315541 \h </w:instrText>
            </w:r>
            <w:r w:rsidRPr="00B85963">
              <w:rPr>
                <w:rFonts w:ascii="Aptos" w:hAnsi="Aptos"/>
                <w:webHidden/>
              </w:rPr>
            </w:r>
            <w:r w:rsidRPr="00B85963">
              <w:rPr>
                <w:rFonts w:ascii="Aptos" w:hAnsi="Aptos"/>
                <w:webHidden/>
              </w:rPr>
              <w:fldChar w:fldCharType="separate"/>
            </w:r>
            <w:r w:rsidRPr="00B85963">
              <w:rPr>
                <w:rFonts w:ascii="Aptos" w:hAnsi="Aptos"/>
                <w:webHidden/>
              </w:rPr>
              <w:t>5</w:t>
            </w:r>
            <w:r w:rsidRPr="00B85963">
              <w:rPr>
                <w:rFonts w:ascii="Aptos" w:hAnsi="Aptos"/>
                <w:webHidden/>
              </w:rPr>
              <w:fldChar w:fldCharType="end"/>
            </w:r>
          </w:hyperlink>
        </w:p>
        <w:p w14:paraId="0E7DBFF4" w14:textId="29B766D8" w:rsidR="00AE4903" w:rsidRPr="00B85963" w:rsidRDefault="00AE4903">
          <w:pPr>
            <w:pStyle w:val="TOC2"/>
            <w:rPr>
              <w:rFonts w:ascii="Aptos" w:eastAsiaTheme="minorEastAsia" w:hAnsi="Aptos"/>
              <w:kern w:val="2"/>
              <w:lang w:eastAsia="en-AU"/>
              <w14:ligatures w14:val="standardContextual"/>
            </w:rPr>
          </w:pPr>
          <w:hyperlink w:anchor="_Toc234315542" w:history="1">
            <w:r w:rsidRPr="00B85963">
              <w:rPr>
                <w:rStyle w:val="Hyperlink"/>
                <w:rFonts w:ascii="Aptos" w:hAnsi="Aptos"/>
                <w:bCs/>
              </w:rPr>
              <w:t>5.</w:t>
            </w:r>
            <w:r w:rsidRPr="00B85963">
              <w:rPr>
                <w:rStyle w:val="Hyperlink"/>
                <w:rFonts w:ascii="Aptos" w:hAnsi="Aptos"/>
              </w:rPr>
              <w:t xml:space="preserve"> Exemption B: Training for emergency or safety community services</w:t>
            </w:r>
            <w:r w:rsidRPr="00B85963">
              <w:rPr>
                <w:rFonts w:ascii="Aptos" w:hAnsi="Aptos"/>
                <w:webHidden/>
              </w:rPr>
              <w:tab/>
            </w:r>
            <w:r w:rsidRPr="00B85963">
              <w:rPr>
                <w:rFonts w:ascii="Aptos" w:hAnsi="Aptos"/>
                <w:webHidden/>
              </w:rPr>
              <w:fldChar w:fldCharType="begin"/>
            </w:r>
            <w:r w:rsidRPr="00B85963">
              <w:rPr>
                <w:rFonts w:ascii="Aptos" w:hAnsi="Aptos"/>
                <w:webHidden/>
              </w:rPr>
              <w:instrText xml:space="preserve"> PAGEREF _Toc234315542 \h </w:instrText>
            </w:r>
            <w:r w:rsidRPr="00B85963">
              <w:rPr>
                <w:rFonts w:ascii="Aptos" w:hAnsi="Aptos"/>
                <w:webHidden/>
              </w:rPr>
            </w:r>
            <w:r w:rsidRPr="00B85963">
              <w:rPr>
                <w:rFonts w:ascii="Aptos" w:hAnsi="Aptos"/>
                <w:webHidden/>
              </w:rPr>
              <w:fldChar w:fldCharType="separate"/>
            </w:r>
            <w:r w:rsidRPr="00B85963">
              <w:rPr>
                <w:rFonts w:ascii="Aptos" w:hAnsi="Aptos"/>
                <w:webHidden/>
              </w:rPr>
              <w:t>5</w:t>
            </w:r>
            <w:r w:rsidRPr="00B85963">
              <w:rPr>
                <w:rFonts w:ascii="Aptos" w:hAnsi="Aptos"/>
                <w:webHidden/>
              </w:rPr>
              <w:fldChar w:fldCharType="end"/>
            </w:r>
          </w:hyperlink>
        </w:p>
        <w:p w14:paraId="0939A805" w14:textId="71C15AC4" w:rsidR="00AE4903" w:rsidRPr="00B85963" w:rsidRDefault="00AE4903">
          <w:pPr>
            <w:pStyle w:val="TOC2"/>
            <w:rPr>
              <w:rFonts w:ascii="Aptos" w:eastAsiaTheme="minorEastAsia" w:hAnsi="Aptos"/>
              <w:kern w:val="2"/>
              <w:lang w:eastAsia="en-AU"/>
              <w14:ligatures w14:val="standardContextual"/>
            </w:rPr>
          </w:pPr>
          <w:hyperlink w:anchor="_Toc234315543" w:history="1">
            <w:r w:rsidRPr="00B85963">
              <w:rPr>
                <w:rStyle w:val="Hyperlink"/>
                <w:rFonts w:ascii="Aptos" w:hAnsi="Aptos"/>
                <w:bCs/>
              </w:rPr>
              <w:t>6.</w:t>
            </w:r>
            <w:r w:rsidRPr="00B85963">
              <w:rPr>
                <w:rStyle w:val="Hyperlink"/>
                <w:rFonts w:ascii="Aptos" w:hAnsi="Aptos"/>
              </w:rPr>
              <w:t xml:space="preserve"> Requirement to advise students that exempted training will not appear on transcripts</w:t>
            </w:r>
            <w:r w:rsidRPr="00B85963">
              <w:rPr>
                <w:rFonts w:ascii="Aptos" w:hAnsi="Aptos"/>
                <w:webHidden/>
              </w:rPr>
              <w:tab/>
            </w:r>
            <w:r w:rsidRPr="00B85963">
              <w:rPr>
                <w:rFonts w:ascii="Aptos" w:hAnsi="Aptos"/>
                <w:webHidden/>
              </w:rPr>
              <w:fldChar w:fldCharType="begin"/>
            </w:r>
            <w:r w:rsidRPr="00B85963">
              <w:rPr>
                <w:rFonts w:ascii="Aptos" w:hAnsi="Aptos"/>
                <w:webHidden/>
              </w:rPr>
              <w:instrText xml:space="preserve"> PAGEREF _Toc234315543 \h </w:instrText>
            </w:r>
            <w:r w:rsidRPr="00B85963">
              <w:rPr>
                <w:rFonts w:ascii="Aptos" w:hAnsi="Aptos"/>
                <w:webHidden/>
              </w:rPr>
            </w:r>
            <w:r w:rsidRPr="00B85963">
              <w:rPr>
                <w:rFonts w:ascii="Aptos" w:hAnsi="Aptos"/>
                <w:webHidden/>
              </w:rPr>
              <w:fldChar w:fldCharType="separate"/>
            </w:r>
            <w:r w:rsidRPr="00B85963">
              <w:rPr>
                <w:rFonts w:ascii="Aptos" w:hAnsi="Aptos"/>
                <w:webHidden/>
              </w:rPr>
              <w:t>5</w:t>
            </w:r>
            <w:r w:rsidRPr="00B85963">
              <w:rPr>
                <w:rFonts w:ascii="Aptos" w:hAnsi="Aptos"/>
                <w:webHidden/>
              </w:rPr>
              <w:fldChar w:fldCharType="end"/>
            </w:r>
          </w:hyperlink>
        </w:p>
        <w:p w14:paraId="03EF7A06" w14:textId="77CBAC52" w:rsidR="00AE4903" w:rsidRPr="00B85963" w:rsidRDefault="00AE4903">
          <w:pPr>
            <w:pStyle w:val="TOC2"/>
            <w:rPr>
              <w:rFonts w:ascii="Aptos" w:eastAsiaTheme="minorEastAsia" w:hAnsi="Aptos"/>
              <w:kern w:val="2"/>
              <w:lang w:eastAsia="en-AU"/>
              <w14:ligatures w14:val="standardContextual"/>
            </w:rPr>
          </w:pPr>
          <w:hyperlink w:anchor="_Toc234315544" w:history="1">
            <w:r w:rsidRPr="00B85963">
              <w:rPr>
                <w:rStyle w:val="Hyperlink"/>
                <w:rFonts w:ascii="Aptos" w:hAnsi="Aptos"/>
                <w:bCs/>
              </w:rPr>
              <w:t>7.</w:t>
            </w:r>
            <w:r w:rsidRPr="00B85963">
              <w:rPr>
                <w:rStyle w:val="Hyperlink"/>
                <w:rFonts w:ascii="Aptos" w:hAnsi="Aptos"/>
              </w:rPr>
              <w:t xml:space="preserve"> Reporting requirements for RTOs with an exemption</w:t>
            </w:r>
            <w:r w:rsidRPr="00B85963">
              <w:rPr>
                <w:rFonts w:ascii="Aptos" w:hAnsi="Aptos"/>
                <w:webHidden/>
              </w:rPr>
              <w:tab/>
            </w:r>
            <w:r w:rsidRPr="00B85963">
              <w:rPr>
                <w:rFonts w:ascii="Aptos" w:hAnsi="Aptos"/>
                <w:webHidden/>
              </w:rPr>
              <w:fldChar w:fldCharType="begin"/>
            </w:r>
            <w:r w:rsidRPr="00B85963">
              <w:rPr>
                <w:rFonts w:ascii="Aptos" w:hAnsi="Aptos"/>
                <w:webHidden/>
              </w:rPr>
              <w:instrText xml:space="preserve"> PAGEREF _Toc234315544 \h </w:instrText>
            </w:r>
            <w:r w:rsidRPr="00B85963">
              <w:rPr>
                <w:rFonts w:ascii="Aptos" w:hAnsi="Aptos"/>
                <w:webHidden/>
              </w:rPr>
            </w:r>
            <w:r w:rsidRPr="00B85963">
              <w:rPr>
                <w:rFonts w:ascii="Aptos" w:hAnsi="Aptos"/>
                <w:webHidden/>
              </w:rPr>
              <w:fldChar w:fldCharType="separate"/>
            </w:r>
            <w:r w:rsidRPr="00B85963">
              <w:rPr>
                <w:rFonts w:ascii="Aptos" w:hAnsi="Aptos"/>
                <w:webHidden/>
              </w:rPr>
              <w:t>6</w:t>
            </w:r>
            <w:r w:rsidRPr="00B85963">
              <w:rPr>
                <w:rFonts w:ascii="Aptos" w:hAnsi="Aptos"/>
                <w:webHidden/>
              </w:rPr>
              <w:fldChar w:fldCharType="end"/>
            </w:r>
          </w:hyperlink>
        </w:p>
        <w:p w14:paraId="1528E01F" w14:textId="74BF975C" w:rsidR="00AE4903" w:rsidRPr="00B85963" w:rsidRDefault="00AE4903">
          <w:pPr>
            <w:pStyle w:val="TOC2"/>
            <w:rPr>
              <w:rFonts w:ascii="Aptos" w:eastAsiaTheme="minorEastAsia" w:hAnsi="Aptos"/>
              <w:kern w:val="2"/>
              <w:lang w:eastAsia="en-AU"/>
              <w14:ligatures w14:val="standardContextual"/>
            </w:rPr>
          </w:pPr>
          <w:hyperlink w:anchor="_Toc234315545" w:history="1">
            <w:r w:rsidRPr="00B85963">
              <w:rPr>
                <w:rStyle w:val="Hyperlink"/>
                <w:rFonts w:ascii="Aptos" w:hAnsi="Aptos"/>
                <w:bCs/>
              </w:rPr>
              <w:t>8.</w:t>
            </w:r>
            <w:r w:rsidRPr="00B85963">
              <w:rPr>
                <w:rStyle w:val="Hyperlink"/>
                <w:rFonts w:ascii="Aptos" w:hAnsi="Aptos"/>
              </w:rPr>
              <w:t xml:space="preserve"> Periods and conditions of exemption</w:t>
            </w:r>
            <w:r w:rsidRPr="00B85963">
              <w:rPr>
                <w:rFonts w:ascii="Aptos" w:hAnsi="Aptos"/>
                <w:webHidden/>
              </w:rPr>
              <w:tab/>
            </w:r>
            <w:r w:rsidRPr="00B85963">
              <w:rPr>
                <w:rFonts w:ascii="Aptos" w:hAnsi="Aptos"/>
                <w:webHidden/>
              </w:rPr>
              <w:fldChar w:fldCharType="begin"/>
            </w:r>
            <w:r w:rsidRPr="00B85963">
              <w:rPr>
                <w:rFonts w:ascii="Aptos" w:hAnsi="Aptos"/>
                <w:webHidden/>
              </w:rPr>
              <w:instrText xml:space="preserve"> PAGEREF _Toc234315545 \h </w:instrText>
            </w:r>
            <w:r w:rsidRPr="00B85963">
              <w:rPr>
                <w:rFonts w:ascii="Aptos" w:hAnsi="Aptos"/>
                <w:webHidden/>
              </w:rPr>
            </w:r>
            <w:r w:rsidRPr="00B85963">
              <w:rPr>
                <w:rFonts w:ascii="Aptos" w:hAnsi="Aptos"/>
                <w:webHidden/>
              </w:rPr>
              <w:fldChar w:fldCharType="separate"/>
            </w:r>
            <w:r w:rsidRPr="00B85963">
              <w:rPr>
                <w:rFonts w:ascii="Aptos" w:hAnsi="Aptos"/>
                <w:webHidden/>
              </w:rPr>
              <w:t>7</w:t>
            </w:r>
            <w:r w:rsidRPr="00B85963">
              <w:rPr>
                <w:rFonts w:ascii="Aptos" w:hAnsi="Aptos"/>
                <w:webHidden/>
              </w:rPr>
              <w:fldChar w:fldCharType="end"/>
            </w:r>
          </w:hyperlink>
        </w:p>
        <w:p w14:paraId="5C2AB19E" w14:textId="330606CD" w:rsidR="00AE4903" w:rsidRPr="00B85963" w:rsidRDefault="00AE4903">
          <w:pPr>
            <w:pStyle w:val="TOC2"/>
            <w:rPr>
              <w:rFonts w:ascii="Aptos" w:eastAsiaTheme="minorEastAsia" w:hAnsi="Aptos"/>
              <w:kern w:val="2"/>
              <w:lang w:eastAsia="en-AU"/>
              <w14:ligatures w14:val="standardContextual"/>
            </w:rPr>
          </w:pPr>
          <w:hyperlink w:anchor="_Toc234315546" w:history="1">
            <w:r w:rsidRPr="00B85963">
              <w:rPr>
                <w:rStyle w:val="Hyperlink"/>
                <w:rFonts w:ascii="Aptos" w:hAnsi="Aptos"/>
                <w:bCs/>
              </w:rPr>
              <w:t>9.</w:t>
            </w:r>
            <w:r w:rsidRPr="00B85963">
              <w:rPr>
                <w:rStyle w:val="Hyperlink"/>
                <w:rFonts w:ascii="Aptos" w:hAnsi="Aptos"/>
              </w:rPr>
              <w:t xml:space="preserve"> Exemption revocation or refusal</w:t>
            </w:r>
            <w:r w:rsidRPr="00B85963">
              <w:rPr>
                <w:rFonts w:ascii="Aptos" w:hAnsi="Aptos"/>
                <w:webHidden/>
              </w:rPr>
              <w:tab/>
            </w:r>
            <w:r w:rsidRPr="00B85963">
              <w:rPr>
                <w:rFonts w:ascii="Aptos" w:hAnsi="Aptos"/>
                <w:webHidden/>
              </w:rPr>
              <w:fldChar w:fldCharType="begin"/>
            </w:r>
            <w:r w:rsidRPr="00B85963">
              <w:rPr>
                <w:rFonts w:ascii="Aptos" w:hAnsi="Aptos"/>
                <w:webHidden/>
              </w:rPr>
              <w:instrText xml:space="preserve"> PAGEREF _Toc234315546 \h </w:instrText>
            </w:r>
            <w:r w:rsidRPr="00B85963">
              <w:rPr>
                <w:rFonts w:ascii="Aptos" w:hAnsi="Aptos"/>
                <w:webHidden/>
              </w:rPr>
            </w:r>
            <w:r w:rsidRPr="00B85963">
              <w:rPr>
                <w:rFonts w:ascii="Aptos" w:hAnsi="Aptos"/>
                <w:webHidden/>
              </w:rPr>
              <w:fldChar w:fldCharType="separate"/>
            </w:r>
            <w:r w:rsidRPr="00B85963">
              <w:rPr>
                <w:rFonts w:ascii="Aptos" w:hAnsi="Aptos"/>
                <w:webHidden/>
              </w:rPr>
              <w:t>7</w:t>
            </w:r>
            <w:r w:rsidRPr="00B85963">
              <w:rPr>
                <w:rFonts w:ascii="Aptos" w:hAnsi="Aptos"/>
                <w:webHidden/>
              </w:rPr>
              <w:fldChar w:fldCharType="end"/>
            </w:r>
          </w:hyperlink>
        </w:p>
        <w:p w14:paraId="6CECE89E" w14:textId="6E068BA1" w:rsidR="00AE4903" w:rsidRPr="00B85963" w:rsidRDefault="00AE4903">
          <w:pPr>
            <w:pStyle w:val="TOC2"/>
            <w:rPr>
              <w:rFonts w:ascii="Aptos" w:eastAsiaTheme="minorEastAsia" w:hAnsi="Aptos"/>
              <w:kern w:val="2"/>
              <w:lang w:eastAsia="en-AU"/>
              <w14:ligatures w14:val="standardContextual"/>
            </w:rPr>
          </w:pPr>
          <w:hyperlink w:anchor="_Toc234315547" w:history="1">
            <w:r w:rsidRPr="00B85963">
              <w:rPr>
                <w:rStyle w:val="Hyperlink"/>
                <w:rFonts w:ascii="Aptos" w:hAnsi="Aptos"/>
                <w:bCs/>
              </w:rPr>
              <w:t>10.</w:t>
            </w:r>
            <w:r w:rsidRPr="00B85963">
              <w:rPr>
                <w:rStyle w:val="Hyperlink"/>
                <w:rFonts w:ascii="Aptos" w:hAnsi="Aptos"/>
              </w:rPr>
              <w:t xml:space="preserve"> Management and review of this policy</w:t>
            </w:r>
            <w:r w:rsidRPr="00B85963">
              <w:rPr>
                <w:rFonts w:ascii="Aptos" w:hAnsi="Aptos"/>
                <w:webHidden/>
              </w:rPr>
              <w:tab/>
            </w:r>
            <w:r w:rsidRPr="00B85963">
              <w:rPr>
                <w:rFonts w:ascii="Aptos" w:hAnsi="Aptos"/>
                <w:webHidden/>
              </w:rPr>
              <w:fldChar w:fldCharType="begin"/>
            </w:r>
            <w:r w:rsidRPr="00B85963">
              <w:rPr>
                <w:rFonts w:ascii="Aptos" w:hAnsi="Aptos"/>
                <w:webHidden/>
              </w:rPr>
              <w:instrText xml:space="preserve"> PAGEREF _Toc234315547 \h </w:instrText>
            </w:r>
            <w:r w:rsidRPr="00B85963">
              <w:rPr>
                <w:rFonts w:ascii="Aptos" w:hAnsi="Aptos"/>
                <w:webHidden/>
              </w:rPr>
            </w:r>
            <w:r w:rsidRPr="00B85963">
              <w:rPr>
                <w:rFonts w:ascii="Aptos" w:hAnsi="Aptos"/>
                <w:webHidden/>
              </w:rPr>
              <w:fldChar w:fldCharType="separate"/>
            </w:r>
            <w:r w:rsidRPr="00B85963">
              <w:rPr>
                <w:rFonts w:ascii="Aptos" w:hAnsi="Aptos"/>
                <w:webHidden/>
              </w:rPr>
              <w:t>7</w:t>
            </w:r>
            <w:r w:rsidRPr="00B85963">
              <w:rPr>
                <w:rFonts w:ascii="Aptos" w:hAnsi="Aptos"/>
                <w:webHidden/>
              </w:rPr>
              <w:fldChar w:fldCharType="end"/>
            </w:r>
          </w:hyperlink>
        </w:p>
        <w:p w14:paraId="4ABBF8EC" w14:textId="57A4D6A7" w:rsidR="00256A9F" w:rsidRPr="00B85963" w:rsidRDefault="005012F5" w:rsidP="007639D0">
          <w:pPr>
            <w:pStyle w:val="TOC3"/>
            <w:rPr>
              <w:b/>
              <w:noProof/>
            </w:rPr>
          </w:pPr>
          <w:r w:rsidRPr="00B85963">
            <w:fldChar w:fldCharType="end"/>
          </w:r>
        </w:p>
      </w:sdtContent>
    </w:sdt>
    <w:p w14:paraId="2196CB9C" w14:textId="77777777" w:rsidR="00AE4903" w:rsidRPr="00B85963" w:rsidRDefault="00A86EAE" w:rsidP="00AE4903">
      <w:pPr>
        <w:pStyle w:val="NumberedH2"/>
        <w:rPr>
          <w:rFonts w:ascii="Aptos" w:hAnsi="Aptos"/>
        </w:rPr>
      </w:pPr>
      <w:r w:rsidRPr="00B85963">
        <w:rPr>
          <w:rFonts w:ascii="Aptos" w:hAnsi="Aptos"/>
        </w:rPr>
        <w:br w:type="page"/>
      </w:r>
      <w:bookmarkStart w:id="7" w:name="_Toc226549268"/>
      <w:bookmarkStart w:id="8" w:name="_Toc234315538"/>
      <w:bookmarkStart w:id="9" w:name="_Toc536180597"/>
      <w:bookmarkStart w:id="10" w:name="_Toc116479460"/>
      <w:bookmarkStart w:id="11" w:name="_Toc49945817"/>
      <w:bookmarkStart w:id="12" w:name="_Toc49945882"/>
      <w:bookmarkEnd w:id="4"/>
      <w:bookmarkEnd w:id="5"/>
      <w:bookmarkEnd w:id="6"/>
      <w:r w:rsidR="00AE4903" w:rsidRPr="00B85963">
        <w:rPr>
          <w:rFonts w:ascii="Aptos" w:hAnsi="Aptos"/>
        </w:rPr>
        <w:lastRenderedPageBreak/>
        <w:t>Purpose Statement</w:t>
      </w:r>
      <w:bookmarkEnd w:id="7"/>
      <w:bookmarkEnd w:id="8"/>
    </w:p>
    <w:p w14:paraId="310DF3D1" w14:textId="77777777" w:rsidR="00AE4903" w:rsidRPr="00B85963" w:rsidRDefault="00AE4903" w:rsidP="00AE4903">
      <w:pPr>
        <w:pStyle w:val="NumberedPara"/>
        <w:rPr>
          <w:rFonts w:ascii="Aptos" w:hAnsi="Aptos"/>
        </w:rPr>
      </w:pPr>
      <w:r w:rsidRPr="00B85963">
        <w:rPr>
          <w:rFonts w:ascii="Aptos" w:hAnsi="Aptos"/>
        </w:rPr>
        <w:t>This document is known as the VET Data Provision Exemptions Policy (Exemptions Policy).</w:t>
      </w:r>
    </w:p>
    <w:p w14:paraId="7F4F7216" w14:textId="77777777" w:rsidR="00AE4903" w:rsidRPr="00B85963" w:rsidRDefault="00AE4903" w:rsidP="00AE4903">
      <w:pPr>
        <w:pStyle w:val="NumberedPara"/>
        <w:ind w:left="539" w:hanging="397"/>
        <w:rPr>
          <w:rFonts w:ascii="Aptos" w:hAnsi="Aptos"/>
        </w:rPr>
      </w:pPr>
      <w:r w:rsidRPr="00B85963">
        <w:rPr>
          <w:rFonts w:ascii="Aptos" w:hAnsi="Aptos"/>
        </w:rPr>
        <w:t xml:space="preserve">The Exemptions Policy is authorised under subsection 6A(1) of the </w:t>
      </w:r>
      <w:r w:rsidRPr="00B85963">
        <w:rPr>
          <w:rFonts w:ascii="Aptos" w:hAnsi="Aptos"/>
          <w:i/>
          <w:iCs/>
        </w:rPr>
        <w:t xml:space="preserve">National Vocational Education and Training Regulator (Data Provision Requirements) Instrument 2020 </w:t>
      </w:r>
      <w:r w:rsidRPr="00B85963">
        <w:rPr>
          <w:rFonts w:ascii="Aptos" w:hAnsi="Aptos"/>
        </w:rPr>
        <w:t>(the DPRs Instrument) for the purposes of setting out the circumstances under which a VET Regulator may grant an exemption to a Registered Training Organisation (RTO) from providing certain data provision requirements as set out in the DPRs Instrument.</w:t>
      </w:r>
    </w:p>
    <w:p w14:paraId="25D8BC0A" w14:textId="77777777" w:rsidR="00AE4903" w:rsidRPr="00B85963" w:rsidRDefault="00AE4903" w:rsidP="00AE4903">
      <w:pPr>
        <w:pStyle w:val="NumberedPara"/>
        <w:ind w:left="539" w:hanging="397"/>
        <w:rPr>
          <w:rFonts w:ascii="Aptos" w:hAnsi="Aptos"/>
        </w:rPr>
      </w:pPr>
      <w:r w:rsidRPr="00B85963">
        <w:rPr>
          <w:rFonts w:ascii="Aptos" w:hAnsi="Aptos"/>
        </w:rPr>
        <w:t xml:space="preserve">The Exemptions Policy is to be read in conjunction with the DPRs Instrument’s sections 6A and 6B. </w:t>
      </w:r>
    </w:p>
    <w:p w14:paraId="06B2A3D4" w14:textId="77777777" w:rsidR="00AE4903" w:rsidRPr="00B85963" w:rsidRDefault="00AE4903" w:rsidP="00AE4903">
      <w:pPr>
        <w:pStyle w:val="NumberedPara"/>
        <w:ind w:left="539" w:hanging="397"/>
        <w:rPr>
          <w:rFonts w:ascii="Aptos" w:hAnsi="Aptos"/>
        </w:rPr>
      </w:pPr>
      <w:r w:rsidRPr="00B85963">
        <w:rPr>
          <w:rFonts w:ascii="Aptos" w:hAnsi="Aptos"/>
        </w:rPr>
        <w:t>The relevant VET Regulator (either the National VET Regulator or relevant State VET regulator) must consider matters set out in the Exemptions Policy in deciding whether to grant an exemption.</w:t>
      </w:r>
    </w:p>
    <w:p w14:paraId="0E43A77A" w14:textId="77777777" w:rsidR="00AE4903" w:rsidRPr="00B85963" w:rsidRDefault="00AE4903" w:rsidP="00AE4903">
      <w:pPr>
        <w:pStyle w:val="NumberedPara"/>
        <w:ind w:left="539" w:hanging="397"/>
        <w:rPr>
          <w:rFonts w:ascii="Aptos" w:hAnsi="Aptos"/>
        </w:rPr>
      </w:pPr>
      <w:r w:rsidRPr="00B85963">
        <w:rPr>
          <w:rFonts w:ascii="Aptos" w:hAnsi="Aptos"/>
        </w:rPr>
        <w:t xml:space="preserve">RTOs who have been granted an exemption must comply with any applicable requirements relating to the exemption as set out in this policy. </w:t>
      </w:r>
    </w:p>
    <w:p w14:paraId="547CB448" w14:textId="77777777" w:rsidR="00AE4903" w:rsidRPr="00B85963" w:rsidRDefault="00AE4903" w:rsidP="00AE4903">
      <w:pPr>
        <w:pStyle w:val="NumberedPara"/>
        <w:ind w:left="539" w:hanging="397"/>
        <w:rPr>
          <w:rFonts w:ascii="Aptos" w:hAnsi="Aptos"/>
        </w:rPr>
      </w:pPr>
      <w:r w:rsidRPr="00B85963">
        <w:rPr>
          <w:rFonts w:ascii="Aptos" w:hAnsi="Aptos"/>
        </w:rPr>
        <w:t xml:space="preserve">RTOs granted an exemption must still comply with </w:t>
      </w:r>
      <w:proofErr w:type="gramStart"/>
      <w:r w:rsidRPr="00B85963">
        <w:rPr>
          <w:rFonts w:ascii="Aptos" w:hAnsi="Aptos"/>
        </w:rPr>
        <w:t>all of</w:t>
      </w:r>
      <w:proofErr w:type="gramEnd"/>
      <w:r w:rsidRPr="00B85963">
        <w:rPr>
          <w:rFonts w:ascii="Aptos" w:hAnsi="Aptos"/>
        </w:rPr>
        <w:t xml:space="preserve"> their other obligations under the DPRs. </w:t>
      </w:r>
    </w:p>
    <w:p w14:paraId="4F1D1A81" w14:textId="77777777" w:rsidR="00AE4903" w:rsidRPr="00B85963" w:rsidRDefault="00AE4903" w:rsidP="00AE4903">
      <w:pPr>
        <w:pStyle w:val="NumberedPara"/>
        <w:ind w:left="539" w:hanging="397"/>
        <w:rPr>
          <w:rFonts w:ascii="Aptos" w:hAnsi="Aptos"/>
        </w:rPr>
      </w:pPr>
      <w:r w:rsidRPr="00B85963">
        <w:rPr>
          <w:rFonts w:ascii="Aptos" w:hAnsi="Aptos"/>
        </w:rPr>
        <w:t xml:space="preserve">This Exemptions Policy applies to exemption decisions made from the date the DPRs as amended by the </w:t>
      </w:r>
      <w:r w:rsidRPr="00B85963">
        <w:rPr>
          <w:rFonts w:ascii="Aptos" w:hAnsi="Aptos"/>
          <w:i/>
          <w:iCs/>
        </w:rPr>
        <w:t xml:space="preserve">National Vocational Education and Training Regulator (Data Provision Requirements) Amendment Data Streamlining) Instrument 2026 </w:t>
      </w:r>
      <w:r w:rsidRPr="00B85963">
        <w:rPr>
          <w:rFonts w:ascii="Aptos" w:hAnsi="Aptos"/>
        </w:rPr>
        <w:t>come into effect.</w:t>
      </w:r>
    </w:p>
    <w:p w14:paraId="2A8E935E" w14:textId="77777777" w:rsidR="00AE4903" w:rsidRPr="00B85963" w:rsidRDefault="00AE4903" w:rsidP="00AE4903">
      <w:pPr>
        <w:pStyle w:val="NumberedPara"/>
        <w:ind w:left="539" w:hanging="397"/>
        <w:rPr>
          <w:rFonts w:ascii="Aptos" w:hAnsi="Aptos"/>
        </w:rPr>
      </w:pPr>
      <w:r w:rsidRPr="00B85963">
        <w:rPr>
          <w:rFonts w:ascii="Aptos" w:hAnsi="Aptos"/>
        </w:rPr>
        <w:t xml:space="preserve">As set out in the </w:t>
      </w:r>
      <w:r w:rsidRPr="00B85963">
        <w:rPr>
          <w:rFonts w:ascii="Aptos" w:hAnsi="Aptos"/>
          <w:i/>
          <w:iCs/>
        </w:rPr>
        <w:t xml:space="preserve">National Vocational Education and Training Regulator Act 2011 </w:t>
      </w:r>
      <w:r w:rsidRPr="00B85963">
        <w:rPr>
          <w:rFonts w:ascii="Aptos" w:hAnsi="Aptos"/>
        </w:rPr>
        <w:t>(NVETR Act), decisions made under the DPRs Instrument in reliance on subsection 187(1A) are considered administrative and will not be subject to merits review.</w:t>
      </w:r>
    </w:p>
    <w:p w14:paraId="3AB84215" w14:textId="77777777" w:rsidR="00AE4903" w:rsidRPr="00B85963" w:rsidRDefault="00AE4903" w:rsidP="00AE4903">
      <w:pPr>
        <w:pStyle w:val="NumberedPara"/>
        <w:ind w:left="539" w:hanging="397"/>
        <w:rPr>
          <w:rFonts w:ascii="Aptos" w:hAnsi="Aptos"/>
        </w:rPr>
      </w:pPr>
      <w:r w:rsidRPr="00B85963">
        <w:rPr>
          <w:rFonts w:ascii="Aptos" w:hAnsi="Aptos"/>
        </w:rPr>
        <w:t>As such, a decision made under the Exemptions Policy will only be reviewed internally and in accordance with processes set out in the policy (see section 9.4 of the Exemptions Policy).</w:t>
      </w:r>
    </w:p>
    <w:p w14:paraId="49CBFDAA" w14:textId="77777777" w:rsidR="00AE4903" w:rsidRPr="00B85963" w:rsidRDefault="00AE4903" w:rsidP="00AE4903">
      <w:pPr>
        <w:pStyle w:val="NumberedH2"/>
        <w:rPr>
          <w:rFonts w:ascii="Aptos" w:hAnsi="Aptos"/>
          <w:bCs/>
          <w:sz w:val="32"/>
          <w:szCs w:val="32"/>
        </w:rPr>
      </w:pPr>
      <w:bookmarkStart w:id="13" w:name="_Toc226549269"/>
      <w:bookmarkStart w:id="14" w:name="_Toc234315539"/>
      <w:r w:rsidRPr="00B85963">
        <w:rPr>
          <w:rFonts w:ascii="Aptos" w:hAnsi="Aptos"/>
        </w:rPr>
        <w:t>Applying for an exemption</w:t>
      </w:r>
      <w:bookmarkEnd w:id="13"/>
      <w:bookmarkEnd w:id="14"/>
      <w:r w:rsidRPr="00B85963">
        <w:rPr>
          <w:rFonts w:ascii="Aptos" w:hAnsi="Aptos"/>
        </w:rPr>
        <w:t xml:space="preserve"> </w:t>
      </w:r>
    </w:p>
    <w:p w14:paraId="31CF3B06" w14:textId="77777777" w:rsidR="00AE4903" w:rsidRPr="00B85963" w:rsidRDefault="00AE4903" w:rsidP="00AE4903">
      <w:pPr>
        <w:pStyle w:val="NumberedPara"/>
        <w:ind w:left="539" w:hanging="397"/>
        <w:rPr>
          <w:rFonts w:ascii="Aptos" w:hAnsi="Aptos"/>
        </w:rPr>
      </w:pPr>
      <w:r w:rsidRPr="00B85963">
        <w:rPr>
          <w:rFonts w:ascii="Aptos" w:hAnsi="Aptos"/>
        </w:rPr>
        <w:t xml:space="preserve">RTOs must make an application to their relevant VET Regulator for an exemption from submitting data compliant with the VET Information Standard. </w:t>
      </w:r>
    </w:p>
    <w:p w14:paraId="76182DF7" w14:textId="77777777" w:rsidR="00AE4903" w:rsidRPr="00B85963" w:rsidRDefault="00AE4903" w:rsidP="00AE4903">
      <w:pPr>
        <w:pStyle w:val="NumberedPara"/>
        <w:ind w:left="539" w:hanging="397"/>
        <w:rPr>
          <w:rFonts w:ascii="Aptos" w:hAnsi="Aptos"/>
        </w:rPr>
      </w:pPr>
      <w:r w:rsidRPr="00B85963">
        <w:rPr>
          <w:rFonts w:ascii="Aptos" w:hAnsi="Aptos"/>
        </w:rPr>
        <w:t>RTOs should contact their relevant VET Regulator using the contact details provided on the VET Regulator’s website to enquire about making an exemption application.</w:t>
      </w:r>
    </w:p>
    <w:p w14:paraId="18A8664D" w14:textId="77777777" w:rsidR="00AE4903" w:rsidRPr="00B85963" w:rsidRDefault="00AE4903" w:rsidP="00AE4903">
      <w:pPr>
        <w:pStyle w:val="NumberedPara"/>
        <w:ind w:left="539" w:hanging="397"/>
        <w:rPr>
          <w:rFonts w:ascii="Aptos" w:hAnsi="Aptos"/>
        </w:rPr>
      </w:pPr>
      <w:r w:rsidRPr="00B85963">
        <w:rPr>
          <w:rFonts w:ascii="Aptos" w:hAnsi="Aptos"/>
        </w:rPr>
        <w:t xml:space="preserve">RTOs will need to provide evidence to support their claim for an exemption, against the programs in their Scope of Registration. </w:t>
      </w:r>
    </w:p>
    <w:p w14:paraId="0F695E55" w14:textId="77777777" w:rsidR="00AE4903" w:rsidRPr="00B85963" w:rsidRDefault="00AE4903" w:rsidP="00AE4903">
      <w:pPr>
        <w:pStyle w:val="NumberedH2"/>
        <w:rPr>
          <w:rFonts w:ascii="Aptos" w:hAnsi="Aptos"/>
        </w:rPr>
      </w:pPr>
      <w:bookmarkStart w:id="15" w:name="_Toc116479466"/>
      <w:bookmarkStart w:id="16" w:name="_Toc209516176"/>
      <w:bookmarkStart w:id="17" w:name="_Toc226549270"/>
      <w:bookmarkStart w:id="18" w:name="_Toc234315540"/>
      <w:bookmarkStart w:id="19" w:name="_Toc49945826"/>
      <w:bookmarkStart w:id="20" w:name="_Toc49945891"/>
      <w:bookmarkStart w:id="21" w:name="_Toc100320491"/>
      <w:bookmarkStart w:id="22" w:name="_Toc1439807929"/>
      <w:bookmarkEnd w:id="9"/>
      <w:bookmarkEnd w:id="10"/>
      <w:r w:rsidRPr="00B85963">
        <w:rPr>
          <w:rFonts w:ascii="Aptos" w:hAnsi="Aptos"/>
        </w:rPr>
        <w:t>Exemption categories</w:t>
      </w:r>
      <w:bookmarkEnd w:id="15"/>
      <w:bookmarkEnd w:id="16"/>
      <w:bookmarkEnd w:id="17"/>
      <w:bookmarkEnd w:id="18"/>
    </w:p>
    <w:p w14:paraId="5854ABDC" w14:textId="77777777" w:rsidR="00AE4903" w:rsidRPr="00B85963" w:rsidRDefault="00AE4903" w:rsidP="00AE4903">
      <w:pPr>
        <w:pStyle w:val="NumberedPara"/>
        <w:ind w:left="539" w:hanging="397"/>
        <w:rPr>
          <w:rFonts w:ascii="Aptos" w:hAnsi="Aptos"/>
        </w:rPr>
      </w:pPr>
      <w:bookmarkStart w:id="23" w:name="_Toc49945827"/>
      <w:bookmarkStart w:id="24" w:name="_Toc49945892"/>
      <w:bookmarkEnd w:id="19"/>
      <w:bookmarkEnd w:id="20"/>
      <w:bookmarkEnd w:id="21"/>
      <w:bookmarkEnd w:id="22"/>
      <w:r w:rsidRPr="00B85963">
        <w:rPr>
          <w:rFonts w:ascii="Aptos" w:hAnsi="Aptos"/>
        </w:rPr>
        <w:t>The relevant VET Regulator may grant an exemption to an RTO from providing the full suite of VET Information Standard compliant data if it is considered that the RTO delivers training relates to:</w:t>
      </w:r>
    </w:p>
    <w:p w14:paraId="4351ED9D" w14:textId="77777777" w:rsidR="00AE4903" w:rsidRPr="00B85963" w:rsidRDefault="00AE4903" w:rsidP="00AE4903">
      <w:pPr>
        <w:pStyle w:val="ListParagraph"/>
        <w:numPr>
          <w:ilvl w:val="0"/>
          <w:numId w:val="16"/>
        </w:numPr>
        <w:snapToGrid/>
        <w:spacing w:before="0" w:after="120" w:line="360" w:lineRule="auto"/>
        <w:ind w:left="1208" w:hanging="357"/>
        <w:textAlignment w:val="auto"/>
        <w:rPr>
          <w:rFonts w:eastAsiaTheme="minorEastAsia"/>
          <w:lang w:eastAsia="en-AU"/>
        </w:rPr>
      </w:pPr>
      <w:r w:rsidRPr="00B85963">
        <w:rPr>
          <w:rFonts w:eastAsiaTheme="minorEastAsia"/>
          <w:lang w:eastAsia="en-AU"/>
        </w:rPr>
        <w:t>national security, border protection or policing matters; or</w:t>
      </w:r>
    </w:p>
    <w:p w14:paraId="39157FF2" w14:textId="77777777" w:rsidR="00AE4903" w:rsidRPr="00B85963" w:rsidRDefault="00AE4903" w:rsidP="00AE4903">
      <w:pPr>
        <w:pStyle w:val="ListParagraph"/>
        <w:numPr>
          <w:ilvl w:val="0"/>
          <w:numId w:val="16"/>
        </w:numPr>
        <w:snapToGrid/>
        <w:spacing w:before="0" w:after="120" w:line="360" w:lineRule="auto"/>
        <w:ind w:left="1208" w:hanging="357"/>
        <w:textAlignment w:val="auto"/>
        <w:rPr>
          <w:rFonts w:eastAsiaTheme="minorEastAsia"/>
          <w:lang w:eastAsia="en-AU"/>
        </w:rPr>
      </w:pPr>
      <w:r w:rsidRPr="00B85963">
        <w:rPr>
          <w:rFonts w:eastAsiaTheme="minorEastAsia"/>
          <w:lang w:eastAsia="en-AU"/>
        </w:rPr>
        <w:lastRenderedPageBreak/>
        <w:t xml:space="preserve">emergency or safety community services. </w:t>
      </w:r>
    </w:p>
    <w:p w14:paraId="08DA2D93" w14:textId="77777777" w:rsidR="00AE4903" w:rsidRPr="00B85963" w:rsidRDefault="00AE4903" w:rsidP="00AE4903">
      <w:pPr>
        <w:pStyle w:val="NumberedPara"/>
        <w:ind w:left="539" w:hanging="397"/>
        <w:rPr>
          <w:rFonts w:ascii="Aptos" w:hAnsi="Aptos"/>
        </w:rPr>
      </w:pPr>
      <w:r w:rsidRPr="00B85963">
        <w:rPr>
          <w:rFonts w:ascii="Aptos" w:hAnsi="Aptos"/>
        </w:rPr>
        <w:t xml:space="preserve">The exemptions under section 3.1 of the Exemptions Policy only apply to specific courses or students undertaking training related to the relevant exemption category. The exemption does not apply to the training the RTO </w:t>
      </w:r>
      <w:proofErr w:type="gramStart"/>
      <w:r w:rsidRPr="00B85963">
        <w:rPr>
          <w:rFonts w:ascii="Aptos" w:hAnsi="Aptos"/>
        </w:rPr>
        <w:t>provides as a whole</w:t>
      </w:r>
      <w:proofErr w:type="gramEnd"/>
      <w:r w:rsidRPr="00B85963">
        <w:rPr>
          <w:rFonts w:ascii="Aptos" w:hAnsi="Aptos"/>
        </w:rPr>
        <w:t>.</w:t>
      </w:r>
    </w:p>
    <w:p w14:paraId="35131EE5" w14:textId="77777777" w:rsidR="00AE4903" w:rsidRPr="00B85963" w:rsidRDefault="00AE4903" w:rsidP="00AE4903">
      <w:pPr>
        <w:pStyle w:val="NumberedPara"/>
        <w:ind w:left="539" w:hanging="397"/>
        <w:rPr>
          <w:rFonts w:ascii="Aptos" w:hAnsi="Aptos"/>
        </w:rPr>
      </w:pPr>
      <w:r w:rsidRPr="00B85963">
        <w:rPr>
          <w:rFonts w:ascii="Aptos" w:hAnsi="Aptos"/>
        </w:rPr>
        <w:t>Where an RTO also delivers training that is not related to the exemption categories, it must collect and submit data compliant with the VET Information Standard on the training and any students that are not exempt.</w:t>
      </w:r>
    </w:p>
    <w:p w14:paraId="3994FD66" w14:textId="77777777" w:rsidR="00AE4903" w:rsidRPr="00B85963" w:rsidRDefault="00AE4903" w:rsidP="00AE4903">
      <w:pPr>
        <w:pStyle w:val="NumberedH2"/>
        <w:rPr>
          <w:rFonts w:ascii="Aptos" w:hAnsi="Aptos"/>
        </w:rPr>
      </w:pPr>
      <w:bookmarkStart w:id="25" w:name="_Toc99373805"/>
      <w:bookmarkStart w:id="26" w:name="_Toc99440645"/>
      <w:bookmarkStart w:id="27" w:name="_Toc99541193"/>
      <w:bookmarkStart w:id="28" w:name="_Toc99974728"/>
      <w:bookmarkStart w:id="29" w:name="_Toc99974804"/>
      <w:bookmarkStart w:id="30" w:name="_Toc99975499"/>
      <w:bookmarkStart w:id="31" w:name="_Toc116479467"/>
      <w:bookmarkStart w:id="32" w:name="_Toc817571751"/>
      <w:bookmarkStart w:id="33" w:name="_Toc100320494"/>
      <w:bookmarkStart w:id="34" w:name="_Toc226549271"/>
      <w:bookmarkStart w:id="35" w:name="_Toc234315541"/>
      <w:bookmarkEnd w:id="25"/>
      <w:bookmarkEnd w:id="26"/>
      <w:bookmarkEnd w:id="27"/>
      <w:bookmarkEnd w:id="28"/>
      <w:bookmarkEnd w:id="29"/>
      <w:bookmarkEnd w:id="30"/>
      <w:r w:rsidRPr="00B85963">
        <w:rPr>
          <w:rFonts w:ascii="Aptos" w:hAnsi="Aptos"/>
          <w:bCs/>
        </w:rPr>
        <w:t>Exemption A: Training for national security, border protection or policing</w:t>
      </w:r>
      <w:bookmarkEnd w:id="23"/>
      <w:bookmarkEnd w:id="24"/>
      <w:bookmarkEnd w:id="31"/>
      <w:bookmarkEnd w:id="32"/>
      <w:bookmarkEnd w:id="33"/>
      <w:r w:rsidRPr="00B85963">
        <w:rPr>
          <w:rFonts w:ascii="Aptos" w:hAnsi="Aptos"/>
        </w:rPr>
        <w:t xml:space="preserve"> matters</w:t>
      </w:r>
      <w:bookmarkEnd w:id="34"/>
      <w:bookmarkEnd w:id="35"/>
    </w:p>
    <w:p w14:paraId="23CA1377" w14:textId="77777777" w:rsidR="00AE4903" w:rsidRPr="00B85963" w:rsidRDefault="00AE4903" w:rsidP="00AE4903">
      <w:pPr>
        <w:pStyle w:val="NumberedPara"/>
        <w:ind w:left="539" w:hanging="397"/>
        <w:rPr>
          <w:rFonts w:ascii="Aptos" w:hAnsi="Aptos"/>
        </w:rPr>
      </w:pPr>
      <w:bookmarkStart w:id="36" w:name="_Toc49945828"/>
      <w:bookmarkStart w:id="37" w:name="_Toc49945893"/>
      <w:r w:rsidRPr="00B85963">
        <w:rPr>
          <w:rFonts w:ascii="Aptos" w:hAnsi="Aptos"/>
        </w:rPr>
        <w:t xml:space="preserve">An RTO can apply for an exemption from submitting VET Information Standard compliant data where it provides training to students for national security, border protection or policing matters </w:t>
      </w:r>
      <w:r w:rsidRPr="00B85963">
        <w:rPr>
          <w:rFonts w:ascii="Aptos" w:hAnsi="Aptos"/>
          <w:b/>
          <w:bCs/>
          <w:u w:val="single"/>
        </w:rPr>
        <w:t>and</w:t>
      </w:r>
      <w:r w:rsidRPr="00B85963">
        <w:rPr>
          <w:rFonts w:ascii="Aptos" w:hAnsi="Aptos"/>
        </w:rPr>
        <w:t>:</w:t>
      </w:r>
    </w:p>
    <w:p w14:paraId="1A5974CE" w14:textId="77777777" w:rsidR="00AE4903" w:rsidRPr="00B85963" w:rsidRDefault="00AE4903" w:rsidP="00AE4903">
      <w:pPr>
        <w:pStyle w:val="NumberedPara"/>
        <w:numPr>
          <w:ilvl w:val="0"/>
          <w:numId w:val="15"/>
        </w:numPr>
        <w:rPr>
          <w:rFonts w:ascii="Aptos" w:hAnsi="Aptos"/>
        </w:rPr>
      </w:pPr>
      <w:r w:rsidRPr="00B85963">
        <w:rPr>
          <w:rFonts w:ascii="Aptos" w:hAnsi="Aptos"/>
        </w:rPr>
        <w:t>there would be a conflict with defence or national security legislation; or</w:t>
      </w:r>
    </w:p>
    <w:p w14:paraId="74E2BBA1" w14:textId="77777777" w:rsidR="00AE4903" w:rsidRPr="00B85963" w:rsidRDefault="00AE4903" w:rsidP="00AE4903">
      <w:pPr>
        <w:pStyle w:val="NumberedPara"/>
        <w:numPr>
          <w:ilvl w:val="0"/>
          <w:numId w:val="15"/>
        </w:numPr>
        <w:rPr>
          <w:rFonts w:ascii="Aptos" w:hAnsi="Aptos"/>
        </w:rPr>
      </w:pPr>
      <w:r w:rsidRPr="00B85963">
        <w:rPr>
          <w:rFonts w:ascii="Aptos" w:hAnsi="Aptos"/>
        </w:rPr>
        <w:t>the reporting of that data may jeopardise the security of defence, border protection, customs, national security, or police personnel.</w:t>
      </w:r>
    </w:p>
    <w:p w14:paraId="3945038E" w14:textId="77777777" w:rsidR="00AE4903" w:rsidRPr="00B85963" w:rsidRDefault="00AE4903" w:rsidP="00AE4903">
      <w:pPr>
        <w:pStyle w:val="NumberedH2"/>
        <w:rPr>
          <w:rFonts w:ascii="Aptos" w:hAnsi="Aptos"/>
        </w:rPr>
      </w:pPr>
      <w:bookmarkStart w:id="38" w:name="_Toc206768798"/>
      <w:bookmarkStart w:id="39" w:name="_Toc206768844"/>
      <w:bookmarkStart w:id="40" w:name="_Toc99373807"/>
      <w:bookmarkStart w:id="41" w:name="_Toc99440647"/>
      <w:bookmarkStart w:id="42" w:name="_Toc99541195"/>
      <w:bookmarkStart w:id="43" w:name="_Toc99974730"/>
      <w:bookmarkStart w:id="44" w:name="_Toc99974806"/>
      <w:bookmarkStart w:id="45" w:name="_Toc99975501"/>
      <w:bookmarkStart w:id="46" w:name="_Toc116479468"/>
      <w:bookmarkStart w:id="47" w:name="_Toc100320495"/>
      <w:bookmarkStart w:id="48" w:name="_Toc86648363"/>
      <w:bookmarkStart w:id="49" w:name="_Toc226549272"/>
      <w:bookmarkStart w:id="50" w:name="_Toc234315542"/>
      <w:bookmarkStart w:id="51" w:name="_Toc266408362"/>
      <w:bookmarkEnd w:id="36"/>
      <w:bookmarkEnd w:id="37"/>
      <w:bookmarkEnd w:id="38"/>
      <w:bookmarkEnd w:id="39"/>
      <w:bookmarkEnd w:id="40"/>
      <w:bookmarkEnd w:id="41"/>
      <w:bookmarkEnd w:id="42"/>
      <w:bookmarkEnd w:id="43"/>
      <w:bookmarkEnd w:id="44"/>
      <w:bookmarkEnd w:id="45"/>
      <w:r w:rsidRPr="00B85963">
        <w:rPr>
          <w:rFonts w:ascii="Aptos" w:hAnsi="Aptos"/>
        </w:rPr>
        <w:t>Exemption B: Training for emergency or safety community services</w:t>
      </w:r>
      <w:bookmarkEnd w:id="46"/>
      <w:bookmarkEnd w:id="47"/>
      <w:bookmarkEnd w:id="48"/>
      <w:bookmarkEnd w:id="49"/>
      <w:bookmarkEnd w:id="50"/>
      <w:r w:rsidRPr="00B85963">
        <w:rPr>
          <w:rFonts w:ascii="Aptos" w:hAnsi="Aptos"/>
        </w:rPr>
        <w:t xml:space="preserve"> </w:t>
      </w:r>
      <w:bookmarkEnd w:id="51"/>
    </w:p>
    <w:p w14:paraId="27A62000" w14:textId="77777777" w:rsidR="00AE4903" w:rsidRPr="00B85963" w:rsidRDefault="00AE4903" w:rsidP="00AE4903">
      <w:pPr>
        <w:pStyle w:val="NumberedPara"/>
        <w:ind w:left="539" w:hanging="397"/>
        <w:rPr>
          <w:rFonts w:ascii="Aptos" w:hAnsi="Aptos"/>
        </w:rPr>
      </w:pPr>
      <w:r w:rsidRPr="00B85963">
        <w:rPr>
          <w:rFonts w:ascii="Aptos" w:hAnsi="Aptos"/>
        </w:rPr>
        <w:t xml:space="preserve">An RTO can apply for an exemption from submitting VET Information Standard compliant data where the RTO meets </w:t>
      </w:r>
      <w:proofErr w:type="gramStart"/>
      <w:r w:rsidRPr="00B85963">
        <w:rPr>
          <w:rFonts w:ascii="Aptos" w:hAnsi="Aptos"/>
          <w:b/>
          <w:bCs/>
          <w:u w:val="single"/>
        </w:rPr>
        <w:t xml:space="preserve">all </w:t>
      </w:r>
      <w:r w:rsidRPr="00B85963">
        <w:rPr>
          <w:rFonts w:ascii="Aptos" w:hAnsi="Aptos"/>
        </w:rPr>
        <w:t>of</w:t>
      </w:r>
      <w:proofErr w:type="gramEnd"/>
      <w:r w:rsidRPr="00B85963">
        <w:rPr>
          <w:rFonts w:ascii="Aptos" w:hAnsi="Aptos"/>
        </w:rPr>
        <w:t xml:space="preserve"> the following criteria:</w:t>
      </w:r>
    </w:p>
    <w:p w14:paraId="2B26696E" w14:textId="77777777" w:rsidR="00AE4903" w:rsidRPr="00B85963" w:rsidRDefault="00AE4903" w:rsidP="00AE4903">
      <w:pPr>
        <w:pStyle w:val="NumberedPara"/>
        <w:numPr>
          <w:ilvl w:val="0"/>
          <w:numId w:val="15"/>
        </w:numPr>
        <w:rPr>
          <w:rFonts w:ascii="Aptos" w:hAnsi="Aptos"/>
        </w:rPr>
      </w:pPr>
      <w:r w:rsidRPr="00B85963">
        <w:rPr>
          <w:rFonts w:ascii="Aptos" w:hAnsi="Aptos"/>
        </w:rPr>
        <w:t>The RTO is providing emergency or safety related services to the Australian community</w:t>
      </w:r>
      <w:r w:rsidRPr="00B85963">
        <w:rPr>
          <w:rFonts w:ascii="Aptos" w:eastAsiaTheme="minorEastAsia" w:hAnsi="Aptos"/>
        </w:rPr>
        <w:t>;</w:t>
      </w:r>
    </w:p>
    <w:p w14:paraId="7BA77B19" w14:textId="77777777" w:rsidR="00AE4903" w:rsidRPr="00B85963" w:rsidRDefault="00AE4903" w:rsidP="00AE4903">
      <w:pPr>
        <w:pStyle w:val="NumberedPara"/>
        <w:numPr>
          <w:ilvl w:val="0"/>
          <w:numId w:val="15"/>
        </w:numPr>
        <w:rPr>
          <w:rFonts w:ascii="Aptos" w:eastAsiaTheme="minorEastAsia" w:hAnsi="Aptos"/>
        </w:rPr>
      </w:pPr>
      <w:r w:rsidRPr="00B85963">
        <w:rPr>
          <w:rFonts w:ascii="Aptos" w:hAnsi="Aptos"/>
        </w:rPr>
        <w:t>The RTO is registered as a charity with the Australian Charities and Not-for-profits Commission</w:t>
      </w:r>
      <w:r w:rsidRPr="00B85963">
        <w:rPr>
          <w:rFonts w:ascii="Aptos" w:eastAsiaTheme="minorEastAsia" w:hAnsi="Aptos"/>
        </w:rPr>
        <w:t>;</w:t>
      </w:r>
    </w:p>
    <w:p w14:paraId="632A5BA0" w14:textId="77777777" w:rsidR="00AE4903" w:rsidRPr="00B85963" w:rsidRDefault="00AE4903" w:rsidP="00AE4903">
      <w:pPr>
        <w:pStyle w:val="NumberedPara"/>
        <w:numPr>
          <w:ilvl w:val="0"/>
          <w:numId w:val="15"/>
        </w:numPr>
        <w:rPr>
          <w:rFonts w:ascii="Aptos" w:hAnsi="Aptos"/>
        </w:rPr>
      </w:pPr>
      <w:r w:rsidRPr="00B85963">
        <w:rPr>
          <w:rFonts w:ascii="Aptos" w:eastAsiaTheme="minorEastAsia" w:hAnsi="Aptos"/>
        </w:rPr>
        <w:t xml:space="preserve">The RTO provides nationally recognised training to volunteers, employees, contractors, </w:t>
      </w:r>
      <w:r w:rsidRPr="00B85963">
        <w:rPr>
          <w:rFonts w:ascii="Aptos" w:hAnsi="Aptos"/>
        </w:rPr>
        <w:t>or other students</w:t>
      </w:r>
      <w:r w:rsidRPr="00B85963">
        <w:rPr>
          <w:rFonts w:ascii="Aptos" w:eastAsiaTheme="minorEastAsia" w:hAnsi="Aptos"/>
        </w:rPr>
        <w:t>;</w:t>
      </w:r>
    </w:p>
    <w:p w14:paraId="6B09F88B" w14:textId="77777777" w:rsidR="00AE4903" w:rsidRPr="00B85963" w:rsidRDefault="00AE4903" w:rsidP="00AE4903">
      <w:pPr>
        <w:pStyle w:val="NumberedPara"/>
        <w:numPr>
          <w:ilvl w:val="0"/>
          <w:numId w:val="15"/>
        </w:numPr>
        <w:rPr>
          <w:rFonts w:ascii="Aptos" w:hAnsi="Aptos"/>
        </w:rPr>
      </w:pPr>
      <w:r w:rsidRPr="00B85963">
        <w:rPr>
          <w:rFonts w:ascii="Aptos" w:hAnsi="Aptos"/>
        </w:rPr>
        <w:t>The RTO does not receive any payment from students for undertaking the exempt training (that is, training is free or no-cost to students)</w:t>
      </w:r>
      <w:r w:rsidRPr="00B85963">
        <w:rPr>
          <w:rFonts w:ascii="Aptos" w:eastAsiaTheme="minorEastAsia" w:hAnsi="Aptos"/>
        </w:rPr>
        <w:t>; and</w:t>
      </w:r>
    </w:p>
    <w:p w14:paraId="7890CA27" w14:textId="77777777" w:rsidR="00AE4903" w:rsidRPr="00B85963" w:rsidRDefault="00AE4903" w:rsidP="00AE4903">
      <w:pPr>
        <w:pStyle w:val="NumberedPara"/>
        <w:numPr>
          <w:ilvl w:val="0"/>
          <w:numId w:val="15"/>
        </w:numPr>
        <w:rPr>
          <w:rFonts w:ascii="Aptos" w:hAnsi="Aptos"/>
        </w:rPr>
      </w:pPr>
      <w:r w:rsidRPr="00B85963">
        <w:rPr>
          <w:rFonts w:ascii="Aptos" w:hAnsi="Aptos"/>
        </w:rPr>
        <w:t>The ability of the RTO to provide services to the community may be adversely impacted if it was required to submit full VET Information Standard</w:t>
      </w:r>
      <w:r w:rsidRPr="00B85963" w:rsidDel="00DD21A8">
        <w:rPr>
          <w:rFonts w:ascii="Aptos" w:hAnsi="Aptos"/>
        </w:rPr>
        <w:t xml:space="preserve"> </w:t>
      </w:r>
      <w:r w:rsidRPr="00B85963">
        <w:rPr>
          <w:rFonts w:ascii="Aptos" w:hAnsi="Aptos"/>
        </w:rPr>
        <w:t>compliant data on exempt activity.</w:t>
      </w:r>
    </w:p>
    <w:p w14:paraId="65A83C77" w14:textId="77777777" w:rsidR="00AE4903" w:rsidRPr="00B85963" w:rsidRDefault="00AE4903" w:rsidP="00AE4903">
      <w:pPr>
        <w:pStyle w:val="NumberedH2"/>
        <w:rPr>
          <w:rFonts w:ascii="Aptos" w:hAnsi="Aptos"/>
        </w:rPr>
      </w:pPr>
      <w:bookmarkStart w:id="52" w:name="_Toc226549273"/>
      <w:bookmarkStart w:id="53" w:name="_Toc234315543"/>
      <w:r w:rsidRPr="00B85963">
        <w:rPr>
          <w:rFonts w:ascii="Aptos" w:hAnsi="Aptos"/>
        </w:rPr>
        <w:t>Requirement to advise students that exempted training will not appear on transcripts</w:t>
      </w:r>
      <w:bookmarkEnd w:id="52"/>
      <w:bookmarkEnd w:id="53"/>
    </w:p>
    <w:p w14:paraId="02249CA4" w14:textId="77777777" w:rsidR="00AE4903" w:rsidRPr="00B85963" w:rsidRDefault="00AE4903" w:rsidP="00AE4903">
      <w:pPr>
        <w:pStyle w:val="NumberedPara"/>
        <w:ind w:left="539" w:hanging="397"/>
        <w:rPr>
          <w:rFonts w:ascii="Aptos" w:hAnsi="Aptos"/>
        </w:rPr>
      </w:pPr>
      <w:r w:rsidRPr="00B85963">
        <w:rPr>
          <w:rFonts w:ascii="Aptos" w:hAnsi="Aptos"/>
        </w:rPr>
        <w:t xml:space="preserve">Prior to a student’s commencement of training that has been exempted from submitting VET Information Standard compliant data, an RTO must inform students undertaking the training </w:t>
      </w:r>
      <w:r w:rsidRPr="00B85963">
        <w:rPr>
          <w:rFonts w:ascii="Aptos" w:hAnsi="Aptos"/>
        </w:rPr>
        <w:lastRenderedPageBreak/>
        <w:t>that their training activity will not be included in the National VET Provider Collection and that the training activity will not appear on their Authenticated VET Transcript.</w:t>
      </w:r>
    </w:p>
    <w:p w14:paraId="5199F946" w14:textId="77777777" w:rsidR="00AE4903" w:rsidRPr="00B85963" w:rsidRDefault="00AE4903" w:rsidP="00AE4903">
      <w:pPr>
        <w:pStyle w:val="NumberedPara"/>
        <w:ind w:left="539" w:hanging="397"/>
        <w:rPr>
          <w:rFonts w:ascii="Aptos" w:hAnsi="Aptos"/>
        </w:rPr>
      </w:pPr>
      <w:r w:rsidRPr="00B85963">
        <w:rPr>
          <w:rFonts w:ascii="Aptos" w:hAnsi="Aptos"/>
        </w:rPr>
        <w:t xml:space="preserve">Where a student, whose training would ordinarily be subject to an exemption under section 5.1 of the Exemptions Policy, provides their USI or otherwise indicates that they would like the training they undertake to appear on their Authenticated VET Transcript, the exemption does not apply for that student. In this case a community service RTO is required to submit full VET Information Standard compliant data for that student’s training in accordance with section 6C or 6D (as applicable) of the DPRs Instrument. </w:t>
      </w:r>
    </w:p>
    <w:p w14:paraId="1AFCC707" w14:textId="77777777" w:rsidR="00AE4903" w:rsidRPr="00B85963" w:rsidRDefault="00AE4903" w:rsidP="00AE4903">
      <w:pPr>
        <w:pStyle w:val="NumberedH2"/>
        <w:rPr>
          <w:rFonts w:ascii="Aptos" w:hAnsi="Aptos"/>
        </w:rPr>
      </w:pPr>
      <w:bookmarkStart w:id="54" w:name="_Toc206768806"/>
      <w:bookmarkStart w:id="55" w:name="_Toc206768852"/>
      <w:bookmarkStart w:id="56" w:name="_Toc206768807"/>
      <w:bookmarkStart w:id="57" w:name="_Toc206768853"/>
      <w:bookmarkStart w:id="58" w:name="_Toc226549274"/>
      <w:bookmarkStart w:id="59" w:name="_Toc234315544"/>
      <w:bookmarkStart w:id="60" w:name="_Toc179512578"/>
      <w:bookmarkStart w:id="61" w:name="_Toc116479469"/>
      <w:bookmarkEnd w:id="54"/>
      <w:bookmarkEnd w:id="55"/>
      <w:bookmarkEnd w:id="56"/>
      <w:bookmarkEnd w:id="57"/>
      <w:r w:rsidRPr="00B85963">
        <w:rPr>
          <w:rFonts w:ascii="Aptos" w:hAnsi="Aptos"/>
        </w:rPr>
        <w:t>Reporting requirements for RTOs with an exemption</w:t>
      </w:r>
      <w:bookmarkEnd w:id="58"/>
      <w:bookmarkEnd w:id="59"/>
    </w:p>
    <w:p w14:paraId="6E6C24CB" w14:textId="77777777" w:rsidR="00AE4903" w:rsidRPr="00B85963" w:rsidRDefault="00AE4903" w:rsidP="00AE4903">
      <w:pPr>
        <w:pStyle w:val="NumberedPara"/>
        <w:ind w:left="539" w:hanging="397"/>
        <w:rPr>
          <w:rFonts w:ascii="Aptos" w:hAnsi="Aptos"/>
        </w:rPr>
      </w:pPr>
      <w:r w:rsidRPr="00B85963">
        <w:rPr>
          <w:rFonts w:ascii="Aptos" w:hAnsi="Aptos"/>
        </w:rPr>
        <w:t>Where an exemption under section 4 or 5 of the Exemptions Policy has been granted, the RTO must collect and report the following aggregate data on a quarterly basis in the format below:</w:t>
      </w:r>
    </w:p>
    <w:p w14:paraId="45CC6400" w14:textId="77777777" w:rsidR="00AE4903" w:rsidRPr="00B85963" w:rsidRDefault="00AE4903" w:rsidP="00AE4903">
      <w:pPr>
        <w:pStyle w:val="NumberedPara"/>
        <w:numPr>
          <w:ilvl w:val="0"/>
          <w:numId w:val="15"/>
        </w:numPr>
        <w:rPr>
          <w:rFonts w:ascii="Aptos" w:eastAsiaTheme="minorEastAsia" w:hAnsi="Aptos"/>
        </w:rPr>
      </w:pPr>
      <w:r w:rsidRPr="00B85963">
        <w:rPr>
          <w:rFonts w:ascii="Aptos" w:eastAsiaTheme="minorEastAsia" w:hAnsi="Aptos"/>
        </w:rPr>
        <w:t xml:space="preserve">RTO name and ID (where relevant); </w:t>
      </w:r>
    </w:p>
    <w:p w14:paraId="4D252F56" w14:textId="77777777" w:rsidR="00AE4903" w:rsidRPr="00B85963" w:rsidRDefault="00AE4903" w:rsidP="00AE4903">
      <w:pPr>
        <w:pStyle w:val="NumberedPara"/>
        <w:numPr>
          <w:ilvl w:val="0"/>
          <w:numId w:val="15"/>
        </w:numPr>
        <w:rPr>
          <w:rFonts w:ascii="Aptos" w:eastAsiaTheme="minorEastAsia" w:hAnsi="Aptos"/>
        </w:rPr>
      </w:pPr>
      <w:r w:rsidRPr="00B85963">
        <w:rPr>
          <w:rFonts w:ascii="Aptos" w:eastAsiaTheme="minorEastAsia" w:hAnsi="Aptos"/>
        </w:rPr>
        <w:t>Quarter in the year in which the study was undertaken;</w:t>
      </w:r>
    </w:p>
    <w:p w14:paraId="2695E031" w14:textId="77777777" w:rsidR="00AE4903" w:rsidRPr="00B85963" w:rsidRDefault="00AE4903" w:rsidP="00AE4903">
      <w:pPr>
        <w:pStyle w:val="NumberedPara"/>
        <w:numPr>
          <w:ilvl w:val="0"/>
          <w:numId w:val="15"/>
        </w:numPr>
        <w:rPr>
          <w:rFonts w:ascii="Aptos" w:eastAsiaTheme="minorEastAsia" w:hAnsi="Aptos"/>
        </w:rPr>
      </w:pPr>
      <w:r w:rsidRPr="00B85963">
        <w:rPr>
          <w:rFonts w:ascii="Aptos" w:eastAsiaTheme="minorEastAsia" w:hAnsi="Aptos"/>
        </w:rPr>
        <w:t>Number of students commenced in each VET course;</w:t>
      </w:r>
      <w:r w:rsidRPr="00B85963">
        <w:rPr>
          <w:rFonts w:ascii="Aptos" w:hAnsi="Aptos"/>
          <w:vertAlign w:val="superscript"/>
        </w:rPr>
        <w:footnoteReference w:id="1"/>
      </w:r>
      <w:r w:rsidRPr="00B85963">
        <w:rPr>
          <w:rFonts w:ascii="Aptos" w:eastAsiaTheme="minorEastAsia" w:hAnsi="Aptos"/>
        </w:rPr>
        <w:t xml:space="preserve"> and</w:t>
      </w:r>
    </w:p>
    <w:p w14:paraId="5EC68B7E" w14:textId="77777777" w:rsidR="00AE4903" w:rsidRPr="00B85963" w:rsidRDefault="00AE4903" w:rsidP="00AE4903">
      <w:pPr>
        <w:pStyle w:val="NumberedPara"/>
        <w:numPr>
          <w:ilvl w:val="0"/>
          <w:numId w:val="15"/>
        </w:numPr>
        <w:rPr>
          <w:rFonts w:ascii="Aptos" w:eastAsiaTheme="minorEastAsia" w:hAnsi="Aptos"/>
        </w:rPr>
      </w:pPr>
      <w:r w:rsidRPr="00B85963">
        <w:rPr>
          <w:rFonts w:ascii="Aptos" w:eastAsiaTheme="minorEastAsia" w:hAnsi="Aptos"/>
        </w:rPr>
        <w:t>Number of students completed in each VET course.</w:t>
      </w:r>
    </w:p>
    <w:p w14:paraId="01E25CDC" w14:textId="77777777" w:rsidR="00AE4903" w:rsidRPr="00B85963" w:rsidRDefault="00AE4903" w:rsidP="00AE4903">
      <w:pPr>
        <w:pStyle w:val="NumberedPara"/>
        <w:ind w:left="539" w:hanging="397"/>
        <w:rPr>
          <w:rFonts w:ascii="Aptos" w:hAnsi="Aptos"/>
        </w:rPr>
      </w:pPr>
      <w:r w:rsidRPr="00B85963">
        <w:rPr>
          <w:rFonts w:ascii="Aptos" w:hAnsi="Aptos"/>
        </w:rPr>
        <w:t>The above aggregate data must be reported for all activity covered by the exemption undertaken within each quarter that starts during the exemption period and is available</w:t>
      </w:r>
      <w:r w:rsidRPr="00B85963">
        <w:rPr>
          <w:rStyle w:val="FootnoteReference"/>
          <w:rFonts w:ascii="Aptos" w:hAnsi="Aptos"/>
        </w:rPr>
        <w:footnoteReference w:id="2"/>
      </w:r>
      <w:r w:rsidRPr="00B85963">
        <w:rPr>
          <w:rFonts w:ascii="Aptos" w:hAnsi="Aptos"/>
        </w:rPr>
        <w:t xml:space="preserve"> to the organisation on the last day of that quarter</w:t>
      </w:r>
      <w:bookmarkEnd w:id="60"/>
      <w:bookmarkEnd w:id="61"/>
      <w:r w:rsidRPr="00B85963">
        <w:rPr>
          <w:rStyle w:val="FootnoteReference"/>
          <w:rFonts w:ascii="Aptos" w:hAnsi="Aptos"/>
        </w:rPr>
        <w:footnoteReference w:id="3"/>
      </w:r>
      <w:r w:rsidRPr="00B85963">
        <w:rPr>
          <w:rFonts w:ascii="Aptos" w:hAnsi="Aptos"/>
        </w:rPr>
        <w:t>.</w:t>
      </w:r>
    </w:p>
    <w:p w14:paraId="64110F9A" w14:textId="77777777" w:rsidR="00AE4903" w:rsidRPr="00B85963" w:rsidRDefault="00AE4903" w:rsidP="00AE4903">
      <w:pPr>
        <w:pStyle w:val="NumberedPara"/>
        <w:ind w:left="539" w:hanging="397"/>
        <w:rPr>
          <w:rFonts w:ascii="Aptos" w:hAnsi="Aptos"/>
        </w:rPr>
      </w:pPr>
      <w:r w:rsidRPr="00B85963">
        <w:rPr>
          <w:rFonts w:ascii="Aptos" w:hAnsi="Aptos"/>
        </w:rPr>
        <w:t xml:space="preserve">The aggregate data in respect of a quarter must be reported to the National Centre for Vocational Education and Research (NCVER) </w:t>
      </w:r>
      <w:r w:rsidRPr="00B85963">
        <w:rPr>
          <w:rFonts w:ascii="Aptos" w:hAnsi="Aptos"/>
          <w:u w:val="single"/>
        </w:rPr>
        <w:t>no later</w:t>
      </w:r>
      <w:r w:rsidRPr="00B85963">
        <w:rPr>
          <w:rFonts w:ascii="Aptos" w:hAnsi="Aptos"/>
        </w:rPr>
        <w:t xml:space="preserve"> than one month after the start of the next quarter.</w:t>
      </w:r>
    </w:p>
    <w:p w14:paraId="7D90832D" w14:textId="77777777" w:rsidR="00AE4903" w:rsidRPr="00B85963" w:rsidRDefault="00AE4903" w:rsidP="00AE4903">
      <w:pPr>
        <w:pStyle w:val="NumberedPara"/>
        <w:ind w:left="539" w:hanging="397"/>
        <w:rPr>
          <w:rFonts w:ascii="Aptos" w:hAnsi="Aptos"/>
        </w:rPr>
      </w:pPr>
      <w:r w:rsidRPr="00B85963">
        <w:rPr>
          <w:rFonts w:ascii="Aptos" w:hAnsi="Aptos"/>
        </w:rPr>
        <w:t xml:space="preserve">Where an exemption is in place at the time an RTO’s registration ceases, the RTO must submit aggregate data covering the period since its last data submission up to the date its registration as an RTO ceases.  </w:t>
      </w:r>
    </w:p>
    <w:p w14:paraId="2C054C56" w14:textId="77777777" w:rsidR="00AE4903" w:rsidRPr="00B85963" w:rsidRDefault="00AE4903" w:rsidP="00AE4903">
      <w:pPr>
        <w:spacing w:after="160" w:line="259" w:lineRule="auto"/>
        <w:rPr>
          <w:rFonts w:cs="Calibri"/>
          <w:lang w:eastAsia="en-AU"/>
        </w:rPr>
      </w:pPr>
      <w:r w:rsidRPr="00B85963">
        <w:br w:type="page"/>
      </w:r>
    </w:p>
    <w:p w14:paraId="624E43CD" w14:textId="77777777" w:rsidR="00AE4903" w:rsidRPr="00B85963" w:rsidRDefault="00AE4903" w:rsidP="00AE4903">
      <w:pPr>
        <w:pStyle w:val="NumberedH2"/>
        <w:spacing w:after="120"/>
        <w:rPr>
          <w:rFonts w:ascii="Aptos" w:hAnsi="Aptos"/>
        </w:rPr>
      </w:pPr>
      <w:bookmarkStart w:id="62" w:name="_Toc206768815"/>
      <w:bookmarkStart w:id="63" w:name="_Toc206768861"/>
      <w:bookmarkStart w:id="64" w:name="_Toc226549275"/>
      <w:bookmarkStart w:id="65" w:name="_Toc234315545"/>
      <w:bookmarkEnd w:id="62"/>
      <w:bookmarkEnd w:id="63"/>
      <w:r w:rsidRPr="00B85963">
        <w:rPr>
          <w:rFonts w:ascii="Aptos" w:hAnsi="Aptos"/>
        </w:rPr>
        <w:lastRenderedPageBreak/>
        <w:t>Periods and conditions of exemption</w:t>
      </w:r>
      <w:bookmarkEnd w:id="64"/>
      <w:bookmarkEnd w:id="65"/>
    </w:p>
    <w:p w14:paraId="6F8BF107" w14:textId="77777777" w:rsidR="00AE4903" w:rsidRPr="00B85963" w:rsidRDefault="00AE4903" w:rsidP="00AE4903">
      <w:pPr>
        <w:pStyle w:val="NumberedPara"/>
        <w:ind w:left="539" w:hanging="397"/>
        <w:rPr>
          <w:rFonts w:ascii="Aptos" w:eastAsia="Calibri" w:hAnsi="Aptos"/>
        </w:rPr>
      </w:pPr>
      <w:r w:rsidRPr="00B85963">
        <w:rPr>
          <w:rFonts w:ascii="Aptos" w:eastAsia="Calibri" w:hAnsi="Aptos"/>
        </w:rPr>
        <w:t>A VET regulator may place conditions on or limit the extent of an RTO’s exemption.</w:t>
      </w:r>
    </w:p>
    <w:p w14:paraId="66AA8669" w14:textId="77777777" w:rsidR="00AE4903" w:rsidRPr="00B85963" w:rsidRDefault="00AE4903" w:rsidP="00AE4903">
      <w:pPr>
        <w:pStyle w:val="NumberedPara"/>
        <w:ind w:left="539" w:hanging="397"/>
        <w:rPr>
          <w:rFonts w:ascii="Aptos" w:eastAsia="Calibri" w:hAnsi="Aptos"/>
        </w:rPr>
      </w:pPr>
      <w:r w:rsidRPr="00B85963">
        <w:rPr>
          <w:rFonts w:ascii="Aptos" w:eastAsia="Calibri" w:hAnsi="Aptos"/>
        </w:rPr>
        <w:t>An exemption does not apply until the relevant VET regulator has advised the RTO in writing that the exemption has been granted.</w:t>
      </w:r>
    </w:p>
    <w:p w14:paraId="36F36780" w14:textId="77777777" w:rsidR="00AE4903" w:rsidRPr="00B85963" w:rsidRDefault="00AE4903" w:rsidP="00AE4903">
      <w:pPr>
        <w:pStyle w:val="NumberedPara"/>
        <w:ind w:left="539" w:hanging="397"/>
        <w:rPr>
          <w:rFonts w:ascii="Aptos" w:eastAsia="Calibri" w:hAnsi="Aptos"/>
        </w:rPr>
      </w:pPr>
      <w:r w:rsidRPr="00B85963">
        <w:rPr>
          <w:rFonts w:ascii="Aptos" w:eastAsia="Calibri" w:hAnsi="Aptos"/>
        </w:rPr>
        <w:t>The relevant VET regulator will also advise NCVER of the RTO and the scope of exemption which has been granted.</w:t>
      </w:r>
    </w:p>
    <w:p w14:paraId="32D66EEB" w14:textId="77777777" w:rsidR="00AE4903" w:rsidRPr="00B85963" w:rsidRDefault="00AE4903" w:rsidP="00AE4903">
      <w:pPr>
        <w:pStyle w:val="NumberedPara"/>
        <w:ind w:left="539" w:hanging="397"/>
        <w:rPr>
          <w:rFonts w:ascii="Aptos" w:eastAsia="Calibri" w:hAnsi="Aptos"/>
        </w:rPr>
      </w:pPr>
      <w:r w:rsidRPr="00B85963">
        <w:rPr>
          <w:rFonts w:ascii="Aptos" w:eastAsia="Calibri" w:hAnsi="Aptos"/>
        </w:rPr>
        <w:t>An exemption will remain in place until the:</w:t>
      </w:r>
    </w:p>
    <w:p w14:paraId="676A09E8" w14:textId="77777777" w:rsidR="00AE4903" w:rsidRPr="00B85963" w:rsidRDefault="00AE4903" w:rsidP="00AE4903">
      <w:pPr>
        <w:pStyle w:val="NumberedPara"/>
        <w:numPr>
          <w:ilvl w:val="0"/>
          <w:numId w:val="15"/>
        </w:numPr>
        <w:rPr>
          <w:rFonts w:ascii="Aptos" w:eastAsiaTheme="minorEastAsia" w:hAnsi="Aptos"/>
        </w:rPr>
      </w:pPr>
      <w:r w:rsidRPr="00B85963">
        <w:rPr>
          <w:rFonts w:ascii="Aptos" w:eastAsiaTheme="minorEastAsia" w:hAnsi="Aptos"/>
        </w:rPr>
        <w:t>the exemption is revoked by the RTO’s VET regulator; or</w:t>
      </w:r>
    </w:p>
    <w:p w14:paraId="6A0AEFA2" w14:textId="77777777" w:rsidR="00AE4903" w:rsidRPr="00B85963" w:rsidRDefault="00AE4903" w:rsidP="00AE4903">
      <w:pPr>
        <w:pStyle w:val="NumberedPara"/>
        <w:numPr>
          <w:ilvl w:val="0"/>
          <w:numId w:val="15"/>
        </w:numPr>
        <w:rPr>
          <w:rFonts w:ascii="Aptos" w:eastAsiaTheme="minorEastAsia" w:hAnsi="Aptos"/>
        </w:rPr>
      </w:pPr>
      <w:r w:rsidRPr="00B85963">
        <w:rPr>
          <w:rFonts w:ascii="Aptos" w:eastAsiaTheme="minorEastAsia" w:hAnsi="Aptos"/>
        </w:rPr>
        <w:t>the RTO’s registration ceases; or</w:t>
      </w:r>
    </w:p>
    <w:p w14:paraId="4097F856" w14:textId="77777777" w:rsidR="00AE4903" w:rsidRPr="00B85963" w:rsidRDefault="00AE4903" w:rsidP="00AE4903">
      <w:pPr>
        <w:pStyle w:val="NumberedPara"/>
        <w:numPr>
          <w:ilvl w:val="0"/>
          <w:numId w:val="15"/>
        </w:numPr>
        <w:rPr>
          <w:rFonts w:ascii="Aptos" w:eastAsiaTheme="minorEastAsia" w:hAnsi="Aptos"/>
        </w:rPr>
      </w:pPr>
      <w:r w:rsidRPr="00B85963">
        <w:rPr>
          <w:rFonts w:ascii="Aptos" w:eastAsiaTheme="minorEastAsia" w:hAnsi="Aptos"/>
        </w:rPr>
        <w:t>VET course (or replacement VET course) for which the exemption applies is removed from the RTO’s scope of registration; or</w:t>
      </w:r>
    </w:p>
    <w:p w14:paraId="211ED6F5" w14:textId="77777777" w:rsidR="00AE4903" w:rsidRPr="00B85963" w:rsidRDefault="00AE4903" w:rsidP="00AE4903">
      <w:pPr>
        <w:pStyle w:val="NumberedPara"/>
        <w:numPr>
          <w:ilvl w:val="0"/>
          <w:numId w:val="15"/>
        </w:numPr>
        <w:rPr>
          <w:rFonts w:ascii="Aptos" w:eastAsiaTheme="minorEastAsia" w:hAnsi="Aptos"/>
        </w:rPr>
      </w:pPr>
      <w:r w:rsidRPr="00B85963">
        <w:rPr>
          <w:rFonts w:ascii="Aptos" w:eastAsiaTheme="minorEastAsia" w:hAnsi="Aptos"/>
        </w:rPr>
        <w:t>the RTO voluntarily advises that they no longer require, or wish to withdraw their entitlement for, the granted exemption.</w:t>
      </w:r>
    </w:p>
    <w:p w14:paraId="37293512" w14:textId="77777777" w:rsidR="00AE4903" w:rsidRPr="00B85963" w:rsidRDefault="00AE4903" w:rsidP="00AE4903">
      <w:pPr>
        <w:pStyle w:val="NumberedH2"/>
        <w:rPr>
          <w:rFonts w:ascii="Aptos" w:hAnsi="Aptos"/>
        </w:rPr>
      </w:pPr>
      <w:bookmarkStart w:id="66" w:name="_Toc226549276"/>
      <w:bookmarkStart w:id="67" w:name="_Toc234315546"/>
      <w:r w:rsidRPr="00B85963">
        <w:rPr>
          <w:rFonts w:ascii="Aptos" w:hAnsi="Aptos" w:cstheme="minorBidi"/>
        </w:rPr>
        <w:t>Exemption revocation or refusal</w:t>
      </w:r>
      <w:bookmarkEnd w:id="66"/>
      <w:bookmarkEnd w:id="67"/>
    </w:p>
    <w:p w14:paraId="42E5B2A1" w14:textId="77777777" w:rsidR="00AE4903" w:rsidRPr="00B85963" w:rsidRDefault="00AE4903" w:rsidP="00AE4903">
      <w:pPr>
        <w:pStyle w:val="NumberedPara"/>
        <w:ind w:left="539" w:hanging="397"/>
        <w:rPr>
          <w:rFonts w:ascii="Aptos" w:eastAsia="Calibri" w:hAnsi="Aptos"/>
        </w:rPr>
      </w:pPr>
      <w:r w:rsidRPr="00B85963">
        <w:rPr>
          <w:rFonts w:ascii="Aptos" w:eastAsia="Calibri" w:hAnsi="Aptos"/>
        </w:rPr>
        <w:t>A VET Regulator may decide not to grant an exemption.</w:t>
      </w:r>
    </w:p>
    <w:p w14:paraId="0102A215" w14:textId="77777777" w:rsidR="00AE4903" w:rsidRPr="00B85963" w:rsidRDefault="00AE4903" w:rsidP="00AE4903">
      <w:pPr>
        <w:pStyle w:val="NumberedPara"/>
        <w:ind w:left="539" w:hanging="397"/>
        <w:rPr>
          <w:rFonts w:ascii="Aptos" w:eastAsia="Calibri" w:hAnsi="Aptos"/>
        </w:rPr>
      </w:pPr>
      <w:r w:rsidRPr="00B85963">
        <w:rPr>
          <w:rFonts w:ascii="Aptos" w:eastAsia="Calibri" w:hAnsi="Aptos"/>
        </w:rPr>
        <w:t>A VET regulator may revoke an exemption previously granted for reasons including, but not limited to:</w:t>
      </w:r>
    </w:p>
    <w:p w14:paraId="5D10C011" w14:textId="77777777" w:rsidR="00AE4903" w:rsidRPr="00B85963" w:rsidRDefault="00AE4903" w:rsidP="00AE4903">
      <w:pPr>
        <w:pStyle w:val="NumberedPara"/>
        <w:numPr>
          <w:ilvl w:val="1"/>
          <w:numId w:val="17"/>
        </w:numPr>
        <w:rPr>
          <w:rFonts w:ascii="Aptos" w:hAnsi="Aptos"/>
        </w:rPr>
      </w:pPr>
      <w:r w:rsidRPr="00B85963">
        <w:rPr>
          <w:rFonts w:ascii="Aptos" w:hAnsi="Aptos"/>
        </w:rPr>
        <w:t>enforcement action taken by a VET regulator; and</w:t>
      </w:r>
    </w:p>
    <w:p w14:paraId="66A52E1B" w14:textId="77777777" w:rsidR="00AE4903" w:rsidRPr="00B85963" w:rsidRDefault="00AE4903" w:rsidP="00AE4903">
      <w:pPr>
        <w:pStyle w:val="NumberedPara"/>
        <w:numPr>
          <w:ilvl w:val="1"/>
          <w:numId w:val="17"/>
        </w:numPr>
        <w:rPr>
          <w:rFonts w:ascii="Aptos" w:hAnsi="Aptos"/>
        </w:rPr>
      </w:pPr>
      <w:r w:rsidRPr="00B85963">
        <w:rPr>
          <w:rFonts w:ascii="Aptos" w:hAnsi="Aptos"/>
        </w:rPr>
        <w:t>significant change to an RTO’s business operations or governance.</w:t>
      </w:r>
    </w:p>
    <w:p w14:paraId="69E6B69F" w14:textId="77777777" w:rsidR="00AE4903" w:rsidRPr="00B85963" w:rsidRDefault="00AE4903" w:rsidP="00AE4903">
      <w:pPr>
        <w:pStyle w:val="NumberedPara"/>
        <w:ind w:left="539" w:hanging="397"/>
        <w:rPr>
          <w:rFonts w:ascii="Aptos" w:eastAsia="Calibri" w:hAnsi="Aptos"/>
        </w:rPr>
      </w:pPr>
      <w:r w:rsidRPr="00B85963">
        <w:rPr>
          <w:rFonts w:ascii="Aptos" w:eastAsia="Calibri" w:hAnsi="Aptos"/>
        </w:rPr>
        <w:t>If an exemption is not granted or an exemption is revoked, the RTO will be advised of the reason by the VET regulator in writing.</w:t>
      </w:r>
    </w:p>
    <w:p w14:paraId="52F8D26B" w14:textId="77777777" w:rsidR="00AE4903" w:rsidRPr="00B85963" w:rsidRDefault="00AE4903" w:rsidP="00AE4903">
      <w:pPr>
        <w:pStyle w:val="NumberedPara"/>
        <w:ind w:left="539" w:hanging="397"/>
        <w:rPr>
          <w:rFonts w:ascii="Aptos" w:eastAsia="Calibri" w:hAnsi="Aptos"/>
        </w:rPr>
      </w:pPr>
      <w:r w:rsidRPr="00B85963">
        <w:rPr>
          <w:rFonts w:ascii="Aptos" w:eastAsia="Calibri" w:hAnsi="Aptos"/>
        </w:rPr>
        <w:t>If an RTO’s claim for an exemption is not granted or an exemption is revoked, the RTO may lodge an application for internal review of the decision with the relevant VET regulator’s most senior officeholder.</w:t>
      </w:r>
    </w:p>
    <w:p w14:paraId="2EAD38DA" w14:textId="77777777" w:rsidR="00AE4903" w:rsidRPr="00B85963" w:rsidRDefault="00AE4903" w:rsidP="00AE4903">
      <w:pPr>
        <w:pStyle w:val="NumberedH2"/>
        <w:rPr>
          <w:rFonts w:ascii="Aptos" w:hAnsi="Aptos"/>
          <w:color w:val="262165" w:themeColor="accent6"/>
        </w:rPr>
      </w:pPr>
      <w:bookmarkStart w:id="68" w:name="_Toc206768817"/>
      <w:bookmarkStart w:id="69" w:name="_Toc206768863"/>
      <w:bookmarkStart w:id="70" w:name="_Toc69797188"/>
      <w:bookmarkStart w:id="71" w:name="_Toc116479471"/>
      <w:bookmarkStart w:id="72" w:name="_Toc226549277"/>
      <w:bookmarkStart w:id="73" w:name="_Toc234315547"/>
      <w:bookmarkEnd w:id="11"/>
      <w:bookmarkEnd w:id="12"/>
      <w:bookmarkEnd w:id="68"/>
      <w:bookmarkEnd w:id="69"/>
      <w:r w:rsidRPr="00B85963">
        <w:rPr>
          <w:rFonts w:ascii="Aptos" w:hAnsi="Aptos"/>
        </w:rPr>
        <w:t>Management and review of this policy</w:t>
      </w:r>
      <w:bookmarkEnd w:id="70"/>
      <w:bookmarkEnd w:id="71"/>
      <w:bookmarkEnd w:id="72"/>
      <w:bookmarkEnd w:id="73"/>
    </w:p>
    <w:p w14:paraId="466ABED7" w14:textId="77777777" w:rsidR="00AE4903" w:rsidRPr="00B85963" w:rsidRDefault="00AE4903" w:rsidP="00AE4903">
      <w:pPr>
        <w:pStyle w:val="NumberedPara"/>
        <w:ind w:left="500"/>
        <w:rPr>
          <w:rFonts w:ascii="Aptos" w:hAnsi="Aptos"/>
        </w:rPr>
      </w:pPr>
      <w:r w:rsidRPr="00B85963">
        <w:rPr>
          <w:rFonts w:ascii="Aptos" w:hAnsi="Aptos"/>
        </w:rPr>
        <w:t>Version 1 of this Exemption Policy takes effect from 1 October 2026.</w:t>
      </w:r>
    </w:p>
    <w:p w14:paraId="08280810" w14:textId="77777777" w:rsidR="00AE4903" w:rsidRPr="00B85963" w:rsidRDefault="00AE4903" w:rsidP="00AE4903">
      <w:pPr>
        <w:pStyle w:val="NumberedPara"/>
        <w:ind w:left="567" w:hanging="510"/>
        <w:rPr>
          <w:rFonts w:ascii="Aptos" w:hAnsi="Aptos"/>
        </w:rPr>
      </w:pPr>
      <w:r w:rsidRPr="00B85963">
        <w:rPr>
          <w:rFonts w:ascii="Aptos" w:hAnsi="Aptos"/>
        </w:rPr>
        <w:t>The Exemption Policy may be updated from time to time and RTOs must comply with any updates as directed by their VET Regulator.</w:t>
      </w:r>
    </w:p>
    <w:p w14:paraId="6567228D" w14:textId="02CA0C02" w:rsidR="0063018C" w:rsidRPr="00AE4903" w:rsidRDefault="0063018C" w:rsidP="00AE4903">
      <w:pPr>
        <w:spacing w:before="0" w:after="160" w:line="259" w:lineRule="auto"/>
        <w:rPr>
          <w:rFonts w:ascii="Aptos Display" w:eastAsiaTheme="majorEastAsia" w:hAnsi="Aptos Display" w:cstheme="majorBidi"/>
          <w:b/>
          <w:color w:val="055044" w:themeColor="text2"/>
          <w:sz w:val="30"/>
          <w:szCs w:val="30"/>
        </w:rPr>
      </w:pPr>
    </w:p>
    <w:sectPr w:rsidR="0063018C" w:rsidRPr="00AE4903" w:rsidSect="005D32E0">
      <w:footerReference w:type="default" r:id="rId17"/>
      <w:pgSz w:w="11906" w:h="16838"/>
      <w:pgMar w:top="953" w:right="1315" w:bottom="1474" w:left="1315"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55FE1" w14:textId="77777777" w:rsidR="00F87A9F" w:rsidRDefault="00F87A9F" w:rsidP="000A6228">
      <w:pPr>
        <w:spacing w:after="0" w:line="240" w:lineRule="auto"/>
      </w:pPr>
      <w:r>
        <w:separator/>
      </w:r>
    </w:p>
  </w:endnote>
  <w:endnote w:type="continuationSeparator" w:id="0">
    <w:p w14:paraId="3384244A" w14:textId="77777777" w:rsidR="00F87A9F" w:rsidRDefault="00F87A9F"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Fluent Icons">
    <w:panose1 w:val="050A0102010101010101"/>
    <w:charset w:val="00"/>
    <w:family w:val="roman"/>
    <w:pitch w:val="variable"/>
    <w:sig w:usb0="00000003" w:usb1="1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imHei">
    <w:panose1 w:val="02010600030101010101"/>
    <w:charset w:val="86"/>
    <w:family w:val="modern"/>
    <w:pitch w:val="fixed"/>
    <w:sig w:usb0="800002BF" w:usb1="38CF7CFA" w:usb2="00000016" w:usb3="00000000" w:csb0="00040001" w:csb1="00000000"/>
  </w:font>
  <w:font w:name="Aptos Light">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A035" w14:textId="76D13851" w:rsidR="00B44A48" w:rsidRPr="007B02C2" w:rsidRDefault="007B02C2" w:rsidP="007B02C2">
    <w:pPr>
      <w:spacing w:before="0" w:after="0"/>
      <w:ind w:right="1417"/>
      <w:jc w:val="right"/>
    </w:pPr>
    <w:r w:rsidRPr="00A227C1">
      <w:rPr>
        <w:b/>
        <w:bCs/>
        <w:noProof/>
      </w:rPr>
      <w:drawing>
        <wp:anchor distT="0" distB="0" distL="114300" distR="114300" simplePos="0" relativeHeight="251658240" behindDoc="1" locked="0" layoutInCell="1" allowOverlap="1" wp14:anchorId="1C048F2C" wp14:editId="0CC7CE6D">
          <wp:simplePos x="0" y="0"/>
          <wp:positionH relativeFrom="page">
            <wp:posOffset>5991225</wp:posOffset>
          </wp:positionH>
          <wp:positionV relativeFrom="paragraph">
            <wp:posOffset>-26035</wp:posOffset>
          </wp:positionV>
          <wp:extent cx="1569600" cy="216000"/>
          <wp:effectExtent l="0" t="0" r="0" b="0"/>
          <wp:wrapNone/>
          <wp:docPr id="849416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164"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9600" cy="216000"/>
                  </a:xfrm>
                  <a:prstGeom prst="rect">
                    <a:avLst/>
                  </a:prstGeom>
                </pic:spPr>
              </pic:pic>
            </a:graphicData>
          </a:graphic>
          <wp14:sizeRelH relativeFrom="page">
            <wp14:pctWidth>0</wp14:pctWidth>
          </wp14:sizeRelH>
          <wp14:sizeRelV relativeFrom="page">
            <wp14:pctHeight>0</wp14:pctHeight>
          </wp14:sizeRelV>
        </wp:anchor>
      </w:drawing>
    </w:r>
    <w:r w:rsidR="0076439E" w:rsidRPr="0076439E">
      <w:rPr>
        <w:b/>
        <w:bCs/>
        <w:noProof/>
      </w:rPr>
      <w:t>VET Data Provision Exemptions Policy</w:t>
    </w:r>
    <w:r w:rsidRPr="00E32D9E">
      <w:rPr>
        <w:i/>
        <w:iCs/>
      </w:rPr>
      <w:t> </w:t>
    </w:r>
    <w:r w:rsidRPr="007B02C2">
      <w:rPr>
        <w:color w:val="055044" w:themeColor="text2"/>
      </w:rPr>
      <w:t>|</w:t>
    </w:r>
    <w:r w:rsidRPr="00E32D9E">
      <w:rPr>
        <w:i/>
        <w:iCs/>
      </w:rPr>
      <w:t> </w:t>
    </w:r>
    <w:r w:rsidRPr="000C4CC4">
      <w:rPr>
        <w:b/>
        <w:bCs/>
      </w:rPr>
      <w:fldChar w:fldCharType="begin"/>
    </w:r>
    <w:r w:rsidRPr="000C4CC4">
      <w:rPr>
        <w:b/>
        <w:bCs/>
      </w:rPr>
      <w:instrText xml:space="preserve"> PAGE   \* MERGEFORMAT </w:instrText>
    </w:r>
    <w:r w:rsidRPr="000C4CC4">
      <w:rPr>
        <w:b/>
        <w:bCs/>
      </w:rPr>
      <w:fldChar w:fldCharType="separate"/>
    </w:r>
    <w:r w:rsidRPr="000C4CC4">
      <w:rPr>
        <w:b/>
        <w:bCs/>
      </w:rPr>
      <w:t>2</w:t>
    </w:r>
    <w:r w:rsidRPr="000C4CC4">
      <w:rPr>
        <w:b/>
        <w:bCs/>
        <w:noProof/>
      </w:rPr>
      <w:fldChar w:fldCharType="end"/>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AE55E" w14:textId="77777777" w:rsidR="00F87A9F" w:rsidRDefault="00F87A9F" w:rsidP="000A6228">
      <w:pPr>
        <w:spacing w:after="0" w:line="240" w:lineRule="auto"/>
      </w:pPr>
      <w:r>
        <w:separator/>
      </w:r>
    </w:p>
  </w:footnote>
  <w:footnote w:type="continuationSeparator" w:id="0">
    <w:p w14:paraId="24A2F2C0" w14:textId="77777777" w:rsidR="00F87A9F" w:rsidRDefault="00F87A9F" w:rsidP="000A6228">
      <w:pPr>
        <w:spacing w:after="0" w:line="240" w:lineRule="auto"/>
      </w:pPr>
      <w:r>
        <w:continuationSeparator/>
      </w:r>
    </w:p>
  </w:footnote>
  <w:footnote w:id="1">
    <w:p w14:paraId="1C3B5310" w14:textId="77777777" w:rsidR="00AE4903" w:rsidRDefault="00AE4903" w:rsidP="00AE4903">
      <w:pPr>
        <w:pStyle w:val="FootnoteText"/>
      </w:pPr>
      <w:r>
        <w:rPr>
          <w:rStyle w:val="FootnoteReference"/>
        </w:rPr>
        <w:footnoteRef/>
      </w:r>
      <w:r>
        <w:t xml:space="preserve"> ‘VET course’ is as defined in section 3 of the NVETR Act.</w:t>
      </w:r>
    </w:p>
  </w:footnote>
  <w:footnote w:id="2">
    <w:p w14:paraId="2AEE5858" w14:textId="77777777" w:rsidR="00AE4903" w:rsidRPr="0087767F" w:rsidRDefault="00AE4903" w:rsidP="00AE4903">
      <w:pPr>
        <w:pStyle w:val="FootnoteText"/>
      </w:pPr>
      <w:r>
        <w:rPr>
          <w:rStyle w:val="FootnoteReference"/>
        </w:rPr>
        <w:footnoteRef/>
      </w:r>
      <w:r>
        <w:t xml:space="preserve"> The definition of ‘available’ is outlined in the DPRs </w:t>
      </w:r>
      <w:r w:rsidRPr="0087767F">
        <w:t xml:space="preserve">Instrument at </w:t>
      </w:r>
      <w:r>
        <w:t>s</w:t>
      </w:r>
      <w:r w:rsidRPr="0087767F">
        <w:t xml:space="preserve">ection 4. </w:t>
      </w:r>
    </w:p>
  </w:footnote>
  <w:footnote w:id="3">
    <w:p w14:paraId="14BFF60C" w14:textId="77777777" w:rsidR="00AE4903" w:rsidRDefault="00AE4903" w:rsidP="00AE4903">
      <w:pPr>
        <w:pStyle w:val="FootnoteText"/>
      </w:pPr>
      <w:r w:rsidRPr="0087767F">
        <w:rPr>
          <w:rStyle w:val="FootnoteReference"/>
        </w:rPr>
        <w:footnoteRef/>
      </w:r>
      <w:r w:rsidRPr="0087767F">
        <w:t xml:space="preserve"> The definition of a ‘quarter’ is outlined in the DPRs Instrument at </w:t>
      </w:r>
      <w:r>
        <w:t>s</w:t>
      </w:r>
      <w:r w:rsidRPr="0087767F">
        <w:t>ection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E6C"/>
    <w:multiLevelType w:val="multilevel"/>
    <w:tmpl w:val="8D1840E2"/>
    <w:lvl w:ilvl="0">
      <w:start w:val="1"/>
      <w:numFmt w:val="decimal"/>
      <w:lvlText w:val="%1."/>
      <w:lvlJc w:val="left"/>
      <w:pPr>
        <w:ind w:left="357" w:hanging="357"/>
      </w:pPr>
      <w:rPr>
        <w:rFonts w:hint="default"/>
        <w:b/>
        <w:bCs/>
        <w:i w:val="0"/>
        <w:color w:val="6A7178" w:themeColor="text1" w:themeTint="BF"/>
        <w:sz w:val="30"/>
        <w:szCs w:val="30"/>
      </w:rPr>
    </w:lvl>
    <w:lvl w:ilvl="1">
      <w:start w:val="1"/>
      <w:numFmt w:val="bullet"/>
      <w:lvlText w:val=""/>
      <w:lvlJc w:val="left"/>
      <w:pPr>
        <w:ind w:left="1210" w:hanging="360"/>
      </w:pPr>
      <w:rPr>
        <w:rFonts w:ascii="Symbol" w:hAnsi="Symbol" w:hint="default"/>
      </w:rPr>
    </w:lvl>
    <w:lvl w:ilvl="2">
      <w:start w:val="1"/>
      <w:numFmt w:val="bullet"/>
      <w:lvlText w:val=""/>
      <w:lvlJc w:val="left"/>
      <w:pPr>
        <w:ind w:left="1207" w:hanging="357"/>
      </w:pPr>
      <w:rPr>
        <w:rFonts w:ascii="Symbol" w:hAnsi="Symbol" w:hint="default"/>
      </w:rPr>
    </w:lvl>
    <w:lvl w:ilvl="3">
      <w:start w:val="1"/>
      <w:numFmt w:val="bullet"/>
      <w:lvlText w:val="o"/>
      <w:lvlJc w:val="left"/>
      <w:pPr>
        <w:ind w:left="2058" w:hanging="357"/>
      </w:pPr>
      <w:rPr>
        <w:rFonts w:ascii="Courier New" w:hAnsi="Courier New" w:hint="default"/>
      </w:rPr>
    </w:lvl>
    <w:lvl w:ilvl="4">
      <w:start w:val="1"/>
      <w:numFmt w:val="decimal"/>
      <w:lvlText w:val="%1.%2.%3.%4.%5."/>
      <w:lvlJc w:val="left"/>
      <w:pPr>
        <w:ind w:left="2625" w:hanging="357"/>
      </w:pPr>
      <w:rPr>
        <w:rFonts w:hint="default"/>
      </w:rPr>
    </w:lvl>
    <w:lvl w:ilvl="5">
      <w:start w:val="1"/>
      <w:numFmt w:val="decimal"/>
      <w:lvlText w:val="%1.%2.%3.%4.%5.%6."/>
      <w:lvlJc w:val="left"/>
      <w:pPr>
        <w:ind w:left="3192" w:hanging="357"/>
      </w:pPr>
      <w:rPr>
        <w:rFonts w:hint="default"/>
      </w:rPr>
    </w:lvl>
    <w:lvl w:ilvl="6">
      <w:start w:val="1"/>
      <w:numFmt w:val="decimal"/>
      <w:lvlText w:val="%1.%2.%3.%4.%5.%6.%7."/>
      <w:lvlJc w:val="left"/>
      <w:pPr>
        <w:ind w:left="3759" w:hanging="357"/>
      </w:pPr>
      <w:rPr>
        <w:rFonts w:hint="default"/>
      </w:rPr>
    </w:lvl>
    <w:lvl w:ilvl="7">
      <w:start w:val="1"/>
      <w:numFmt w:val="decimal"/>
      <w:lvlText w:val="%1.%2.%3.%4.%5.%6.%7.%8."/>
      <w:lvlJc w:val="left"/>
      <w:pPr>
        <w:ind w:left="4326" w:hanging="357"/>
      </w:pPr>
      <w:rPr>
        <w:rFonts w:hint="default"/>
      </w:rPr>
    </w:lvl>
    <w:lvl w:ilvl="8">
      <w:start w:val="1"/>
      <w:numFmt w:val="decimal"/>
      <w:lvlText w:val="%1.%2.%3.%4.%5.%6.%7.%8.%9."/>
      <w:lvlJc w:val="left"/>
      <w:pPr>
        <w:ind w:left="4893" w:hanging="357"/>
      </w:pPr>
      <w:rPr>
        <w:rFonts w:hint="default"/>
      </w:rPr>
    </w:lvl>
  </w:abstractNum>
  <w:abstractNum w:abstractNumId="1" w15:restartNumberingAfterBreak="0">
    <w:nsid w:val="07E206A6"/>
    <w:multiLevelType w:val="hybridMultilevel"/>
    <w:tmpl w:val="2EBE8A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112C77C7"/>
    <w:multiLevelType w:val="multilevel"/>
    <w:tmpl w:val="41224A36"/>
    <w:styleLink w:val="Tablestyle"/>
    <w:lvl w:ilvl="0">
      <w:start w:val="1"/>
      <w:numFmt w:val="bullet"/>
      <w:lvlText w:val=""/>
      <w:lvlJc w:val="left"/>
      <w:pPr>
        <w:ind w:left="340" w:hanging="340"/>
      </w:pPr>
      <w:rPr>
        <w:rFonts w:ascii="Segoe Fluent Icons" w:hAnsi="Segoe Fluent Icons" w:hint="default"/>
        <w:color w:val="149B9E" w:themeColor="accent3"/>
        <w:sz w:val="20"/>
        <w:szCs w:val="24"/>
      </w:rPr>
    </w:lvl>
    <w:lvl w:ilvl="1">
      <w:start w:val="1"/>
      <w:numFmt w:val="bullet"/>
      <w:lvlText w:val=""/>
      <w:lvlJc w:val="left"/>
      <w:pPr>
        <w:tabs>
          <w:tab w:val="num" w:pos="624"/>
        </w:tabs>
        <w:ind w:left="624" w:hanging="284"/>
      </w:pPr>
      <w:rPr>
        <w:rFonts w:ascii="Symbol" w:hAnsi="Symbol" w:hint="default"/>
        <w:color w:val="4CBFAD" w:themeColor="background2"/>
      </w:rPr>
    </w:lvl>
    <w:lvl w:ilvl="2">
      <w:start w:val="1"/>
      <w:numFmt w:val="bullet"/>
      <w:lvlText w:val="–"/>
      <w:lvlJc w:val="left"/>
      <w:pPr>
        <w:tabs>
          <w:tab w:val="num" w:pos="907"/>
        </w:tabs>
        <w:ind w:left="907" w:hanging="227"/>
      </w:pPr>
      <w:rPr>
        <w:rFonts w:ascii="Aptos" w:hAnsi="Aptos" w:hint="default"/>
        <w:color w:val="4CBFAD" w:themeColor="background2"/>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854BB3"/>
    <w:multiLevelType w:val="hybridMultilevel"/>
    <w:tmpl w:val="B308E228"/>
    <w:lvl w:ilvl="0" w:tplc="C7989184">
      <w:start w:val="1"/>
      <w:numFmt w:val="decimal"/>
      <w:lvlText w:val="%1"/>
      <w:lvlJc w:val="left"/>
      <w:pPr>
        <w:ind w:left="86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641DF2"/>
    <w:multiLevelType w:val="multilevel"/>
    <w:tmpl w:val="39E8D14E"/>
    <w:lvl w:ilvl="0">
      <w:start w:val="1"/>
      <w:numFmt w:val="decimal"/>
      <w:pStyle w:val="NumberedH2"/>
      <w:suff w:val="space"/>
      <w:lvlText w:val="%1."/>
      <w:lvlJc w:val="left"/>
      <w:pPr>
        <w:ind w:left="57" w:hanging="57"/>
      </w:pPr>
      <w:rPr>
        <w:rFonts w:hint="default"/>
        <w:b/>
        <w:bCs/>
        <w:i w:val="0"/>
        <w:color w:val="6A7178" w:themeColor="text1" w:themeTint="BF"/>
        <w:sz w:val="30"/>
        <w:szCs w:val="30"/>
      </w:rPr>
    </w:lvl>
    <w:lvl w:ilvl="1">
      <w:start w:val="1"/>
      <w:numFmt w:val="decimal"/>
      <w:pStyle w:val="NumberedPara"/>
      <w:suff w:val="space"/>
      <w:lvlText w:val="%1.%2."/>
      <w:lvlJc w:val="left"/>
      <w:pPr>
        <w:ind w:left="585" w:hanging="443"/>
      </w:pPr>
      <w:rPr>
        <w:rFonts w:hint="default"/>
      </w:rPr>
    </w:lvl>
    <w:lvl w:ilvl="2">
      <w:start w:val="1"/>
      <w:numFmt w:val="bullet"/>
      <w:lvlText w:val=""/>
      <w:lvlJc w:val="left"/>
      <w:pPr>
        <w:ind w:left="1207" w:hanging="357"/>
      </w:pPr>
      <w:rPr>
        <w:rFonts w:ascii="Symbol" w:hAnsi="Symbol" w:hint="default"/>
      </w:rPr>
    </w:lvl>
    <w:lvl w:ilvl="3">
      <w:start w:val="1"/>
      <w:numFmt w:val="bullet"/>
      <w:lvlText w:val="o"/>
      <w:lvlJc w:val="left"/>
      <w:pPr>
        <w:ind w:left="2058" w:hanging="357"/>
      </w:pPr>
      <w:rPr>
        <w:rFonts w:ascii="Courier New" w:hAnsi="Courier New" w:hint="default"/>
      </w:rPr>
    </w:lvl>
    <w:lvl w:ilvl="4">
      <w:start w:val="1"/>
      <w:numFmt w:val="decimal"/>
      <w:lvlText w:val="%1.%2.%3.%4.%5."/>
      <w:lvlJc w:val="left"/>
      <w:pPr>
        <w:ind w:left="2625" w:hanging="357"/>
      </w:pPr>
      <w:rPr>
        <w:rFonts w:hint="default"/>
      </w:rPr>
    </w:lvl>
    <w:lvl w:ilvl="5">
      <w:start w:val="1"/>
      <w:numFmt w:val="decimal"/>
      <w:lvlText w:val="%1.%2.%3.%4.%5.%6."/>
      <w:lvlJc w:val="left"/>
      <w:pPr>
        <w:ind w:left="3192" w:hanging="357"/>
      </w:pPr>
      <w:rPr>
        <w:rFonts w:hint="default"/>
      </w:rPr>
    </w:lvl>
    <w:lvl w:ilvl="6">
      <w:start w:val="1"/>
      <w:numFmt w:val="decimal"/>
      <w:lvlText w:val="%1.%2.%3.%4.%5.%6.%7."/>
      <w:lvlJc w:val="left"/>
      <w:pPr>
        <w:ind w:left="3759" w:hanging="357"/>
      </w:pPr>
      <w:rPr>
        <w:rFonts w:hint="default"/>
      </w:rPr>
    </w:lvl>
    <w:lvl w:ilvl="7">
      <w:start w:val="1"/>
      <w:numFmt w:val="decimal"/>
      <w:lvlText w:val="%1.%2.%3.%4.%5.%6.%7.%8."/>
      <w:lvlJc w:val="left"/>
      <w:pPr>
        <w:ind w:left="4326" w:hanging="357"/>
      </w:pPr>
      <w:rPr>
        <w:rFonts w:hint="default"/>
      </w:rPr>
    </w:lvl>
    <w:lvl w:ilvl="8">
      <w:start w:val="1"/>
      <w:numFmt w:val="decimal"/>
      <w:lvlText w:val="%1.%2.%3.%4.%5.%6.%7.%8.%9."/>
      <w:lvlJc w:val="left"/>
      <w:pPr>
        <w:ind w:left="4893" w:hanging="357"/>
      </w:pPr>
      <w:rPr>
        <w:rFonts w:hint="default"/>
      </w:rPr>
    </w:lvl>
  </w:abstractNum>
  <w:abstractNum w:abstractNumId="7" w15:restartNumberingAfterBreak="0">
    <w:nsid w:val="18FF1AB7"/>
    <w:multiLevelType w:val="multilevel"/>
    <w:tmpl w:val="F632833A"/>
    <w:name w:val="EDU - Bullet List"/>
    <w:lvl w:ilvl="0">
      <w:start w:val="1"/>
      <w:numFmt w:val="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E646829"/>
    <w:multiLevelType w:val="multilevel"/>
    <w:tmpl w:val="714C00B0"/>
    <w:name w:val="EDU - List Number"/>
    <w:lvl w:ilvl="0">
      <w:start w:val="1"/>
      <w:numFmt w:val="decimal"/>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FB15DC"/>
    <w:multiLevelType w:val="multilevel"/>
    <w:tmpl w:val="39328DDE"/>
    <w:styleLink w:val="ListBullet-ListStyle"/>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lvlText w:val="–"/>
      <w:lvlJc w:val="left"/>
      <w:pPr>
        <w:ind w:left="567" w:hanging="283"/>
      </w:pPr>
      <w:rPr>
        <w:rFonts w:ascii="Calibri" w:hAnsi="Calibri" w:hint="default"/>
        <w:color w:val="auto"/>
      </w:rPr>
    </w:lvl>
    <w:lvl w:ilvl="2">
      <w:start w:val="1"/>
      <w:numFmt w:val="bullet"/>
      <w:lvlText w:val="○"/>
      <w:lvlJc w:val="left"/>
      <w:pPr>
        <w:ind w:left="851" w:hanging="284"/>
      </w:pPr>
      <w:rPr>
        <w:rFonts w:ascii="Courier New" w:hAnsi="Courier New" w:hint="default"/>
        <w:color w:val="auto"/>
      </w:rPr>
    </w:lvl>
    <w:lvl w:ilvl="3">
      <w:start w:val="1"/>
      <w:numFmt w:val="bullet"/>
      <w:lvlText w:val=""/>
      <w:lvlJc w:val="left"/>
      <w:pPr>
        <w:ind w:left="1134" w:hanging="283"/>
      </w:pPr>
      <w:rPr>
        <w:rFonts w:ascii="Wingdings 2" w:hAnsi="Wingdings 2" w:hint="default"/>
        <w:color w:val="auto"/>
      </w:rPr>
    </w:lvl>
    <w:lvl w:ilvl="4">
      <w:start w:val="1"/>
      <w:numFmt w:val="none"/>
      <w:lvlText w:val=""/>
      <w:lvlJc w:val="left"/>
      <w:pPr>
        <w:ind w:left="1134" w:firstLine="0"/>
      </w:pPr>
      <w:rPr>
        <w:rFonts w:hint="default"/>
      </w:rPr>
    </w:lvl>
    <w:lvl w:ilvl="5">
      <w:start w:val="1"/>
      <w:numFmt w:val="none"/>
      <w:lvlText w:val=""/>
      <w:lvlJc w:val="left"/>
      <w:pPr>
        <w:ind w:left="1134" w:firstLine="0"/>
      </w:pPr>
      <w:rPr>
        <w:rFonts w:hint="default"/>
      </w:rPr>
    </w:lvl>
    <w:lvl w:ilvl="6">
      <w:start w:val="1"/>
      <w:numFmt w:val="none"/>
      <w:lvlText w:val=""/>
      <w:lvlJc w:val="left"/>
      <w:pPr>
        <w:ind w:left="1134" w:firstLine="0"/>
      </w:pPr>
      <w:rPr>
        <w:rFonts w:hint="default"/>
      </w:rPr>
    </w:lvl>
    <w:lvl w:ilvl="7">
      <w:start w:val="1"/>
      <w:numFmt w:val="none"/>
      <w:lvlText w:val=""/>
      <w:lvlJc w:val="left"/>
      <w:pPr>
        <w:ind w:left="1134" w:firstLine="0"/>
      </w:pPr>
      <w:rPr>
        <w:rFonts w:hint="default"/>
      </w:rPr>
    </w:lvl>
    <w:lvl w:ilvl="8">
      <w:start w:val="1"/>
      <w:numFmt w:val="none"/>
      <w:lvlText w:val=""/>
      <w:lvlJc w:val="left"/>
      <w:pPr>
        <w:ind w:left="1134" w:firstLine="0"/>
      </w:pPr>
      <w:rPr>
        <w:rFonts w:hint="default"/>
      </w:rPr>
    </w:lvl>
  </w:abstractNum>
  <w:abstractNum w:abstractNumId="1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8277AD7"/>
    <w:multiLevelType w:val="hybridMultilevel"/>
    <w:tmpl w:val="96B05062"/>
    <w:lvl w:ilvl="0" w:tplc="F94C8B00">
      <w:start w:val="1"/>
      <w:numFmt w:val="decimal"/>
      <w:lvlText w:val="%1.1"/>
      <w:lvlJc w:val="left"/>
      <w:pPr>
        <w:ind w:left="86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D5C1664"/>
    <w:multiLevelType w:val="hybridMultilevel"/>
    <w:tmpl w:val="33BE8D1E"/>
    <w:lvl w:ilvl="0" w:tplc="0C090015">
      <w:start w:val="1"/>
      <w:numFmt w:val="upperLetter"/>
      <w:lvlText w:val="%1."/>
      <w:lvlJc w:val="left"/>
      <w:pPr>
        <w:ind w:left="1210" w:hanging="360"/>
      </w:pPr>
      <w:rPr>
        <w:rFonts w:hint="default"/>
      </w:rPr>
    </w:lvl>
    <w:lvl w:ilvl="1" w:tplc="FFFFFFFF">
      <w:start w:val="1"/>
      <w:numFmt w:val="bullet"/>
      <w:lvlText w:val="o"/>
      <w:lvlJc w:val="left"/>
      <w:pPr>
        <w:ind w:left="1930" w:hanging="360"/>
      </w:pPr>
      <w:rPr>
        <w:rFonts w:ascii="Courier New" w:hAnsi="Courier New" w:hint="default"/>
      </w:rPr>
    </w:lvl>
    <w:lvl w:ilvl="2" w:tplc="FFFFFFFF">
      <w:start w:val="1"/>
      <w:numFmt w:val="bullet"/>
      <w:lvlText w:val=""/>
      <w:lvlJc w:val="left"/>
      <w:pPr>
        <w:ind w:left="2650" w:hanging="360"/>
      </w:pPr>
      <w:rPr>
        <w:rFonts w:ascii="Wingdings" w:hAnsi="Wingdings" w:hint="default"/>
      </w:rPr>
    </w:lvl>
    <w:lvl w:ilvl="3" w:tplc="FFFFFFFF">
      <w:start w:val="1"/>
      <w:numFmt w:val="bullet"/>
      <w:lvlText w:val=""/>
      <w:lvlJc w:val="left"/>
      <w:pPr>
        <w:ind w:left="3370" w:hanging="360"/>
      </w:pPr>
      <w:rPr>
        <w:rFonts w:ascii="Symbol" w:hAnsi="Symbol" w:hint="default"/>
      </w:rPr>
    </w:lvl>
    <w:lvl w:ilvl="4" w:tplc="FFFFFFFF">
      <w:start w:val="1"/>
      <w:numFmt w:val="bullet"/>
      <w:lvlText w:val="o"/>
      <w:lvlJc w:val="left"/>
      <w:pPr>
        <w:ind w:left="4090" w:hanging="360"/>
      </w:pPr>
      <w:rPr>
        <w:rFonts w:ascii="Courier New" w:hAnsi="Courier New" w:hint="default"/>
      </w:rPr>
    </w:lvl>
    <w:lvl w:ilvl="5" w:tplc="FFFFFFFF">
      <w:start w:val="1"/>
      <w:numFmt w:val="bullet"/>
      <w:lvlText w:val=""/>
      <w:lvlJc w:val="left"/>
      <w:pPr>
        <w:ind w:left="4810" w:hanging="360"/>
      </w:pPr>
      <w:rPr>
        <w:rFonts w:ascii="Wingdings" w:hAnsi="Wingdings" w:hint="default"/>
      </w:rPr>
    </w:lvl>
    <w:lvl w:ilvl="6" w:tplc="FFFFFFFF">
      <w:start w:val="1"/>
      <w:numFmt w:val="bullet"/>
      <w:lvlText w:val=""/>
      <w:lvlJc w:val="left"/>
      <w:pPr>
        <w:ind w:left="5530" w:hanging="360"/>
      </w:pPr>
      <w:rPr>
        <w:rFonts w:ascii="Symbol" w:hAnsi="Symbol" w:hint="default"/>
      </w:rPr>
    </w:lvl>
    <w:lvl w:ilvl="7" w:tplc="FFFFFFFF">
      <w:start w:val="1"/>
      <w:numFmt w:val="bullet"/>
      <w:lvlText w:val="o"/>
      <w:lvlJc w:val="left"/>
      <w:pPr>
        <w:ind w:left="6250" w:hanging="360"/>
      </w:pPr>
      <w:rPr>
        <w:rFonts w:ascii="Courier New" w:hAnsi="Courier New" w:hint="default"/>
      </w:rPr>
    </w:lvl>
    <w:lvl w:ilvl="8" w:tplc="FFFFFFFF">
      <w:start w:val="1"/>
      <w:numFmt w:val="bullet"/>
      <w:lvlText w:val=""/>
      <w:lvlJc w:val="left"/>
      <w:pPr>
        <w:ind w:left="6970" w:hanging="360"/>
      </w:pPr>
      <w:rPr>
        <w:rFonts w:ascii="Wingdings" w:hAnsi="Wingdings" w:hint="default"/>
      </w:rPr>
    </w:lvl>
  </w:abstractNum>
  <w:abstractNum w:abstractNumId="13" w15:restartNumberingAfterBreak="0">
    <w:nsid w:val="5B371FF6"/>
    <w:multiLevelType w:val="multilevel"/>
    <w:tmpl w:val="6A968B5E"/>
    <w:name w:val="EDU - Alpha List"/>
    <w:lvl w:ilvl="0">
      <w:start w:val="1"/>
      <w:numFmt w:val="decimal"/>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1066794"/>
    <w:multiLevelType w:val="multilevel"/>
    <w:tmpl w:val="39328DDE"/>
    <w:numStyleLink w:val="ListBullet-ListStyle"/>
  </w:abstractNum>
  <w:abstractNum w:abstractNumId="15" w15:restartNumberingAfterBreak="0">
    <w:nsid w:val="6340FF46"/>
    <w:multiLevelType w:val="hybridMultilevel"/>
    <w:tmpl w:val="B06C9D6E"/>
    <w:lvl w:ilvl="0" w:tplc="EB72F46C">
      <w:start w:val="1"/>
      <w:numFmt w:val="bullet"/>
      <w:lvlText w:val=""/>
      <w:lvlJc w:val="left"/>
      <w:pPr>
        <w:ind w:left="1210" w:hanging="360"/>
      </w:pPr>
      <w:rPr>
        <w:rFonts w:ascii="Symbol" w:hAnsi="Symbol" w:hint="default"/>
      </w:rPr>
    </w:lvl>
    <w:lvl w:ilvl="1" w:tplc="713EF5F4">
      <w:start w:val="1"/>
      <w:numFmt w:val="bullet"/>
      <w:lvlText w:val="o"/>
      <w:lvlJc w:val="left"/>
      <w:pPr>
        <w:ind w:left="1930" w:hanging="360"/>
      </w:pPr>
      <w:rPr>
        <w:rFonts w:ascii="Courier New" w:hAnsi="Courier New" w:hint="default"/>
      </w:rPr>
    </w:lvl>
    <w:lvl w:ilvl="2" w:tplc="16A40C74">
      <w:start w:val="1"/>
      <w:numFmt w:val="bullet"/>
      <w:lvlText w:val=""/>
      <w:lvlJc w:val="left"/>
      <w:pPr>
        <w:ind w:left="2650" w:hanging="360"/>
      </w:pPr>
      <w:rPr>
        <w:rFonts w:ascii="Wingdings" w:hAnsi="Wingdings" w:hint="default"/>
      </w:rPr>
    </w:lvl>
    <w:lvl w:ilvl="3" w:tplc="3692E99A">
      <w:start w:val="1"/>
      <w:numFmt w:val="bullet"/>
      <w:lvlText w:val=""/>
      <w:lvlJc w:val="left"/>
      <w:pPr>
        <w:ind w:left="3370" w:hanging="360"/>
      </w:pPr>
      <w:rPr>
        <w:rFonts w:ascii="Symbol" w:hAnsi="Symbol" w:hint="default"/>
      </w:rPr>
    </w:lvl>
    <w:lvl w:ilvl="4" w:tplc="7D8A7B2C">
      <w:start w:val="1"/>
      <w:numFmt w:val="bullet"/>
      <w:lvlText w:val="o"/>
      <w:lvlJc w:val="left"/>
      <w:pPr>
        <w:ind w:left="4090" w:hanging="360"/>
      </w:pPr>
      <w:rPr>
        <w:rFonts w:ascii="Courier New" w:hAnsi="Courier New" w:hint="default"/>
      </w:rPr>
    </w:lvl>
    <w:lvl w:ilvl="5" w:tplc="CBC839B6">
      <w:start w:val="1"/>
      <w:numFmt w:val="bullet"/>
      <w:lvlText w:val=""/>
      <w:lvlJc w:val="left"/>
      <w:pPr>
        <w:ind w:left="4810" w:hanging="360"/>
      </w:pPr>
      <w:rPr>
        <w:rFonts w:ascii="Wingdings" w:hAnsi="Wingdings" w:hint="default"/>
      </w:rPr>
    </w:lvl>
    <w:lvl w:ilvl="6" w:tplc="5D96D896">
      <w:start w:val="1"/>
      <w:numFmt w:val="bullet"/>
      <w:lvlText w:val=""/>
      <w:lvlJc w:val="left"/>
      <w:pPr>
        <w:ind w:left="5530" w:hanging="360"/>
      </w:pPr>
      <w:rPr>
        <w:rFonts w:ascii="Symbol" w:hAnsi="Symbol" w:hint="default"/>
      </w:rPr>
    </w:lvl>
    <w:lvl w:ilvl="7" w:tplc="6F70A966">
      <w:start w:val="1"/>
      <w:numFmt w:val="bullet"/>
      <w:lvlText w:val="o"/>
      <w:lvlJc w:val="left"/>
      <w:pPr>
        <w:ind w:left="6250" w:hanging="360"/>
      </w:pPr>
      <w:rPr>
        <w:rFonts w:ascii="Courier New" w:hAnsi="Courier New" w:hint="default"/>
      </w:rPr>
    </w:lvl>
    <w:lvl w:ilvl="8" w:tplc="52C8371C">
      <w:start w:val="1"/>
      <w:numFmt w:val="bullet"/>
      <w:lvlText w:val=""/>
      <w:lvlJc w:val="left"/>
      <w:pPr>
        <w:ind w:left="6970" w:hanging="360"/>
      </w:pPr>
      <w:rPr>
        <w:rFonts w:ascii="Wingdings" w:hAnsi="Wingdings" w:hint="default"/>
      </w:rPr>
    </w:lvl>
  </w:abstractNum>
  <w:abstractNum w:abstractNumId="16" w15:restartNumberingAfterBreak="0">
    <w:nsid w:val="66867B09"/>
    <w:multiLevelType w:val="multilevel"/>
    <w:tmpl w:val="B2F273FE"/>
    <w:styleLink w:val="ListNumber-ListStyle"/>
    <w:lvl w:ilvl="0">
      <w:start w:val="1"/>
      <w:numFmt w:val="decimal"/>
      <w:pStyle w:val="ListNumber"/>
      <w:lvlText w:val="%1."/>
      <w:lvlJc w:val="left"/>
      <w:pPr>
        <w:ind w:left="397" w:hanging="397"/>
      </w:pPr>
      <w:rPr>
        <w:rFonts w:hint="default"/>
      </w:rPr>
    </w:lvl>
    <w:lvl w:ilvl="1">
      <w:start w:val="1"/>
      <w:numFmt w:val="decimal"/>
      <w:lvlText w:val="%1.%2."/>
      <w:lvlJc w:val="left"/>
      <w:pPr>
        <w:ind w:left="1021" w:hanging="624"/>
      </w:pPr>
      <w:rPr>
        <w:rFonts w:hint="default"/>
      </w:rPr>
    </w:lvl>
    <w:lvl w:ilvl="2">
      <w:start w:val="1"/>
      <w:numFmt w:val="decimal"/>
      <w:lvlText w:val="%1.%2.%3."/>
      <w:lvlJc w:val="left"/>
      <w:pPr>
        <w:ind w:left="1871" w:hanging="850"/>
      </w:pPr>
      <w:rPr>
        <w:rFonts w:hint="default"/>
      </w:rPr>
    </w:lvl>
    <w:lvl w:ilvl="3">
      <w:start w:val="1"/>
      <w:numFmt w:val="decimal"/>
      <w:lvlText w:val="%1.%2.%3.%4."/>
      <w:lvlJc w:val="left"/>
      <w:pPr>
        <w:ind w:left="3005" w:hanging="1134"/>
      </w:pPr>
      <w:rPr>
        <w:rFonts w:hint="default"/>
      </w:rPr>
    </w:lvl>
    <w:lvl w:ilvl="4">
      <w:start w:val="1"/>
      <w:numFmt w:val="none"/>
      <w:lvlText w:val=""/>
      <w:lvlJc w:val="left"/>
      <w:pPr>
        <w:tabs>
          <w:tab w:val="num" w:pos="3005"/>
        </w:tabs>
        <w:ind w:left="3005" w:firstLine="0"/>
      </w:pPr>
      <w:rPr>
        <w:rFonts w:hint="default"/>
      </w:rPr>
    </w:lvl>
    <w:lvl w:ilvl="5">
      <w:start w:val="1"/>
      <w:numFmt w:val="none"/>
      <w:lvlText w:val=""/>
      <w:lvlJc w:val="left"/>
      <w:pPr>
        <w:tabs>
          <w:tab w:val="num" w:pos="3005"/>
        </w:tabs>
        <w:ind w:left="3005" w:firstLine="0"/>
      </w:pPr>
      <w:rPr>
        <w:rFonts w:hint="default"/>
      </w:rPr>
    </w:lvl>
    <w:lvl w:ilvl="6">
      <w:start w:val="1"/>
      <w:numFmt w:val="none"/>
      <w:lvlText w:val=""/>
      <w:lvlJc w:val="left"/>
      <w:pPr>
        <w:tabs>
          <w:tab w:val="num" w:pos="3005"/>
        </w:tabs>
        <w:ind w:left="3005" w:firstLine="0"/>
      </w:pPr>
      <w:rPr>
        <w:rFonts w:hint="default"/>
      </w:rPr>
    </w:lvl>
    <w:lvl w:ilvl="7">
      <w:start w:val="1"/>
      <w:numFmt w:val="none"/>
      <w:lvlText w:val=""/>
      <w:lvlJc w:val="left"/>
      <w:pPr>
        <w:tabs>
          <w:tab w:val="num" w:pos="3005"/>
        </w:tabs>
        <w:ind w:left="3005" w:firstLine="0"/>
      </w:pPr>
      <w:rPr>
        <w:rFonts w:hint="default"/>
      </w:rPr>
    </w:lvl>
    <w:lvl w:ilvl="8">
      <w:start w:val="1"/>
      <w:numFmt w:val="none"/>
      <w:lvlText w:val=""/>
      <w:lvlJc w:val="left"/>
      <w:pPr>
        <w:ind w:left="3005" w:firstLine="0"/>
      </w:pPr>
      <w:rPr>
        <w:rFonts w:hint="default"/>
      </w:rPr>
    </w:lvl>
  </w:abstractNum>
  <w:abstractNum w:abstractNumId="17" w15:restartNumberingAfterBreak="0">
    <w:nsid w:val="669F3ECA"/>
    <w:multiLevelType w:val="multilevel"/>
    <w:tmpl w:val="67C4226A"/>
    <w:styleLink w:val="ListAlpha-ListStyle"/>
    <w:lvl w:ilvl="0">
      <w:start w:val="1"/>
      <w:numFmt w:val="decimal"/>
      <w:pStyle w:val="List"/>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bullet"/>
      <w:lvlText w:val="–"/>
      <w:lvlJc w:val="left"/>
      <w:pPr>
        <w:ind w:left="1588" w:hanging="397"/>
      </w:pPr>
      <w:rPr>
        <w:rFonts w:ascii="Calibri" w:hAnsi="Calibri" w:hint="default"/>
        <w:color w:val="auto"/>
      </w:rPr>
    </w:lvl>
    <w:lvl w:ilvl="4">
      <w:start w:val="1"/>
      <w:numFmt w:val="none"/>
      <w:lvlText w:val=""/>
      <w:lvlJc w:val="left"/>
      <w:pPr>
        <w:ind w:left="1588" w:firstLine="0"/>
      </w:pPr>
      <w:rPr>
        <w:rFonts w:hint="default"/>
      </w:rPr>
    </w:lvl>
    <w:lvl w:ilvl="5">
      <w:start w:val="1"/>
      <w:numFmt w:val="none"/>
      <w:lvlText w:val=""/>
      <w:lvlJc w:val="left"/>
      <w:pPr>
        <w:ind w:left="1588" w:firstLine="0"/>
      </w:pPr>
      <w:rPr>
        <w:rFonts w:hint="default"/>
      </w:rPr>
    </w:lvl>
    <w:lvl w:ilvl="6">
      <w:start w:val="1"/>
      <w:numFmt w:val="none"/>
      <w:lvlText w:val=""/>
      <w:lvlJc w:val="left"/>
      <w:pPr>
        <w:ind w:left="1588" w:firstLine="0"/>
      </w:pPr>
      <w:rPr>
        <w:rFonts w:hint="default"/>
      </w:rPr>
    </w:lvl>
    <w:lvl w:ilvl="7">
      <w:start w:val="1"/>
      <w:numFmt w:val="none"/>
      <w:lvlText w:val=""/>
      <w:lvlJc w:val="left"/>
      <w:pPr>
        <w:ind w:left="1588" w:firstLine="0"/>
      </w:pPr>
      <w:rPr>
        <w:rFonts w:hint="default"/>
      </w:rPr>
    </w:lvl>
    <w:lvl w:ilvl="8">
      <w:start w:val="1"/>
      <w:numFmt w:val="none"/>
      <w:lvlText w:val=""/>
      <w:lvlJc w:val="left"/>
      <w:pPr>
        <w:ind w:left="1588" w:firstLine="0"/>
      </w:pPr>
      <w:rPr>
        <w:rFonts w:hint="default"/>
      </w:rPr>
    </w:lvl>
  </w:abstractNum>
  <w:abstractNum w:abstractNumId="18" w15:restartNumberingAfterBreak="0">
    <w:nsid w:val="68AE2EAA"/>
    <w:multiLevelType w:val="multilevel"/>
    <w:tmpl w:val="67C4226A"/>
    <w:numStyleLink w:val="ListAlpha-ListStyle"/>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78897998"/>
    <w:multiLevelType w:val="multilevel"/>
    <w:tmpl w:val="4B7AD430"/>
    <w:styleLink w:val="Listlevel2"/>
    <w:lvl w:ilvl="0">
      <w:start w:val="1"/>
      <w:numFmt w:val="bullet"/>
      <w:lvlText w:val=""/>
      <w:lvlJc w:val="left"/>
      <w:pPr>
        <w:ind w:left="340" w:hanging="340"/>
      </w:pPr>
      <w:rPr>
        <w:rFonts w:ascii="Segoe Fluent Icons" w:hAnsi="Segoe Fluent Icons" w:hint="default"/>
        <w:color w:val="149B9E" w:themeColor="accent3"/>
        <w:sz w:val="24"/>
        <w:szCs w:val="24"/>
      </w:rPr>
    </w:lvl>
    <w:lvl w:ilvl="1">
      <w:start w:val="1"/>
      <w:numFmt w:val="bullet"/>
      <w:lvlText w:val=""/>
      <w:lvlJc w:val="left"/>
      <w:pPr>
        <w:tabs>
          <w:tab w:val="num" w:pos="624"/>
        </w:tabs>
        <w:ind w:left="624" w:hanging="284"/>
      </w:pPr>
      <w:rPr>
        <w:rFonts w:ascii="Symbol" w:hAnsi="Symbol" w:hint="default"/>
        <w:color w:val="4CBFAD" w:themeColor="background2"/>
      </w:rPr>
    </w:lvl>
    <w:lvl w:ilvl="2">
      <w:start w:val="1"/>
      <w:numFmt w:val="bullet"/>
      <w:lvlText w:val="–"/>
      <w:lvlJc w:val="left"/>
      <w:pPr>
        <w:tabs>
          <w:tab w:val="num" w:pos="907"/>
        </w:tabs>
        <w:ind w:left="907" w:hanging="227"/>
      </w:pPr>
      <w:rPr>
        <w:rFonts w:ascii="Aptos" w:hAnsi="Aptos" w:hint="default"/>
        <w:color w:val="4CBFAD" w:themeColor="background2"/>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E887895"/>
    <w:multiLevelType w:val="multilevel"/>
    <w:tmpl w:val="FB0CA67C"/>
    <w:lvl w:ilvl="0">
      <w:start w:val="1"/>
      <w:numFmt w:val="bullet"/>
      <w:pStyle w:val="ListParagraph"/>
      <w:lvlText w:val=""/>
      <w:lvlJc w:val="left"/>
      <w:pPr>
        <w:ind w:left="340" w:hanging="340"/>
      </w:pPr>
      <w:rPr>
        <w:rFonts w:ascii="Segoe Fluent Icons" w:hAnsi="Segoe Fluent Icons" w:hint="default"/>
        <w:color w:val="149B9E" w:themeColor="accent3"/>
        <w:sz w:val="20"/>
        <w:szCs w:val="24"/>
      </w:rPr>
    </w:lvl>
    <w:lvl w:ilvl="1">
      <w:start w:val="1"/>
      <w:numFmt w:val="bullet"/>
      <w:lvlText w:val=""/>
      <w:lvlJc w:val="left"/>
      <w:pPr>
        <w:tabs>
          <w:tab w:val="num" w:pos="624"/>
        </w:tabs>
        <w:ind w:left="624" w:hanging="284"/>
      </w:pPr>
      <w:rPr>
        <w:rFonts w:ascii="Symbol" w:hAnsi="Symbol" w:hint="default"/>
        <w:color w:val="4CBFAD" w:themeColor="background2"/>
      </w:rPr>
    </w:lvl>
    <w:lvl w:ilvl="2">
      <w:start w:val="1"/>
      <w:numFmt w:val="bullet"/>
      <w:lvlText w:val="–"/>
      <w:lvlJc w:val="left"/>
      <w:pPr>
        <w:tabs>
          <w:tab w:val="num" w:pos="907"/>
        </w:tabs>
        <w:ind w:left="907" w:hanging="227"/>
      </w:pPr>
      <w:rPr>
        <w:rFonts w:ascii="Aptos" w:hAnsi="Aptos" w:hint="default"/>
        <w:color w:val="4CBFAD" w:themeColor="background2"/>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870803065">
    <w:abstractNumId w:val="7"/>
  </w:num>
  <w:num w:numId="2" w16cid:durableId="934556078">
    <w:abstractNumId w:val="8"/>
  </w:num>
  <w:num w:numId="3" w16cid:durableId="657727262">
    <w:abstractNumId w:val="3"/>
  </w:num>
  <w:num w:numId="4" w16cid:durableId="1261833621">
    <w:abstractNumId w:val="19"/>
  </w:num>
  <w:num w:numId="5" w16cid:durableId="147789394">
    <w:abstractNumId w:val="13"/>
  </w:num>
  <w:num w:numId="6" w16cid:durableId="489685936">
    <w:abstractNumId w:val="17"/>
  </w:num>
  <w:num w:numId="7" w16cid:durableId="501630120">
    <w:abstractNumId w:val="9"/>
  </w:num>
  <w:num w:numId="8" w16cid:durableId="1570115469">
    <w:abstractNumId w:val="16"/>
  </w:num>
  <w:num w:numId="9" w16cid:durableId="751700964">
    <w:abstractNumId w:val="18"/>
  </w:num>
  <w:num w:numId="10" w16cid:durableId="36903566">
    <w:abstractNumId w:val="14"/>
  </w:num>
  <w:num w:numId="11" w16cid:durableId="1430273024">
    <w:abstractNumId w:val="21"/>
  </w:num>
  <w:num w:numId="12" w16cid:durableId="1825387632">
    <w:abstractNumId w:val="20"/>
  </w:num>
  <w:num w:numId="13" w16cid:durableId="1285040317">
    <w:abstractNumId w:val="4"/>
  </w:num>
  <w:num w:numId="14" w16cid:durableId="1207447349">
    <w:abstractNumId w:val="6"/>
  </w:num>
  <w:num w:numId="15" w16cid:durableId="2110543738">
    <w:abstractNumId w:val="15"/>
  </w:num>
  <w:num w:numId="16" w16cid:durableId="949555845">
    <w:abstractNumId w:val="12"/>
  </w:num>
  <w:num w:numId="17" w16cid:durableId="1198275554">
    <w:abstractNumId w:val="0"/>
  </w:num>
  <w:num w:numId="18" w16cid:durableId="1416710940">
    <w:abstractNumId w:val="6"/>
    <w:lvlOverride w:ilvl="0">
      <w:startOverride w:val="2"/>
    </w:lvlOverride>
    <w:lvlOverride w:ilvl="1">
      <w:startOverride w:val="1"/>
    </w:lvlOverride>
  </w:num>
  <w:num w:numId="19" w16cid:durableId="1339773430">
    <w:abstractNumId w:val="5"/>
  </w:num>
  <w:num w:numId="20" w16cid:durableId="106510494">
    <w:abstractNumId w:val="11"/>
  </w:num>
  <w:num w:numId="21" w16cid:durableId="1586718059">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efaultTableStyle w:val="Moreinfo"/>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18C"/>
    <w:rsid w:val="000020D5"/>
    <w:rsid w:val="0000450C"/>
    <w:rsid w:val="000065FF"/>
    <w:rsid w:val="000078F6"/>
    <w:rsid w:val="00012366"/>
    <w:rsid w:val="00014329"/>
    <w:rsid w:val="00015729"/>
    <w:rsid w:val="00021FBE"/>
    <w:rsid w:val="000250E7"/>
    <w:rsid w:val="000270A4"/>
    <w:rsid w:val="00030A61"/>
    <w:rsid w:val="00030AD5"/>
    <w:rsid w:val="000427CE"/>
    <w:rsid w:val="00042FF3"/>
    <w:rsid w:val="00051668"/>
    <w:rsid w:val="00051DB2"/>
    <w:rsid w:val="000521D7"/>
    <w:rsid w:val="00053A3C"/>
    <w:rsid w:val="000550E7"/>
    <w:rsid w:val="00067553"/>
    <w:rsid w:val="00067A03"/>
    <w:rsid w:val="00072C67"/>
    <w:rsid w:val="00093846"/>
    <w:rsid w:val="000A0B58"/>
    <w:rsid w:val="000A1E45"/>
    <w:rsid w:val="000A6228"/>
    <w:rsid w:val="000B1395"/>
    <w:rsid w:val="000B16AA"/>
    <w:rsid w:val="000B5D40"/>
    <w:rsid w:val="000B7EC6"/>
    <w:rsid w:val="000C1CCC"/>
    <w:rsid w:val="000C4CC4"/>
    <w:rsid w:val="000C7386"/>
    <w:rsid w:val="000D3519"/>
    <w:rsid w:val="000D7FEA"/>
    <w:rsid w:val="000E163E"/>
    <w:rsid w:val="000E2467"/>
    <w:rsid w:val="000E47E0"/>
    <w:rsid w:val="000F18DF"/>
    <w:rsid w:val="0010013C"/>
    <w:rsid w:val="00102178"/>
    <w:rsid w:val="00104742"/>
    <w:rsid w:val="0010619B"/>
    <w:rsid w:val="00107D87"/>
    <w:rsid w:val="00107DD5"/>
    <w:rsid w:val="00110CCC"/>
    <w:rsid w:val="00120F40"/>
    <w:rsid w:val="001222F0"/>
    <w:rsid w:val="0012343A"/>
    <w:rsid w:val="00127DE5"/>
    <w:rsid w:val="0013076E"/>
    <w:rsid w:val="00133B8D"/>
    <w:rsid w:val="0013611E"/>
    <w:rsid w:val="00140B2E"/>
    <w:rsid w:val="00141329"/>
    <w:rsid w:val="00144344"/>
    <w:rsid w:val="00144E4F"/>
    <w:rsid w:val="001515BF"/>
    <w:rsid w:val="00153C93"/>
    <w:rsid w:val="001570A9"/>
    <w:rsid w:val="001601C8"/>
    <w:rsid w:val="00160700"/>
    <w:rsid w:val="001621CF"/>
    <w:rsid w:val="001629BF"/>
    <w:rsid w:val="0017134D"/>
    <w:rsid w:val="00172274"/>
    <w:rsid w:val="00177574"/>
    <w:rsid w:val="00180CFC"/>
    <w:rsid w:val="001821D1"/>
    <w:rsid w:val="001874AD"/>
    <w:rsid w:val="00190441"/>
    <w:rsid w:val="00191FB1"/>
    <w:rsid w:val="00192E6D"/>
    <w:rsid w:val="001A210E"/>
    <w:rsid w:val="001A2994"/>
    <w:rsid w:val="001A4AED"/>
    <w:rsid w:val="001A5A60"/>
    <w:rsid w:val="001A68A2"/>
    <w:rsid w:val="001B1440"/>
    <w:rsid w:val="001B3B94"/>
    <w:rsid w:val="001B420A"/>
    <w:rsid w:val="001B47D7"/>
    <w:rsid w:val="001B645B"/>
    <w:rsid w:val="001C1523"/>
    <w:rsid w:val="001C4126"/>
    <w:rsid w:val="001C69D8"/>
    <w:rsid w:val="001C74B4"/>
    <w:rsid w:val="001D3845"/>
    <w:rsid w:val="001D519F"/>
    <w:rsid w:val="001E1930"/>
    <w:rsid w:val="001E1BBD"/>
    <w:rsid w:val="001E56BC"/>
    <w:rsid w:val="001E6F07"/>
    <w:rsid w:val="001F0658"/>
    <w:rsid w:val="001F720F"/>
    <w:rsid w:val="002012F3"/>
    <w:rsid w:val="0020770E"/>
    <w:rsid w:val="00212996"/>
    <w:rsid w:val="00215413"/>
    <w:rsid w:val="00221C4A"/>
    <w:rsid w:val="00221D8F"/>
    <w:rsid w:val="0022227D"/>
    <w:rsid w:val="002247A3"/>
    <w:rsid w:val="00226DE4"/>
    <w:rsid w:val="002272DB"/>
    <w:rsid w:val="00234693"/>
    <w:rsid w:val="00244ECF"/>
    <w:rsid w:val="00246DFC"/>
    <w:rsid w:val="0025459F"/>
    <w:rsid w:val="00256A9F"/>
    <w:rsid w:val="002579E7"/>
    <w:rsid w:val="00260673"/>
    <w:rsid w:val="00261084"/>
    <w:rsid w:val="002619DB"/>
    <w:rsid w:val="00263C34"/>
    <w:rsid w:val="0027346C"/>
    <w:rsid w:val="00273493"/>
    <w:rsid w:val="00276047"/>
    <w:rsid w:val="00276778"/>
    <w:rsid w:val="00276F0C"/>
    <w:rsid w:val="00277B08"/>
    <w:rsid w:val="00284549"/>
    <w:rsid w:val="002A0359"/>
    <w:rsid w:val="002A2E5F"/>
    <w:rsid w:val="002A4458"/>
    <w:rsid w:val="002B1550"/>
    <w:rsid w:val="002C1053"/>
    <w:rsid w:val="002C2318"/>
    <w:rsid w:val="002C72FE"/>
    <w:rsid w:val="002C76D8"/>
    <w:rsid w:val="002D589A"/>
    <w:rsid w:val="002D67F6"/>
    <w:rsid w:val="002E1A34"/>
    <w:rsid w:val="002E491A"/>
    <w:rsid w:val="002F1246"/>
    <w:rsid w:val="002F31A9"/>
    <w:rsid w:val="00301835"/>
    <w:rsid w:val="00304F86"/>
    <w:rsid w:val="00306E4F"/>
    <w:rsid w:val="00310E1C"/>
    <w:rsid w:val="003136B9"/>
    <w:rsid w:val="00322BBB"/>
    <w:rsid w:val="00333409"/>
    <w:rsid w:val="00336CF6"/>
    <w:rsid w:val="00343BF6"/>
    <w:rsid w:val="003477BD"/>
    <w:rsid w:val="00351885"/>
    <w:rsid w:val="00351D5E"/>
    <w:rsid w:val="0035203B"/>
    <w:rsid w:val="003526D5"/>
    <w:rsid w:val="003531BD"/>
    <w:rsid w:val="00362A28"/>
    <w:rsid w:val="00366811"/>
    <w:rsid w:val="00367E24"/>
    <w:rsid w:val="003832D9"/>
    <w:rsid w:val="00383BAC"/>
    <w:rsid w:val="00390D76"/>
    <w:rsid w:val="0039345B"/>
    <w:rsid w:val="00396529"/>
    <w:rsid w:val="0039758A"/>
    <w:rsid w:val="003A0D65"/>
    <w:rsid w:val="003A5555"/>
    <w:rsid w:val="003B4806"/>
    <w:rsid w:val="003B6268"/>
    <w:rsid w:val="003C4106"/>
    <w:rsid w:val="003D7EAF"/>
    <w:rsid w:val="003F787B"/>
    <w:rsid w:val="0040155D"/>
    <w:rsid w:val="00402032"/>
    <w:rsid w:val="0040685C"/>
    <w:rsid w:val="0041079B"/>
    <w:rsid w:val="00415A5E"/>
    <w:rsid w:val="0041713E"/>
    <w:rsid w:val="00421D3F"/>
    <w:rsid w:val="00423785"/>
    <w:rsid w:val="00424E41"/>
    <w:rsid w:val="00425248"/>
    <w:rsid w:val="00425EF1"/>
    <w:rsid w:val="00434638"/>
    <w:rsid w:val="0043587E"/>
    <w:rsid w:val="00437D25"/>
    <w:rsid w:val="00440BC3"/>
    <w:rsid w:val="00452D26"/>
    <w:rsid w:val="00453BC3"/>
    <w:rsid w:val="00457FF2"/>
    <w:rsid w:val="00465F5A"/>
    <w:rsid w:val="0046711E"/>
    <w:rsid w:val="00470E7A"/>
    <w:rsid w:val="0047339E"/>
    <w:rsid w:val="004735B7"/>
    <w:rsid w:val="00474357"/>
    <w:rsid w:val="004818B3"/>
    <w:rsid w:val="00493BD8"/>
    <w:rsid w:val="00493F77"/>
    <w:rsid w:val="00494B77"/>
    <w:rsid w:val="004A01C1"/>
    <w:rsid w:val="004A03E1"/>
    <w:rsid w:val="004A06CD"/>
    <w:rsid w:val="004A4B6F"/>
    <w:rsid w:val="004A4CF9"/>
    <w:rsid w:val="004B14FC"/>
    <w:rsid w:val="004B1B17"/>
    <w:rsid w:val="004B68A7"/>
    <w:rsid w:val="004C0697"/>
    <w:rsid w:val="004C156F"/>
    <w:rsid w:val="004D2965"/>
    <w:rsid w:val="004D2D9D"/>
    <w:rsid w:val="004D53C1"/>
    <w:rsid w:val="004D64CE"/>
    <w:rsid w:val="004D78ED"/>
    <w:rsid w:val="004E34BA"/>
    <w:rsid w:val="004E503A"/>
    <w:rsid w:val="004E55E4"/>
    <w:rsid w:val="004F65B7"/>
    <w:rsid w:val="005012F5"/>
    <w:rsid w:val="00515DE4"/>
    <w:rsid w:val="0052265B"/>
    <w:rsid w:val="005268CD"/>
    <w:rsid w:val="00533391"/>
    <w:rsid w:val="00536FF1"/>
    <w:rsid w:val="00547163"/>
    <w:rsid w:val="00553027"/>
    <w:rsid w:val="0055564A"/>
    <w:rsid w:val="005618A7"/>
    <w:rsid w:val="005667F9"/>
    <w:rsid w:val="00566B62"/>
    <w:rsid w:val="00580CE1"/>
    <w:rsid w:val="0058276A"/>
    <w:rsid w:val="00587578"/>
    <w:rsid w:val="00587FEB"/>
    <w:rsid w:val="005919CE"/>
    <w:rsid w:val="005922C4"/>
    <w:rsid w:val="005973BE"/>
    <w:rsid w:val="005A6C71"/>
    <w:rsid w:val="005A730D"/>
    <w:rsid w:val="005A75C9"/>
    <w:rsid w:val="005B187D"/>
    <w:rsid w:val="005B2DB3"/>
    <w:rsid w:val="005B5C27"/>
    <w:rsid w:val="005C0FAC"/>
    <w:rsid w:val="005C4BBD"/>
    <w:rsid w:val="005D1198"/>
    <w:rsid w:val="005D32E0"/>
    <w:rsid w:val="005F4E6B"/>
    <w:rsid w:val="00605A42"/>
    <w:rsid w:val="00612DE4"/>
    <w:rsid w:val="0061597B"/>
    <w:rsid w:val="00616A38"/>
    <w:rsid w:val="006170BB"/>
    <w:rsid w:val="006232DC"/>
    <w:rsid w:val="006271CC"/>
    <w:rsid w:val="0063018C"/>
    <w:rsid w:val="0063094F"/>
    <w:rsid w:val="00630A4B"/>
    <w:rsid w:val="00635DAE"/>
    <w:rsid w:val="0064408B"/>
    <w:rsid w:val="006465EF"/>
    <w:rsid w:val="0066319F"/>
    <w:rsid w:val="00670936"/>
    <w:rsid w:val="00683816"/>
    <w:rsid w:val="006934C6"/>
    <w:rsid w:val="006A170C"/>
    <w:rsid w:val="006A3121"/>
    <w:rsid w:val="006B039C"/>
    <w:rsid w:val="006B3618"/>
    <w:rsid w:val="006B7B83"/>
    <w:rsid w:val="006C499A"/>
    <w:rsid w:val="006D556C"/>
    <w:rsid w:val="006D67F3"/>
    <w:rsid w:val="006D7AB9"/>
    <w:rsid w:val="006E4B9C"/>
    <w:rsid w:val="006E718A"/>
    <w:rsid w:val="006F1FFF"/>
    <w:rsid w:val="006F3EC3"/>
    <w:rsid w:val="006F6D10"/>
    <w:rsid w:val="007029AB"/>
    <w:rsid w:val="007062B6"/>
    <w:rsid w:val="007100EF"/>
    <w:rsid w:val="0071184E"/>
    <w:rsid w:val="00712B94"/>
    <w:rsid w:val="0071618D"/>
    <w:rsid w:val="00720A26"/>
    <w:rsid w:val="00720ACE"/>
    <w:rsid w:val="007228FA"/>
    <w:rsid w:val="00734797"/>
    <w:rsid w:val="00736A0C"/>
    <w:rsid w:val="00737979"/>
    <w:rsid w:val="007528CF"/>
    <w:rsid w:val="0075446E"/>
    <w:rsid w:val="00754AFD"/>
    <w:rsid w:val="00755AC8"/>
    <w:rsid w:val="0075784A"/>
    <w:rsid w:val="007639D0"/>
    <w:rsid w:val="0076439E"/>
    <w:rsid w:val="00767C05"/>
    <w:rsid w:val="00774350"/>
    <w:rsid w:val="00780BC6"/>
    <w:rsid w:val="00783AFE"/>
    <w:rsid w:val="0079471B"/>
    <w:rsid w:val="007A7E85"/>
    <w:rsid w:val="007B02C2"/>
    <w:rsid w:val="007B2126"/>
    <w:rsid w:val="007B2CA1"/>
    <w:rsid w:val="007B5538"/>
    <w:rsid w:val="007C1AB5"/>
    <w:rsid w:val="007C2F06"/>
    <w:rsid w:val="007D0ABC"/>
    <w:rsid w:val="007D2581"/>
    <w:rsid w:val="007D2A4C"/>
    <w:rsid w:val="007D7364"/>
    <w:rsid w:val="007E3C41"/>
    <w:rsid w:val="007E4A65"/>
    <w:rsid w:val="007F03B8"/>
    <w:rsid w:val="007F70F2"/>
    <w:rsid w:val="00803136"/>
    <w:rsid w:val="008042F5"/>
    <w:rsid w:val="0080688D"/>
    <w:rsid w:val="00812748"/>
    <w:rsid w:val="00813CD9"/>
    <w:rsid w:val="008149B8"/>
    <w:rsid w:val="008157B7"/>
    <w:rsid w:val="00821FC3"/>
    <w:rsid w:val="0082483B"/>
    <w:rsid w:val="008358F1"/>
    <w:rsid w:val="00836DC3"/>
    <w:rsid w:val="00853C6A"/>
    <w:rsid w:val="008565AF"/>
    <w:rsid w:val="00862AB9"/>
    <w:rsid w:val="008666AF"/>
    <w:rsid w:val="00866C4A"/>
    <w:rsid w:val="00866CEC"/>
    <w:rsid w:val="00872CCD"/>
    <w:rsid w:val="008820DC"/>
    <w:rsid w:val="00884D7B"/>
    <w:rsid w:val="00886959"/>
    <w:rsid w:val="0088752B"/>
    <w:rsid w:val="00893A34"/>
    <w:rsid w:val="008A1746"/>
    <w:rsid w:val="008A3624"/>
    <w:rsid w:val="008A36E1"/>
    <w:rsid w:val="008A37A7"/>
    <w:rsid w:val="008A4C27"/>
    <w:rsid w:val="008A5744"/>
    <w:rsid w:val="008A6FB6"/>
    <w:rsid w:val="008B0736"/>
    <w:rsid w:val="008B0783"/>
    <w:rsid w:val="008B07DD"/>
    <w:rsid w:val="008B65B6"/>
    <w:rsid w:val="008B6C7F"/>
    <w:rsid w:val="008C2997"/>
    <w:rsid w:val="008C40CC"/>
    <w:rsid w:val="008C559F"/>
    <w:rsid w:val="008C5AB8"/>
    <w:rsid w:val="008C6B00"/>
    <w:rsid w:val="008C76E7"/>
    <w:rsid w:val="008C7720"/>
    <w:rsid w:val="008D68D8"/>
    <w:rsid w:val="008E2DCB"/>
    <w:rsid w:val="008E3622"/>
    <w:rsid w:val="008E66AF"/>
    <w:rsid w:val="008E70F5"/>
    <w:rsid w:val="008E73C0"/>
    <w:rsid w:val="008F1EF4"/>
    <w:rsid w:val="008F2AB8"/>
    <w:rsid w:val="0090398E"/>
    <w:rsid w:val="00905B16"/>
    <w:rsid w:val="0091371A"/>
    <w:rsid w:val="00914BE5"/>
    <w:rsid w:val="00921BBD"/>
    <w:rsid w:val="009253DF"/>
    <w:rsid w:val="009258F5"/>
    <w:rsid w:val="00942E93"/>
    <w:rsid w:val="00950B06"/>
    <w:rsid w:val="00952333"/>
    <w:rsid w:val="00954C15"/>
    <w:rsid w:val="0096648F"/>
    <w:rsid w:val="00970069"/>
    <w:rsid w:val="0097161B"/>
    <w:rsid w:val="009721EB"/>
    <w:rsid w:val="00973524"/>
    <w:rsid w:val="0097429D"/>
    <w:rsid w:val="00981C17"/>
    <w:rsid w:val="009848F6"/>
    <w:rsid w:val="0099456F"/>
    <w:rsid w:val="009964E7"/>
    <w:rsid w:val="009A0D5C"/>
    <w:rsid w:val="009A521B"/>
    <w:rsid w:val="009B0451"/>
    <w:rsid w:val="009B0509"/>
    <w:rsid w:val="009B1320"/>
    <w:rsid w:val="009B4615"/>
    <w:rsid w:val="009B49E0"/>
    <w:rsid w:val="009B5804"/>
    <w:rsid w:val="009B706E"/>
    <w:rsid w:val="009B7B46"/>
    <w:rsid w:val="009C3F07"/>
    <w:rsid w:val="009C423A"/>
    <w:rsid w:val="009D03BF"/>
    <w:rsid w:val="009D5F30"/>
    <w:rsid w:val="009D7203"/>
    <w:rsid w:val="009E1DBE"/>
    <w:rsid w:val="009E79ED"/>
    <w:rsid w:val="009E7E29"/>
    <w:rsid w:val="009F1E06"/>
    <w:rsid w:val="009F213A"/>
    <w:rsid w:val="00A019D5"/>
    <w:rsid w:val="00A02BEF"/>
    <w:rsid w:val="00A033ED"/>
    <w:rsid w:val="00A07596"/>
    <w:rsid w:val="00A17A08"/>
    <w:rsid w:val="00A227C1"/>
    <w:rsid w:val="00A24545"/>
    <w:rsid w:val="00A26712"/>
    <w:rsid w:val="00A32BE8"/>
    <w:rsid w:val="00A332BB"/>
    <w:rsid w:val="00A40D52"/>
    <w:rsid w:val="00A41F4E"/>
    <w:rsid w:val="00A47EBA"/>
    <w:rsid w:val="00A54733"/>
    <w:rsid w:val="00A5630A"/>
    <w:rsid w:val="00A57E81"/>
    <w:rsid w:val="00A603D1"/>
    <w:rsid w:val="00A60673"/>
    <w:rsid w:val="00A621F2"/>
    <w:rsid w:val="00A73CEA"/>
    <w:rsid w:val="00A75146"/>
    <w:rsid w:val="00A76E09"/>
    <w:rsid w:val="00A810CF"/>
    <w:rsid w:val="00A82CC0"/>
    <w:rsid w:val="00A85AB5"/>
    <w:rsid w:val="00A86EAE"/>
    <w:rsid w:val="00A91426"/>
    <w:rsid w:val="00A95C19"/>
    <w:rsid w:val="00AA259E"/>
    <w:rsid w:val="00AA7D1D"/>
    <w:rsid w:val="00AB1A3E"/>
    <w:rsid w:val="00AC070E"/>
    <w:rsid w:val="00AC0D20"/>
    <w:rsid w:val="00AC1872"/>
    <w:rsid w:val="00AC3EA3"/>
    <w:rsid w:val="00AC7CAA"/>
    <w:rsid w:val="00AD1ECA"/>
    <w:rsid w:val="00AD20F7"/>
    <w:rsid w:val="00AD328A"/>
    <w:rsid w:val="00AD339C"/>
    <w:rsid w:val="00AD584A"/>
    <w:rsid w:val="00AD631F"/>
    <w:rsid w:val="00AE21FF"/>
    <w:rsid w:val="00AE4903"/>
    <w:rsid w:val="00AF0928"/>
    <w:rsid w:val="00AF1F18"/>
    <w:rsid w:val="00B023A2"/>
    <w:rsid w:val="00B02AD9"/>
    <w:rsid w:val="00B0726E"/>
    <w:rsid w:val="00B17A12"/>
    <w:rsid w:val="00B21420"/>
    <w:rsid w:val="00B219D1"/>
    <w:rsid w:val="00B30FD8"/>
    <w:rsid w:val="00B323A6"/>
    <w:rsid w:val="00B36DDA"/>
    <w:rsid w:val="00B37C6F"/>
    <w:rsid w:val="00B4105E"/>
    <w:rsid w:val="00B44A48"/>
    <w:rsid w:val="00B45ACB"/>
    <w:rsid w:val="00B663FE"/>
    <w:rsid w:val="00B70CA3"/>
    <w:rsid w:val="00B76463"/>
    <w:rsid w:val="00B77C0A"/>
    <w:rsid w:val="00B77FD3"/>
    <w:rsid w:val="00B815C7"/>
    <w:rsid w:val="00B81FA4"/>
    <w:rsid w:val="00B85963"/>
    <w:rsid w:val="00B8794C"/>
    <w:rsid w:val="00B95EF4"/>
    <w:rsid w:val="00BA1ED3"/>
    <w:rsid w:val="00BA3B77"/>
    <w:rsid w:val="00BB0741"/>
    <w:rsid w:val="00BB3832"/>
    <w:rsid w:val="00BB6155"/>
    <w:rsid w:val="00BB6509"/>
    <w:rsid w:val="00BC2178"/>
    <w:rsid w:val="00BC248C"/>
    <w:rsid w:val="00BC3624"/>
    <w:rsid w:val="00BC4D55"/>
    <w:rsid w:val="00BE1D94"/>
    <w:rsid w:val="00BE7EF7"/>
    <w:rsid w:val="00C01647"/>
    <w:rsid w:val="00C01EC0"/>
    <w:rsid w:val="00C06D62"/>
    <w:rsid w:val="00C12907"/>
    <w:rsid w:val="00C13EC9"/>
    <w:rsid w:val="00C2088D"/>
    <w:rsid w:val="00C244EE"/>
    <w:rsid w:val="00C342AA"/>
    <w:rsid w:val="00C378DA"/>
    <w:rsid w:val="00C416F1"/>
    <w:rsid w:val="00C43CF0"/>
    <w:rsid w:val="00C60953"/>
    <w:rsid w:val="00C62CEF"/>
    <w:rsid w:val="00C65A16"/>
    <w:rsid w:val="00C66372"/>
    <w:rsid w:val="00C72224"/>
    <w:rsid w:val="00C75682"/>
    <w:rsid w:val="00C75706"/>
    <w:rsid w:val="00C9275D"/>
    <w:rsid w:val="00C93076"/>
    <w:rsid w:val="00CA2A7A"/>
    <w:rsid w:val="00CA4502"/>
    <w:rsid w:val="00CA4815"/>
    <w:rsid w:val="00CA4C71"/>
    <w:rsid w:val="00CB0059"/>
    <w:rsid w:val="00CB060A"/>
    <w:rsid w:val="00CB37BE"/>
    <w:rsid w:val="00CB7E7F"/>
    <w:rsid w:val="00CC2376"/>
    <w:rsid w:val="00CC4E00"/>
    <w:rsid w:val="00CC53FD"/>
    <w:rsid w:val="00CD32EC"/>
    <w:rsid w:val="00CE432D"/>
    <w:rsid w:val="00CE7547"/>
    <w:rsid w:val="00CF36E9"/>
    <w:rsid w:val="00CF4A45"/>
    <w:rsid w:val="00CF4E07"/>
    <w:rsid w:val="00CF6562"/>
    <w:rsid w:val="00D009FA"/>
    <w:rsid w:val="00D0345D"/>
    <w:rsid w:val="00D04B38"/>
    <w:rsid w:val="00D06362"/>
    <w:rsid w:val="00D11B30"/>
    <w:rsid w:val="00D126F2"/>
    <w:rsid w:val="00D1345C"/>
    <w:rsid w:val="00D15320"/>
    <w:rsid w:val="00D21EB2"/>
    <w:rsid w:val="00D24488"/>
    <w:rsid w:val="00D24E70"/>
    <w:rsid w:val="00D35ABB"/>
    <w:rsid w:val="00D36915"/>
    <w:rsid w:val="00D40520"/>
    <w:rsid w:val="00D41513"/>
    <w:rsid w:val="00D46E54"/>
    <w:rsid w:val="00D55BCA"/>
    <w:rsid w:val="00D5688A"/>
    <w:rsid w:val="00D57527"/>
    <w:rsid w:val="00D66033"/>
    <w:rsid w:val="00D70064"/>
    <w:rsid w:val="00D71C56"/>
    <w:rsid w:val="00D759EB"/>
    <w:rsid w:val="00D86284"/>
    <w:rsid w:val="00D90CB1"/>
    <w:rsid w:val="00DA524D"/>
    <w:rsid w:val="00DA6B53"/>
    <w:rsid w:val="00DB058E"/>
    <w:rsid w:val="00DB062C"/>
    <w:rsid w:val="00DB4907"/>
    <w:rsid w:val="00DC483F"/>
    <w:rsid w:val="00DC540B"/>
    <w:rsid w:val="00DC5980"/>
    <w:rsid w:val="00DD0474"/>
    <w:rsid w:val="00DD2B46"/>
    <w:rsid w:val="00DE00C8"/>
    <w:rsid w:val="00DE4D37"/>
    <w:rsid w:val="00DF7C6E"/>
    <w:rsid w:val="00E05F6D"/>
    <w:rsid w:val="00E06ED6"/>
    <w:rsid w:val="00E13284"/>
    <w:rsid w:val="00E318B0"/>
    <w:rsid w:val="00E32AB7"/>
    <w:rsid w:val="00E33B35"/>
    <w:rsid w:val="00E35C4A"/>
    <w:rsid w:val="00E50F76"/>
    <w:rsid w:val="00E529E5"/>
    <w:rsid w:val="00E61864"/>
    <w:rsid w:val="00E6192B"/>
    <w:rsid w:val="00E6329E"/>
    <w:rsid w:val="00E64F39"/>
    <w:rsid w:val="00E6516A"/>
    <w:rsid w:val="00E65818"/>
    <w:rsid w:val="00E725CD"/>
    <w:rsid w:val="00E82874"/>
    <w:rsid w:val="00E82A24"/>
    <w:rsid w:val="00E8789B"/>
    <w:rsid w:val="00E9160B"/>
    <w:rsid w:val="00E92706"/>
    <w:rsid w:val="00E94050"/>
    <w:rsid w:val="00E97EE6"/>
    <w:rsid w:val="00EA1116"/>
    <w:rsid w:val="00EA173C"/>
    <w:rsid w:val="00EA1B6E"/>
    <w:rsid w:val="00EA61C7"/>
    <w:rsid w:val="00EB08A5"/>
    <w:rsid w:val="00EB3526"/>
    <w:rsid w:val="00EB4C2F"/>
    <w:rsid w:val="00EC1772"/>
    <w:rsid w:val="00EC7A75"/>
    <w:rsid w:val="00ED05BE"/>
    <w:rsid w:val="00ED0DDF"/>
    <w:rsid w:val="00ED24AA"/>
    <w:rsid w:val="00ED47DF"/>
    <w:rsid w:val="00EE1CAF"/>
    <w:rsid w:val="00EE216C"/>
    <w:rsid w:val="00EE4904"/>
    <w:rsid w:val="00F07124"/>
    <w:rsid w:val="00F1000D"/>
    <w:rsid w:val="00F127DD"/>
    <w:rsid w:val="00F311A4"/>
    <w:rsid w:val="00F32D77"/>
    <w:rsid w:val="00F33F3B"/>
    <w:rsid w:val="00F373B2"/>
    <w:rsid w:val="00F5417A"/>
    <w:rsid w:val="00F577A5"/>
    <w:rsid w:val="00F602E0"/>
    <w:rsid w:val="00F615BC"/>
    <w:rsid w:val="00F678FE"/>
    <w:rsid w:val="00F700B3"/>
    <w:rsid w:val="00F7174A"/>
    <w:rsid w:val="00F80CBF"/>
    <w:rsid w:val="00F82C2C"/>
    <w:rsid w:val="00F85913"/>
    <w:rsid w:val="00F87A9F"/>
    <w:rsid w:val="00F93426"/>
    <w:rsid w:val="00F9568B"/>
    <w:rsid w:val="00F95767"/>
    <w:rsid w:val="00F95E98"/>
    <w:rsid w:val="00FA6833"/>
    <w:rsid w:val="00FB2061"/>
    <w:rsid w:val="00FB28B4"/>
    <w:rsid w:val="00FB6E71"/>
    <w:rsid w:val="00FC1107"/>
    <w:rsid w:val="00FC512F"/>
    <w:rsid w:val="00FC55D4"/>
    <w:rsid w:val="00FD2378"/>
    <w:rsid w:val="00FD4D6E"/>
    <w:rsid w:val="00FD6383"/>
    <w:rsid w:val="00FE227B"/>
    <w:rsid w:val="00FE3F37"/>
    <w:rsid w:val="00FF5BC8"/>
    <w:rsid w:val="00FF75D8"/>
    <w:rsid w:val="03A8ABC4"/>
    <w:rsid w:val="06C648FD"/>
    <w:rsid w:val="11585C1A"/>
    <w:rsid w:val="25BB1106"/>
    <w:rsid w:val="25C27650"/>
    <w:rsid w:val="33A28013"/>
    <w:rsid w:val="6B16B18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148D6"/>
  <w15:chartTrackingRefBased/>
  <w15:docId w15:val="{52AE1010-ADE7-4943-A405-8316D5C6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3B2"/>
    <w:pPr>
      <w:spacing w:before="200" w:after="200" w:line="288" w:lineRule="auto"/>
    </w:pPr>
    <w:rPr>
      <w:rFonts w:ascii="Aptos" w:hAnsi="Aptos"/>
    </w:rPr>
  </w:style>
  <w:style w:type="paragraph" w:styleId="Heading1">
    <w:name w:val="heading 1"/>
    <w:basedOn w:val="Normal"/>
    <w:next w:val="Normal"/>
    <w:link w:val="Heading1Char"/>
    <w:uiPriority w:val="9"/>
    <w:qFormat/>
    <w:rsid w:val="008F1EF4"/>
    <w:pPr>
      <w:keepNext/>
      <w:keepLines/>
      <w:spacing w:before="2720" w:after="0" w:line="640" w:lineRule="exact"/>
      <w:ind w:left="1332" w:right="1701"/>
      <w:outlineLvl w:val="0"/>
    </w:pPr>
    <w:rPr>
      <w:rFonts w:ascii="Aptos Display" w:eastAsiaTheme="majorEastAsia" w:hAnsi="Aptos Display" w:cstheme="majorBidi"/>
      <w:b/>
      <w:sz w:val="60"/>
      <w:szCs w:val="32"/>
    </w:rPr>
  </w:style>
  <w:style w:type="paragraph" w:styleId="Heading2">
    <w:name w:val="heading 2"/>
    <w:basedOn w:val="Normal"/>
    <w:next w:val="Normal"/>
    <w:link w:val="Heading2Char"/>
    <w:uiPriority w:val="9"/>
    <w:unhideWhenUsed/>
    <w:qFormat/>
    <w:rsid w:val="00EA173C"/>
    <w:pPr>
      <w:keepNext/>
      <w:keepLines/>
      <w:pageBreakBefore/>
      <w:spacing w:before="0" w:after="360" w:line="240" w:lineRule="auto"/>
      <w:ind w:right="1479"/>
      <w:outlineLvl w:val="1"/>
    </w:pPr>
    <w:rPr>
      <w:rFonts w:ascii="Aptos Light" w:eastAsiaTheme="majorEastAsia" w:hAnsi="Aptos Light" w:cstheme="majorBidi"/>
      <w:color w:val="149B9E" w:themeColor="accent3"/>
      <w:sz w:val="48"/>
      <w:szCs w:val="28"/>
    </w:rPr>
  </w:style>
  <w:style w:type="paragraph" w:styleId="Heading3">
    <w:name w:val="heading 3"/>
    <w:basedOn w:val="Normal"/>
    <w:next w:val="Normal"/>
    <w:link w:val="Heading3Char"/>
    <w:uiPriority w:val="9"/>
    <w:unhideWhenUsed/>
    <w:qFormat/>
    <w:rsid w:val="00D36915"/>
    <w:pPr>
      <w:keepNext/>
      <w:keepLines/>
      <w:spacing w:before="360" w:after="0"/>
      <w:outlineLvl w:val="2"/>
    </w:pPr>
    <w:rPr>
      <w:rFonts w:ascii="Aptos Display" w:eastAsiaTheme="majorEastAsia" w:hAnsi="Aptos Display" w:cstheme="majorBidi"/>
      <w:b/>
      <w:color w:val="055044" w:themeColor="text2"/>
      <w:sz w:val="30"/>
      <w:szCs w:val="30"/>
    </w:rPr>
  </w:style>
  <w:style w:type="paragraph" w:styleId="Heading4">
    <w:name w:val="heading 4"/>
    <w:basedOn w:val="Normal"/>
    <w:next w:val="Normal"/>
    <w:link w:val="Heading4Char"/>
    <w:uiPriority w:val="9"/>
    <w:unhideWhenUsed/>
    <w:qFormat/>
    <w:rsid w:val="00D36915"/>
    <w:pPr>
      <w:keepNext/>
      <w:keepLines/>
      <w:spacing w:before="360" w:after="0" w:line="240" w:lineRule="auto"/>
      <w:outlineLvl w:val="3"/>
    </w:pPr>
    <w:rPr>
      <w:rFonts w:ascii="Aptos SemiBold" w:eastAsiaTheme="majorEastAsia" w:hAnsi="Aptos SemiBold" w:cstheme="majorBidi"/>
      <w:iCs/>
      <w:color w:val="3E4246" w:themeColor="text1"/>
      <w:sz w:val="26"/>
    </w:rPr>
  </w:style>
  <w:style w:type="paragraph" w:styleId="Heading5">
    <w:name w:val="heading 5"/>
    <w:basedOn w:val="Normal"/>
    <w:next w:val="Normal"/>
    <w:link w:val="Heading5Char"/>
    <w:uiPriority w:val="9"/>
    <w:unhideWhenUsed/>
    <w:qFormat/>
    <w:rsid w:val="00AA259E"/>
    <w:pPr>
      <w:keepNext/>
      <w:keepLines/>
      <w:spacing w:before="280" w:after="0"/>
      <w:outlineLvl w:val="4"/>
    </w:pPr>
    <w:rPr>
      <w:rFonts w:ascii="Aptos Display" w:eastAsiaTheme="majorEastAsia" w:hAnsi="Aptos Display" w:cstheme="majorBidi"/>
      <w:b/>
      <w:sz w:val="26"/>
    </w:rPr>
  </w:style>
  <w:style w:type="paragraph" w:styleId="Heading6">
    <w:name w:val="heading 6"/>
    <w:basedOn w:val="Normal"/>
    <w:next w:val="Normal"/>
    <w:link w:val="Heading6Char"/>
    <w:uiPriority w:val="9"/>
    <w:unhideWhenUsed/>
    <w:qFormat/>
    <w:rsid w:val="009E1DBE"/>
    <w:pPr>
      <w:keepNext/>
      <w:keepLines/>
      <w:spacing w:before="40" w:after="0"/>
      <w:outlineLvl w:val="5"/>
    </w:pPr>
    <w:rPr>
      <w:rFonts w:ascii="Aptos Display" w:eastAsiaTheme="majorEastAsia" w:hAnsi="Aptos Display"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78A34F" w:themeColor="accent2"/>
    </w:rPr>
  </w:style>
  <w:style w:type="paragraph" w:styleId="Heading8">
    <w:name w:val="heading 8"/>
    <w:basedOn w:val="Normal"/>
    <w:next w:val="Normal"/>
    <w:link w:val="Heading8Char"/>
    <w:uiPriority w:val="9"/>
    <w:semiHidden/>
    <w:unhideWhenUsed/>
    <w:qFormat/>
    <w:rsid w:val="0063018C"/>
    <w:pPr>
      <w:keepNext/>
      <w:keepLines/>
      <w:spacing w:before="0" w:after="0" w:line="278" w:lineRule="auto"/>
      <w:outlineLvl w:val="7"/>
    </w:pPr>
    <w:rPr>
      <w:rFonts w:asciiTheme="minorHAnsi" w:eastAsiaTheme="majorEastAsia" w:hAnsiTheme="minorHAnsi" w:cstheme="majorBidi"/>
      <w:i/>
      <w:iCs/>
      <w:color w:val="595E64"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3018C"/>
    <w:pPr>
      <w:keepNext/>
      <w:keepLines/>
      <w:spacing w:before="0" w:after="0" w:line="278" w:lineRule="auto"/>
      <w:outlineLvl w:val="8"/>
    </w:pPr>
    <w:rPr>
      <w:rFonts w:asciiTheme="minorHAnsi" w:eastAsiaTheme="majorEastAsia" w:hAnsiTheme="minorHAnsi" w:cstheme="majorBidi"/>
      <w:color w:val="595E64"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05504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F1EF4"/>
    <w:rPr>
      <w:rFonts w:ascii="Aptos Display" w:eastAsiaTheme="majorEastAsia" w:hAnsi="Aptos Display" w:cstheme="majorBidi"/>
      <w:b/>
      <w:sz w:val="60"/>
      <w:szCs w:val="32"/>
    </w:rPr>
  </w:style>
  <w:style w:type="character" w:customStyle="1" w:styleId="Heading2Char">
    <w:name w:val="Heading 2 Char"/>
    <w:basedOn w:val="DefaultParagraphFont"/>
    <w:link w:val="Heading2"/>
    <w:uiPriority w:val="9"/>
    <w:rsid w:val="00EA173C"/>
    <w:rPr>
      <w:rFonts w:ascii="Aptos Light" w:eastAsiaTheme="majorEastAsia" w:hAnsi="Aptos Light" w:cstheme="majorBidi"/>
      <w:color w:val="149B9E" w:themeColor="accent3"/>
      <w:sz w:val="48"/>
      <w:szCs w:val="28"/>
    </w:rPr>
  </w:style>
  <w:style w:type="character" w:customStyle="1" w:styleId="Heading3Char">
    <w:name w:val="Heading 3 Char"/>
    <w:basedOn w:val="DefaultParagraphFont"/>
    <w:link w:val="Heading3"/>
    <w:uiPriority w:val="9"/>
    <w:rsid w:val="00D36915"/>
    <w:rPr>
      <w:rFonts w:ascii="Aptos Display" w:eastAsiaTheme="majorEastAsia" w:hAnsi="Aptos Display" w:cstheme="majorBidi"/>
      <w:b/>
      <w:color w:val="055044" w:themeColor="text2"/>
      <w:sz w:val="30"/>
      <w:szCs w:val="30"/>
    </w:rPr>
  </w:style>
  <w:style w:type="character" w:customStyle="1" w:styleId="Heading4Char">
    <w:name w:val="Heading 4 Char"/>
    <w:basedOn w:val="DefaultParagraphFont"/>
    <w:link w:val="Heading4"/>
    <w:uiPriority w:val="9"/>
    <w:rsid w:val="00D36915"/>
    <w:rPr>
      <w:rFonts w:ascii="Aptos SemiBold" w:eastAsiaTheme="majorEastAsia" w:hAnsi="Aptos SemiBold" w:cstheme="majorBidi"/>
      <w:iCs/>
      <w:color w:val="3E4246" w:themeColor="text1"/>
      <w:sz w:val="26"/>
    </w:rPr>
  </w:style>
  <w:style w:type="character" w:customStyle="1" w:styleId="Heading5Char">
    <w:name w:val="Heading 5 Char"/>
    <w:basedOn w:val="DefaultParagraphFont"/>
    <w:link w:val="Heading5"/>
    <w:uiPriority w:val="9"/>
    <w:rsid w:val="00AA259E"/>
    <w:rPr>
      <w:rFonts w:ascii="Aptos Display" w:eastAsiaTheme="majorEastAsia" w:hAnsi="Aptos Display" w:cstheme="majorBidi"/>
      <w:b/>
      <w:sz w:val="26"/>
    </w:rPr>
  </w:style>
  <w:style w:type="character" w:customStyle="1" w:styleId="Heading6Char">
    <w:name w:val="Heading 6 Char"/>
    <w:basedOn w:val="DefaultParagraphFont"/>
    <w:link w:val="Heading6"/>
    <w:uiPriority w:val="9"/>
    <w:rsid w:val="009E1DBE"/>
    <w:rPr>
      <w:rFonts w:ascii="Aptos Display" w:eastAsiaTheme="majorEastAsia" w:hAnsi="Aptos Display" w:cstheme="majorBidi"/>
      <w:b/>
      <w:color w:val="5F636A"/>
    </w:rPr>
  </w:style>
  <w:style w:type="paragraph" w:styleId="Caption">
    <w:name w:val="caption"/>
    <w:basedOn w:val="Normal"/>
    <w:next w:val="Normal"/>
    <w:uiPriority w:val="16"/>
    <w:qFormat/>
    <w:rsid w:val="009E1DBE"/>
    <w:pPr>
      <w:spacing w:after="120" w:line="240" w:lineRule="auto"/>
    </w:pPr>
    <w:rPr>
      <w:rFonts w:ascii="Aptos Display" w:hAnsi="Aptos Display"/>
      <w:b/>
      <w:iCs/>
      <w:color w:val="055044"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78A34F" w:themeColor="accent2"/>
    </w:rPr>
  </w:style>
  <w:style w:type="paragraph" w:styleId="Subtitle">
    <w:name w:val="Subtitle"/>
    <w:basedOn w:val="Normal"/>
    <w:next w:val="Normal"/>
    <w:link w:val="SubtitleChar"/>
    <w:uiPriority w:val="11"/>
    <w:qFormat/>
    <w:rsid w:val="008F1EF4"/>
    <w:pPr>
      <w:numPr>
        <w:ilvl w:val="1"/>
      </w:numPr>
      <w:spacing w:before="360" w:after="140"/>
      <w:ind w:left="1332"/>
    </w:pPr>
    <w:rPr>
      <w:rFonts w:ascii="Aptos Display" w:eastAsiaTheme="minorEastAsia" w:hAnsi="Aptos Display"/>
      <w:color w:val="3E4246" w:themeColor="accent1"/>
      <w:spacing w:val="15"/>
      <w:sz w:val="36"/>
      <w:szCs w:val="36"/>
    </w:rPr>
  </w:style>
  <w:style w:type="character" w:customStyle="1" w:styleId="SubtitleChar">
    <w:name w:val="Subtitle Char"/>
    <w:basedOn w:val="DefaultParagraphFont"/>
    <w:link w:val="Subtitle"/>
    <w:uiPriority w:val="11"/>
    <w:rsid w:val="008F1EF4"/>
    <w:rPr>
      <w:rFonts w:ascii="Aptos Display" w:eastAsiaTheme="minorEastAsia" w:hAnsi="Aptos Display"/>
      <w:color w:val="3E4246" w:themeColor="accent1"/>
      <w:spacing w:val="15"/>
      <w:sz w:val="36"/>
      <w:szCs w:val="36"/>
    </w:rPr>
  </w:style>
  <w:style w:type="paragraph" w:styleId="List">
    <w:name w:val="List"/>
    <w:basedOn w:val="Normal"/>
    <w:uiPriority w:val="98"/>
    <w:qFormat/>
    <w:rsid w:val="00F602E0"/>
    <w:pPr>
      <w:numPr>
        <w:numId w:val="9"/>
      </w:numPr>
      <w:spacing w:before="0" w:after="100"/>
    </w:pPr>
  </w:style>
  <w:style w:type="paragraph" w:styleId="List2">
    <w:name w:val="List 2"/>
    <w:basedOn w:val="Normal"/>
    <w:uiPriority w:val="98"/>
    <w:semiHidden/>
    <w:qFormat/>
    <w:rsid w:val="00F85913"/>
    <w:pPr>
      <w:numPr>
        <w:ilvl w:val="1"/>
        <w:numId w:val="5"/>
      </w:numPr>
      <w:contextualSpacing/>
    </w:pPr>
  </w:style>
  <w:style w:type="paragraph" w:styleId="List3">
    <w:name w:val="List 3"/>
    <w:basedOn w:val="Normal"/>
    <w:uiPriority w:val="98"/>
    <w:semiHidden/>
    <w:qFormat/>
    <w:rsid w:val="00BC248C"/>
    <w:pPr>
      <w:numPr>
        <w:ilvl w:val="2"/>
        <w:numId w:val="5"/>
      </w:numPr>
      <w:contextualSpacing/>
    </w:pPr>
  </w:style>
  <w:style w:type="paragraph" w:styleId="List4">
    <w:name w:val="List 4"/>
    <w:basedOn w:val="Normal"/>
    <w:uiPriority w:val="98"/>
    <w:semiHidden/>
    <w:qFormat/>
    <w:rsid w:val="00BC248C"/>
    <w:pPr>
      <w:numPr>
        <w:ilvl w:val="3"/>
        <w:numId w:val="5"/>
      </w:numPr>
      <w:contextualSpacing/>
    </w:pPr>
  </w:style>
  <w:style w:type="paragraph" w:styleId="ListNumber">
    <w:name w:val="List Number"/>
    <w:basedOn w:val="Normal"/>
    <w:uiPriority w:val="99"/>
    <w:qFormat/>
    <w:rsid w:val="00F602E0"/>
    <w:pPr>
      <w:numPr>
        <w:numId w:val="8"/>
      </w:numPr>
      <w:spacing w:before="0" w:after="100"/>
    </w:pPr>
  </w:style>
  <w:style w:type="paragraph" w:styleId="ListNumber2">
    <w:name w:val="List Number 2"/>
    <w:basedOn w:val="Normal"/>
    <w:uiPriority w:val="98"/>
    <w:semiHidden/>
    <w:qFormat/>
    <w:rsid w:val="00276047"/>
    <w:pPr>
      <w:numPr>
        <w:ilvl w:val="1"/>
        <w:numId w:val="2"/>
      </w:numPr>
      <w:contextualSpacing/>
    </w:pPr>
  </w:style>
  <w:style w:type="paragraph" w:styleId="ListBullet3">
    <w:name w:val="List Bullet 3"/>
    <w:basedOn w:val="Normal"/>
    <w:uiPriority w:val="98"/>
    <w:semiHidden/>
    <w:qFormat/>
    <w:rsid w:val="008A36E1"/>
    <w:pPr>
      <w:numPr>
        <w:numId w:val="4"/>
      </w:numPr>
      <w:ind w:left="851" w:hanging="284"/>
      <w:contextualSpacing/>
    </w:pPr>
  </w:style>
  <w:style w:type="paragraph" w:styleId="ListNumber3">
    <w:name w:val="List Number 3"/>
    <w:basedOn w:val="Normal"/>
    <w:uiPriority w:val="98"/>
    <w:semiHidden/>
    <w:qFormat/>
    <w:rsid w:val="00950B06"/>
    <w:pPr>
      <w:numPr>
        <w:ilvl w:val="2"/>
        <w:numId w:val="2"/>
      </w:numPr>
      <w:contextualSpacing/>
    </w:pPr>
  </w:style>
  <w:style w:type="paragraph" w:styleId="ListNumber4">
    <w:name w:val="List Number 4"/>
    <w:basedOn w:val="Normal"/>
    <w:uiPriority w:val="98"/>
    <w:semiHidden/>
    <w:qFormat/>
    <w:rsid w:val="0012343A"/>
    <w:pPr>
      <w:numPr>
        <w:ilvl w:val="3"/>
        <w:numId w:val="2"/>
      </w:numPr>
      <w:contextualSpacing/>
    </w:pPr>
  </w:style>
  <w:style w:type="paragraph" w:styleId="ListBullet">
    <w:name w:val="List Bullet"/>
    <w:basedOn w:val="Normal"/>
    <w:uiPriority w:val="99"/>
    <w:qFormat/>
    <w:rsid w:val="0039758A"/>
    <w:pPr>
      <w:numPr>
        <w:numId w:val="10"/>
      </w:numPr>
      <w:spacing w:before="0" w:after="100"/>
    </w:pPr>
  </w:style>
  <w:style w:type="paragraph" w:styleId="ListBullet2">
    <w:name w:val="List Bullet 2"/>
    <w:basedOn w:val="Normal"/>
    <w:uiPriority w:val="98"/>
    <w:semiHidden/>
    <w:qFormat/>
    <w:rsid w:val="00C75706"/>
    <w:pPr>
      <w:numPr>
        <w:ilvl w:val="1"/>
        <w:numId w:val="1"/>
      </w:numPr>
      <w:ind w:left="568" w:hanging="284"/>
      <w:contextualSpacing/>
    </w:pPr>
  </w:style>
  <w:style w:type="paragraph" w:styleId="ListBullet4">
    <w:name w:val="List Bullet 4"/>
    <w:basedOn w:val="Normal"/>
    <w:uiPriority w:val="98"/>
    <w:semiHidden/>
    <w:qFormat/>
    <w:rsid w:val="00C75706"/>
    <w:pPr>
      <w:numPr>
        <w:numId w:val="3"/>
      </w:numPr>
      <w:ind w:left="1135" w:hanging="284"/>
      <w:contextualSpacing/>
    </w:pPr>
  </w:style>
  <w:style w:type="table" w:customStyle="1" w:styleId="EDU-Basic">
    <w:name w:val="EDU - Basic"/>
    <w:basedOn w:val="TableNormal"/>
    <w:uiPriority w:val="99"/>
    <w:rsid w:val="004E55E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55044"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227C1"/>
    <w:pPr>
      <w:tabs>
        <w:tab w:val="right" w:pos="9214"/>
      </w:tabs>
      <w:spacing w:after="100"/>
    </w:pPr>
    <w:rPr>
      <w:bCs/>
      <w:noProof/>
      <w:color w:val="FFFFFF" w:themeColor="background1"/>
    </w:rPr>
  </w:style>
  <w:style w:type="paragraph" w:styleId="TOC2">
    <w:name w:val="toc 2"/>
    <w:basedOn w:val="Normal"/>
    <w:next w:val="Normal"/>
    <w:autoRedefine/>
    <w:uiPriority w:val="39"/>
    <w:unhideWhenUsed/>
    <w:rsid w:val="004B68A7"/>
    <w:pPr>
      <w:pBdr>
        <w:top w:val="single" w:sz="4" w:space="3" w:color="4CBFAD" w:themeColor="background2"/>
      </w:pBdr>
      <w:tabs>
        <w:tab w:val="right" w:pos="9214"/>
      </w:tabs>
      <w:spacing w:after="100"/>
    </w:pPr>
    <w:rPr>
      <w:rFonts w:ascii="Aptos SemiBold" w:hAnsi="Aptos SemiBold"/>
      <w:noProof/>
      <w:kern w:val="24"/>
      <w:sz w:val="24"/>
      <w:szCs w:val="24"/>
    </w:rPr>
  </w:style>
  <w:style w:type="paragraph" w:styleId="TOC3">
    <w:name w:val="toc 3"/>
    <w:basedOn w:val="Normal"/>
    <w:next w:val="Normal"/>
    <w:autoRedefine/>
    <w:uiPriority w:val="39"/>
    <w:unhideWhenUsed/>
    <w:rsid w:val="007639D0"/>
    <w:pPr>
      <w:tabs>
        <w:tab w:val="right" w:pos="9214"/>
      </w:tabs>
      <w:spacing w:before="80" w:after="80" w:line="240" w:lineRule="auto"/>
      <w:ind w:left="142"/>
    </w:pPr>
  </w:style>
  <w:style w:type="paragraph" w:styleId="TOCHeading">
    <w:name w:val="TOC Heading"/>
    <w:basedOn w:val="Heading1"/>
    <w:next w:val="Normal"/>
    <w:uiPriority w:val="39"/>
    <w:unhideWhenUsed/>
    <w:qFormat/>
    <w:rsid w:val="00D06362"/>
    <w:pPr>
      <w:spacing w:before="0" w:after="240" w:line="259" w:lineRule="auto"/>
      <w:ind w:left="0"/>
      <w:outlineLvl w:val="9"/>
    </w:pPr>
    <w:rPr>
      <w:color w:val="055044" w:themeColor="text2"/>
      <w:sz w:val="44"/>
      <w:lang w:val="en-US"/>
    </w:rPr>
  </w:style>
  <w:style w:type="numbering" w:customStyle="1" w:styleId="ListAlpha-ListStyle">
    <w:name w:val="List Alpha - List Style"/>
    <w:uiPriority w:val="99"/>
    <w:rsid w:val="00F602E0"/>
    <w:pPr>
      <w:numPr>
        <w:numId w:val="6"/>
      </w:numPr>
    </w:pPr>
  </w:style>
  <w:style w:type="numbering" w:customStyle="1" w:styleId="ListBullet-ListStyle">
    <w:name w:val="List Bullet - List Style"/>
    <w:uiPriority w:val="99"/>
    <w:rsid w:val="0039758A"/>
    <w:pPr>
      <w:numPr>
        <w:numId w:val="7"/>
      </w:numPr>
    </w:pPr>
  </w:style>
  <w:style w:type="numbering" w:customStyle="1" w:styleId="ListNumber-ListStyle">
    <w:name w:val="List Number - List Style"/>
    <w:uiPriority w:val="99"/>
    <w:rsid w:val="00F602E0"/>
    <w:pPr>
      <w:numPr>
        <w:numId w:val="8"/>
      </w:numPr>
    </w:pPr>
  </w:style>
  <w:style w:type="paragraph" w:customStyle="1" w:styleId="Normal-AfterHeadings">
    <w:name w:val="Normal - After Headings"/>
    <w:basedOn w:val="Normal"/>
    <w:qFormat/>
    <w:rsid w:val="00FB28B4"/>
    <w:pPr>
      <w:spacing w:before="0"/>
    </w:pPr>
    <w:rPr>
      <w:b/>
      <w:bCs/>
    </w:rPr>
  </w:style>
  <w:style w:type="paragraph" w:styleId="ListParagraph">
    <w:name w:val="List Paragraph"/>
    <w:aliases w:val="Recommendation,L,Bullet point,List Paragraph - bullets,List Paragraph1,List Paragraph11,NFP GP Bulleted List,DDM Gen Text,bullet point list,Bullet points,Content descriptions,Bullet Point,Dot point 1.5 line spacing,List Paragraph Number"/>
    <w:basedOn w:val="Normal"/>
    <w:link w:val="ListParagraphChar"/>
    <w:uiPriority w:val="34"/>
    <w:qFormat/>
    <w:rsid w:val="00051668"/>
    <w:pPr>
      <w:numPr>
        <w:numId w:val="11"/>
      </w:numPr>
      <w:snapToGrid w:val="0"/>
      <w:spacing w:before="100" w:after="100"/>
      <w:textAlignment w:val="center"/>
    </w:pPr>
  </w:style>
  <w:style w:type="character" w:customStyle="1" w:styleId="Heading8Char">
    <w:name w:val="Heading 8 Char"/>
    <w:basedOn w:val="DefaultParagraphFont"/>
    <w:link w:val="Heading8"/>
    <w:uiPriority w:val="9"/>
    <w:semiHidden/>
    <w:rsid w:val="0063018C"/>
    <w:rPr>
      <w:rFonts w:eastAsiaTheme="majorEastAsia" w:cstheme="majorBidi"/>
      <w:i/>
      <w:iCs/>
      <w:color w:val="595E64"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63018C"/>
    <w:rPr>
      <w:rFonts w:eastAsiaTheme="majorEastAsia" w:cstheme="majorBidi"/>
      <w:color w:val="595E64" w:themeColor="text1" w:themeTint="D8"/>
      <w:kern w:val="2"/>
      <w:sz w:val="24"/>
      <w:szCs w:val="24"/>
      <w14:ligatures w14:val="standardContextual"/>
    </w:rPr>
  </w:style>
  <w:style w:type="paragraph" w:styleId="Title">
    <w:name w:val="Title"/>
    <w:basedOn w:val="Normal"/>
    <w:next w:val="Normal"/>
    <w:link w:val="TitleChar"/>
    <w:uiPriority w:val="10"/>
    <w:qFormat/>
    <w:rsid w:val="0063018C"/>
    <w:pPr>
      <w:spacing w:before="0"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018C"/>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63018C"/>
    <w:rPr>
      <w:i/>
      <w:iCs/>
      <w:color w:val="2E3134" w:themeColor="accent1" w:themeShade="BF"/>
    </w:rPr>
  </w:style>
  <w:style w:type="paragraph" w:styleId="IntenseQuote">
    <w:name w:val="Intense Quote"/>
    <w:basedOn w:val="Normal"/>
    <w:next w:val="Normal"/>
    <w:link w:val="IntenseQuoteChar"/>
    <w:uiPriority w:val="30"/>
    <w:qFormat/>
    <w:rsid w:val="0063018C"/>
    <w:pPr>
      <w:pBdr>
        <w:top w:val="single" w:sz="4" w:space="10" w:color="2E3134" w:themeColor="accent1" w:themeShade="BF"/>
        <w:bottom w:val="single" w:sz="4" w:space="10" w:color="2E3134" w:themeColor="accent1" w:themeShade="BF"/>
      </w:pBdr>
      <w:spacing w:before="360" w:after="360" w:line="278" w:lineRule="auto"/>
      <w:ind w:left="864" w:right="864"/>
      <w:jc w:val="center"/>
    </w:pPr>
    <w:rPr>
      <w:rFonts w:asciiTheme="minorHAnsi" w:hAnsiTheme="minorHAnsi"/>
      <w:i/>
      <w:iCs/>
      <w:color w:val="2E3134"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3018C"/>
    <w:rPr>
      <w:i/>
      <w:iCs/>
      <w:color w:val="2E3134" w:themeColor="accent1" w:themeShade="BF"/>
      <w:kern w:val="2"/>
      <w:sz w:val="24"/>
      <w:szCs w:val="24"/>
      <w14:ligatures w14:val="standardContextual"/>
    </w:rPr>
  </w:style>
  <w:style w:type="character" w:styleId="IntenseReference">
    <w:name w:val="Intense Reference"/>
    <w:basedOn w:val="DefaultParagraphFont"/>
    <w:uiPriority w:val="32"/>
    <w:qFormat/>
    <w:rsid w:val="0063018C"/>
    <w:rPr>
      <w:b/>
      <w:bCs/>
      <w:smallCaps/>
      <w:color w:val="2E3134" w:themeColor="accent1" w:themeShade="BF"/>
      <w:spacing w:val="5"/>
    </w:rPr>
  </w:style>
  <w:style w:type="character" w:styleId="FollowedHyperlink">
    <w:name w:val="FollowedHyperlink"/>
    <w:basedOn w:val="DefaultParagraphFont"/>
    <w:uiPriority w:val="99"/>
    <w:semiHidden/>
    <w:unhideWhenUsed/>
    <w:rsid w:val="0063018C"/>
    <w:rPr>
      <w:color w:val="3E4246" w:themeColor="followedHyperlink"/>
      <w:u w:val="single"/>
    </w:rPr>
  </w:style>
  <w:style w:type="character" w:styleId="CommentReference">
    <w:name w:val="annotation reference"/>
    <w:basedOn w:val="DefaultParagraphFont"/>
    <w:uiPriority w:val="99"/>
    <w:semiHidden/>
    <w:unhideWhenUsed/>
    <w:rsid w:val="0063018C"/>
    <w:rPr>
      <w:sz w:val="16"/>
      <w:szCs w:val="16"/>
    </w:rPr>
  </w:style>
  <w:style w:type="paragraph" w:styleId="CommentSubject">
    <w:name w:val="annotation subject"/>
    <w:basedOn w:val="Normal"/>
    <w:next w:val="Normal"/>
    <w:link w:val="CommentSubjectChar"/>
    <w:uiPriority w:val="99"/>
    <w:semiHidden/>
    <w:unhideWhenUsed/>
    <w:rsid w:val="005012F5"/>
    <w:pPr>
      <w:spacing w:before="0" w:after="160"/>
    </w:pPr>
    <w:rPr>
      <w:b/>
      <w:bCs/>
      <w:kern w:val="2"/>
      <w14:ligatures w14:val="standardContextual"/>
    </w:rPr>
  </w:style>
  <w:style w:type="character" w:customStyle="1" w:styleId="CommentSubjectChar">
    <w:name w:val="Comment Subject Char"/>
    <w:basedOn w:val="DefaultParagraphFont"/>
    <w:link w:val="CommentSubject"/>
    <w:uiPriority w:val="99"/>
    <w:semiHidden/>
    <w:rsid w:val="005012F5"/>
    <w:rPr>
      <w:b/>
      <w:bCs/>
      <w:kern w:val="2"/>
      <w:sz w:val="20"/>
      <w:szCs w:val="20"/>
      <w14:ligatures w14:val="standardContextual"/>
    </w:rPr>
  </w:style>
  <w:style w:type="paragraph" w:styleId="NormalWeb">
    <w:name w:val="Normal (Web)"/>
    <w:basedOn w:val="Normal"/>
    <w:uiPriority w:val="99"/>
    <w:semiHidden/>
    <w:unhideWhenUsed/>
    <w:rsid w:val="0063018C"/>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TableGrid1">
    <w:name w:val="Table Grid1"/>
    <w:basedOn w:val="TableGrid"/>
    <w:uiPriority w:val="39"/>
    <w:rsid w:val="0063018C"/>
    <w:rPr>
      <w:rFonts w:eastAsiaTheme="minorEastAsia"/>
      <w:lang w:eastAsia="zh-CN"/>
    </w:rPr>
    <w:tblPr/>
    <w:tblStylePr w:type="firstRow">
      <w:rPr>
        <w:rFonts w:ascii="Yu Gothic UI Light" w:hAnsi="Yu Gothic UI Light"/>
        <w:b w:val="0"/>
        <w:i w:val="0"/>
        <w:color w:val="055044" w:themeColor="text2"/>
      </w:rPr>
    </w:tblStylePr>
    <w:tblStylePr w:type="firstCol">
      <w:rPr>
        <w:b/>
      </w:rPr>
    </w:tblStylePr>
  </w:style>
  <w:style w:type="table" w:customStyle="1" w:styleId="Moreinfo">
    <w:name w:val="More info"/>
    <w:basedOn w:val="Referencetodocument"/>
    <w:uiPriority w:val="99"/>
    <w:rsid w:val="00EB08A5"/>
    <w:tblPr>
      <w:tblBorders>
        <w:top w:val="single" w:sz="4" w:space="0" w:color="3E4246" w:themeColor="accent1"/>
      </w:tblBorders>
      <w:tblCellMar>
        <w:left w:w="0" w:type="dxa"/>
      </w:tblCellMar>
    </w:tblPr>
    <w:tcPr>
      <w:shd w:val="clear" w:color="auto" w:fill="F2F2F2" w:themeFill="background1" w:themeFillShade="F2"/>
    </w:tcPr>
    <w:tblStylePr w:type="firstCol">
      <w:tblPr/>
      <w:trPr>
        <w:cantSplit w:val="0"/>
      </w:trPr>
      <w:tcPr>
        <w:tcMar>
          <w:top w:w="0" w:type="nil"/>
          <w:left w:w="284" w:type="dxa"/>
          <w:bottom w:w="0" w:type="nil"/>
          <w:right w:w="0" w:type="nil"/>
        </w:tcMar>
      </w:tcPr>
    </w:tblStylePr>
  </w:style>
  <w:style w:type="character" w:customStyle="1" w:styleId="ListParagraphChar">
    <w:name w:val="List Paragraph Char"/>
    <w:aliases w:val="Recommendation Char,L Char,Bullet point Char,List Paragraph - bullets Char,List Paragraph1 Char,List Paragraph11 Char,NFP GP Bulleted List Char,DDM Gen Text Char,bullet point list Char,Bullet points Char,Content descriptions Char"/>
    <w:basedOn w:val="DefaultParagraphFont"/>
    <w:link w:val="ListParagraph"/>
    <w:uiPriority w:val="34"/>
    <w:qFormat/>
    <w:rsid w:val="00051668"/>
    <w:rPr>
      <w:rFonts w:ascii="Aptos" w:hAnsi="Aptos"/>
    </w:rPr>
  </w:style>
  <w:style w:type="paragraph" w:styleId="Revision">
    <w:name w:val="Revision"/>
    <w:hidden/>
    <w:uiPriority w:val="99"/>
    <w:semiHidden/>
    <w:rsid w:val="0063018C"/>
    <w:pPr>
      <w:spacing w:after="0" w:line="240" w:lineRule="auto"/>
    </w:pPr>
    <w:rPr>
      <w:kern w:val="2"/>
      <w:sz w:val="24"/>
      <w:szCs w:val="24"/>
      <w14:ligatures w14:val="standardContextual"/>
    </w:rPr>
  </w:style>
  <w:style w:type="character" w:styleId="Emphasis">
    <w:name w:val="Emphasis"/>
    <w:basedOn w:val="DefaultParagraphFont"/>
    <w:uiPriority w:val="20"/>
    <w:qFormat/>
    <w:rsid w:val="0063018C"/>
    <w:rPr>
      <w:i/>
      <w:iCs/>
    </w:rPr>
  </w:style>
  <w:style w:type="table" w:customStyle="1" w:styleId="Referencetodocument">
    <w:name w:val="Reference to document"/>
    <w:basedOn w:val="TableNormal"/>
    <w:uiPriority w:val="99"/>
    <w:rsid w:val="00EB08A5"/>
    <w:pPr>
      <w:spacing w:after="0" w:line="240" w:lineRule="auto"/>
    </w:pPr>
    <w:rPr>
      <w:rFonts w:ascii="Aptos Display" w:hAnsi="Aptos Display"/>
    </w:rPr>
    <w:tblPr>
      <w:tblBorders>
        <w:top w:val="single" w:sz="4" w:space="0" w:color="4CBFAD" w:themeColor="background2"/>
      </w:tblBorders>
      <w:tblCellMar>
        <w:left w:w="284" w:type="dxa"/>
        <w:right w:w="284" w:type="dxa"/>
      </w:tblCellMar>
    </w:tblPr>
    <w:trPr>
      <w:cantSplit/>
    </w:trPr>
    <w:tcPr>
      <w:shd w:val="clear" w:color="auto" w:fill="E9F7F5"/>
    </w:tcPr>
  </w:style>
  <w:style w:type="character" w:customStyle="1" w:styleId="Section">
    <w:name w:val="Section"/>
    <w:basedOn w:val="DefaultParagraphFont"/>
    <w:uiPriority w:val="1"/>
    <w:qFormat/>
    <w:rsid w:val="0071184E"/>
    <w:rPr>
      <w:rFonts w:ascii="Aptos SemiBold" w:hAnsi="Aptos SemiBold"/>
      <w:caps/>
      <w:smallCaps w:val="0"/>
      <w:color w:val="055044" w:themeColor="text2"/>
      <w:spacing w:val="20"/>
      <w:sz w:val="28"/>
    </w:rPr>
  </w:style>
  <w:style w:type="table" w:styleId="PlainTable2">
    <w:name w:val="Plain Table 2"/>
    <w:basedOn w:val="TableNormal"/>
    <w:uiPriority w:val="42"/>
    <w:rsid w:val="00260673"/>
    <w:pPr>
      <w:spacing w:after="0" w:line="240" w:lineRule="auto"/>
    </w:pPr>
    <w:tblPr>
      <w:tblStyleRowBandSize w:val="1"/>
      <w:tblStyleColBandSize w:val="1"/>
      <w:tblBorders>
        <w:top w:val="single" w:sz="4" w:space="0" w:color="9A9FA5" w:themeColor="text1" w:themeTint="80"/>
        <w:bottom w:val="single" w:sz="4" w:space="0" w:color="9A9FA5" w:themeColor="text1" w:themeTint="80"/>
      </w:tblBorders>
    </w:tblPr>
    <w:tblStylePr w:type="firstRow">
      <w:rPr>
        <w:b/>
        <w:bCs/>
      </w:rPr>
      <w:tblPr/>
      <w:tcPr>
        <w:tcBorders>
          <w:bottom w:val="single" w:sz="4" w:space="0" w:color="9A9FA5" w:themeColor="text1" w:themeTint="80"/>
        </w:tcBorders>
      </w:tcPr>
    </w:tblStylePr>
    <w:tblStylePr w:type="lastRow">
      <w:rPr>
        <w:b/>
        <w:bCs/>
      </w:rPr>
      <w:tblPr/>
      <w:tcPr>
        <w:tcBorders>
          <w:top w:val="single" w:sz="4" w:space="0" w:color="9A9FA5" w:themeColor="text1" w:themeTint="80"/>
        </w:tcBorders>
      </w:tcPr>
    </w:tblStylePr>
    <w:tblStylePr w:type="firstCol">
      <w:rPr>
        <w:b/>
        <w:bCs/>
      </w:rPr>
    </w:tblStylePr>
    <w:tblStylePr w:type="lastCol">
      <w:rPr>
        <w:b/>
        <w:bCs/>
      </w:rPr>
    </w:tblStylePr>
    <w:tblStylePr w:type="band1Vert">
      <w:tblPr/>
      <w:tcPr>
        <w:tcBorders>
          <w:left w:val="single" w:sz="4" w:space="0" w:color="9A9FA5" w:themeColor="text1" w:themeTint="80"/>
          <w:right w:val="single" w:sz="4" w:space="0" w:color="9A9FA5" w:themeColor="text1" w:themeTint="80"/>
        </w:tcBorders>
      </w:tcPr>
    </w:tblStylePr>
    <w:tblStylePr w:type="band2Vert">
      <w:tblPr/>
      <w:tcPr>
        <w:tcBorders>
          <w:left w:val="single" w:sz="4" w:space="0" w:color="9A9FA5" w:themeColor="text1" w:themeTint="80"/>
          <w:right w:val="single" w:sz="4" w:space="0" w:color="9A9FA5" w:themeColor="text1" w:themeTint="80"/>
        </w:tcBorders>
      </w:tcPr>
    </w:tblStylePr>
    <w:tblStylePr w:type="band1Horz">
      <w:tblPr/>
      <w:tcPr>
        <w:tcBorders>
          <w:top w:val="single" w:sz="4" w:space="0" w:color="9A9FA5" w:themeColor="text1" w:themeTint="80"/>
          <w:bottom w:val="single" w:sz="4" w:space="0" w:color="9A9FA5" w:themeColor="text1" w:themeTint="80"/>
        </w:tcBorders>
      </w:tcPr>
    </w:tblStylePr>
  </w:style>
  <w:style w:type="table" w:customStyle="1" w:styleId="TableSimple">
    <w:name w:val="Table Simple"/>
    <w:basedOn w:val="TableGrid"/>
    <w:uiPriority w:val="99"/>
    <w:rsid w:val="003C4106"/>
    <w:rPr>
      <w:szCs w:val="20"/>
      <w:lang w:val="en-US" w:eastAsia="zh-CN"/>
    </w:rPr>
    <w:tblPr>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CellMar>
        <w:left w:w="0" w:type="dxa"/>
        <w:right w:w="0" w:type="dxa"/>
      </w:tblCellMar>
    </w:tblPr>
    <w:trPr>
      <w:cantSplit/>
    </w:trPr>
    <w:tblStylePr w:type="firstRow">
      <w:rPr>
        <w:rFonts w:ascii="DengXian Light" w:hAnsi="DengXian Light"/>
        <w:b/>
      </w:rPr>
      <w:tblPr>
        <w:tblCellMar>
          <w:top w:w="0" w:type="dxa"/>
          <w:left w:w="28" w:type="dxa"/>
          <w:bottom w:w="0" w:type="dxa"/>
          <w:right w:w="28" w:type="dxa"/>
        </w:tblCellMar>
      </w:tblPr>
      <w:tcPr>
        <w:tcBorders>
          <w:top w:val="nil"/>
          <w:left w:val="nil"/>
          <w:bottom w:val="single" w:sz="4" w:space="0" w:color="4CBFAD" w:themeColor="background2"/>
          <w:right w:val="nil"/>
          <w:insideH w:val="nil"/>
          <w:insideV w:val="nil"/>
        </w:tcBorders>
      </w:tcPr>
    </w:tblStylePr>
    <w:tblStylePr w:type="firstCol">
      <w:rPr>
        <w:rFonts w:asciiTheme="majorHAnsi" w:eastAsiaTheme="majorEastAsia" w:hAnsiTheme="majorHAnsi"/>
      </w:rPr>
    </w:tblStylePr>
  </w:style>
  <w:style w:type="table" w:styleId="TableGridLight">
    <w:name w:val="Grid Table Light"/>
    <w:basedOn w:val="TableNormal"/>
    <w:uiPriority w:val="40"/>
    <w:rsid w:val="002606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Listlevel2">
    <w:name w:val="List level 2"/>
    <w:basedOn w:val="NoList"/>
    <w:uiPriority w:val="99"/>
    <w:rsid w:val="0025459F"/>
    <w:pPr>
      <w:numPr>
        <w:numId w:val="12"/>
      </w:numPr>
    </w:pPr>
  </w:style>
  <w:style w:type="numbering" w:customStyle="1" w:styleId="Tablestyle">
    <w:name w:val="Table style"/>
    <w:uiPriority w:val="99"/>
    <w:rsid w:val="005D1198"/>
    <w:pPr>
      <w:numPr>
        <w:numId w:val="13"/>
      </w:numPr>
    </w:pPr>
  </w:style>
  <w:style w:type="paragraph" w:customStyle="1" w:styleId="TableNormal1">
    <w:name w:val="Table Normal1"/>
    <w:basedOn w:val="Normal"/>
    <w:qFormat/>
    <w:rsid w:val="002A2E5F"/>
    <w:pPr>
      <w:spacing w:before="60" w:after="60" w:line="264" w:lineRule="auto"/>
      <w:textAlignment w:val="center"/>
    </w:pPr>
    <w:rPr>
      <w:rFonts w:eastAsiaTheme="minorEastAsia"/>
      <w:sz w:val="20"/>
      <w:szCs w:val="20"/>
      <w:lang w:val="en-US" w:eastAsia="zh-CN"/>
    </w:rPr>
  </w:style>
  <w:style w:type="character" w:customStyle="1" w:styleId="Strongsoft">
    <w:name w:val="Strong soft"/>
    <w:basedOn w:val="DefaultParagraphFont"/>
    <w:uiPriority w:val="1"/>
    <w:qFormat/>
    <w:rsid w:val="006934C6"/>
    <w:rPr>
      <w:rFonts w:asciiTheme="majorHAnsi" w:hAnsiTheme="majorHAnsi"/>
      <w:b w:val="0"/>
      <w:color w:val="3E4246" w:themeColor="accent1"/>
    </w:rPr>
  </w:style>
  <w:style w:type="paragraph" w:styleId="CommentText">
    <w:name w:val="annotation text"/>
    <w:basedOn w:val="Normal"/>
    <w:link w:val="CommentTextChar"/>
    <w:uiPriority w:val="99"/>
    <w:unhideWhenUsed/>
    <w:rsid w:val="00AD339C"/>
    <w:pPr>
      <w:spacing w:line="240" w:lineRule="auto"/>
    </w:pPr>
    <w:rPr>
      <w:sz w:val="20"/>
      <w:szCs w:val="20"/>
    </w:rPr>
  </w:style>
  <w:style w:type="character" w:customStyle="1" w:styleId="CommentTextChar">
    <w:name w:val="Comment Text Char"/>
    <w:basedOn w:val="DefaultParagraphFont"/>
    <w:link w:val="CommentText"/>
    <w:uiPriority w:val="99"/>
    <w:rsid w:val="00AD339C"/>
    <w:rPr>
      <w:rFonts w:ascii="Aptos" w:hAnsi="Aptos"/>
      <w:sz w:val="20"/>
      <w:szCs w:val="20"/>
    </w:rPr>
  </w:style>
  <w:style w:type="paragraph" w:customStyle="1" w:styleId="NumberedH2">
    <w:name w:val="Numbered H2"/>
    <w:basedOn w:val="Heading2"/>
    <w:link w:val="NumberedH2Char"/>
    <w:qFormat/>
    <w:rsid w:val="00EA1B6E"/>
    <w:pPr>
      <w:pageBreakBefore w:val="0"/>
      <w:numPr>
        <w:numId w:val="14"/>
      </w:numPr>
      <w:spacing w:before="240" w:after="0" w:line="276" w:lineRule="auto"/>
      <w:ind w:right="0"/>
    </w:pPr>
    <w:rPr>
      <w:rFonts w:ascii="Calibri" w:hAnsi="Calibri"/>
      <w:b/>
      <w:color w:val="404246"/>
      <w:sz w:val="30"/>
      <w:szCs w:val="30"/>
    </w:rPr>
  </w:style>
  <w:style w:type="paragraph" w:customStyle="1" w:styleId="NumberedPara">
    <w:name w:val="Numbered Para"/>
    <w:basedOn w:val="Normal"/>
    <w:link w:val="NumberedParaChar"/>
    <w:qFormat/>
    <w:rsid w:val="00EA1B6E"/>
    <w:pPr>
      <w:numPr>
        <w:ilvl w:val="1"/>
        <w:numId w:val="14"/>
      </w:numPr>
      <w:spacing w:before="240" w:after="120" w:line="240" w:lineRule="auto"/>
    </w:pPr>
    <w:rPr>
      <w:rFonts w:ascii="Calibri" w:hAnsi="Calibri" w:cs="Calibri"/>
      <w:lang w:eastAsia="en-AU"/>
    </w:rPr>
  </w:style>
  <w:style w:type="character" w:customStyle="1" w:styleId="NumberedParaChar">
    <w:name w:val="Numbered Para Char"/>
    <w:basedOn w:val="DefaultParagraphFont"/>
    <w:link w:val="NumberedPara"/>
    <w:rsid w:val="00EA1B6E"/>
    <w:rPr>
      <w:rFonts w:ascii="Calibri" w:hAnsi="Calibri" w:cs="Calibri"/>
      <w:lang w:eastAsia="en-AU"/>
    </w:rPr>
  </w:style>
  <w:style w:type="character" w:customStyle="1" w:styleId="NumberedH2Char">
    <w:name w:val="Numbered H2 Char"/>
    <w:basedOn w:val="NumberedParaChar"/>
    <w:link w:val="NumberedH2"/>
    <w:rsid w:val="009D03BF"/>
    <w:rPr>
      <w:rFonts w:ascii="Calibri" w:eastAsiaTheme="majorEastAsia" w:hAnsi="Calibri" w:cstheme="majorBidi"/>
      <w:b/>
      <w:color w:val="404246"/>
      <w:sz w:val="30"/>
      <w:szCs w:val="30"/>
      <w:lang w:eastAsia="en-AU"/>
    </w:rPr>
  </w:style>
  <w:style w:type="paragraph" w:styleId="FootnoteText">
    <w:name w:val="footnote text"/>
    <w:basedOn w:val="Normal"/>
    <w:link w:val="FootnoteTextChar"/>
    <w:uiPriority w:val="99"/>
    <w:semiHidden/>
    <w:unhideWhenUsed/>
    <w:rsid w:val="009D03BF"/>
    <w:pPr>
      <w:spacing w:before="0"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9D03BF"/>
    <w:rPr>
      <w:sz w:val="20"/>
      <w:szCs w:val="20"/>
    </w:rPr>
  </w:style>
  <w:style w:type="character" w:styleId="FootnoteReference">
    <w:name w:val="footnote reference"/>
    <w:basedOn w:val="DefaultParagraphFont"/>
    <w:uiPriority w:val="99"/>
    <w:semiHidden/>
    <w:unhideWhenUsed/>
    <w:rsid w:val="009D03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3462\Downloads\4622%20DEWR%20A4%20Report%20Portrait_Template_Full%20colour%20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4921D7CB1C46729D31F87B6A5FBC0D"/>
        <w:category>
          <w:name w:val="General"/>
          <w:gallery w:val="placeholder"/>
        </w:category>
        <w:types>
          <w:type w:val="bbPlcHdr"/>
        </w:types>
        <w:behaviors>
          <w:behavior w:val="content"/>
        </w:behaviors>
        <w:guid w:val="{24EF476F-7961-44B9-9FD2-9217C6A519B2}"/>
      </w:docPartPr>
      <w:docPartBody>
        <w:p w:rsidR="0035203B" w:rsidRDefault="0035203B">
          <w:pPr>
            <w:pStyle w:val="7F4921D7CB1C46729D31F87B6A5FBC0D"/>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Fluent Icons">
    <w:panose1 w:val="050A0102010101010101"/>
    <w:charset w:val="00"/>
    <w:family w:val="roman"/>
    <w:pitch w:val="variable"/>
    <w:sig w:usb0="00000003" w:usb1="1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imHei">
    <w:panose1 w:val="02010600030101010101"/>
    <w:charset w:val="86"/>
    <w:family w:val="modern"/>
    <w:pitch w:val="fixed"/>
    <w:sig w:usb0="800002BF" w:usb1="38CF7CFA" w:usb2="00000016" w:usb3="00000000" w:csb0="00040001" w:csb1="00000000"/>
  </w:font>
  <w:font w:name="Aptos Light">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03B"/>
    <w:rsid w:val="00053A3C"/>
    <w:rsid w:val="0013076E"/>
    <w:rsid w:val="001629BF"/>
    <w:rsid w:val="001F4F7E"/>
    <w:rsid w:val="0035203B"/>
    <w:rsid w:val="00457FF2"/>
    <w:rsid w:val="004A505E"/>
    <w:rsid w:val="005A3655"/>
    <w:rsid w:val="0075446E"/>
    <w:rsid w:val="00754AFD"/>
    <w:rsid w:val="008358F1"/>
    <w:rsid w:val="00861B47"/>
    <w:rsid w:val="0087182B"/>
    <w:rsid w:val="008C0FF9"/>
    <w:rsid w:val="009E7E29"/>
    <w:rsid w:val="00B02A79"/>
    <w:rsid w:val="00B30FD8"/>
    <w:rsid w:val="00BE7EF7"/>
    <w:rsid w:val="00CE4363"/>
    <w:rsid w:val="00D35957"/>
    <w:rsid w:val="00D90CB1"/>
    <w:rsid w:val="00DF7FF1"/>
    <w:rsid w:val="00E61864"/>
    <w:rsid w:val="00E63EF1"/>
    <w:rsid w:val="00E82874"/>
    <w:rsid w:val="00E95A2F"/>
    <w:rsid w:val="00F02A18"/>
    <w:rsid w:val="00F63CC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1B47"/>
    <w:rPr>
      <w:color w:val="808080"/>
    </w:rPr>
  </w:style>
  <w:style w:type="paragraph" w:customStyle="1" w:styleId="7F4921D7CB1C46729D31F87B6A5FBC0D">
    <w:name w:val="7F4921D7CB1C46729D31F87B6A5FBC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49">
      <a:dk1>
        <a:srgbClr val="3E4246"/>
      </a:dk1>
      <a:lt1>
        <a:sysClr val="window" lastClr="FFFFFF"/>
      </a:lt1>
      <a:dk2>
        <a:srgbClr val="055044"/>
      </a:dk2>
      <a:lt2>
        <a:srgbClr val="4CBFAD"/>
      </a:lt2>
      <a:accent1>
        <a:srgbClr val="3E4246"/>
      </a:accent1>
      <a:accent2>
        <a:srgbClr val="78A34F"/>
      </a:accent2>
      <a:accent3>
        <a:srgbClr val="149B9E"/>
      </a:accent3>
      <a:accent4>
        <a:srgbClr val="A6BD38"/>
      </a:accent4>
      <a:accent5>
        <a:srgbClr val="86226C"/>
      </a:accent5>
      <a:accent6>
        <a:srgbClr val="262165"/>
      </a:accent6>
      <a:hlink>
        <a:srgbClr val="055044"/>
      </a:hlink>
      <a:folHlink>
        <a:srgbClr val="3E4246"/>
      </a:folHlink>
    </a:clrScheme>
    <a:fontScheme name="Custom 45">
      <a:majorFont>
        <a:latin typeface="Aptos SemiBold"/>
        <a:ea typeface=""/>
        <a:cs typeface=""/>
      </a:majorFont>
      <a:minorFont>
        <a:latin typeface="Aptos Displ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d01143-2e3a-4ce9-ae15-94b9200f6f24">
      <Terms xmlns="http://schemas.microsoft.com/office/infopath/2007/PartnerControls"/>
    </lcf76f155ced4ddcb4097134ff3c332f>
    <TaxCatchAll xmlns="be0bc83c-0d1b-4c0a-b5cb-929f3b46d994" xsi:nil="true"/>
    <Number xmlns="1ed01143-2e3a-4ce9-ae15-94b9200f6f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1DBAF0C7405D4582EA7CD0E7E2A257" ma:contentTypeVersion="19" ma:contentTypeDescription="Create a new document." ma:contentTypeScope="" ma:versionID="d6a9096a5d15b4a45777c546bf24a463">
  <xsd:schema xmlns:xsd="http://www.w3.org/2001/XMLSchema" xmlns:xs="http://www.w3.org/2001/XMLSchema" xmlns:p="http://schemas.microsoft.com/office/2006/metadata/properties" xmlns:ns2="1ed01143-2e3a-4ce9-ae15-94b9200f6f24" xmlns:ns3="be0bc83c-0d1b-4c0a-b5cb-929f3b46d994" targetNamespace="http://schemas.microsoft.com/office/2006/metadata/properties" ma:root="true" ma:fieldsID="0c7a8ec521be5ca02ef8266b4464dbdd" ns2:_="" ns3:_="">
    <xsd:import namespace="1ed01143-2e3a-4ce9-ae15-94b9200f6f24"/>
    <xsd:import namespace="be0bc83c-0d1b-4c0a-b5cb-929f3b46d9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Numbe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01143-2e3a-4ce9-ae15-94b9200f6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Number" ma:index="23" nillable="true" ma:displayName="Number" ma:format="Dropdown" ma:internalName="Number"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0bc83c-0d1b-4c0a-b5cb-929f3b46d9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7a0c93-35b6-4d1f-92fb-4a93f23ee9db}" ma:internalName="TaxCatchAll" ma:showField="CatchAllData" ma:web="be0bc83c-0d1b-4c0a-b5cb-929f3b46d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E7911-B764-4BB4-8CB6-7572F9BCADC5}">
  <ds:schemaRefs>
    <ds:schemaRef ds:uri="http://schemas.microsoft.com/sharepoint/v3/contenttype/forms"/>
  </ds:schemaRefs>
</ds:datastoreItem>
</file>

<file path=customXml/itemProps2.xml><?xml version="1.0" encoding="utf-8"?>
<ds:datastoreItem xmlns:ds="http://schemas.openxmlformats.org/officeDocument/2006/customXml" ds:itemID="{318A8EE1-1572-4D52-9E79-E751A32B5F0B}">
  <ds:schemaRefs>
    <ds:schemaRef ds:uri="http://schemas.microsoft.com/office/2006/metadata/properties"/>
    <ds:schemaRef ds:uri="http://schemas.microsoft.com/office/infopath/2007/PartnerControls"/>
    <ds:schemaRef ds:uri="1ed01143-2e3a-4ce9-ae15-94b9200f6f24"/>
    <ds:schemaRef ds:uri="be0bc83c-0d1b-4c0a-b5cb-929f3b46d994"/>
  </ds:schemaRefs>
</ds:datastoreItem>
</file>

<file path=customXml/itemProps3.xml><?xml version="1.0" encoding="utf-8"?>
<ds:datastoreItem xmlns:ds="http://schemas.openxmlformats.org/officeDocument/2006/customXml" ds:itemID="{D708F010-64E4-4880-8621-F799B0AA7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01143-2e3a-4ce9-ae15-94b9200f6f24"/>
    <ds:schemaRef ds:uri="be0bc83c-0d1b-4c0a-b5cb-929f3b46d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4622 DEWR A4 Report Portrait_Template_Full colour cover.dotx</Template>
  <TotalTime>5</TotalTime>
  <Pages>7</Pages>
  <Words>1507</Words>
  <Characters>8563</Characters>
  <Application>Microsoft Office Word</Application>
  <DocSecurity>0</DocSecurity>
  <Lines>276</Lines>
  <Paragraphs>114</Paragraphs>
  <ScaleCrop>false</ScaleCrop>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Data Provision Exemptions Policy</dc:title>
  <dc:subject/>
  <dc:creator>PIRUTTI,Mariana</dc:creator>
  <cp:keywords/>
  <dc:description/>
  <cp:lastModifiedBy>SIMPSON,Glen</cp:lastModifiedBy>
  <cp:revision>49</cp:revision>
  <cp:lastPrinted>2026-06-22T21:19:00Z</cp:lastPrinted>
  <dcterms:created xsi:type="dcterms:W3CDTF">2026-07-06T23:34:00Z</dcterms:created>
  <dcterms:modified xsi:type="dcterms:W3CDTF">2026-07-08T05:04:00Z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0x010100231DBAF0C7405D4582EA7CD0E7E2A257</vt:lpwstr>
  </property>
  <property fmtid="{D5CDD505-2E9C-101B-9397-08002B2CF9AE}" pid="10" name="MediaServiceImageTags">
    <vt:lpwstr/>
  </property>
</Properties>
</file>