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97" w:rsidRDefault="00361797" w:rsidP="00361797">
      <w:pPr>
        <w:rPr>
          <w:b/>
          <w:sz w:val="24"/>
          <w:szCs w:val="24"/>
        </w:rPr>
      </w:pPr>
      <w:r w:rsidRPr="00D12DEC">
        <w:rPr>
          <w:b/>
          <w:sz w:val="24"/>
          <w:szCs w:val="24"/>
        </w:rPr>
        <w:t>Department of Education, Employment and Workplace Relations</w:t>
      </w:r>
    </w:p>
    <w:p w:rsidR="00361797" w:rsidRDefault="00361797" w:rsidP="00361797">
      <w:pPr>
        <w:rPr>
          <w:rFonts w:asciiTheme="minorHAnsi" w:hAnsiTheme="minorHAnsi" w:cstheme="minorHAnsi"/>
          <w:b/>
          <w:sz w:val="24"/>
          <w:szCs w:val="24"/>
        </w:rPr>
      </w:pPr>
    </w:p>
    <w:p w:rsidR="00361797" w:rsidRDefault="00361797" w:rsidP="00361797">
      <w:pPr>
        <w:rPr>
          <w:rFonts w:asciiTheme="minorHAnsi" w:hAnsiTheme="minorHAnsi" w:cstheme="minorHAnsi"/>
          <w:b/>
          <w:sz w:val="24"/>
          <w:szCs w:val="24"/>
        </w:rPr>
      </w:pPr>
    </w:p>
    <w:p w:rsidR="00361797" w:rsidRDefault="00361797" w:rsidP="00361797">
      <w:pPr>
        <w:rPr>
          <w:b/>
          <w:sz w:val="24"/>
          <w:szCs w:val="24"/>
        </w:rPr>
      </w:pPr>
      <w:r>
        <w:rPr>
          <w:b/>
          <w:sz w:val="24"/>
          <w:szCs w:val="24"/>
        </w:rPr>
        <w:t>Financial Statements 2013-14</w:t>
      </w:r>
      <w:r>
        <w:rPr>
          <w:b/>
          <w:sz w:val="24"/>
          <w:szCs w:val="24"/>
        </w:rPr>
        <w:br w:type="page"/>
      </w:r>
    </w:p>
    <w:p w:rsidR="00361797" w:rsidRDefault="00361797" w:rsidP="00361797">
      <w:pPr>
        <w:spacing w:line="240" w:lineRule="auto"/>
        <w:sectPr w:rsidR="0036179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958" w:footer="737" w:gutter="0"/>
          <w:cols w:space="720"/>
        </w:sectPr>
      </w:pPr>
    </w:p>
    <w:p w:rsidR="00361797" w:rsidRDefault="00361797" w:rsidP="00361797">
      <w:pPr>
        <w:spacing w:line="240" w:lineRule="auto"/>
      </w:pP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Summary of Significant Accounting Policies</w:t>
      </w:r>
      <w:r w:rsidRPr="002E1B21">
        <w:rPr>
          <w:rFonts w:asciiTheme="minorHAnsi" w:hAnsiTheme="minorHAnsi" w:cstheme="minorHAnsi"/>
          <w:noProof/>
          <w:webHidden/>
        </w:rPr>
        <w:tab/>
      </w:r>
      <w:r>
        <w:rPr>
          <w:rFonts w:asciiTheme="minorHAnsi" w:hAnsiTheme="minorHAnsi" w:cstheme="minorHAnsi"/>
          <w:noProof/>
          <w:webHidden/>
        </w:rPr>
        <w:t>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Events After the Reporting Period</w:t>
      </w:r>
      <w:r w:rsidRPr="002E1B21">
        <w:rPr>
          <w:rFonts w:asciiTheme="minorHAnsi" w:hAnsiTheme="minorHAnsi" w:cstheme="minorHAnsi"/>
          <w:noProof/>
          <w:webHidden/>
        </w:rPr>
        <w:tab/>
      </w:r>
      <w:r>
        <w:rPr>
          <w:rFonts w:asciiTheme="minorHAnsi" w:hAnsiTheme="minorHAnsi" w:cstheme="minorHAnsi"/>
          <w:noProof/>
          <w:webHidden/>
        </w:rPr>
        <w:t>13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3:</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Expenses</w:t>
      </w:r>
      <w:r w:rsidRPr="002E1B21">
        <w:rPr>
          <w:rFonts w:asciiTheme="minorHAnsi" w:hAnsiTheme="minorHAnsi" w:cstheme="minorHAnsi"/>
          <w:noProof/>
          <w:webHidden/>
        </w:rPr>
        <w:tab/>
      </w:r>
      <w:r>
        <w:rPr>
          <w:rFonts w:asciiTheme="minorHAnsi" w:hAnsiTheme="minorHAnsi" w:cstheme="minorHAnsi"/>
          <w:noProof/>
          <w:webHidden/>
        </w:rPr>
        <w:t>14</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4:</w:t>
      </w:r>
      <w:r w:rsidRPr="002E1B21">
        <w:rPr>
          <w:rFonts w:asciiTheme="minorHAnsi" w:eastAsiaTheme="minorEastAsia" w:hAnsiTheme="minorHAnsi" w:cstheme="minorHAnsi"/>
          <w:noProof/>
          <w:lang w:eastAsia="en-AU"/>
        </w:rPr>
        <w:tab/>
      </w:r>
      <w:r>
        <w:rPr>
          <w:rFonts w:asciiTheme="minorHAnsi" w:eastAsiaTheme="minorEastAsia" w:hAnsiTheme="minorHAnsi" w:cstheme="minorHAnsi"/>
          <w:noProof/>
          <w:lang w:eastAsia="en-AU"/>
        </w:rPr>
        <w:t xml:space="preserve">Own-Source </w:t>
      </w:r>
      <w:r w:rsidRPr="00F51694">
        <w:rPr>
          <w:rFonts w:asciiTheme="minorHAnsi" w:eastAsiaTheme="majorEastAsia" w:hAnsiTheme="minorHAnsi" w:cstheme="minorHAnsi"/>
          <w:noProof/>
        </w:rPr>
        <w:t>Income</w:t>
      </w:r>
      <w:r w:rsidRPr="002E1B21">
        <w:rPr>
          <w:rFonts w:asciiTheme="minorHAnsi" w:hAnsiTheme="minorHAnsi" w:cstheme="minorHAnsi"/>
          <w:noProof/>
          <w:webHidden/>
        </w:rPr>
        <w:tab/>
      </w:r>
      <w:r>
        <w:rPr>
          <w:rFonts w:asciiTheme="minorHAnsi" w:hAnsiTheme="minorHAnsi" w:cstheme="minorHAnsi"/>
          <w:noProof/>
          <w:webHidden/>
        </w:rPr>
        <w:t>16</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5:</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Fair Value Measurement</w:t>
      </w:r>
      <w:r w:rsidRPr="002E1B21">
        <w:rPr>
          <w:rFonts w:asciiTheme="minorHAnsi" w:hAnsiTheme="minorHAnsi" w:cstheme="minorHAnsi"/>
          <w:noProof/>
          <w:webHidden/>
        </w:rPr>
        <w:tab/>
      </w:r>
      <w:r>
        <w:rPr>
          <w:rFonts w:asciiTheme="minorHAnsi" w:hAnsiTheme="minorHAnsi" w:cstheme="minorHAnsi"/>
          <w:noProof/>
          <w:webHidden/>
        </w:rPr>
        <w:t>17</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6:</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Financial Assets</w:t>
      </w:r>
      <w:r w:rsidRPr="002E1B21">
        <w:rPr>
          <w:rFonts w:asciiTheme="minorHAnsi" w:hAnsiTheme="minorHAnsi" w:cstheme="minorHAnsi"/>
          <w:noProof/>
          <w:webHidden/>
        </w:rPr>
        <w:tab/>
      </w:r>
      <w:r>
        <w:rPr>
          <w:rFonts w:asciiTheme="minorHAnsi" w:hAnsiTheme="minorHAnsi" w:cstheme="minorHAnsi"/>
          <w:noProof/>
          <w:webHidden/>
        </w:rPr>
        <w:t>21</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7:</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Non-Financial Assets</w:t>
      </w:r>
      <w:r w:rsidRPr="002E1B21">
        <w:rPr>
          <w:rFonts w:asciiTheme="minorHAnsi" w:hAnsiTheme="minorHAnsi" w:cstheme="minorHAnsi"/>
          <w:noProof/>
          <w:webHidden/>
        </w:rPr>
        <w:tab/>
      </w:r>
      <w:r>
        <w:rPr>
          <w:rFonts w:asciiTheme="minorHAnsi" w:hAnsiTheme="minorHAnsi" w:cstheme="minorHAnsi"/>
          <w:noProof/>
          <w:webHidden/>
        </w:rPr>
        <w:t>23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8:</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Payables</w:t>
      </w:r>
      <w:r w:rsidRPr="002E1B21">
        <w:rPr>
          <w:rFonts w:asciiTheme="minorHAnsi" w:hAnsiTheme="minorHAnsi" w:cstheme="minorHAnsi"/>
          <w:noProof/>
          <w:webHidden/>
        </w:rPr>
        <w:tab/>
      </w:r>
      <w:r>
        <w:rPr>
          <w:rFonts w:asciiTheme="minorHAnsi" w:hAnsiTheme="minorHAnsi" w:cstheme="minorHAnsi"/>
          <w:noProof/>
          <w:webHidden/>
        </w:rPr>
        <w:t>30</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9:</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Provisions</w:t>
      </w:r>
      <w:r w:rsidRPr="002E1B21">
        <w:rPr>
          <w:rFonts w:asciiTheme="minorHAnsi" w:hAnsiTheme="minorHAnsi" w:cstheme="minorHAnsi"/>
          <w:noProof/>
          <w:webHidden/>
        </w:rPr>
        <w:tab/>
      </w:r>
      <w:r>
        <w:rPr>
          <w:rFonts w:asciiTheme="minorHAnsi" w:hAnsiTheme="minorHAnsi" w:cstheme="minorHAnsi"/>
          <w:noProof/>
          <w:webHidden/>
        </w:rPr>
        <w:t>31</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10:</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Restructuring</w:t>
      </w:r>
      <w:r w:rsidRPr="002E1B21">
        <w:rPr>
          <w:rFonts w:asciiTheme="minorHAnsi" w:hAnsiTheme="minorHAnsi" w:cstheme="minorHAnsi"/>
          <w:noProof/>
          <w:webHidden/>
        </w:rPr>
        <w:tab/>
      </w:r>
      <w:r>
        <w:rPr>
          <w:rFonts w:asciiTheme="minorHAnsi" w:hAnsiTheme="minorHAnsi" w:cstheme="minorHAnsi"/>
          <w:noProof/>
          <w:webHidden/>
        </w:rPr>
        <w:t>32</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11:</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Cash Flow Reconciliation</w:t>
      </w:r>
      <w:r w:rsidRPr="002E1B21">
        <w:rPr>
          <w:rFonts w:asciiTheme="minorHAnsi" w:hAnsiTheme="minorHAnsi" w:cstheme="minorHAnsi"/>
          <w:noProof/>
          <w:webHidden/>
        </w:rPr>
        <w:tab/>
      </w:r>
      <w:r>
        <w:rPr>
          <w:rFonts w:asciiTheme="minorHAnsi" w:hAnsiTheme="minorHAnsi" w:cstheme="minorHAnsi"/>
          <w:noProof/>
          <w:webHidden/>
        </w:rPr>
        <w:t>36</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12:</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Contingent Assets and Liabilities</w:t>
      </w:r>
      <w:r w:rsidRPr="002E1B21">
        <w:rPr>
          <w:rFonts w:asciiTheme="minorHAnsi" w:hAnsiTheme="minorHAnsi" w:cstheme="minorHAnsi"/>
          <w:noProof/>
          <w:webHidden/>
        </w:rPr>
        <w:tab/>
      </w:r>
      <w:r>
        <w:rPr>
          <w:rFonts w:asciiTheme="minorHAnsi" w:hAnsiTheme="minorHAnsi" w:cstheme="minorHAnsi"/>
          <w:noProof/>
          <w:webHidden/>
        </w:rPr>
        <w:t>37</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13:</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Senior Executive Remuneration</w:t>
      </w:r>
      <w:r w:rsidRPr="002E1B21">
        <w:rPr>
          <w:rFonts w:asciiTheme="minorHAnsi" w:hAnsiTheme="minorHAnsi" w:cstheme="minorHAnsi"/>
          <w:noProof/>
          <w:webHidden/>
        </w:rPr>
        <w:tab/>
      </w:r>
      <w:r>
        <w:rPr>
          <w:rFonts w:asciiTheme="minorHAnsi" w:hAnsiTheme="minorHAnsi" w:cstheme="minorHAnsi"/>
          <w:noProof/>
          <w:webHidden/>
        </w:rPr>
        <w:t>39</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14:</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Remuneration of Auditors</w:t>
      </w:r>
      <w:r w:rsidRPr="002E1B21">
        <w:rPr>
          <w:rFonts w:asciiTheme="minorHAnsi" w:hAnsiTheme="minorHAnsi" w:cstheme="minorHAnsi"/>
          <w:noProof/>
          <w:webHidden/>
        </w:rPr>
        <w:tab/>
      </w:r>
      <w:r>
        <w:rPr>
          <w:rFonts w:asciiTheme="minorHAnsi" w:hAnsiTheme="minorHAnsi" w:cstheme="minorHAnsi"/>
          <w:noProof/>
          <w:webHidden/>
        </w:rPr>
        <w:t>43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15:</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Financial Instruments</w:t>
      </w:r>
      <w:r w:rsidRPr="002E1B21">
        <w:rPr>
          <w:rFonts w:asciiTheme="minorHAnsi" w:hAnsiTheme="minorHAnsi" w:cstheme="minorHAnsi"/>
          <w:noProof/>
          <w:webHidden/>
        </w:rPr>
        <w:tab/>
      </w:r>
      <w:r>
        <w:rPr>
          <w:rFonts w:asciiTheme="minorHAnsi" w:hAnsiTheme="minorHAnsi" w:cstheme="minorHAnsi"/>
          <w:noProof/>
          <w:webHidden/>
        </w:rPr>
        <w:t>43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16:</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Financial Assets Reconciliation</w:t>
      </w:r>
      <w:r w:rsidRPr="002E1B21">
        <w:rPr>
          <w:rFonts w:asciiTheme="minorHAnsi" w:hAnsiTheme="minorHAnsi" w:cstheme="minorHAnsi"/>
          <w:noProof/>
          <w:webHidden/>
        </w:rPr>
        <w:tab/>
      </w:r>
      <w:r>
        <w:rPr>
          <w:rFonts w:asciiTheme="minorHAnsi" w:hAnsiTheme="minorHAnsi" w:cstheme="minorHAnsi"/>
          <w:noProof/>
          <w:webHidden/>
        </w:rPr>
        <w:t>46</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17:</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Expenses</w:t>
      </w:r>
      <w:r w:rsidRPr="002E1B21">
        <w:rPr>
          <w:rFonts w:asciiTheme="minorHAnsi" w:hAnsiTheme="minorHAnsi" w:cstheme="minorHAnsi"/>
          <w:noProof/>
          <w:webHidden/>
        </w:rPr>
        <w:tab/>
      </w:r>
      <w:r>
        <w:rPr>
          <w:rFonts w:asciiTheme="minorHAnsi" w:hAnsiTheme="minorHAnsi" w:cstheme="minorHAnsi"/>
          <w:noProof/>
          <w:webHidden/>
        </w:rPr>
        <w:t>47</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18:</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Income</w:t>
      </w:r>
      <w:r w:rsidRPr="002E1B21">
        <w:rPr>
          <w:rFonts w:asciiTheme="minorHAnsi" w:hAnsiTheme="minorHAnsi" w:cstheme="minorHAnsi"/>
          <w:noProof/>
          <w:webHidden/>
        </w:rPr>
        <w:tab/>
      </w:r>
      <w:r>
        <w:rPr>
          <w:rFonts w:asciiTheme="minorHAnsi" w:hAnsiTheme="minorHAnsi" w:cstheme="minorHAnsi"/>
          <w:noProof/>
          <w:webHidden/>
        </w:rPr>
        <w:t>50</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19:</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Fair Value Measurement</w:t>
      </w:r>
      <w:r w:rsidRPr="002E1B21">
        <w:rPr>
          <w:rFonts w:asciiTheme="minorHAnsi" w:hAnsiTheme="minorHAnsi" w:cstheme="minorHAnsi"/>
          <w:noProof/>
          <w:webHidden/>
        </w:rPr>
        <w:tab/>
      </w:r>
      <w:r>
        <w:rPr>
          <w:rFonts w:asciiTheme="minorHAnsi" w:hAnsiTheme="minorHAnsi" w:cstheme="minorHAnsi"/>
          <w:noProof/>
          <w:webHidden/>
        </w:rPr>
        <w:t>51</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20:</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Financial Assets</w:t>
      </w:r>
      <w:r w:rsidRPr="002E1B21">
        <w:rPr>
          <w:rFonts w:asciiTheme="minorHAnsi" w:hAnsiTheme="minorHAnsi" w:cstheme="minorHAnsi"/>
          <w:noProof/>
          <w:webHidden/>
        </w:rPr>
        <w:tab/>
      </w:r>
      <w:r>
        <w:rPr>
          <w:rFonts w:asciiTheme="minorHAnsi" w:hAnsiTheme="minorHAnsi" w:cstheme="minorHAnsi"/>
          <w:noProof/>
          <w:webHidden/>
        </w:rPr>
        <w:t>53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21:</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Non-Financial Assets</w:t>
      </w:r>
      <w:r w:rsidRPr="002E1B21">
        <w:rPr>
          <w:rFonts w:asciiTheme="minorHAnsi" w:hAnsiTheme="minorHAnsi" w:cstheme="minorHAnsi"/>
          <w:noProof/>
          <w:webHidden/>
        </w:rPr>
        <w:tab/>
      </w:r>
      <w:r>
        <w:rPr>
          <w:rFonts w:asciiTheme="minorHAnsi" w:hAnsiTheme="minorHAnsi" w:cstheme="minorHAnsi"/>
          <w:noProof/>
          <w:webHidden/>
        </w:rPr>
        <w:t>56</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22:</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Payables</w:t>
      </w:r>
      <w:r w:rsidRPr="002E1B21">
        <w:rPr>
          <w:rFonts w:asciiTheme="minorHAnsi" w:hAnsiTheme="minorHAnsi" w:cstheme="minorHAnsi"/>
          <w:noProof/>
          <w:webHidden/>
        </w:rPr>
        <w:tab/>
      </w:r>
      <w:r>
        <w:rPr>
          <w:rFonts w:asciiTheme="minorHAnsi" w:hAnsiTheme="minorHAnsi" w:cstheme="minorHAnsi"/>
          <w:noProof/>
          <w:webHidden/>
        </w:rPr>
        <w:t>56</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23:</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Provisions</w:t>
      </w:r>
      <w:r w:rsidRPr="002E1B21">
        <w:rPr>
          <w:rFonts w:asciiTheme="minorHAnsi" w:hAnsiTheme="minorHAnsi" w:cstheme="minorHAnsi"/>
          <w:noProof/>
          <w:webHidden/>
        </w:rPr>
        <w:tab/>
      </w:r>
      <w:r>
        <w:rPr>
          <w:rFonts w:asciiTheme="minorHAnsi" w:hAnsiTheme="minorHAnsi" w:cstheme="minorHAnsi"/>
          <w:noProof/>
          <w:webHidden/>
        </w:rPr>
        <w:t>57</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24:</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Cash Flow Reconciliation</w:t>
      </w:r>
      <w:r w:rsidRPr="002E1B21">
        <w:rPr>
          <w:rFonts w:asciiTheme="minorHAnsi" w:hAnsiTheme="minorHAnsi" w:cstheme="minorHAnsi"/>
          <w:noProof/>
          <w:webHidden/>
        </w:rPr>
        <w:tab/>
      </w:r>
      <w:r>
        <w:rPr>
          <w:rFonts w:asciiTheme="minorHAnsi" w:hAnsiTheme="minorHAnsi" w:cstheme="minorHAnsi"/>
          <w:noProof/>
          <w:webHidden/>
        </w:rPr>
        <w:t>59</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25:</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Contingent Assets and Liabilities</w:t>
      </w:r>
      <w:r w:rsidRPr="002E1B21">
        <w:rPr>
          <w:rFonts w:asciiTheme="minorHAnsi" w:hAnsiTheme="minorHAnsi" w:cstheme="minorHAnsi"/>
          <w:noProof/>
          <w:webHidden/>
        </w:rPr>
        <w:tab/>
      </w:r>
      <w:r>
        <w:rPr>
          <w:rFonts w:asciiTheme="minorHAnsi" w:hAnsiTheme="minorHAnsi" w:cstheme="minorHAnsi"/>
          <w:noProof/>
          <w:webHidden/>
        </w:rPr>
        <w:t>60</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26:</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Financial Instruments</w:t>
      </w:r>
      <w:r w:rsidRPr="002E1B21">
        <w:rPr>
          <w:rFonts w:asciiTheme="minorHAnsi" w:hAnsiTheme="minorHAnsi" w:cstheme="minorHAnsi"/>
          <w:noProof/>
          <w:webHidden/>
        </w:rPr>
        <w:tab/>
      </w:r>
      <w:r>
        <w:rPr>
          <w:rFonts w:asciiTheme="minorHAnsi" w:hAnsiTheme="minorHAnsi" w:cstheme="minorHAnsi"/>
          <w:noProof/>
          <w:webHidden/>
        </w:rPr>
        <w:t>62</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27:</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Administered Financial Assets Reconciliation</w:t>
      </w:r>
      <w:r w:rsidRPr="002E1B21">
        <w:rPr>
          <w:rFonts w:asciiTheme="minorHAnsi" w:hAnsiTheme="minorHAnsi" w:cstheme="minorHAnsi"/>
          <w:noProof/>
          <w:webHidden/>
        </w:rPr>
        <w:tab/>
      </w:r>
      <w:r>
        <w:rPr>
          <w:rFonts w:asciiTheme="minorHAnsi" w:hAnsiTheme="minorHAnsi" w:cstheme="minorHAnsi"/>
          <w:noProof/>
          <w:webHidden/>
        </w:rPr>
        <w:t>68</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28:</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Appropriations</w:t>
      </w:r>
      <w:r w:rsidRPr="002E1B21">
        <w:rPr>
          <w:rFonts w:asciiTheme="minorHAnsi" w:hAnsiTheme="minorHAnsi" w:cstheme="minorHAnsi"/>
          <w:noProof/>
          <w:webHidden/>
        </w:rPr>
        <w:tab/>
      </w:r>
      <w:r>
        <w:rPr>
          <w:rFonts w:asciiTheme="minorHAnsi" w:hAnsiTheme="minorHAnsi" w:cstheme="minorHAnsi"/>
          <w:noProof/>
          <w:webHidden/>
        </w:rPr>
        <w:t>69</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29:</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Special Accounts</w:t>
      </w:r>
      <w:r w:rsidRPr="002E1B21">
        <w:rPr>
          <w:rFonts w:asciiTheme="minorHAnsi" w:hAnsiTheme="minorHAnsi" w:cstheme="minorHAnsi"/>
          <w:noProof/>
          <w:webHidden/>
        </w:rPr>
        <w:tab/>
      </w:r>
      <w:r>
        <w:rPr>
          <w:rFonts w:asciiTheme="minorHAnsi" w:hAnsiTheme="minorHAnsi" w:cstheme="minorHAnsi"/>
          <w:noProof/>
          <w:webHidden/>
        </w:rPr>
        <w:t>79</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30:</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Compensation and Debt Relief</w:t>
      </w:r>
      <w:r w:rsidRPr="002E1B21">
        <w:rPr>
          <w:rFonts w:asciiTheme="minorHAnsi" w:hAnsiTheme="minorHAnsi" w:cstheme="minorHAnsi"/>
          <w:noProof/>
          <w:webHidden/>
        </w:rPr>
        <w:tab/>
      </w:r>
      <w:r>
        <w:rPr>
          <w:rFonts w:asciiTheme="minorHAnsi" w:hAnsiTheme="minorHAnsi" w:cstheme="minorHAnsi"/>
          <w:noProof/>
          <w:webHidden/>
        </w:rPr>
        <w:t>81</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31:</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Reporting of Outcomes</w:t>
      </w:r>
      <w:r w:rsidRPr="002E1B21">
        <w:rPr>
          <w:rFonts w:asciiTheme="minorHAnsi" w:hAnsiTheme="minorHAnsi" w:cstheme="minorHAnsi"/>
          <w:noProof/>
          <w:webHidden/>
        </w:rPr>
        <w:tab/>
      </w:r>
      <w:r>
        <w:rPr>
          <w:rFonts w:asciiTheme="minorHAnsi" w:hAnsiTheme="minorHAnsi" w:cstheme="minorHAnsi"/>
          <w:noProof/>
          <w:webHidden/>
        </w:rPr>
        <w:t>83</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rPr>
        <w:t>Note 32:</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rPr>
        <w:t>Net Cash Appropriation Arrangements</w:t>
      </w:r>
      <w:r w:rsidRPr="002E1B21">
        <w:rPr>
          <w:rFonts w:asciiTheme="minorHAnsi" w:hAnsiTheme="minorHAnsi" w:cstheme="minorHAnsi"/>
          <w:noProof/>
          <w:webHidden/>
        </w:rPr>
        <w:tab/>
      </w:r>
      <w:r>
        <w:rPr>
          <w:rFonts w:asciiTheme="minorHAnsi" w:hAnsiTheme="minorHAnsi" w:cstheme="minorHAnsi"/>
          <w:noProof/>
          <w:webHidden/>
        </w:rPr>
        <w:t>88</w:t>
      </w:r>
    </w:p>
    <w:p w:rsidR="00361797" w:rsidRPr="002E1B21" w:rsidRDefault="00361797" w:rsidP="00361797">
      <w:pPr>
        <w:pStyle w:val="TOC1"/>
        <w:rPr>
          <w:rFonts w:asciiTheme="minorHAnsi" w:eastAsiaTheme="minorEastAsia" w:hAnsiTheme="minorHAnsi" w:cstheme="minorHAnsi"/>
          <w:noProof/>
          <w:lang w:eastAsia="en-AU"/>
        </w:rPr>
      </w:pPr>
      <w:r w:rsidRPr="00F51694">
        <w:rPr>
          <w:rFonts w:asciiTheme="minorHAnsi" w:eastAsiaTheme="majorEastAsia" w:hAnsiTheme="minorHAnsi" w:cstheme="minorHAnsi"/>
          <w:noProof/>
          <w:lang w:eastAsia="en-AU"/>
        </w:rPr>
        <w:t>Note 33:</w:t>
      </w:r>
      <w:r w:rsidRPr="002E1B21">
        <w:rPr>
          <w:rFonts w:asciiTheme="minorHAnsi" w:eastAsiaTheme="minorEastAsia" w:hAnsiTheme="minorHAnsi" w:cstheme="minorHAnsi"/>
          <w:noProof/>
          <w:lang w:eastAsia="en-AU"/>
        </w:rPr>
        <w:tab/>
      </w:r>
      <w:r w:rsidRPr="00F51694">
        <w:rPr>
          <w:rFonts w:asciiTheme="minorHAnsi" w:eastAsiaTheme="majorEastAsia" w:hAnsiTheme="minorHAnsi" w:cstheme="minorHAnsi"/>
          <w:noProof/>
          <w:lang w:eastAsia="en-AU"/>
        </w:rPr>
        <w:t>Compliance with Statutory Conditions for Payments from the Consolidated Revenue Fund</w:t>
      </w:r>
      <w:r w:rsidRPr="002E1B21">
        <w:rPr>
          <w:rFonts w:asciiTheme="minorHAnsi" w:hAnsiTheme="minorHAnsi" w:cstheme="minorHAnsi"/>
          <w:noProof/>
          <w:webHidden/>
        </w:rPr>
        <w:tab/>
      </w:r>
      <w:r>
        <w:rPr>
          <w:rFonts w:asciiTheme="minorHAnsi" w:hAnsiTheme="minorHAnsi" w:cstheme="minorHAnsi"/>
          <w:noProof/>
          <w:webHidden/>
        </w:rPr>
        <w:t>89</w:t>
      </w:r>
    </w:p>
    <w:p w:rsidR="00361797" w:rsidRDefault="00361797" w:rsidP="00361797">
      <w:pPr>
        <w:spacing w:line="240" w:lineRule="auto"/>
      </w:pPr>
    </w:p>
    <w:p w:rsidR="00361797" w:rsidRDefault="00361797" w:rsidP="00361797">
      <w:pPr>
        <w:spacing w:line="240" w:lineRule="auto"/>
        <w:sectPr w:rsidR="00361797">
          <w:headerReference w:type="default" r:id="rId14"/>
          <w:footerReference w:type="default" r:id="rId15"/>
          <w:pgSz w:w="11906" w:h="16838"/>
          <w:pgMar w:top="1134" w:right="1134" w:bottom="1134" w:left="1134" w:header="958" w:footer="737" w:gutter="0"/>
          <w:cols w:space="720"/>
        </w:sectPr>
      </w:pPr>
    </w:p>
    <w:p w:rsidR="00361797" w:rsidRDefault="00361797" w:rsidP="00361797"/>
    <w:p w:rsidR="00361797" w:rsidRDefault="00361797" w:rsidP="00361797">
      <w:pPr>
        <w:spacing w:line="240" w:lineRule="auto"/>
      </w:pPr>
      <w:r>
        <w:br w:type="page"/>
      </w:r>
    </w:p>
    <w:p w:rsidR="00361797" w:rsidRDefault="00361797" w:rsidP="00361797">
      <w:pPr>
        <w:pStyle w:val="NotesHeading-Level1"/>
        <w:numPr>
          <w:ilvl w:val="0"/>
          <w:numId w:val="14"/>
        </w:numPr>
        <w:rPr>
          <w:rFonts w:cstheme="minorHAnsi"/>
        </w:rPr>
      </w:pPr>
      <w:bookmarkStart w:id="1" w:name="_Toc388962620"/>
      <w:r>
        <w:rPr>
          <w:rFonts w:cstheme="minorHAnsi"/>
        </w:rPr>
        <w:lastRenderedPageBreak/>
        <w:t>Summary of Significant Accounting Policies</w:t>
      </w:r>
      <w:bookmarkEnd w:id="1"/>
    </w:p>
    <w:p w:rsidR="00361797" w:rsidRDefault="00361797" w:rsidP="00361797">
      <w:pPr>
        <w:spacing w:line="240" w:lineRule="auto"/>
        <w:rPr>
          <w:rFonts w:asciiTheme="minorHAnsi" w:hAnsiTheme="minorHAnsi" w:cstheme="minorHAnsi"/>
          <w:sz w:val="20"/>
          <w:lang w:eastAsia="en-AU"/>
        </w:rPr>
      </w:pPr>
    </w:p>
    <w:p w:rsidR="00361797" w:rsidRDefault="00361797" w:rsidP="00361797">
      <w:pPr>
        <w:pStyle w:val="SAPHeading-Level2"/>
        <w:numPr>
          <w:ilvl w:val="1"/>
          <w:numId w:val="16"/>
        </w:numPr>
      </w:pPr>
      <w:r>
        <w:t>Objectives of the department</w:t>
      </w:r>
    </w:p>
    <w:p w:rsidR="00361797" w:rsidRDefault="00361797" w:rsidP="00361797">
      <w:pPr>
        <w:pStyle w:val="NotesText0"/>
        <w:rPr>
          <w:rFonts w:cstheme="minorHAnsi"/>
          <w:sz w:val="20"/>
          <w:szCs w:val="20"/>
        </w:rPr>
      </w:pPr>
      <w:r>
        <w:rPr>
          <w:rFonts w:cstheme="minorHAnsi"/>
          <w:sz w:val="20"/>
          <w:szCs w:val="20"/>
        </w:rPr>
        <w:t>The Department of Education, Employment and Workplace Relations (the department) was an Australian Government controlled entity. It was a not-for-profit entity. The department was abolished on 18 September 2013 following the issue of a new Administrative Arrangements Order (</w:t>
      </w:r>
      <w:proofErr w:type="spellStart"/>
      <w:r>
        <w:rPr>
          <w:rFonts w:cstheme="minorHAnsi"/>
          <w:sz w:val="20"/>
          <w:szCs w:val="20"/>
        </w:rPr>
        <w:t>AAO</w:t>
      </w:r>
      <w:proofErr w:type="spellEnd"/>
      <w:r>
        <w:rPr>
          <w:rFonts w:cstheme="minorHAnsi"/>
          <w:sz w:val="20"/>
          <w:szCs w:val="20"/>
        </w:rPr>
        <w:t>).</w:t>
      </w:r>
    </w:p>
    <w:p w:rsidR="00361797" w:rsidRDefault="00361797" w:rsidP="00361797">
      <w:pPr>
        <w:pStyle w:val="NotesText0"/>
        <w:rPr>
          <w:rFonts w:cstheme="minorHAnsi"/>
          <w:sz w:val="20"/>
          <w:szCs w:val="20"/>
        </w:rPr>
      </w:pPr>
      <w:r>
        <w:rPr>
          <w:rFonts w:cstheme="minorHAnsi"/>
          <w:sz w:val="20"/>
          <w:szCs w:val="20"/>
        </w:rPr>
        <w:t>The department provided advice to the Government and administered programmes to achieve the Government’s objectives for education, employment and workplace relations. The department worked in partnership with the states and territories, non-government authorities, providers and industry.</w:t>
      </w:r>
    </w:p>
    <w:p w:rsidR="00361797" w:rsidRDefault="00361797" w:rsidP="00361797">
      <w:pPr>
        <w:pStyle w:val="NotesText0"/>
        <w:rPr>
          <w:rFonts w:cstheme="minorHAnsi"/>
          <w:sz w:val="20"/>
          <w:szCs w:val="20"/>
        </w:rPr>
      </w:pPr>
      <w:r>
        <w:rPr>
          <w:rFonts w:cstheme="minorHAnsi"/>
          <w:sz w:val="20"/>
          <w:szCs w:val="20"/>
        </w:rPr>
        <w:t>The department was structured to meet the following outcomes:</w:t>
      </w:r>
    </w:p>
    <w:p w:rsidR="00361797" w:rsidRDefault="00361797" w:rsidP="00361797">
      <w:pPr>
        <w:pStyle w:val="NotesText0"/>
        <w:rPr>
          <w:rFonts w:cstheme="minorHAnsi"/>
          <w:sz w:val="20"/>
          <w:szCs w:val="20"/>
        </w:rPr>
      </w:pPr>
      <w:r>
        <w:rPr>
          <w:rFonts w:cstheme="minorHAnsi"/>
          <w:sz w:val="20"/>
          <w:szCs w:val="20"/>
        </w:rPr>
        <w:t>Outcome 1: Early Childhood Education and Child Care</w:t>
      </w:r>
    </w:p>
    <w:p w:rsidR="00361797" w:rsidRDefault="00361797" w:rsidP="00361797">
      <w:pPr>
        <w:pStyle w:val="NotesText0"/>
        <w:rPr>
          <w:rFonts w:cstheme="minorHAnsi"/>
          <w:sz w:val="20"/>
          <w:szCs w:val="20"/>
        </w:rPr>
      </w:pPr>
      <w:r>
        <w:rPr>
          <w:rFonts w:cstheme="minorHAnsi"/>
          <w:sz w:val="20"/>
          <w:szCs w:val="20"/>
        </w:rPr>
        <w:t>Outcome 2: School Education</w:t>
      </w:r>
    </w:p>
    <w:p w:rsidR="00361797" w:rsidRDefault="00361797" w:rsidP="00361797">
      <w:pPr>
        <w:pStyle w:val="NotesText0"/>
        <w:rPr>
          <w:rFonts w:cstheme="minorHAnsi"/>
          <w:sz w:val="20"/>
          <w:szCs w:val="20"/>
        </w:rPr>
      </w:pPr>
      <w:r>
        <w:rPr>
          <w:rFonts w:cstheme="minorHAnsi"/>
          <w:sz w:val="20"/>
          <w:szCs w:val="20"/>
        </w:rPr>
        <w:t>Outcome 3: Employment</w:t>
      </w:r>
    </w:p>
    <w:p w:rsidR="00361797" w:rsidRDefault="00361797" w:rsidP="00361797">
      <w:pPr>
        <w:pStyle w:val="NotesText0"/>
        <w:rPr>
          <w:rFonts w:cstheme="minorHAnsi"/>
          <w:sz w:val="20"/>
          <w:szCs w:val="20"/>
        </w:rPr>
      </w:pPr>
      <w:r>
        <w:rPr>
          <w:rFonts w:cstheme="minorHAnsi"/>
          <w:sz w:val="20"/>
          <w:szCs w:val="20"/>
        </w:rPr>
        <w:t>Outcome 4: Workplace Relations</w:t>
      </w:r>
    </w:p>
    <w:p w:rsidR="00361797" w:rsidRDefault="00361797" w:rsidP="00361797">
      <w:pPr>
        <w:pStyle w:val="NotesText0"/>
        <w:rPr>
          <w:rFonts w:cstheme="minorHAnsi"/>
          <w:sz w:val="20"/>
          <w:szCs w:val="20"/>
        </w:rPr>
      </w:pPr>
      <w:r>
        <w:rPr>
          <w:rFonts w:cstheme="minorHAnsi"/>
          <w:sz w:val="20"/>
          <w:szCs w:val="20"/>
        </w:rPr>
        <w:t xml:space="preserve">Following the abolition of the department, Indigenous functions transferred to the Department of the Prime Minister and Cabinet; Student Assistance, Working Age Payments and the Disability Employment Services Programme transferred to the Department of Social Services. The remaining functions transferred to the newly created Department of Education and the Department of Employment. </w:t>
      </w:r>
    </w:p>
    <w:p w:rsidR="00361797" w:rsidRDefault="00361797" w:rsidP="00361797">
      <w:pPr>
        <w:pStyle w:val="NotesText0"/>
        <w:rPr>
          <w:rFonts w:cstheme="minorHAnsi"/>
          <w:sz w:val="20"/>
          <w:szCs w:val="20"/>
        </w:rPr>
      </w:pPr>
      <w:r>
        <w:rPr>
          <w:rFonts w:cstheme="minorHAnsi"/>
          <w:sz w:val="20"/>
          <w:szCs w:val="20"/>
        </w:rPr>
        <w:t>The existence of the department was dependent on Government policy and on funding by Parliament for the department’s administration and programmes. On abolition of the department, all remaining funding was transferred in line with functions.</w:t>
      </w:r>
    </w:p>
    <w:p w:rsidR="00361797" w:rsidRDefault="00361797" w:rsidP="00361797">
      <w:pPr>
        <w:pStyle w:val="NotesText0"/>
        <w:rPr>
          <w:rFonts w:cstheme="minorHAnsi"/>
          <w:sz w:val="20"/>
          <w:szCs w:val="20"/>
        </w:rPr>
      </w:pPr>
      <w:r>
        <w:rPr>
          <w:rFonts w:cstheme="minorHAnsi"/>
          <w:sz w:val="20"/>
          <w:szCs w:val="20"/>
        </w:rPr>
        <w:t>The department’s activities contributed toward these outcomes and are classified as either departmental or administered.  Departmental activities involved the use of assets, liabilities, income and expenses controlled or incurred by the department in its own right.  Administered activities involve the management or oversight by the department, on behalf of the Government, of items controlled or incurred by the Government.</w:t>
      </w:r>
      <w:r>
        <w:rPr>
          <w:rFonts w:cstheme="minorHAnsi"/>
          <w:sz w:val="20"/>
          <w:szCs w:val="20"/>
        </w:rPr>
        <w:tab/>
      </w:r>
    </w:p>
    <w:p w:rsidR="00361797" w:rsidRDefault="00361797" w:rsidP="00361797">
      <w:pPr>
        <w:pStyle w:val="SAPHeading-Level2"/>
        <w:numPr>
          <w:ilvl w:val="1"/>
          <w:numId w:val="16"/>
        </w:numPr>
      </w:pPr>
      <w:r>
        <w:t>Basis of Preparation of the Financial Statements</w:t>
      </w:r>
    </w:p>
    <w:p w:rsidR="00361797" w:rsidRDefault="00361797" w:rsidP="00361797">
      <w:pPr>
        <w:pStyle w:val="NotesText0"/>
        <w:rPr>
          <w:rFonts w:cstheme="minorHAnsi"/>
          <w:sz w:val="20"/>
          <w:szCs w:val="20"/>
        </w:rPr>
      </w:pPr>
      <w:r>
        <w:rPr>
          <w:rFonts w:cstheme="minorHAnsi"/>
          <w:sz w:val="20"/>
          <w:szCs w:val="20"/>
        </w:rPr>
        <w:t>The financial statements are general purpose financial statements and are required by section 49 of the</w:t>
      </w:r>
      <w:r>
        <w:rPr>
          <w:rStyle w:val="StyleNotesTextBold1Char"/>
          <w:rFonts w:cstheme="minorHAnsi"/>
          <w:sz w:val="20"/>
          <w:szCs w:val="20"/>
        </w:rPr>
        <w:t xml:space="preserve"> </w:t>
      </w:r>
      <w:r>
        <w:rPr>
          <w:rFonts w:cstheme="minorHAnsi"/>
          <w:i/>
          <w:sz w:val="20"/>
          <w:szCs w:val="20"/>
        </w:rPr>
        <w:t>Financial Management and Accountability Act 1997</w:t>
      </w:r>
      <w:r>
        <w:rPr>
          <w:rFonts w:cstheme="minorHAnsi"/>
          <w:sz w:val="20"/>
          <w:szCs w:val="20"/>
        </w:rPr>
        <w:t xml:space="preserve">. The statements show the activity of the department for the period 1 July 2013 up to its abolition on 18 September 2013.  These statements are prepared on </w:t>
      </w:r>
      <w:proofErr w:type="gramStart"/>
      <w:r>
        <w:rPr>
          <w:rFonts w:cstheme="minorHAnsi"/>
          <w:sz w:val="20"/>
          <w:szCs w:val="20"/>
        </w:rPr>
        <w:t>an</w:t>
      </w:r>
      <w:proofErr w:type="gramEnd"/>
      <w:r>
        <w:rPr>
          <w:rFonts w:cstheme="minorHAnsi"/>
          <w:sz w:val="20"/>
          <w:szCs w:val="20"/>
        </w:rPr>
        <w:t xml:space="preserve"> going concern basis as the department’s functions were transferred to other entities from the date of abolition as described in Note 1.1 above.</w:t>
      </w:r>
    </w:p>
    <w:p w:rsidR="00361797" w:rsidRDefault="00361797" w:rsidP="00361797">
      <w:pPr>
        <w:pStyle w:val="NotesText0"/>
        <w:rPr>
          <w:rFonts w:cstheme="minorHAnsi"/>
          <w:sz w:val="20"/>
          <w:szCs w:val="20"/>
        </w:rPr>
      </w:pPr>
      <w:r>
        <w:rPr>
          <w:rFonts w:cstheme="minorHAnsi"/>
          <w:sz w:val="20"/>
          <w:szCs w:val="20"/>
        </w:rPr>
        <w:t>The financial statements have been prepared in accordance with:</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Finance Minister’s Orders (</w:t>
      </w:r>
      <w:proofErr w:type="spellStart"/>
      <w:r>
        <w:rPr>
          <w:rFonts w:asciiTheme="minorHAnsi" w:hAnsiTheme="minorHAnsi" w:cstheme="minorHAnsi"/>
          <w:lang w:val="en-AU"/>
        </w:rPr>
        <w:t>FMOs</w:t>
      </w:r>
      <w:proofErr w:type="spellEnd"/>
      <w:r>
        <w:rPr>
          <w:rFonts w:asciiTheme="minorHAnsi" w:hAnsiTheme="minorHAnsi" w:cstheme="minorHAnsi"/>
          <w:lang w:val="en-AU"/>
        </w:rPr>
        <w:t xml:space="preserve">) for reporting periods ending on or after 1 July </w:t>
      </w:r>
      <w:r w:rsidRPr="00D12DEC">
        <w:rPr>
          <w:rFonts w:asciiTheme="minorHAnsi" w:hAnsiTheme="minorHAnsi" w:cstheme="minorHAnsi"/>
          <w:lang w:val="en-AU"/>
        </w:rPr>
        <w:t>201</w:t>
      </w:r>
      <w:r>
        <w:rPr>
          <w:rFonts w:asciiTheme="minorHAnsi" w:hAnsiTheme="minorHAnsi" w:cstheme="minorHAnsi"/>
          <w:lang w:val="en-AU"/>
        </w:rPr>
        <w:t xml:space="preserve">1; </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Australian Accounting Standards and Interpretations issued by the Australian Accounting Standards Board (</w:t>
      </w:r>
      <w:proofErr w:type="spellStart"/>
      <w:r>
        <w:rPr>
          <w:rFonts w:asciiTheme="minorHAnsi" w:hAnsiTheme="minorHAnsi" w:cstheme="minorHAnsi"/>
          <w:lang w:val="en-AU"/>
        </w:rPr>
        <w:t>AASB</w:t>
      </w:r>
      <w:proofErr w:type="spellEnd"/>
      <w:r>
        <w:rPr>
          <w:rFonts w:asciiTheme="minorHAnsi" w:hAnsiTheme="minorHAnsi" w:cstheme="minorHAnsi"/>
          <w:lang w:val="en-AU"/>
        </w:rPr>
        <w:t>) that apply for the reporting period.</w:t>
      </w:r>
    </w:p>
    <w:p w:rsidR="00361797" w:rsidRDefault="00361797" w:rsidP="00361797">
      <w:pPr>
        <w:pStyle w:val="NotesText0"/>
        <w:rPr>
          <w:rFonts w:cstheme="minorHAnsi"/>
          <w:sz w:val="20"/>
          <w:szCs w:val="20"/>
        </w:rPr>
      </w:pPr>
      <w:r>
        <w:rPr>
          <w:rFonts w:cstheme="minorHAnsi"/>
          <w:bCs/>
          <w:sz w:val="20"/>
          <w:szCs w:val="20"/>
        </w:rPr>
        <w:t>The financial statements have been prepared on an accrual basis and are in accordance with the historical cost convention,</w:t>
      </w:r>
      <w:r>
        <w:rPr>
          <w:rFonts w:cstheme="minorHAnsi"/>
          <w:sz w:val="20"/>
          <w:szCs w:val="20"/>
        </w:rPr>
        <w:t xml:space="preserve"> except for certain assets and liabilities at fair value. Except where stated, no allowance is made for the effect of changing prices on the results or the financial position.</w:t>
      </w:r>
    </w:p>
    <w:p w:rsidR="00361797" w:rsidRDefault="00361797" w:rsidP="00361797">
      <w:pPr>
        <w:pStyle w:val="NotesText0"/>
        <w:rPr>
          <w:rFonts w:cstheme="minorHAnsi"/>
          <w:sz w:val="20"/>
          <w:szCs w:val="20"/>
        </w:rPr>
      </w:pPr>
      <w:r>
        <w:rPr>
          <w:rFonts w:cstheme="minorHAnsi"/>
          <w:sz w:val="20"/>
          <w:szCs w:val="20"/>
        </w:rPr>
        <w:t>The financial statements are presented in Australian dollars and values are rounded to the nearest thousand dollars unless otherwise specified.</w:t>
      </w:r>
    </w:p>
    <w:p w:rsidR="00361797" w:rsidRDefault="00361797" w:rsidP="00361797">
      <w:pPr>
        <w:pStyle w:val="NotesText0"/>
        <w:rPr>
          <w:rFonts w:cstheme="minorHAnsi"/>
          <w:sz w:val="20"/>
          <w:szCs w:val="20"/>
        </w:rPr>
      </w:pPr>
      <w:r>
        <w:rPr>
          <w:rFonts w:cstheme="minorHAnsi"/>
          <w:sz w:val="20"/>
          <w:szCs w:val="20"/>
        </w:rPr>
        <w:t xml:space="preserve">Unless an alternative treatment is specifically required by an accounting standard or the </w:t>
      </w:r>
      <w:proofErr w:type="spellStart"/>
      <w:r>
        <w:rPr>
          <w:rFonts w:cstheme="minorHAnsi"/>
          <w:sz w:val="20"/>
          <w:szCs w:val="20"/>
        </w:rPr>
        <w:t>FMOs</w:t>
      </w:r>
      <w:proofErr w:type="spellEnd"/>
      <w:r>
        <w:rPr>
          <w:rFonts w:cstheme="minorHAnsi"/>
          <w:sz w:val="20"/>
          <w:szCs w:val="20"/>
        </w:rPr>
        <w:t>, assets and liabilities are recognised in the statement of financial position when and only when it is probable that future economic benefits will flow to the department or a future sacrifice of economic benefits will be required and the amounts of the assets or liabilities can be reliably measured. However, assets and liabilities arising under executor contracts are not recognised unless required by an accounting standard.  Liabilities and assets that are unrecognised are reported in the schedule of commitments or the schedule of contingencies.</w:t>
      </w:r>
    </w:p>
    <w:p w:rsidR="00361797" w:rsidRDefault="00361797" w:rsidP="00361797">
      <w:pPr>
        <w:pStyle w:val="StyleNotesTextBold1"/>
        <w:rPr>
          <w:rFonts w:asciiTheme="minorHAnsi" w:hAnsiTheme="minorHAnsi" w:cstheme="minorHAnsi"/>
          <w:lang w:eastAsia="en-AU"/>
        </w:rPr>
      </w:pPr>
      <w:proofErr w:type="gramStart"/>
      <w:r>
        <w:rPr>
          <w:rFonts w:asciiTheme="minorHAnsi" w:hAnsiTheme="minorHAnsi" w:cstheme="minorHAnsi"/>
          <w:lang w:eastAsia="en-AU"/>
        </w:rPr>
        <w:t>Unless alternative treatment is specifically required by an accounting standard, income and expenses are recognised in the Statement of Comprehensive Income when and only when the flow, consumption or loss of economic benefits has occurred and can be reliably measured.</w:t>
      </w:r>
      <w:proofErr w:type="gramEnd"/>
    </w:p>
    <w:p w:rsidR="00361797" w:rsidRDefault="00361797" w:rsidP="00361797">
      <w:pPr>
        <w:pStyle w:val="StyleNotesTextBold1"/>
        <w:rPr>
          <w:rFonts w:asciiTheme="minorHAnsi" w:hAnsiTheme="minorHAnsi" w:cstheme="minorHAnsi"/>
          <w:lang w:eastAsia="en-AU"/>
        </w:rPr>
      </w:pPr>
    </w:p>
    <w:p w:rsidR="00361797" w:rsidRDefault="00361797" w:rsidP="00361797">
      <w:pPr>
        <w:pStyle w:val="SAPHeading-Level2"/>
        <w:numPr>
          <w:ilvl w:val="1"/>
          <w:numId w:val="16"/>
        </w:numPr>
      </w:pPr>
      <w:r>
        <w:t xml:space="preserve">Significant Accounting Judgements and Estimates </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In the process of applying the accounting policies listed in this note, the department has not identified accounting assumptions or estimates that have a significant risk of causing a material adjustment to carrying amounts of assets and liabilities within the next reporting period.</w:t>
      </w:r>
      <w:r>
        <w:rPr>
          <w:rFonts w:asciiTheme="minorHAnsi" w:hAnsiTheme="minorHAnsi" w:cstheme="minorHAnsi"/>
        </w:rPr>
        <w:t xml:space="preserve"> </w:t>
      </w:r>
    </w:p>
    <w:p w:rsidR="00361797" w:rsidRDefault="00361797" w:rsidP="00361797">
      <w:pPr>
        <w:pStyle w:val="StyleNotesTextBold1"/>
        <w:rPr>
          <w:rFonts w:asciiTheme="minorHAnsi" w:hAnsiTheme="minorHAnsi" w:cstheme="minorHAnsi"/>
        </w:rPr>
      </w:pPr>
      <w:r>
        <w:rPr>
          <w:rFonts w:asciiTheme="minorHAnsi" w:hAnsiTheme="minorHAnsi" w:cstheme="minorHAnsi"/>
        </w:rPr>
        <w:t>During the 2013–14 financial year the department made the following judgements that had a significant impact on the amounts recorded in the financial statements.</w:t>
      </w:r>
    </w:p>
    <w:p w:rsidR="00361797" w:rsidRDefault="00361797" w:rsidP="00361797">
      <w:pPr>
        <w:pStyle w:val="GreyShadeTableBreak"/>
      </w:pPr>
      <w:r>
        <w:t>Child Care Fee Assistance</w:t>
      </w:r>
    </w:p>
    <w:p w:rsidR="00361797" w:rsidRDefault="00361797" w:rsidP="00361797">
      <w:pPr>
        <w:pStyle w:val="GreyShadeTableBreak"/>
      </w:pPr>
      <w:r>
        <w:t>The Child Care Fee Assistance (</w:t>
      </w:r>
      <w:proofErr w:type="spellStart"/>
      <w:r>
        <w:t>CCFA</w:t>
      </w:r>
      <w:proofErr w:type="spellEnd"/>
      <w:r>
        <w:t>) programme assists families with the cost of child care. Recipients receive an estimated entitlement fortnightly, either as a fee reduction via the child care provider or in some instances directly. Recipients may also receive certain benefits quarterly or annually. The benefits are paid on the basis of an estimate of taxable income and the subsequent lodgement of their tax return establishes actual income and an adjustment to the recipient’s entitlement.</w:t>
      </w:r>
    </w:p>
    <w:p w:rsidR="00361797" w:rsidRDefault="00361797" w:rsidP="00361797">
      <w:pPr>
        <w:pStyle w:val="GreyShadeTableBreak"/>
      </w:pPr>
    </w:p>
    <w:p w:rsidR="00361797" w:rsidRDefault="00361797" w:rsidP="00361797">
      <w:pPr>
        <w:pStyle w:val="GreyShadeTableBreak"/>
      </w:pPr>
      <w:r>
        <w:t xml:space="preserve">At any point in time there are recipients entitled to receive </w:t>
      </w:r>
      <w:proofErr w:type="spellStart"/>
      <w:r>
        <w:t>CCFA</w:t>
      </w:r>
      <w:proofErr w:type="spellEnd"/>
      <w:r>
        <w:t xml:space="preserve">, who have not yet received their full entitlement from the Australian Government. The department estimates a provision for these entitlements. The amount recognised as a provision is the best estimate of the consideration required to settle the present obligation as at the reporting date, taking into account the risks and uncertainties that surround the events and circumstances that affect the provision as required by </w:t>
      </w:r>
      <w:proofErr w:type="spellStart"/>
      <w:r>
        <w:t>AASB</w:t>
      </w:r>
      <w:proofErr w:type="spellEnd"/>
      <w:r>
        <w:t xml:space="preserve"> 137 – </w:t>
      </w:r>
      <w:r>
        <w:rPr>
          <w:i/>
        </w:rPr>
        <w:t>Provision, Contingent Liabilities and Contingent Assets</w:t>
      </w:r>
      <w:r>
        <w:t xml:space="preserve">, para. 8.1. The provision calculates the current year and earlier years’ liability for claims that have yet to be realised. The methodology considers the likely lodgement profiles associated with reconciliation top-ups, lump sum claims, and quarterly and fortnightly payments, including the impact of new measures. </w:t>
      </w:r>
    </w:p>
    <w:p w:rsidR="00361797" w:rsidRDefault="00361797" w:rsidP="00361797">
      <w:pPr>
        <w:pStyle w:val="GreyShadeTableBreak"/>
      </w:pPr>
    </w:p>
    <w:p w:rsidR="00361797" w:rsidRDefault="00361797" w:rsidP="00361797">
      <w:pPr>
        <w:pStyle w:val="GreyShadeTableBreak"/>
        <w:rPr>
          <w:lang w:eastAsia="en-AU"/>
        </w:rPr>
      </w:pPr>
      <w:r>
        <w:t xml:space="preserve">There are also a number of eligible recipients who have received in excess of their entitlement and owe money to the department. The department estimates a receivable for these benefits. The methodology to determine the department’s receivable considers historic recipient behaviours adjusted for the impact of new measures. The impairment allowance account for the </w:t>
      </w:r>
      <w:proofErr w:type="spellStart"/>
      <w:r>
        <w:t>CCFA</w:t>
      </w:r>
      <w:proofErr w:type="spellEnd"/>
      <w:r>
        <w:t xml:space="preserve"> receivable has been calculated by the Australian Government Actuary in accordance with the overall requirement of </w:t>
      </w:r>
      <w:proofErr w:type="spellStart"/>
      <w:r>
        <w:t>AASB</w:t>
      </w:r>
      <w:proofErr w:type="spellEnd"/>
      <w:r>
        <w:t xml:space="preserve"> 136 - </w:t>
      </w:r>
      <w:r>
        <w:rPr>
          <w:i/>
        </w:rPr>
        <w:t>Impairment of Assets</w:t>
      </w:r>
      <w:r>
        <w:t xml:space="preserve">, which relies on a profile of past customer behaviour.  </w:t>
      </w:r>
    </w:p>
    <w:p w:rsidR="00361797" w:rsidRDefault="00361797" w:rsidP="00361797">
      <w:pPr>
        <w:pStyle w:val="SAPHeading-Level2"/>
        <w:numPr>
          <w:ilvl w:val="1"/>
          <w:numId w:val="16"/>
        </w:numPr>
      </w:pPr>
      <w:r>
        <w:t>New Australian Accounting Standards</w:t>
      </w:r>
    </w:p>
    <w:p w:rsidR="00361797" w:rsidRDefault="00361797" w:rsidP="00361797">
      <w:pPr>
        <w:pStyle w:val="StyleNotesTextItalic"/>
        <w:rPr>
          <w:rFonts w:cstheme="minorHAnsi"/>
          <w:sz w:val="20"/>
          <w:szCs w:val="20"/>
        </w:rPr>
      </w:pPr>
      <w:r>
        <w:rPr>
          <w:rFonts w:cstheme="minorHAnsi"/>
          <w:sz w:val="20"/>
          <w:szCs w:val="20"/>
        </w:rPr>
        <w:t>Adoption of New Australian Accounting Standard Requirements</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No accounting standard has been adopted earlier than the application date as stated in the standard.  </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The following new standards, amended standards or interpretations that were issued by the Australian Accounting Standards Board prior to the sign off date are applicable to the current reporting period and have a material impact on the department: </w:t>
      </w:r>
    </w:p>
    <w:tbl>
      <w:tblPr>
        <w:tblW w:w="9087" w:type="dxa"/>
        <w:tblInd w:w="93" w:type="dxa"/>
        <w:tblLook w:val="04A0" w:firstRow="1" w:lastRow="0" w:firstColumn="1" w:lastColumn="0" w:noHBand="0" w:noVBand="1"/>
      </w:tblPr>
      <w:tblGrid>
        <w:gridCol w:w="1575"/>
        <w:gridCol w:w="7512"/>
      </w:tblGrid>
      <w:tr w:rsidR="00361797" w:rsidTr="00B50E5D">
        <w:trPr>
          <w:trHeight w:val="414"/>
        </w:trPr>
        <w:tc>
          <w:tcPr>
            <w:tcW w:w="1575" w:type="dxa"/>
            <w:noWrap/>
            <w:vAlign w:val="center"/>
            <w:hideMark/>
          </w:tcPr>
          <w:p w:rsidR="00361797" w:rsidRDefault="00361797" w:rsidP="00B50E5D">
            <w:pPr>
              <w:rPr>
                <w:rFonts w:asciiTheme="minorHAnsi" w:hAnsiTheme="minorHAnsi" w:cstheme="minorHAnsi"/>
                <w:color w:val="000000"/>
                <w:sz w:val="20"/>
              </w:rPr>
            </w:pPr>
            <w:proofErr w:type="spellStart"/>
            <w:r>
              <w:rPr>
                <w:rFonts w:asciiTheme="minorHAnsi" w:hAnsiTheme="minorHAnsi" w:cstheme="minorHAnsi"/>
                <w:color w:val="000000"/>
                <w:sz w:val="20"/>
              </w:rPr>
              <w:t>AASB</w:t>
            </w:r>
            <w:proofErr w:type="spellEnd"/>
            <w:r>
              <w:rPr>
                <w:rFonts w:asciiTheme="minorHAnsi" w:hAnsiTheme="minorHAnsi" w:cstheme="minorHAnsi"/>
                <w:color w:val="000000"/>
                <w:sz w:val="20"/>
              </w:rPr>
              <w:t xml:space="preserve"> 13</w:t>
            </w:r>
          </w:p>
        </w:tc>
        <w:tc>
          <w:tcPr>
            <w:tcW w:w="7512" w:type="dxa"/>
            <w:vAlign w:val="center"/>
            <w:hideMark/>
          </w:tcPr>
          <w:p w:rsidR="00361797" w:rsidRDefault="00361797" w:rsidP="00B50E5D">
            <w:pPr>
              <w:rPr>
                <w:rFonts w:asciiTheme="minorHAnsi" w:hAnsiTheme="minorHAnsi" w:cstheme="minorHAnsi"/>
                <w:color w:val="000000"/>
                <w:sz w:val="20"/>
              </w:rPr>
            </w:pPr>
            <w:r>
              <w:rPr>
                <w:rFonts w:asciiTheme="minorHAnsi" w:hAnsiTheme="minorHAnsi" w:cstheme="minorHAnsi"/>
                <w:color w:val="000000"/>
                <w:sz w:val="20"/>
              </w:rPr>
              <w:t xml:space="preserve">Fair Value Measurement – December 2012 (Principal) </w:t>
            </w:r>
          </w:p>
        </w:tc>
      </w:tr>
      <w:tr w:rsidR="00361797" w:rsidTr="00B50E5D">
        <w:trPr>
          <w:trHeight w:val="452"/>
        </w:trPr>
        <w:tc>
          <w:tcPr>
            <w:tcW w:w="1575" w:type="dxa"/>
            <w:noWrap/>
            <w:vAlign w:val="center"/>
            <w:hideMark/>
          </w:tcPr>
          <w:p w:rsidR="00361797" w:rsidRDefault="00361797" w:rsidP="00B50E5D">
            <w:pPr>
              <w:rPr>
                <w:rFonts w:asciiTheme="minorHAnsi" w:hAnsiTheme="minorHAnsi" w:cstheme="minorHAnsi"/>
                <w:color w:val="000000"/>
                <w:sz w:val="20"/>
              </w:rPr>
            </w:pPr>
            <w:proofErr w:type="spellStart"/>
            <w:r>
              <w:rPr>
                <w:rFonts w:asciiTheme="minorHAnsi" w:hAnsiTheme="minorHAnsi" w:cstheme="minorHAnsi"/>
                <w:color w:val="000000"/>
                <w:sz w:val="20"/>
              </w:rPr>
              <w:t>AASB</w:t>
            </w:r>
            <w:proofErr w:type="spellEnd"/>
            <w:r>
              <w:rPr>
                <w:rFonts w:asciiTheme="minorHAnsi" w:hAnsiTheme="minorHAnsi" w:cstheme="minorHAnsi"/>
                <w:color w:val="000000"/>
                <w:sz w:val="20"/>
              </w:rPr>
              <w:t xml:space="preserve"> 119</w:t>
            </w:r>
          </w:p>
        </w:tc>
        <w:tc>
          <w:tcPr>
            <w:tcW w:w="7512" w:type="dxa"/>
            <w:vAlign w:val="center"/>
            <w:hideMark/>
          </w:tcPr>
          <w:p w:rsidR="00361797" w:rsidRDefault="00361797" w:rsidP="00B50E5D">
            <w:pPr>
              <w:rPr>
                <w:rFonts w:asciiTheme="minorHAnsi" w:hAnsiTheme="minorHAnsi" w:cstheme="minorHAnsi"/>
                <w:color w:val="000000"/>
                <w:sz w:val="20"/>
              </w:rPr>
            </w:pPr>
            <w:r>
              <w:rPr>
                <w:rFonts w:asciiTheme="minorHAnsi" w:hAnsiTheme="minorHAnsi" w:cstheme="minorHAnsi"/>
                <w:color w:val="000000"/>
                <w:sz w:val="20"/>
              </w:rPr>
              <w:t xml:space="preserve">Employee Benefits – September 2011 (Principal) </w:t>
            </w:r>
          </w:p>
        </w:tc>
      </w:tr>
    </w:tbl>
    <w:p w:rsidR="00361797" w:rsidRDefault="00361797" w:rsidP="00361797">
      <w:pPr>
        <w:pStyle w:val="SAPHeading-Level2"/>
        <w:numPr>
          <w:ilvl w:val="1"/>
          <w:numId w:val="16"/>
        </w:numPr>
      </w:pPr>
      <w:r>
        <w:t>Revenue</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Revenue from the sale of goods is recognised when</w:t>
      </w:r>
      <w:r>
        <w:rPr>
          <w:rFonts w:asciiTheme="minorHAnsi" w:hAnsiTheme="minorHAnsi" w:cstheme="minorHAnsi"/>
        </w:rPr>
        <w:t>:</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the risks and rewards of ownership have been transferred to the buyer</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the department retains no managerial involvement or effective control over the goods</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the revenue and transaction costs incurred can be reliably measured</w:t>
      </w:r>
    </w:p>
    <w:p w:rsidR="00361797" w:rsidRDefault="00361797" w:rsidP="00361797">
      <w:pPr>
        <w:pStyle w:val="BulletKPMG"/>
        <w:numPr>
          <w:ilvl w:val="0"/>
          <w:numId w:val="17"/>
        </w:numPr>
        <w:rPr>
          <w:rFonts w:asciiTheme="minorHAnsi" w:hAnsiTheme="minorHAnsi" w:cstheme="minorHAnsi"/>
          <w:lang w:val="en-AU"/>
        </w:rPr>
      </w:pPr>
      <w:proofErr w:type="gramStart"/>
      <w:r>
        <w:rPr>
          <w:rFonts w:asciiTheme="minorHAnsi" w:hAnsiTheme="minorHAnsi" w:cstheme="minorHAnsi"/>
          <w:lang w:val="en-AU"/>
        </w:rPr>
        <w:t>it</w:t>
      </w:r>
      <w:proofErr w:type="gramEnd"/>
      <w:r>
        <w:rPr>
          <w:rFonts w:asciiTheme="minorHAnsi" w:hAnsiTheme="minorHAnsi" w:cstheme="minorHAnsi"/>
          <w:lang w:val="en-AU"/>
        </w:rPr>
        <w:t xml:space="preserve"> is probable that the economic benefits associated with the transaction will flow to the department.</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Revenue from rendering of services is recognised by reference to the stage of completion of contracts at the reporting date. The revenue is recognised when</w:t>
      </w:r>
      <w:r>
        <w:rPr>
          <w:rFonts w:asciiTheme="minorHAnsi" w:hAnsiTheme="minorHAnsi" w:cstheme="minorHAnsi"/>
        </w:rPr>
        <w:t>:</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the amount of revenue, stage of completion and transaction costs incurred can be reliably measured</w:t>
      </w:r>
      <w:r>
        <w:rPr>
          <w:rFonts w:asciiTheme="minorHAnsi" w:hAnsiTheme="minorHAnsi" w:cstheme="minorHAnsi"/>
          <w:lang w:val="en-AU"/>
        </w:rPr>
        <w:tab/>
      </w:r>
    </w:p>
    <w:p w:rsidR="00361797" w:rsidRDefault="00361797" w:rsidP="00361797">
      <w:pPr>
        <w:pStyle w:val="BulletKPMG"/>
        <w:numPr>
          <w:ilvl w:val="0"/>
          <w:numId w:val="17"/>
        </w:numPr>
        <w:rPr>
          <w:rFonts w:asciiTheme="minorHAnsi" w:hAnsiTheme="minorHAnsi" w:cstheme="minorHAnsi"/>
          <w:lang w:val="en-AU"/>
        </w:rPr>
      </w:pPr>
      <w:proofErr w:type="gramStart"/>
      <w:r>
        <w:rPr>
          <w:rFonts w:asciiTheme="minorHAnsi" w:hAnsiTheme="minorHAnsi" w:cstheme="minorHAnsi"/>
          <w:lang w:val="en-AU"/>
        </w:rPr>
        <w:t>the</w:t>
      </w:r>
      <w:proofErr w:type="gramEnd"/>
      <w:r>
        <w:rPr>
          <w:rFonts w:asciiTheme="minorHAnsi" w:hAnsiTheme="minorHAnsi" w:cstheme="minorHAnsi"/>
          <w:lang w:val="en-AU"/>
        </w:rPr>
        <w:t xml:space="preserve"> probable economic benefits associated with the transaction will flow to the department.</w:t>
      </w:r>
    </w:p>
    <w:p w:rsidR="00361797" w:rsidRDefault="00361797" w:rsidP="00361797">
      <w:pPr>
        <w:pStyle w:val="NotesText0"/>
        <w:rPr>
          <w:rFonts w:cstheme="minorHAnsi"/>
          <w:sz w:val="20"/>
          <w:szCs w:val="20"/>
        </w:rPr>
      </w:pPr>
      <w:r>
        <w:rPr>
          <w:rFonts w:cstheme="minorHAnsi"/>
          <w:sz w:val="20"/>
          <w:szCs w:val="20"/>
        </w:rPr>
        <w:lastRenderedPageBreak/>
        <w:t>The stage of completion of contracts at the reporting date is determined by reference to the proportion that costs incurred to date bear to the estimated total costs of the transaction.</w:t>
      </w:r>
    </w:p>
    <w:p w:rsidR="00361797" w:rsidRDefault="00361797" w:rsidP="00361797">
      <w:pPr>
        <w:pStyle w:val="NotesText0"/>
        <w:rPr>
          <w:rFonts w:cstheme="minorHAnsi"/>
          <w:sz w:val="20"/>
          <w:szCs w:val="20"/>
        </w:rPr>
      </w:pPr>
      <w:r>
        <w:rPr>
          <w:rFonts w:cstheme="minorHAnsi"/>
          <w:sz w:val="20"/>
          <w:szCs w:val="20"/>
        </w:rPr>
        <w:t>Receivables for goods and services, which have 30 day terms, are recognised at the nominal amounts due less any impairment allowance account. Collectability of debts is reviewed at end of reporting period. Allowances are made when collectability of the debt is no longer probable.</w:t>
      </w:r>
    </w:p>
    <w:p w:rsidR="00361797" w:rsidRDefault="00361797" w:rsidP="00361797">
      <w:pPr>
        <w:pStyle w:val="StyleNotesTextItalic"/>
        <w:rPr>
          <w:rFonts w:cstheme="minorHAnsi"/>
          <w:sz w:val="20"/>
          <w:szCs w:val="20"/>
        </w:rPr>
      </w:pPr>
      <w:r>
        <w:rPr>
          <w:rFonts w:cstheme="minorHAnsi"/>
          <w:sz w:val="20"/>
          <w:szCs w:val="20"/>
        </w:rPr>
        <w:t>Revenue from Government</w:t>
      </w:r>
    </w:p>
    <w:p w:rsidR="00361797" w:rsidRDefault="00361797" w:rsidP="00361797">
      <w:pPr>
        <w:pStyle w:val="NotesText0"/>
        <w:rPr>
          <w:rFonts w:cstheme="minorHAnsi"/>
          <w:sz w:val="20"/>
          <w:szCs w:val="20"/>
        </w:rPr>
      </w:pPr>
      <w:r>
        <w:rPr>
          <w:rFonts w:cstheme="minorHAnsi"/>
          <w:sz w:val="20"/>
          <w:szCs w:val="20"/>
        </w:rPr>
        <w:t>Amounts appropriated for departmental appropriations for the year (adjusted for any formal additions and reductions) are recognised as Revenue from Government when the department gains control of the appropriation, except for certain amounts that relate to activities that are reciprocal in nature, in which case revenue is recognised only when it has been earned.</w:t>
      </w:r>
    </w:p>
    <w:p w:rsidR="00361797" w:rsidRDefault="00361797" w:rsidP="00361797">
      <w:pPr>
        <w:pStyle w:val="StyleNotesTextBold1"/>
        <w:rPr>
          <w:rFonts w:asciiTheme="minorHAnsi" w:hAnsiTheme="minorHAnsi" w:cstheme="minorHAnsi"/>
        </w:rPr>
      </w:pPr>
      <w:r>
        <w:rPr>
          <w:rFonts w:asciiTheme="minorHAnsi" w:hAnsiTheme="minorHAnsi" w:cstheme="minorHAnsi"/>
        </w:rPr>
        <w:t>Appropriations receivable are recognised at their nominal amounts.</w:t>
      </w:r>
    </w:p>
    <w:p w:rsidR="00361797" w:rsidRDefault="00361797" w:rsidP="00361797">
      <w:pPr>
        <w:pStyle w:val="SAPHeading-Level2"/>
        <w:numPr>
          <w:ilvl w:val="1"/>
          <w:numId w:val="16"/>
        </w:numPr>
      </w:pPr>
      <w:r>
        <w:t>Gains</w:t>
      </w:r>
    </w:p>
    <w:p w:rsidR="00361797" w:rsidRDefault="00361797" w:rsidP="00361797">
      <w:pPr>
        <w:pStyle w:val="StyleNotesTextItalic"/>
        <w:rPr>
          <w:rFonts w:cstheme="minorHAnsi"/>
          <w:sz w:val="20"/>
          <w:szCs w:val="20"/>
        </w:rPr>
      </w:pPr>
      <w:r>
        <w:rPr>
          <w:rFonts w:cstheme="minorHAnsi"/>
          <w:sz w:val="20"/>
          <w:szCs w:val="20"/>
        </w:rPr>
        <w:t>Resources received free of charge</w:t>
      </w:r>
    </w:p>
    <w:p w:rsidR="00361797" w:rsidRDefault="00361797" w:rsidP="00361797">
      <w:pPr>
        <w:pStyle w:val="NotesText0"/>
        <w:rPr>
          <w:rFonts w:cstheme="minorHAnsi"/>
          <w:sz w:val="20"/>
          <w:szCs w:val="20"/>
        </w:rPr>
      </w:pPr>
      <w:r>
        <w:rPr>
          <w:rFonts w:cstheme="minorHAnsi"/>
          <w:sz w:val="20"/>
          <w:szCs w:val="20"/>
        </w:rPr>
        <w:t>Resources received free of charge are recognised as gains when, and only when, a fair value can be reliably determined and the services would have been purchased if they had not been donated.  Use of those resources is recognised as an expense.</w:t>
      </w:r>
    </w:p>
    <w:p w:rsidR="00361797" w:rsidRDefault="00361797" w:rsidP="00361797">
      <w:pPr>
        <w:pStyle w:val="NotesText0"/>
        <w:rPr>
          <w:rFonts w:cstheme="minorHAnsi"/>
          <w:sz w:val="20"/>
          <w:szCs w:val="20"/>
        </w:rPr>
      </w:pPr>
      <w:r>
        <w:rPr>
          <w:rFonts w:cstheme="minorHAnsi"/>
          <w:sz w:val="20"/>
          <w:szCs w:val="20"/>
        </w:rPr>
        <w:t>Resources received free of charge are recorded as either revenue or gains depending on their nature.</w:t>
      </w:r>
    </w:p>
    <w:p w:rsidR="00361797" w:rsidRDefault="00361797" w:rsidP="00361797">
      <w:pPr>
        <w:pStyle w:val="NotesText0"/>
        <w:rPr>
          <w:rFonts w:cstheme="minorHAnsi"/>
          <w:sz w:val="20"/>
          <w:szCs w:val="20"/>
        </w:rPr>
      </w:pPr>
      <w:r>
        <w:rPr>
          <w:rFonts w:cstheme="minorHAnsi"/>
          <w:sz w:val="20"/>
          <w:szCs w:val="20"/>
        </w:rPr>
        <w:t>Contributions of assets at no cost of acquisition or for nominal consideration are recognised as gains at their fair value when the asset qualifies for recognition, unless received from another Government entity as a consequence of a restructuring of administrative arrangements (Refer to Note 1.7).</w:t>
      </w:r>
    </w:p>
    <w:p w:rsidR="00361797" w:rsidRDefault="00361797" w:rsidP="00361797">
      <w:pPr>
        <w:pStyle w:val="StyleNotesTextItalic"/>
        <w:rPr>
          <w:rFonts w:cstheme="minorHAnsi"/>
          <w:sz w:val="20"/>
          <w:szCs w:val="20"/>
        </w:rPr>
      </w:pPr>
      <w:r>
        <w:rPr>
          <w:rFonts w:cstheme="minorHAnsi"/>
          <w:sz w:val="20"/>
          <w:szCs w:val="20"/>
        </w:rPr>
        <w:t>Sale of assets</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Gains from disposal of assets are recognised when control of the asset has passed to the buyer</w:t>
      </w:r>
      <w:r>
        <w:rPr>
          <w:rFonts w:asciiTheme="minorHAnsi" w:hAnsiTheme="minorHAnsi" w:cstheme="minorHAnsi"/>
        </w:rPr>
        <w:t>.</w:t>
      </w:r>
    </w:p>
    <w:p w:rsidR="00361797" w:rsidRDefault="00361797" w:rsidP="00361797">
      <w:pPr>
        <w:pStyle w:val="SAPHeading-Level2"/>
        <w:numPr>
          <w:ilvl w:val="1"/>
          <w:numId w:val="16"/>
        </w:numPr>
      </w:pPr>
      <w:r>
        <w:t>Transactions with the Government as Owner</w:t>
      </w:r>
    </w:p>
    <w:p w:rsidR="00361797" w:rsidRDefault="00361797" w:rsidP="00361797">
      <w:pPr>
        <w:pStyle w:val="StyleNotesTextItalic"/>
        <w:rPr>
          <w:rFonts w:cstheme="minorHAnsi"/>
          <w:sz w:val="20"/>
          <w:szCs w:val="20"/>
        </w:rPr>
      </w:pPr>
      <w:r>
        <w:rPr>
          <w:rFonts w:cstheme="minorHAnsi"/>
          <w:sz w:val="20"/>
          <w:szCs w:val="20"/>
        </w:rPr>
        <w:t>Equity injections</w:t>
      </w:r>
    </w:p>
    <w:p w:rsidR="00361797" w:rsidRDefault="00361797" w:rsidP="00361797">
      <w:pPr>
        <w:pStyle w:val="NotesText0"/>
        <w:rPr>
          <w:rFonts w:cstheme="minorHAnsi"/>
          <w:bCs/>
          <w:sz w:val="20"/>
          <w:szCs w:val="20"/>
        </w:rPr>
      </w:pPr>
      <w:r>
        <w:rPr>
          <w:rFonts w:cstheme="minorHAnsi"/>
          <w:sz w:val="20"/>
          <w:szCs w:val="20"/>
        </w:rPr>
        <w:t>Amounts appropriated which are designated as ‘equity injections’ for a year (less any formal reductions) and Departmental Capital Budgets are recognised directly in contributed e</w:t>
      </w:r>
      <w:r>
        <w:rPr>
          <w:rFonts w:cstheme="minorHAnsi"/>
          <w:bCs/>
          <w:sz w:val="20"/>
          <w:szCs w:val="20"/>
        </w:rPr>
        <w:t>quity in that year.</w:t>
      </w:r>
    </w:p>
    <w:p w:rsidR="00361797" w:rsidRDefault="00361797" w:rsidP="00361797">
      <w:pPr>
        <w:pStyle w:val="StyleNotesTextItalic"/>
        <w:rPr>
          <w:rFonts w:cstheme="minorHAnsi"/>
          <w:sz w:val="20"/>
          <w:szCs w:val="20"/>
        </w:rPr>
      </w:pPr>
      <w:r>
        <w:rPr>
          <w:rFonts w:cstheme="minorHAnsi"/>
          <w:sz w:val="20"/>
          <w:szCs w:val="20"/>
        </w:rPr>
        <w:t>Restructuring of administrative arrangements</w:t>
      </w:r>
    </w:p>
    <w:p w:rsidR="00361797" w:rsidRDefault="00361797" w:rsidP="00361797">
      <w:pPr>
        <w:pStyle w:val="NotesText0"/>
        <w:rPr>
          <w:rFonts w:cstheme="minorHAnsi"/>
          <w:sz w:val="20"/>
          <w:szCs w:val="20"/>
        </w:rPr>
      </w:pPr>
      <w:r>
        <w:rPr>
          <w:rFonts w:cstheme="minorHAnsi"/>
          <w:sz w:val="20"/>
          <w:szCs w:val="20"/>
        </w:rPr>
        <w:t>Net assets received from, or relinquished to, another Australian Government entity under a restructuring of administrative arrangements are adjusted at their book value directly against contributed equity.</w:t>
      </w:r>
    </w:p>
    <w:p w:rsidR="00361797" w:rsidRDefault="00361797" w:rsidP="00361797">
      <w:pPr>
        <w:pStyle w:val="StyleNotesTextItalic"/>
        <w:rPr>
          <w:rFonts w:cstheme="minorHAnsi"/>
          <w:sz w:val="20"/>
          <w:szCs w:val="20"/>
        </w:rPr>
      </w:pPr>
      <w:r>
        <w:rPr>
          <w:rFonts w:cstheme="minorHAnsi"/>
          <w:sz w:val="20"/>
          <w:szCs w:val="20"/>
        </w:rPr>
        <w:t>Other distributions to Owners</w:t>
      </w:r>
    </w:p>
    <w:p w:rsidR="00361797" w:rsidRDefault="00361797" w:rsidP="00361797">
      <w:pPr>
        <w:pStyle w:val="NotesText0"/>
        <w:rPr>
          <w:rFonts w:cstheme="minorHAnsi"/>
          <w:bCs/>
          <w:sz w:val="20"/>
          <w:szCs w:val="20"/>
        </w:rPr>
      </w:pPr>
      <w:r>
        <w:rPr>
          <w:rFonts w:cstheme="minorHAnsi"/>
          <w:sz w:val="20"/>
          <w:szCs w:val="20"/>
        </w:rPr>
        <w:t xml:space="preserve">The </w:t>
      </w:r>
      <w:proofErr w:type="spellStart"/>
      <w:r>
        <w:rPr>
          <w:rFonts w:cstheme="minorHAnsi"/>
          <w:sz w:val="20"/>
          <w:szCs w:val="20"/>
        </w:rPr>
        <w:t>FMOs</w:t>
      </w:r>
      <w:proofErr w:type="spellEnd"/>
      <w:r>
        <w:rPr>
          <w:rFonts w:cstheme="minorHAnsi"/>
          <w:sz w:val="20"/>
          <w:szCs w:val="20"/>
        </w:rPr>
        <w:t xml:space="preserve"> require that distributions to owners be debited to </w:t>
      </w:r>
      <w:proofErr w:type="gramStart"/>
      <w:r>
        <w:rPr>
          <w:rFonts w:cstheme="minorHAnsi"/>
          <w:sz w:val="20"/>
          <w:szCs w:val="20"/>
        </w:rPr>
        <w:t>contributed</w:t>
      </w:r>
      <w:proofErr w:type="gramEnd"/>
      <w:r>
        <w:rPr>
          <w:rFonts w:cstheme="minorHAnsi"/>
          <w:sz w:val="20"/>
          <w:szCs w:val="20"/>
        </w:rPr>
        <w:t xml:space="preserve"> e</w:t>
      </w:r>
      <w:r>
        <w:rPr>
          <w:rFonts w:cstheme="minorHAnsi"/>
          <w:bCs/>
          <w:sz w:val="20"/>
          <w:szCs w:val="20"/>
        </w:rPr>
        <w:t>quity unless it is in the nature of a dividend.</w:t>
      </w:r>
    </w:p>
    <w:p w:rsidR="00361797" w:rsidRDefault="00361797" w:rsidP="00361797">
      <w:pPr>
        <w:pStyle w:val="SAPHeading-Level2"/>
        <w:numPr>
          <w:ilvl w:val="1"/>
          <w:numId w:val="16"/>
        </w:numPr>
      </w:pPr>
      <w:r>
        <w:t>Employee Benefits</w:t>
      </w:r>
    </w:p>
    <w:p w:rsidR="00361797" w:rsidRDefault="00361797" w:rsidP="00361797">
      <w:pPr>
        <w:pStyle w:val="NotesText0"/>
        <w:rPr>
          <w:rFonts w:cstheme="minorHAnsi"/>
          <w:sz w:val="20"/>
          <w:szCs w:val="20"/>
        </w:rPr>
      </w:pPr>
      <w:r>
        <w:rPr>
          <w:rFonts w:cstheme="minorHAnsi"/>
          <w:sz w:val="20"/>
          <w:szCs w:val="20"/>
        </w:rPr>
        <w:t xml:space="preserve">Liabilities for ‘short-term employee benefits’ (as defined in </w:t>
      </w:r>
      <w:proofErr w:type="spellStart"/>
      <w:r>
        <w:rPr>
          <w:rFonts w:cstheme="minorHAnsi"/>
          <w:sz w:val="20"/>
          <w:szCs w:val="20"/>
        </w:rPr>
        <w:t>AASB</w:t>
      </w:r>
      <w:proofErr w:type="spellEnd"/>
      <w:r>
        <w:rPr>
          <w:rFonts w:cstheme="minorHAnsi"/>
          <w:sz w:val="20"/>
          <w:szCs w:val="20"/>
        </w:rPr>
        <w:t xml:space="preserve"> 119</w:t>
      </w:r>
      <w:r>
        <w:rPr>
          <w:rStyle w:val="StyleNotesTextBold1Char"/>
          <w:rFonts w:cstheme="minorHAnsi"/>
          <w:sz w:val="20"/>
          <w:szCs w:val="20"/>
        </w:rPr>
        <w:t xml:space="preserve"> </w:t>
      </w:r>
      <w:r>
        <w:rPr>
          <w:rFonts w:cstheme="minorHAnsi"/>
          <w:i/>
          <w:sz w:val="20"/>
          <w:szCs w:val="20"/>
        </w:rPr>
        <w:t>Employee Benefits</w:t>
      </w:r>
      <w:r>
        <w:rPr>
          <w:rFonts w:cstheme="minorHAnsi"/>
          <w:sz w:val="20"/>
          <w:szCs w:val="20"/>
        </w:rPr>
        <w:t>) and termination benefits due within 12 months of the end of reporting period are measured at their nominal amounts.</w:t>
      </w:r>
    </w:p>
    <w:p w:rsidR="00361797" w:rsidRDefault="00361797" w:rsidP="00361797">
      <w:pPr>
        <w:pStyle w:val="NotesText0"/>
        <w:rPr>
          <w:rFonts w:cstheme="minorHAnsi"/>
          <w:sz w:val="20"/>
          <w:szCs w:val="20"/>
        </w:rPr>
      </w:pPr>
      <w:r>
        <w:rPr>
          <w:rFonts w:cstheme="minorHAnsi"/>
          <w:sz w:val="20"/>
          <w:szCs w:val="20"/>
        </w:rPr>
        <w:t>The nominal amount is calculated with regard to the rates expected to be paid on settlement of the liability.</w:t>
      </w:r>
    </w:p>
    <w:p w:rsidR="00361797" w:rsidRDefault="00361797" w:rsidP="00361797">
      <w:pPr>
        <w:pStyle w:val="NotesText0"/>
        <w:rPr>
          <w:rFonts w:cstheme="minorHAnsi"/>
          <w:sz w:val="20"/>
          <w:szCs w:val="20"/>
        </w:rPr>
      </w:pPr>
      <w:r>
        <w:rPr>
          <w:rFonts w:cstheme="minorHAnsi"/>
          <w:sz w:val="20"/>
          <w:szCs w:val="20"/>
        </w:rPr>
        <w:t>Other long-term employee benefits are measured at net total of the present value of the defined benefit obligation at the end of the reporting period minus the fair value at the end of the reporting period of plan assets (if any) out of which the obligations are to be settled directly.</w:t>
      </w:r>
    </w:p>
    <w:p w:rsidR="00361797" w:rsidRDefault="00361797" w:rsidP="00361797">
      <w:pPr>
        <w:pStyle w:val="StyleNotesTextItalic"/>
        <w:rPr>
          <w:rFonts w:cstheme="minorHAnsi"/>
          <w:sz w:val="20"/>
          <w:szCs w:val="20"/>
        </w:rPr>
      </w:pPr>
      <w:r>
        <w:rPr>
          <w:rFonts w:cstheme="minorHAnsi"/>
          <w:sz w:val="20"/>
          <w:szCs w:val="20"/>
        </w:rPr>
        <w:br w:type="page"/>
      </w:r>
    </w:p>
    <w:p w:rsidR="00361797" w:rsidRDefault="00361797" w:rsidP="00361797">
      <w:pPr>
        <w:pStyle w:val="StyleNotesTextItalic"/>
        <w:rPr>
          <w:rFonts w:cstheme="minorHAnsi"/>
          <w:sz w:val="20"/>
          <w:szCs w:val="20"/>
        </w:rPr>
      </w:pPr>
      <w:r>
        <w:rPr>
          <w:rFonts w:cstheme="minorHAnsi"/>
          <w:sz w:val="20"/>
          <w:szCs w:val="20"/>
        </w:rPr>
        <w:lastRenderedPageBreak/>
        <w:t>Leave</w:t>
      </w:r>
    </w:p>
    <w:p w:rsidR="00361797" w:rsidRDefault="00361797" w:rsidP="00361797">
      <w:pPr>
        <w:pStyle w:val="NotesText0"/>
        <w:rPr>
          <w:rFonts w:cstheme="minorHAnsi"/>
          <w:sz w:val="20"/>
          <w:szCs w:val="20"/>
        </w:rPr>
      </w:pPr>
      <w:r>
        <w:rPr>
          <w:rFonts w:cstheme="minorHAnsi"/>
          <w:sz w:val="20"/>
          <w:szCs w:val="20"/>
        </w:rPr>
        <w:t xml:space="preserve">The liability for employee benefits includes provision for annual leave and long service leave.  No provision has been made for sick leave as all sick </w:t>
      </w:r>
      <w:proofErr w:type="gramStart"/>
      <w:r>
        <w:rPr>
          <w:rFonts w:cstheme="minorHAnsi"/>
          <w:sz w:val="20"/>
          <w:szCs w:val="20"/>
        </w:rPr>
        <w:t>leave</w:t>
      </w:r>
      <w:proofErr w:type="gramEnd"/>
      <w:r>
        <w:rPr>
          <w:rFonts w:cstheme="minorHAnsi"/>
          <w:sz w:val="20"/>
          <w:szCs w:val="20"/>
        </w:rPr>
        <w:t xml:space="preserve"> is non-vesting and the average sick leave taken in future years by employees of the department is estimated to be less than the annual entitlement for sick leave.</w:t>
      </w:r>
    </w:p>
    <w:p w:rsidR="00361797" w:rsidRDefault="00361797" w:rsidP="00361797">
      <w:pPr>
        <w:pStyle w:val="NotesText0"/>
        <w:rPr>
          <w:rFonts w:cstheme="minorHAnsi"/>
          <w:sz w:val="20"/>
          <w:szCs w:val="20"/>
        </w:rPr>
      </w:pPr>
      <w:r>
        <w:rPr>
          <w:rFonts w:cstheme="minorHAnsi"/>
          <w:sz w:val="20"/>
          <w:szCs w:val="20"/>
        </w:rPr>
        <w:t>The leave liabilities are calculated on the basis of employees’ remuneration at the estimated salary rates that will be applied at the time the leave is taken, including the department’s employer superannuation contribution rates, to the extent that the leave is likely to be taken during service rather than paid out on termination.</w:t>
      </w:r>
    </w:p>
    <w:p w:rsidR="00361797" w:rsidRDefault="00361797" w:rsidP="00361797">
      <w:pPr>
        <w:pStyle w:val="StyleNotesTextBold1"/>
        <w:rPr>
          <w:rFonts w:asciiTheme="minorHAnsi" w:hAnsiTheme="minorHAnsi" w:cstheme="minorHAnsi"/>
        </w:rPr>
      </w:pPr>
      <w:r>
        <w:rPr>
          <w:rFonts w:asciiTheme="minorHAnsi" w:hAnsiTheme="minorHAnsi" w:cstheme="minorHAnsi"/>
        </w:rPr>
        <w:t>The liability for long service leave has been determined by reference to work conducted by an actuary as at 30 June 2012.  The estimate of the present value of the liability takes into account attrition rates and pay increases through promotion and inflation.</w:t>
      </w:r>
    </w:p>
    <w:p w:rsidR="00361797" w:rsidRDefault="00361797" w:rsidP="00361797">
      <w:pPr>
        <w:pStyle w:val="StyleNotesTextItalic"/>
        <w:rPr>
          <w:rFonts w:cstheme="minorHAnsi"/>
          <w:sz w:val="20"/>
          <w:szCs w:val="20"/>
        </w:rPr>
      </w:pPr>
      <w:r>
        <w:rPr>
          <w:rFonts w:cstheme="minorHAnsi"/>
          <w:sz w:val="20"/>
          <w:szCs w:val="20"/>
        </w:rPr>
        <w:t>Separation and redundancy</w:t>
      </w:r>
    </w:p>
    <w:p w:rsidR="00361797" w:rsidRDefault="00361797" w:rsidP="00361797">
      <w:pPr>
        <w:pStyle w:val="StyleNotesTextBold1"/>
        <w:rPr>
          <w:rFonts w:asciiTheme="minorHAnsi" w:hAnsiTheme="minorHAnsi" w:cstheme="minorHAnsi"/>
        </w:rPr>
      </w:pPr>
      <w:r>
        <w:rPr>
          <w:rFonts w:asciiTheme="minorHAnsi" w:hAnsiTheme="minorHAnsi" w:cstheme="minorHAnsi"/>
        </w:rPr>
        <w:t>Provision is made for separation and redundancy benefit payments.  The department recognises a provision for termination when it has developed a detailed formal plan for the terminations and has informed those employees affected that it will carry out the terminations.</w:t>
      </w:r>
    </w:p>
    <w:p w:rsidR="00361797" w:rsidRDefault="00361797" w:rsidP="00361797">
      <w:pPr>
        <w:pStyle w:val="StyleNotesTextItalic"/>
        <w:rPr>
          <w:rFonts w:cstheme="minorHAnsi"/>
          <w:sz w:val="20"/>
          <w:szCs w:val="20"/>
        </w:rPr>
      </w:pPr>
      <w:r>
        <w:rPr>
          <w:rFonts w:cstheme="minorHAnsi"/>
          <w:sz w:val="20"/>
          <w:szCs w:val="20"/>
        </w:rPr>
        <w:t>Superannuation</w:t>
      </w:r>
    </w:p>
    <w:p w:rsidR="00361797" w:rsidRDefault="00361797" w:rsidP="00361797">
      <w:pPr>
        <w:pStyle w:val="NotesText0"/>
        <w:rPr>
          <w:rFonts w:cstheme="minorHAnsi"/>
          <w:sz w:val="20"/>
          <w:szCs w:val="20"/>
        </w:rPr>
      </w:pPr>
      <w:r>
        <w:rPr>
          <w:rFonts w:cstheme="minorHAnsi"/>
          <w:sz w:val="20"/>
          <w:szCs w:val="20"/>
        </w:rPr>
        <w:t>Staff of the department are members of the Commonwealth Superannuation Scheme (</w:t>
      </w:r>
      <w:proofErr w:type="spellStart"/>
      <w:r>
        <w:rPr>
          <w:rFonts w:cstheme="minorHAnsi"/>
          <w:sz w:val="20"/>
          <w:szCs w:val="20"/>
        </w:rPr>
        <w:t>CSS</w:t>
      </w:r>
      <w:proofErr w:type="spellEnd"/>
      <w:r>
        <w:rPr>
          <w:rFonts w:cstheme="minorHAnsi"/>
          <w:sz w:val="20"/>
          <w:szCs w:val="20"/>
        </w:rPr>
        <w:t>), the Public Sector Superannuation Scheme (PSS), the PSS accumulation plan (</w:t>
      </w:r>
      <w:proofErr w:type="spellStart"/>
      <w:r>
        <w:rPr>
          <w:rFonts w:cstheme="minorHAnsi"/>
          <w:sz w:val="20"/>
          <w:szCs w:val="20"/>
        </w:rPr>
        <w:t>PSSap</w:t>
      </w:r>
      <w:proofErr w:type="spellEnd"/>
      <w:r>
        <w:rPr>
          <w:rFonts w:cstheme="minorHAnsi"/>
          <w:sz w:val="20"/>
          <w:szCs w:val="20"/>
        </w:rPr>
        <w:t>) or the Australian Government Employees Superannuation Trust (</w:t>
      </w:r>
      <w:proofErr w:type="spellStart"/>
      <w:r>
        <w:rPr>
          <w:rFonts w:cstheme="minorHAnsi"/>
          <w:sz w:val="20"/>
          <w:szCs w:val="20"/>
        </w:rPr>
        <w:t>AGEST</w:t>
      </w:r>
      <w:proofErr w:type="spellEnd"/>
      <w:r>
        <w:rPr>
          <w:rFonts w:cstheme="minorHAnsi"/>
          <w:sz w:val="20"/>
          <w:szCs w:val="20"/>
        </w:rPr>
        <w:t>).</w:t>
      </w:r>
    </w:p>
    <w:p w:rsidR="00361797" w:rsidRDefault="00361797" w:rsidP="00361797">
      <w:pPr>
        <w:pStyle w:val="NotesText0"/>
        <w:rPr>
          <w:rFonts w:cstheme="minorHAnsi"/>
          <w:sz w:val="20"/>
          <w:szCs w:val="20"/>
        </w:rPr>
      </w:pPr>
      <w:r>
        <w:rPr>
          <w:rFonts w:cstheme="minorHAnsi"/>
          <w:sz w:val="20"/>
          <w:szCs w:val="20"/>
        </w:rPr>
        <w:t xml:space="preserve">The </w:t>
      </w:r>
      <w:proofErr w:type="spellStart"/>
      <w:r>
        <w:rPr>
          <w:rFonts w:cstheme="minorHAnsi"/>
          <w:sz w:val="20"/>
          <w:szCs w:val="20"/>
        </w:rPr>
        <w:t>CSS</w:t>
      </w:r>
      <w:proofErr w:type="spellEnd"/>
      <w:r>
        <w:rPr>
          <w:rFonts w:cstheme="minorHAnsi"/>
          <w:sz w:val="20"/>
          <w:szCs w:val="20"/>
        </w:rPr>
        <w:t xml:space="preserve">, PSS and </w:t>
      </w:r>
      <w:proofErr w:type="spellStart"/>
      <w:r>
        <w:rPr>
          <w:rFonts w:cstheme="minorHAnsi"/>
          <w:sz w:val="20"/>
          <w:szCs w:val="20"/>
        </w:rPr>
        <w:t>AGEST</w:t>
      </w:r>
      <w:proofErr w:type="spellEnd"/>
      <w:r>
        <w:rPr>
          <w:rFonts w:cstheme="minorHAnsi"/>
          <w:sz w:val="20"/>
          <w:szCs w:val="20"/>
        </w:rPr>
        <w:t xml:space="preserve"> are defined benefit schemes for the Australian Government. The </w:t>
      </w:r>
      <w:proofErr w:type="spellStart"/>
      <w:r>
        <w:rPr>
          <w:rFonts w:cstheme="minorHAnsi"/>
          <w:sz w:val="20"/>
          <w:szCs w:val="20"/>
        </w:rPr>
        <w:t>PSSap</w:t>
      </w:r>
      <w:proofErr w:type="spellEnd"/>
      <w:r>
        <w:rPr>
          <w:rFonts w:cstheme="minorHAnsi"/>
          <w:sz w:val="20"/>
          <w:szCs w:val="20"/>
        </w:rPr>
        <w:t xml:space="preserve"> is a defined contribution scheme.</w:t>
      </w:r>
    </w:p>
    <w:p w:rsidR="00361797" w:rsidRDefault="00361797" w:rsidP="00361797">
      <w:pPr>
        <w:pStyle w:val="NotesText0"/>
        <w:rPr>
          <w:rFonts w:cstheme="minorHAnsi"/>
          <w:sz w:val="20"/>
          <w:szCs w:val="20"/>
        </w:rPr>
      </w:pPr>
      <w:r>
        <w:rPr>
          <w:rFonts w:cstheme="minorHAnsi"/>
          <w:sz w:val="20"/>
          <w:szCs w:val="20"/>
        </w:rPr>
        <w:t>The liability for defined benefits is recognised in the financial statements of the Australian Government and is settled by the Australian Government in due course. This liability is reported by the Department of Finance’s administered schedules and notes.</w:t>
      </w:r>
    </w:p>
    <w:p w:rsidR="00361797" w:rsidRDefault="00361797" w:rsidP="00361797">
      <w:pPr>
        <w:pStyle w:val="StyleNotesTextBold1"/>
        <w:rPr>
          <w:rFonts w:asciiTheme="minorHAnsi" w:hAnsiTheme="minorHAnsi" w:cstheme="minorHAnsi"/>
        </w:rPr>
      </w:pPr>
      <w:r>
        <w:rPr>
          <w:rFonts w:asciiTheme="minorHAnsi" w:hAnsiTheme="minorHAnsi" w:cstheme="minorHAnsi"/>
        </w:rPr>
        <w:t>The department makes employer contributions to the employee’s superannuation scheme at rates determined by an actuary to be sufficient to meet the current cost to the Government. The department accounts for the contributions as if they were contributions to defined contribution plans.</w:t>
      </w:r>
    </w:p>
    <w:p w:rsidR="00361797" w:rsidRDefault="00361797" w:rsidP="00361797">
      <w:pPr>
        <w:pStyle w:val="StyleNotesTextBold1"/>
        <w:rPr>
          <w:rFonts w:asciiTheme="minorHAnsi" w:hAnsiTheme="minorHAnsi" w:cstheme="minorHAnsi"/>
        </w:rPr>
      </w:pPr>
      <w:r>
        <w:rPr>
          <w:rFonts w:asciiTheme="minorHAnsi" w:hAnsiTheme="minorHAnsi" w:cstheme="minorHAnsi"/>
        </w:rPr>
        <w:t>The liability for superannuation recognised as at 18 September 2013 represents outstanding contributions for the final fortnight of the statement period.</w:t>
      </w:r>
    </w:p>
    <w:p w:rsidR="00361797" w:rsidRDefault="00361797" w:rsidP="00361797">
      <w:pPr>
        <w:pStyle w:val="SAPHeading-Level2"/>
        <w:numPr>
          <w:ilvl w:val="1"/>
          <w:numId w:val="16"/>
        </w:numPr>
      </w:pPr>
      <w:r>
        <w:t>Leases</w:t>
      </w:r>
    </w:p>
    <w:p w:rsidR="00361797" w:rsidRDefault="00361797" w:rsidP="00361797">
      <w:pPr>
        <w:pStyle w:val="NotesText0"/>
        <w:rPr>
          <w:rFonts w:cstheme="minorHAnsi"/>
          <w:sz w:val="20"/>
          <w:szCs w:val="20"/>
        </w:rPr>
      </w:pPr>
      <w:r>
        <w:rPr>
          <w:rFonts w:cstheme="minorHAnsi"/>
          <w:sz w:val="20"/>
          <w:szCs w:val="20"/>
        </w:rPr>
        <w:t>A distinction is made between finance leases and operating leases.  Finance leases effectively transfer from the lessor to the lessee substantially all the risks and rewards incidental to ownership of leased assets. An operating lease is a lease that is not a finance lease.  In operating leases, the lessor effectively retains substantially all such risks and benefits.</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Where an asset is acquired by means of a finance lease, the asset is capitalised at either the fair value of the lease property or, if lower, the present value of minimum lease payments at the inception of the contract and a liability is recognised at the same time and for the same amount. </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The discount rate used is the interest rate implicit in the lease. Leased assets are amortised over the period of the lease.  Lease payments are allocated between the principal component and the interest expense.</w:t>
      </w:r>
    </w:p>
    <w:p w:rsidR="00361797" w:rsidRDefault="00361797" w:rsidP="00361797">
      <w:pPr>
        <w:pStyle w:val="StyleNotesTextBold"/>
        <w:rPr>
          <w:rFonts w:asciiTheme="minorHAnsi" w:hAnsiTheme="minorHAnsi" w:cstheme="minorHAnsi"/>
          <w:lang w:eastAsia="en-AU"/>
        </w:rPr>
      </w:pPr>
      <w:r>
        <w:rPr>
          <w:rFonts w:asciiTheme="minorHAnsi" w:hAnsiTheme="minorHAnsi" w:cstheme="minorHAnsi"/>
          <w:lang w:eastAsia="en-AU"/>
        </w:rPr>
        <w:t xml:space="preserve">Operating lease payments are expensed on a straight-line basis which is representative of the pattern of benefits derived from the leased assets. </w:t>
      </w:r>
    </w:p>
    <w:p w:rsidR="00361797" w:rsidRDefault="00361797" w:rsidP="00361797">
      <w:pPr>
        <w:pStyle w:val="StyleNotesTextItalic"/>
        <w:rPr>
          <w:rFonts w:cstheme="minorHAnsi"/>
          <w:sz w:val="20"/>
          <w:szCs w:val="20"/>
        </w:rPr>
      </w:pPr>
      <w:r>
        <w:rPr>
          <w:rFonts w:cstheme="minorHAnsi"/>
          <w:sz w:val="20"/>
          <w:szCs w:val="20"/>
        </w:rPr>
        <w:t>Lease incentives</w:t>
      </w:r>
    </w:p>
    <w:p w:rsidR="00361797" w:rsidRDefault="00361797" w:rsidP="00361797">
      <w:pPr>
        <w:pStyle w:val="StyleNotesTextBold"/>
        <w:rPr>
          <w:rFonts w:asciiTheme="minorHAnsi" w:hAnsiTheme="minorHAnsi" w:cstheme="minorHAnsi"/>
          <w:lang w:eastAsia="en-AU"/>
        </w:rPr>
      </w:pPr>
      <w:r>
        <w:rPr>
          <w:rFonts w:asciiTheme="minorHAnsi" w:hAnsiTheme="minorHAnsi" w:cstheme="minorHAnsi"/>
          <w:lang w:eastAsia="en-AU"/>
        </w:rPr>
        <w:t>Lease incentives taking the form of ‘free’ leasehold improvements and rent free holidays are recognised as liabilities. These liabilities are reduced by allocating lease payments between rental expense and reduction of the liability.</w:t>
      </w:r>
    </w:p>
    <w:p w:rsidR="00361797" w:rsidRDefault="00361797" w:rsidP="00361797">
      <w:pPr>
        <w:pStyle w:val="SAPHeading-Level2"/>
        <w:numPr>
          <w:ilvl w:val="1"/>
          <w:numId w:val="16"/>
        </w:numPr>
      </w:pPr>
      <w:r>
        <w:t>Fair Value Measurement</w:t>
      </w:r>
    </w:p>
    <w:p w:rsidR="00361797" w:rsidRPr="001B3F94" w:rsidRDefault="00361797" w:rsidP="00361797">
      <w:pPr>
        <w:pStyle w:val="SAPHeading-Level2"/>
        <w:tabs>
          <w:tab w:val="clear" w:pos="851"/>
        </w:tabs>
        <w:ind w:left="0" w:firstLine="0"/>
        <w:rPr>
          <w:b w:val="0"/>
        </w:rPr>
      </w:pPr>
      <w:r>
        <w:rPr>
          <w:b w:val="0"/>
        </w:rPr>
        <w:t>The department deems transfers between levels of the fair value hierarchy to have occurred at reporting date.</w:t>
      </w:r>
    </w:p>
    <w:p w:rsidR="00361797" w:rsidRDefault="00361797" w:rsidP="00361797">
      <w:pPr>
        <w:pStyle w:val="SAPHeading-Level2"/>
        <w:tabs>
          <w:tab w:val="clear" w:pos="851"/>
        </w:tabs>
        <w:ind w:firstLine="0"/>
      </w:pPr>
      <w:r>
        <w:br w:type="page"/>
      </w:r>
    </w:p>
    <w:p w:rsidR="00361797" w:rsidRDefault="00361797" w:rsidP="00361797">
      <w:pPr>
        <w:pStyle w:val="SAPHeading-Level2"/>
        <w:tabs>
          <w:tab w:val="clear" w:pos="851"/>
        </w:tabs>
        <w:ind w:firstLine="0"/>
      </w:pPr>
    </w:p>
    <w:p w:rsidR="00361797" w:rsidRDefault="00361797" w:rsidP="00361797">
      <w:pPr>
        <w:pStyle w:val="SAPHeading-Level2"/>
        <w:numPr>
          <w:ilvl w:val="1"/>
          <w:numId w:val="16"/>
        </w:numPr>
      </w:pPr>
      <w:r>
        <w:t xml:space="preserve">Cash </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Cash is recognised at its nominal amount.  Cash and cash equivalents include</w:t>
      </w:r>
      <w:r>
        <w:rPr>
          <w:rFonts w:asciiTheme="minorHAnsi" w:hAnsiTheme="minorHAnsi" w:cstheme="minorHAnsi"/>
        </w:rPr>
        <w:t>:</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cash on hand</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demand deposits in bank accounts with an original maturity of three months or less that are readily convertible to known amounts of cash and subject to insignificant risk of changes in value</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cash held by outsiders</w:t>
      </w:r>
    </w:p>
    <w:p w:rsidR="00361797" w:rsidRDefault="00361797" w:rsidP="00361797">
      <w:pPr>
        <w:pStyle w:val="BulletKPMG"/>
        <w:numPr>
          <w:ilvl w:val="0"/>
          <w:numId w:val="17"/>
        </w:numPr>
        <w:rPr>
          <w:rFonts w:asciiTheme="minorHAnsi" w:hAnsiTheme="minorHAnsi" w:cstheme="minorHAnsi"/>
          <w:lang w:val="en-AU"/>
        </w:rPr>
      </w:pPr>
      <w:proofErr w:type="gramStart"/>
      <w:r>
        <w:rPr>
          <w:rFonts w:asciiTheme="minorHAnsi" w:hAnsiTheme="minorHAnsi" w:cstheme="minorHAnsi"/>
          <w:lang w:val="en-AU"/>
        </w:rPr>
        <w:t>cash</w:t>
      </w:r>
      <w:proofErr w:type="gramEnd"/>
      <w:r>
        <w:rPr>
          <w:rFonts w:asciiTheme="minorHAnsi" w:hAnsiTheme="minorHAnsi" w:cstheme="minorHAnsi"/>
          <w:lang w:val="en-AU"/>
        </w:rPr>
        <w:t xml:space="preserve"> in special accounts. </w:t>
      </w:r>
    </w:p>
    <w:p w:rsidR="00361797" w:rsidRDefault="00361797" w:rsidP="00361797">
      <w:pPr>
        <w:pStyle w:val="SAPHeading-Level2"/>
        <w:numPr>
          <w:ilvl w:val="1"/>
          <w:numId w:val="16"/>
        </w:numPr>
      </w:pPr>
      <w:r>
        <w:t>Financial Assets</w:t>
      </w:r>
    </w:p>
    <w:p w:rsidR="00361797" w:rsidRDefault="00361797" w:rsidP="00361797">
      <w:pPr>
        <w:pStyle w:val="StyleNotesTextBold"/>
        <w:rPr>
          <w:rFonts w:asciiTheme="minorHAnsi" w:hAnsiTheme="minorHAnsi" w:cstheme="minorHAnsi"/>
        </w:rPr>
      </w:pPr>
      <w:r>
        <w:rPr>
          <w:rFonts w:asciiTheme="minorHAnsi" w:hAnsiTheme="minorHAnsi" w:cstheme="minorHAnsi"/>
        </w:rPr>
        <w:t>The department classifies its financial assets in the following categories:</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financial assets at fair value through profit or loss</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available-for-sale financial assets</w:t>
      </w:r>
    </w:p>
    <w:p w:rsidR="00361797" w:rsidRDefault="00361797" w:rsidP="00361797">
      <w:pPr>
        <w:pStyle w:val="BulletKPMG"/>
        <w:numPr>
          <w:ilvl w:val="0"/>
          <w:numId w:val="17"/>
        </w:numPr>
        <w:rPr>
          <w:rFonts w:asciiTheme="minorHAnsi" w:hAnsiTheme="minorHAnsi" w:cstheme="minorHAnsi"/>
        </w:rPr>
      </w:pPr>
      <w:proofErr w:type="gramStart"/>
      <w:r>
        <w:rPr>
          <w:rFonts w:asciiTheme="minorHAnsi" w:hAnsiTheme="minorHAnsi" w:cstheme="minorHAnsi"/>
          <w:lang w:val="en-AU"/>
        </w:rPr>
        <w:t>loans</w:t>
      </w:r>
      <w:proofErr w:type="gramEnd"/>
      <w:r>
        <w:rPr>
          <w:rFonts w:asciiTheme="minorHAnsi" w:hAnsiTheme="minorHAnsi" w:cstheme="minorHAnsi"/>
          <w:lang w:val="en-AU"/>
        </w:rPr>
        <w:t xml:space="preserve"> and receivables.</w:t>
      </w:r>
    </w:p>
    <w:p w:rsidR="00361797" w:rsidRDefault="00361797" w:rsidP="00361797">
      <w:pPr>
        <w:pStyle w:val="BulletKPMG"/>
        <w:tabs>
          <w:tab w:val="clear" w:pos="473"/>
          <w:tab w:val="left" w:pos="8959"/>
        </w:tabs>
        <w:ind w:left="0" w:firstLine="0"/>
        <w:rPr>
          <w:rFonts w:asciiTheme="minorHAnsi" w:hAnsiTheme="minorHAnsi" w:cstheme="minorHAnsi"/>
        </w:rPr>
      </w:pPr>
      <w:r>
        <w:rPr>
          <w:rFonts w:asciiTheme="minorHAnsi" w:hAnsiTheme="minorHAnsi" w:cstheme="minorHAnsi"/>
        </w:rPr>
        <w:t xml:space="preserve">The classification depends on the nature and purpose of the financial assets and is determined at the time of initial recognition. Financial assets are </w:t>
      </w:r>
      <w:proofErr w:type="spellStart"/>
      <w:r>
        <w:rPr>
          <w:rFonts w:asciiTheme="minorHAnsi" w:hAnsiTheme="minorHAnsi" w:cstheme="minorHAnsi"/>
        </w:rPr>
        <w:t>recognised</w:t>
      </w:r>
      <w:proofErr w:type="spellEnd"/>
      <w:r>
        <w:rPr>
          <w:rFonts w:asciiTheme="minorHAnsi" w:hAnsiTheme="minorHAnsi" w:cstheme="minorHAnsi"/>
        </w:rPr>
        <w:t xml:space="preserve"> and </w:t>
      </w:r>
      <w:proofErr w:type="spellStart"/>
      <w:r>
        <w:rPr>
          <w:rFonts w:asciiTheme="minorHAnsi" w:hAnsiTheme="minorHAnsi" w:cstheme="minorHAnsi"/>
        </w:rPr>
        <w:t>derecognised</w:t>
      </w:r>
      <w:proofErr w:type="spellEnd"/>
      <w:r>
        <w:rPr>
          <w:rFonts w:asciiTheme="minorHAnsi" w:hAnsiTheme="minorHAnsi" w:cstheme="minorHAnsi"/>
        </w:rPr>
        <w:t xml:space="preserve"> upon trade date.</w:t>
      </w:r>
    </w:p>
    <w:p w:rsidR="00361797" w:rsidRDefault="00361797" w:rsidP="00361797">
      <w:pPr>
        <w:pStyle w:val="StyleNotesTextItalic"/>
        <w:rPr>
          <w:rFonts w:cstheme="minorHAnsi"/>
          <w:sz w:val="20"/>
          <w:szCs w:val="20"/>
        </w:rPr>
      </w:pPr>
      <w:r>
        <w:rPr>
          <w:rFonts w:cstheme="minorHAnsi"/>
          <w:sz w:val="20"/>
          <w:szCs w:val="20"/>
        </w:rPr>
        <w:t>Effective interest method</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The effective interest method is a method of calculating the amortised cost of a financial asset and of allocating interest income over the relevant period.  The effective interest rate is the rate that exactly discounts estimated future cash receipts over the expected life of the financial asset, or where appropriate, a shorter period.</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Income is recognised on an effective interest rate basis except for financial assets that are recognised at fair value through profit or loss.</w:t>
      </w:r>
    </w:p>
    <w:p w:rsidR="00361797" w:rsidRDefault="00361797" w:rsidP="00361797">
      <w:pPr>
        <w:pStyle w:val="StyleNotesTextItalic"/>
        <w:rPr>
          <w:rFonts w:cstheme="minorHAnsi"/>
          <w:sz w:val="20"/>
          <w:szCs w:val="20"/>
        </w:rPr>
      </w:pPr>
      <w:r>
        <w:rPr>
          <w:rFonts w:cstheme="minorHAnsi"/>
          <w:sz w:val="20"/>
          <w:szCs w:val="20"/>
        </w:rPr>
        <w:t>Financial assets at fair value through profit or loss</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Financial assets are classified as financial assets at fair value through profit or loss where the financial assets</w:t>
      </w:r>
      <w:r>
        <w:rPr>
          <w:rFonts w:asciiTheme="minorHAnsi" w:hAnsiTheme="minorHAnsi" w:cstheme="minorHAnsi"/>
        </w:rPr>
        <w:t>:</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have been acquired principally for the purpose of selling in the near future</w:t>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are parts of an identified portfolio of financial instruments that the department manages together and has a recent actual pattern of short-term profit-taking</w:t>
      </w:r>
    </w:p>
    <w:p w:rsidR="00361797" w:rsidRDefault="00361797" w:rsidP="00361797">
      <w:pPr>
        <w:pStyle w:val="BulletKPMG"/>
        <w:numPr>
          <w:ilvl w:val="0"/>
          <w:numId w:val="17"/>
        </w:numPr>
        <w:rPr>
          <w:rFonts w:asciiTheme="minorHAnsi" w:hAnsiTheme="minorHAnsi" w:cstheme="minorHAnsi"/>
          <w:lang w:val="en-AU"/>
        </w:rPr>
      </w:pPr>
      <w:proofErr w:type="gramStart"/>
      <w:r>
        <w:rPr>
          <w:rFonts w:asciiTheme="minorHAnsi" w:hAnsiTheme="minorHAnsi" w:cstheme="minorHAnsi"/>
          <w:lang w:val="en-AU"/>
        </w:rPr>
        <w:t>are</w:t>
      </w:r>
      <w:proofErr w:type="gramEnd"/>
      <w:r>
        <w:rPr>
          <w:rFonts w:asciiTheme="minorHAnsi" w:hAnsiTheme="minorHAnsi" w:cstheme="minorHAnsi"/>
          <w:lang w:val="en-AU"/>
        </w:rPr>
        <w:t xml:space="preserve"> derivatives that are not designated and effective as a hedging instrument.</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Assets in this category are classified as current assets. </w:t>
      </w:r>
    </w:p>
    <w:p w:rsidR="00361797" w:rsidRDefault="00361797" w:rsidP="00361797">
      <w:pPr>
        <w:pStyle w:val="StyleNotesTextBold"/>
        <w:rPr>
          <w:rFonts w:asciiTheme="minorHAnsi" w:hAnsiTheme="minorHAnsi" w:cstheme="minorHAnsi"/>
          <w:lang w:eastAsia="en-AU"/>
        </w:rPr>
      </w:pPr>
      <w:r>
        <w:rPr>
          <w:rFonts w:asciiTheme="minorHAnsi" w:hAnsiTheme="minorHAnsi" w:cstheme="minorHAnsi"/>
          <w:lang w:eastAsia="en-AU"/>
        </w:rPr>
        <w:t xml:space="preserve">Financial assets at fair value through profit or loss are stated at fair value, with any resultant gain or loss recognised in profit or loss.  The net gain or loss recognised in profit or loss incorporates any interest earned on the financial asset. </w:t>
      </w:r>
    </w:p>
    <w:p w:rsidR="00361797" w:rsidRDefault="00361797" w:rsidP="00361797">
      <w:pPr>
        <w:pStyle w:val="StyleNotesTextItalic"/>
        <w:rPr>
          <w:rFonts w:cstheme="minorHAnsi"/>
          <w:sz w:val="20"/>
          <w:szCs w:val="20"/>
        </w:rPr>
      </w:pPr>
      <w:r>
        <w:rPr>
          <w:rFonts w:cstheme="minorHAnsi"/>
          <w:sz w:val="20"/>
          <w:szCs w:val="20"/>
        </w:rPr>
        <w:t>Available-for-sale financial assets</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Available-for-sale financial assets are non-derivatives that are either designated in this category or not classified in any of the other categories.</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Available-for-sale financial assets are recorded at fair value.  Gains and losses arising from changes in fair value are recognised directly in the reserves (equity) with the exception of impairment losses. Interest is calculated using the effective interest method and foreign exchange gains and losses on monetary assets are recognised directly in profit or loss. Where the asset is disposed of or is determined to be impaired, part (or all) of the cumulative gain or loss previously recognised in the reserve is included in profit or loss for the period.</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Where a reliable fair value cannot be established for unlisted investments in equity instruments, these instruments are valued at cost. The department has no such instruments.</w:t>
      </w:r>
    </w:p>
    <w:p w:rsidR="00361797" w:rsidRDefault="00361797" w:rsidP="00361797">
      <w:pPr>
        <w:pStyle w:val="StyleNotesTextItalic"/>
        <w:rPr>
          <w:rFonts w:cstheme="minorHAnsi"/>
          <w:sz w:val="20"/>
          <w:szCs w:val="20"/>
        </w:rPr>
      </w:pPr>
      <w:r>
        <w:rPr>
          <w:rFonts w:cstheme="minorHAnsi"/>
          <w:sz w:val="20"/>
          <w:szCs w:val="20"/>
        </w:rPr>
        <w:t>Loans and receivables</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Trade receivables, loans and other receivables that have fixed or determinable payments that are not quoted in an active market are classified as ‘loans and receivables’. Loans and receivables are measured at amortised cost using the effective interest method less impairment. Interest is recognised by applying the effective interest rate</w:t>
      </w:r>
      <w:r>
        <w:rPr>
          <w:rFonts w:asciiTheme="minorHAnsi" w:hAnsiTheme="minorHAnsi" w:cstheme="minorHAnsi"/>
        </w:rPr>
        <w:t>.</w:t>
      </w:r>
    </w:p>
    <w:p w:rsidR="00361797" w:rsidRDefault="00361797" w:rsidP="00361797">
      <w:pPr>
        <w:pStyle w:val="StyleNotesTextItalic"/>
        <w:rPr>
          <w:rFonts w:cstheme="minorHAnsi"/>
          <w:sz w:val="20"/>
          <w:szCs w:val="20"/>
        </w:rPr>
      </w:pPr>
      <w:r>
        <w:rPr>
          <w:rFonts w:cstheme="minorHAnsi"/>
          <w:sz w:val="20"/>
          <w:szCs w:val="20"/>
        </w:rPr>
        <w:br w:type="page"/>
      </w:r>
      <w:r>
        <w:rPr>
          <w:rFonts w:cstheme="minorHAnsi"/>
          <w:sz w:val="20"/>
          <w:szCs w:val="20"/>
        </w:rPr>
        <w:lastRenderedPageBreak/>
        <w:t>Impairment of financial assets</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Financial assets are assessed for impairment at the end of the reporting period</w:t>
      </w:r>
      <w:r>
        <w:rPr>
          <w:rFonts w:asciiTheme="minorHAnsi" w:hAnsiTheme="minorHAnsi" w:cstheme="minorHAnsi"/>
        </w:rPr>
        <w:t>.</w:t>
      </w:r>
    </w:p>
    <w:p w:rsidR="00361797" w:rsidRDefault="00361797" w:rsidP="00361797">
      <w:pPr>
        <w:pStyle w:val="BulletKPMG"/>
        <w:numPr>
          <w:ilvl w:val="0"/>
          <w:numId w:val="17"/>
        </w:numPr>
        <w:rPr>
          <w:rStyle w:val="StyleNotesTextBoldChar"/>
          <w:rFonts w:asciiTheme="minorHAnsi" w:hAnsiTheme="minorHAnsi" w:cstheme="minorHAnsi"/>
        </w:rPr>
      </w:pPr>
      <w:r>
        <w:rPr>
          <w:rFonts w:asciiTheme="minorHAnsi" w:hAnsiTheme="minorHAnsi" w:cstheme="minorHAnsi"/>
          <w:i/>
          <w:lang w:val="en-AU"/>
        </w:rPr>
        <w:t>Financial assets held at amortised cost</w:t>
      </w:r>
      <w:r>
        <w:rPr>
          <w:rStyle w:val="StyleNotesTextBoldChar"/>
          <w:rFonts w:asciiTheme="minorHAnsi" w:hAnsiTheme="minorHAnsi" w:cstheme="minorHAnsi"/>
        </w:rPr>
        <w:t xml:space="preserve"> </w:t>
      </w:r>
      <w:r>
        <w:rPr>
          <w:rFonts w:asciiTheme="minorHAnsi" w:hAnsiTheme="minorHAnsi" w:cstheme="minorHAnsi"/>
          <w:lang w:val="en-AU"/>
        </w:rPr>
        <w:t>– If there is objective evidence that an impairment loss has been incurred for loans and receivables, the amount of the loss is measured as the difference between the asset’s carrying amount and the present value of estimated future cash flows discounted at the asset’s original effective interest rate.  The carrying amount is reduced by way of an allowance account. The loss is recognised in the Statement of Comprehensive Income.</w:t>
      </w:r>
    </w:p>
    <w:p w:rsidR="00361797" w:rsidRDefault="00361797" w:rsidP="00361797">
      <w:pPr>
        <w:pStyle w:val="BulletKPMG"/>
        <w:numPr>
          <w:ilvl w:val="0"/>
          <w:numId w:val="17"/>
        </w:numPr>
        <w:rPr>
          <w:rStyle w:val="StyleNotesTextBoldChar"/>
          <w:rFonts w:asciiTheme="minorHAnsi" w:hAnsiTheme="minorHAnsi" w:cstheme="minorHAnsi"/>
        </w:rPr>
      </w:pPr>
      <w:r>
        <w:rPr>
          <w:rFonts w:asciiTheme="minorHAnsi" w:hAnsiTheme="minorHAnsi" w:cstheme="minorHAnsi"/>
          <w:i/>
          <w:lang w:val="en-AU"/>
        </w:rPr>
        <w:t>Available-for-sale financial assets</w:t>
      </w:r>
      <w:r>
        <w:rPr>
          <w:rStyle w:val="StyleNotesTextBoldChar"/>
          <w:rFonts w:asciiTheme="minorHAnsi" w:hAnsiTheme="minorHAnsi" w:cstheme="minorHAnsi"/>
        </w:rPr>
        <w:t xml:space="preserve"> </w:t>
      </w:r>
      <w:r>
        <w:rPr>
          <w:rFonts w:asciiTheme="minorHAnsi" w:hAnsiTheme="minorHAnsi" w:cstheme="minorHAnsi"/>
          <w:lang w:val="en-AU"/>
        </w:rPr>
        <w:softHyphen/>
        <w:t>– If there is objective evidence that an impairment loss on an available-for-sale financial asset has been incurred, the amount of the difference between its cost, less principal repayments and amortisation, and its current fair value, less any impairment loss previously recognised in expenses, is transferred from equity to the Statement of Comprehensive Income.</w:t>
      </w:r>
    </w:p>
    <w:p w:rsidR="00361797" w:rsidRDefault="00361797" w:rsidP="00361797">
      <w:pPr>
        <w:pStyle w:val="BulletKPMG"/>
        <w:numPr>
          <w:ilvl w:val="0"/>
          <w:numId w:val="17"/>
        </w:numPr>
      </w:pPr>
      <w:r>
        <w:rPr>
          <w:rFonts w:asciiTheme="minorHAnsi" w:hAnsiTheme="minorHAnsi" w:cstheme="minorHAnsi"/>
          <w:i/>
          <w:lang w:val="en-AU"/>
        </w:rPr>
        <w:t>Financial assets held at cost</w:t>
      </w:r>
      <w:r>
        <w:rPr>
          <w:rStyle w:val="StyleNotesTextBoldChar"/>
          <w:rFonts w:asciiTheme="minorHAnsi" w:hAnsiTheme="minorHAnsi" w:cstheme="minorHAnsi"/>
        </w:rPr>
        <w:t xml:space="preserve"> </w:t>
      </w:r>
      <w:r>
        <w:rPr>
          <w:rFonts w:asciiTheme="minorHAnsi" w:hAnsiTheme="minorHAnsi" w:cstheme="minorHAnsi"/>
          <w:lang w:val="en-AU"/>
        </w:rPr>
        <w:t>– If there is objective evidence that an impairment loss has been incurred, the amount of the impairment loss is the difference between the carrying amount of the asset and the present value of the estimated future cash flows discounted at the current market rate for similar assets.</w:t>
      </w:r>
    </w:p>
    <w:p w:rsidR="00361797" w:rsidRDefault="00361797" w:rsidP="00361797">
      <w:pPr>
        <w:pStyle w:val="SAPHeading-Level2"/>
        <w:numPr>
          <w:ilvl w:val="1"/>
          <w:numId w:val="16"/>
        </w:numPr>
      </w:pPr>
      <w:r>
        <w:t>Financial Liabilities</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Financial liabilities are classified as either financial liabilities ‘at fair value through profit or loss’ or other financial liabilities.  Financial liabilities are recognised and derecognised upon trade date.</w:t>
      </w:r>
    </w:p>
    <w:p w:rsidR="00361797" w:rsidRDefault="00361797" w:rsidP="00361797">
      <w:pPr>
        <w:pStyle w:val="StyleNotesTextItalic"/>
        <w:rPr>
          <w:rFonts w:cstheme="minorHAnsi"/>
          <w:sz w:val="20"/>
          <w:szCs w:val="20"/>
        </w:rPr>
      </w:pPr>
      <w:r>
        <w:rPr>
          <w:rFonts w:cstheme="minorHAnsi"/>
          <w:sz w:val="20"/>
          <w:szCs w:val="20"/>
        </w:rPr>
        <w:t>Financial liabilities at fair value through profit or loss</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Financial liabilities at fair value through profit or loss are initially measured at fair value. Subsequent fair value adjustments are recognised in profit or loss. The net gain or loss recognised in profit or loss incorporates any interest paid on the financial liability.</w:t>
      </w:r>
      <w:r>
        <w:rPr>
          <w:rFonts w:asciiTheme="minorHAnsi" w:hAnsiTheme="minorHAnsi" w:cstheme="minorHAnsi"/>
        </w:rPr>
        <w:t xml:space="preserve"> </w:t>
      </w:r>
    </w:p>
    <w:p w:rsidR="00361797" w:rsidRDefault="00361797" w:rsidP="00361797">
      <w:pPr>
        <w:pStyle w:val="StyleNotesTextItalic"/>
        <w:rPr>
          <w:rFonts w:cstheme="minorHAnsi"/>
          <w:sz w:val="20"/>
          <w:szCs w:val="20"/>
        </w:rPr>
      </w:pPr>
      <w:r>
        <w:rPr>
          <w:rFonts w:cstheme="minorHAnsi"/>
          <w:sz w:val="20"/>
          <w:szCs w:val="20"/>
        </w:rPr>
        <w:t>Other financial liabilities</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Other financial liabilities are initially measured at fair value, net of transaction costs. These liabilities are subsequently measured at amortised cost using the effective interest method, with interest expense recognised on an effective yield basis.</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The effective interest method is a method of calculating the amortised cost of a financial liability and of allocating interest expense over the relevant period.  The effective interest rate is the rate that exactly discounts estimated future cash payments through the expected life of the financial liability, or where appropriate, a shorter period.</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Supplier and other payables are recognised at amortised cost. Liabilities are recognised to the extent that the goods or services have been received (and irrespective of having been invoiced).</w:t>
      </w:r>
    </w:p>
    <w:p w:rsidR="00361797" w:rsidRDefault="00361797" w:rsidP="00361797">
      <w:pPr>
        <w:pStyle w:val="SAPHeading-Level2"/>
        <w:numPr>
          <w:ilvl w:val="1"/>
          <w:numId w:val="16"/>
        </w:numPr>
      </w:pPr>
      <w:r>
        <w:t>Contingent Liabilities and Contingent Assets</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Contingent liabilities and contingent assets are not recognised in the statement of financial position but are reported in the relevant schedules and notes. 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r>
        <w:rPr>
          <w:rFonts w:asciiTheme="minorHAnsi" w:hAnsiTheme="minorHAnsi" w:cstheme="minorHAnsi"/>
        </w:rPr>
        <w:t>.</w:t>
      </w:r>
    </w:p>
    <w:p w:rsidR="00361797" w:rsidRDefault="00361797" w:rsidP="00361797">
      <w:pPr>
        <w:pStyle w:val="StyleNotesTextItalic"/>
        <w:rPr>
          <w:rFonts w:cstheme="minorHAnsi"/>
          <w:sz w:val="20"/>
          <w:szCs w:val="20"/>
        </w:rPr>
      </w:pPr>
      <w:r>
        <w:rPr>
          <w:rFonts w:cstheme="minorHAnsi"/>
          <w:sz w:val="20"/>
          <w:szCs w:val="20"/>
        </w:rPr>
        <w:t>Indemnities</w:t>
      </w:r>
    </w:p>
    <w:p w:rsidR="00361797" w:rsidRDefault="00361797" w:rsidP="00361797">
      <w:pPr>
        <w:pStyle w:val="StyleNotesTextBold"/>
        <w:rPr>
          <w:rFonts w:asciiTheme="minorHAnsi" w:hAnsiTheme="minorHAnsi" w:cstheme="minorHAnsi"/>
          <w:lang w:eastAsia="en-AU"/>
        </w:rPr>
      </w:pPr>
      <w:r>
        <w:rPr>
          <w:rFonts w:asciiTheme="minorHAnsi" w:hAnsiTheme="minorHAnsi" w:cstheme="minorHAnsi"/>
          <w:lang w:eastAsia="en-AU"/>
        </w:rPr>
        <w:t>The maximum amounts payable under the indemnities given is disclosed in the Schedule of Contingencies. At the time of completion of the financial statements, there was no reason to believe that the indemnities would be called upon, and no recognition of any liability was therefore required.</w:t>
      </w:r>
    </w:p>
    <w:p w:rsidR="00361797" w:rsidRDefault="00361797" w:rsidP="00361797">
      <w:pPr>
        <w:pStyle w:val="SAPHeading-Level2"/>
        <w:numPr>
          <w:ilvl w:val="1"/>
          <w:numId w:val="16"/>
        </w:numPr>
      </w:pPr>
      <w:r>
        <w:t>Financial Guarantee Contracts</w:t>
      </w:r>
    </w:p>
    <w:p w:rsidR="00361797" w:rsidRDefault="00361797" w:rsidP="00361797">
      <w:pPr>
        <w:pStyle w:val="NotesText0"/>
        <w:rPr>
          <w:rStyle w:val="StyleNotesTextBoldChar"/>
          <w:rFonts w:cstheme="minorHAnsi"/>
          <w:sz w:val="20"/>
          <w:szCs w:val="20"/>
        </w:rPr>
      </w:pPr>
      <w:r>
        <w:rPr>
          <w:rFonts w:cstheme="minorHAnsi"/>
          <w:sz w:val="20"/>
          <w:szCs w:val="20"/>
        </w:rPr>
        <w:t xml:space="preserve">Financial guarantee contracts are accounted for in accordance with </w:t>
      </w:r>
      <w:proofErr w:type="spellStart"/>
      <w:r>
        <w:rPr>
          <w:rFonts w:cstheme="minorHAnsi"/>
          <w:sz w:val="20"/>
          <w:szCs w:val="20"/>
        </w:rPr>
        <w:t>AASB</w:t>
      </w:r>
      <w:proofErr w:type="spellEnd"/>
      <w:r>
        <w:rPr>
          <w:rFonts w:cstheme="minorHAnsi"/>
          <w:sz w:val="20"/>
          <w:szCs w:val="20"/>
        </w:rPr>
        <w:t xml:space="preserve"> 139</w:t>
      </w:r>
      <w:r>
        <w:rPr>
          <w:rStyle w:val="StyleNotesTextBoldChar"/>
          <w:rFonts w:cstheme="minorHAnsi"/>
          <w:sz w:val="20"/>
          <w:szCs w:val="20"/>
        </w:rPr>
        <w:t xml:space="preserve"> </w:t>
      </w:r>
      <w:r>
        <w:rPr>
          <w:rFonts w:cstheme="minorHAnsi"/>
          <w:i/>
          <w:sz w:val="20"/>
          <w:szCs w:val="20"/>
        </w:rPr>
        <w:t>Financial Instruments:  Recognition and Measurement</w:t>
      </w:r>
      <w:r>
        <w:rPr>
          <w:rStyle w:val="StyleNotesTextBoldChar"/>
          <w:rFonts w:cstheme="minorHAnsi"/>
          <w:sz w:val="20"/>
          <w:szCs w:val="20"/>
        </w:rPr>
        <w:t xml:space="preserve">. </w:t>
      </w:r>
      <w:r>
        <w:rPr>
          <w:rFonts w:cstheme="minorHAnsi"/>
          <w:bCs/>
          <w:sz w:val="20"/>
          <w:szCs w:val="20"/>
        </w:rPr>
        <w:t xml:space="preserve">They are not treated as a contingent liability, as they are regarded as financial instruments outside the scope of </w:t>
      </w:r>
      <w:proofErr w:type="spellStart"/>
      <w:r>
        <w:rPr>
          <w:rFonts w:cstheme="minorHAnsi"/>
          <w:bCs/>
          <w:sz w:val="20"/>
          <w:szCs w:val="20"/>
        </w:rPr>
        <w:t>AASB</w:t>
      </w:r>
      <w:proofErr w:type="spellEnd"/>
      <w:r>
        <w:rPr>
          <w:rFonts w:cstheme="minorHAnsi"/>
          <w:bCs/>
          <w:sz w:val="20"/>
          <w:szCs w:val="20"/>
        </w:rPr>
        <w:t xml:space="preserve"> 137</w:t>
      </w:r>
      <w:r>
        <w:rPr>
          <w:rStyle w:val="StyleNotesTextBoldChar"/>
          <w:rFonts w:cstheme="minorHAnsi"/>
          <w:sz w:val="20"/>
          <w:szCs w:val="20"/>
        </w:rPr>
        <w:t xml:space="preserve"> </w:t>
      </w:r>
      <w:r>
        <w:rPr>
          <w:rFonts w:cstheme="minorHAnsi"/>
          <w:i/>
          <w:sz w:val="20"/>
          <w:szCs w:val="20"/>
        </w:rPr>
        <w:t>Provisions, Contingent Liabilities and Contingent Assets.</w:t>
      </w:r>
    </w:p>
    <w:p w:rsidR="00361797" w:rsidRDefault="00361797" w:rsidP="00361797">
      <w:pPr>
        <w:pStyle w:val="SAPHeading-Level2"/>
        <w:numPr>
          <w:ilvl w:val="1"/>
          <w:numId w:val="16"/>
        </w:numPr>
      </w:pPr>
      <w:r>
        <w:t xml:space="preserve">Acquisition of Assets </w:t>
      </w:r>
    </w:p>
    <w:p w:rsidR="00361797" w:rsidRDefault="00361797" w:rsidP="00361797">
      <w:pPr>
        <w:pStyle w:val="NotesText0"/>
        <w:rPr>
          <w:rFonts w:cstheme="minorHAnsi"/>
          <w:sz w:val="20"/>
          <w:szCs w:val="20"/>
        </w:rPr>
      </w:pPr>
      <w:r>
        <w:rPr>
          <w:rFonts w:cstheme="minorHAnsi"/>
          <w:sz w:val="20"/>
          <w:szCs w:val="20"/>
        </w:rPr>
        <w:t>Assets are recorded at cost on acquisition except as stated below. The cost of acquisition includes the fair value of assets transferred in exchange and liabilities undertaken. Financial assets are initially measured at their fair value plus transaction costs where appropriate.</w:t>
      </w:r>
    </w:p>
    <w:p w:rsidR="00361797" w:rsidRDefault="00361797" w:rsidP="00361797">
      <w:pPr>
        <w:pStyle w:val="NotesText0"/>
        <w:rPr>
          <w:rFonts w:cstheme="minorHAnsi"/>
          <w:sz w:val="20"/>
          <w:szCs w:val="20"/>
        </w:rPr>
      </w:pPr>
      <w:r>
        <w:rPr>
          <w:rFonts w:cstheme="minorHAnsi"/>
          <w:sz w:val="20"/>
          <w:szCs w:val="20"/>
        </w:rPr>
        <w:t>Assets acquired at no cost, or for nominal consideration, are initially recognised as assets and income at their fair value at the date of acquisition, unless acquired as a consequence of restructuring of administrative arrangements. In the latter case, assets are initially recognised as contributions by owners at the amounts at which they were recognised in the transferor’s accounts immediately prior to the restructuring.</w:t>
      </w:r>
      <w:r>
        <w:rPr>
          <w:rFonts w:cstheme="minorHAnsi"/>
          <w:sz w:val="20"/>
          <w:szCs w:val="20"/>
        </w:rPr>
        <w:tab/>
      </w:r>
    </w:p>
    <w:p w:rsidR="00361797" w:rsidRDefault="00361797" w:rsidP="00361797">
      <w:pPr>
        <w:pStyle w:val="SAPHeading-Level2"/>
        <w:numPr>
          <w:ilvl w:val="1"/>
          <w:numId w:val="16"/>
        </w:numPr>
      </w:pPr>
      <w:r>
        <w:lastRenderedPageBreak/>
        <w:t>Infrastructure, Plant and Equipment including Land and Buildings</w:t>
      </w:r>
    </w:p>
    <w:p w:rsidR="00361797" w:rsidRDefault="00361797" w:rsidP="00361797">
      <w:pPr>
        <w:pStyle w:val="StyleNotesTextItalic"/>
        <w:rPr>
          <w:rFonts w:cstheme="minorHAnsi"/>
          <w:sz w:val="20"/>
          <w:szCs w:val="20"/>
        </w:rPr>
      </w:pPr>
      <w:r>
        <w:rPr>
          <w:rFonts w:cstheme="minorHAnsi"/>
          <w:sz w:val="20"/>
          <w:szCs w:val="20"/>
        </w:rPr>
        <w:t>Asset recognition threshold</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Purchases of infrastructure, plant and equipment are recognised initially at cost in the statement of financial position, except for purchases costing less than $2,000 (or $50,000 for leasehold improvements), which are expensed in the year of acquisition (other than where they form part of a group of similar items which are significant in total). </w:t>
      </w:r>
      <w:r>
        <w:rPr>
          <w:rFonts w:asciiTheme="minorHAnsi" w:hAnsiTheme="minorHAnsi" w:cstheme="minorHAnsi"/>
          <w:lang w:eastAsia="en-AU"/>
        </w:rPr>
        <w:tab/>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The initial cost of an asset includes an estimate of the cost of dismantling and removing the item and restoring the site on which it is located. This is particularly relevant to the restoration obligation provisions in property leases taken up by the department where there exists an obligation to restore the property to its original condition. These costs are included in the value of the department's leasehold improvements with a corresponding provision for the ‘restoration obligations’ recognised.</w:t>
      </w:r>
    </w:p>
    <w:p w:rsidR="00361797" w:rsidRDefault="00361797" w:rsidP="00361797">
      <w:pPr>
        <w:pStyle w:val="StyleNotesTextItalic"/>
        <w:rPr>
          <w:rFonts w:cstheme="minorHAnsi"/>
          <w:sz w:val="20"/>
          <w:szCs w:val="20"/>
        </w:rPr>
      </w:pPr>
      <w:r>
        <w:rPr>
          <w:rFonts w:cstheme="minorHAnsi"/>
          <w:sz w:val="20"/>
          <w:szCs w:val="20"/>
        </w:rPr>
        <w:t>Revaluations</w:t>
      </w:r>
    </w:p>
    <w:p w:rsidR="00361797" w:rsidRDefault="00361797" w:rsidP="00361797">
      <w:pPr>
        <w:pStyle w:val="StyleNotesTextBold"/>
        <w:rPr>
          <w:rFonts w:asciiTheme="minorHAnsi" w:hAnsiTheme="minorHAnsi" w:cstheme="minorHAnsi"/>
        </w:rPr>
      </w:pPr>
      <w:r>
        <w:rPr>
          <w:rFonts w:asciiTheme="minorHAnsi" w:hAnsiTheme="minorHAnsi" w:cstheme="minorHAnsi"/>
          <w:lang w:eastAsia="en-AU"/>
        </w:rPr>
        <w:t>Fair values for each class of asset are determined as shown below</w:t>
      </w:r>
      <w:r>
        <w:rPr>
          <w:rFonts w:asciiTheme="minorHAnsi" w:hAnsiTheme="minorHAnsi"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581"/>
      </w:tblGrid>
      <w:tr w:rsidR="00361797" w:rsidTr="00B50E5D">
        <w:tc>
          <w:tcPr>
            <w:tcW w:w="4473"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NotesTextHeading"/>
              <w:rPr>
                <w:rFonts w:cstheme="minorHAnsi"/>
                <w:sz w:val="20"/>
                <w:szCs w:val="20"/>
              </w:rPr>
            </w:pPr>
            <w:r>
              <w:rPr>
                <w:rFonts w:cstheme="minorHAnsi"/>
                <w:sz w:val="20"/>
                <w:szCs w:val="20"/>
              </w:rPr>
              <w:t>Asset Class</w:t>
            </w:r>
          </w:p>
        </w:tc>
        <w:tc>
          <w:tcPr>
            <w:tcW w:w="4581"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NotesTextHeading"/>
              <w:jc w:val="right"/>
              <w:rPr>
                <w:rFonts w:cstheme="minorHAnsi"/>
                <w:sz w:val="20"/>
                <w:szCs w:val="20"/>
              </w:rPr>
            </w:pPr>
            <w:r>
              <w:rPr>
                <w:rFonts w:cstheme="minorHAnsi"/>
                <w:sz w:val="20"/>
                <w:szCs w:val="20"/>
              </w:rPr>
              <w:t>Fair value measurement</w:t>
            </w:r>
          </w:p>
        </w:tc>
      </w:tr>
      <w:tr w:rsidR="00361797" w:rsidTr="00B50E5D">
        <w:tc>
          <w:tcPr>
            <w:tcW w:w="4473"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rPr>
                <w:rFonts w:asciiTheme="minorHAnsi" w:hAnsiTheme="minorHAnsi" w:cstheme="minorHAnsi"/>
              </w:rPr>
            </w:pPr>
            <w:r>
              <w:rPr>
                <w:rFonts w:asciiTheme="minorHAnsi" w:hAnsiTheme="minorHAnsi" w:cstheme="minorHAnsi"/>
              </w:rPr>
              <w:t>Land</w:t>
            </w:r>
          </w:p>
        </w:tc>
        <w:tc>
          <w:tcPr>
            <w:tcW w:w="4581"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jc w:val="right"/>
              <w:rPr>
                <w:rFonts w:asciiTheme="minorHAnsi" w:hAnsiTheme="minorHAnsi" w:cstheme="minorHAnsi"/>
              </w:rPr>
            </w:pPr>
            <w:r>
              <w:rPr>
                <w:rFonts w:asciiTheme="minorHAnsi" w:hAnsiTheme="minorHAnsi" w:cstheme="minorHAnsi"/>
              </w:rPr>
              <w:t>Market selling price</w:t>
            </w:r>
          </w:p>
        </w:tc>
      </w:tr>
      <w:tr w:rsidR="00361797" w:rsidTr="00B50E5D">
        <w:tc>
          <w:tcPr>
            <w:tcW w:w="4473"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rPr>
                <w:rFonts w:asciiTheme="minorHAnsi" w:hAnsiTheme="minorHAnsi" w:cstheme="minorHAnsi"/>
              </w:rPr>
            </w:pPr>
            <w:r>
              <w:rPr>
                <w:rFonts w:asciiTheme="minorHAnsi" w:hAnsiTheme="minorHAnsi" w:cstheme="minorHAnsi"/>
              </w:rPr>
              <w:t>Buildings excluding leasehold improvements</w:t>
            </w:r>
          </w:p>
        </w:tc>
        <w:tc>
          <w:tcPr>
            <w:tcW w:w="4581"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jc w:val="right"/>
              <w:rPr>
                <w:rFonts w:asciiTheme="minorHAnsi" w:hAnsiTheme="minorHAnsi" w:cstheme="minorHAnsi"/>
              </w:rPr>
            </w:pPr>
            <w:r>
              <w:rPr>
                <w:rFonts w:asciiTheme="minorHAnsi" w:hAnsiTheme="minorHAnsi" w:cstheme="minorHAnsi"/>
              </w:rPr>
              <w:t>Market selling price</w:t>
            </w:r>
          </w:p>
        </w:tc>
      </w:tr>
      <w:tr w:rsidR="00361797" w:rsidTr="00B50E5D">
        <w:tc>
          <w:tcPr>
            <w:tcW w:w="4473"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rPr>
                <w:rFonts w:asciiTheme="minorHAnsi" w:hAnsiTheme="minorHAnsi" w:cstheme="minorHAnsi"/>
              </w:rPr>
            </w:pPr>
            <w:r>
              <w:rPr>
                <w:rFonts w:asciiTheme="minorHAnsi" w:hAnsiTheme="minorHAnsi" w:cstheme="minorHAnsi"/>
              </w:rPr>
              <w:t>Buildings – Leasehold improvements</w:t>
            </w:r>
          </w:p>
        </w:tc>
        <w:tc>
          <w:tcPr>
            <w:tcW w:w="4581"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jc w:val="right"/>
              <w:rPr>
                <w:rFonts w:asciiTheme="minorHAnsi" w:hAnsiTheme="minorHAnsi" w:cstheme="minorHAnsi"/>
              </w:rPr>
            </w:pPr>
            <w:r>
              <w:rPr>
                <w:rFonts w:asciiTheme="minorHAnsi" w:hAnsiTheme="minorHAnsi" w:cstheme="minorHAnsi"/>
              </w:rPr>
              <w:t>Depreciated replacement cost</w:t>
            </w:r>
          </w:p>
        </w:tc>
      </w:tr>
      <w:tr w:rsidR="00361797" w:rsidTr="00B50E5D">
        <w:tc>
          <w:tcPr>
            <w:tcW w:w="4473"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rPr>
                <w:rFonts w:asciiTheme="minorHAnsi" w:hAnsiTheme="minorHAnsi" w:cstheme="minorHAnsi"/>
              </w:rPr>
            </w:pPr>
            <w:r>
              <w:rPr>
                <w:rFonts w:asciiTheme="minorHAnsi" w:hAnsiTheme="minorHAnsi" w:cstheme="minorHAnsi"/>
              </w:rPr>
              <w:t>Infrastructure, plant and equipment</w:t>
            </w:r>
          </w:p>
        </w:tc>
        <w:tc>
          <w:tcPr>
            <w:tcW w:w="4581"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
              <w:jc w:val="right"/>
              <w:rPr>
                <w:rFonts w:asciiTheme="minorHAnsi" w:hAnsiTheme="minorHAnsi" w:cstheme="minorHAnsi"/>
              </w:rPr>
            </w:pPr>
            <w:r>
              <w:rPr>
                <w:rFonts w:asciiTheme="minorHAnsi" w:hAnsiTheme="minorHAnsi" w:cstheme="minorHAnsi"/>
              </w:rPr>
              <w:t>Market selling price</w:t>
            </w:r>
          </w:p>
        </w:tc>
      </w:tr>
    </w:tbl>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Following initial recognition at cost, infrastructure, plant and equipment are carried at fair value less accumulated depreciation and accumulated impairment losses. Valuations are conducted with sufficient frequency to ensure that the carrying amounts of assets do not differ materially from the assets’ fair values as at the reporting date. The regularity of independent valuations depends upon the volatility of movements in market values for the relevant assets. </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Revaluation adjustments are made on a class basis. Any revaluation increment is credited to equity under the heading of asset revaluation reserve except to the extent that it reverses a previous revaluation decrement of the same asset class that was previously recognised in the surplus/deficit. Revaluation decrements for a class of assets are recognised directly in the surplus/deficit except to the extent that they reverse a previous revaluation increment for that class.</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Any accumulated depreciation as at the revaluation date is eliminated against the gross carrying amount of the asset and the asset restated to the revalued amount.</w:t>
      </w:r>
    </w:p>
    <w:p w:rsidR="00361797" w:rsidRDefault="00361797" w:rsidP="00361797">
      <w:pPr>
        <w:pStyle w:val="StyleNotesTextItalic"/>
        <w:rPr>
          <w:rFonts w:cstheme="minorHAnsi"/>
          <w:sz w:val="20"/>
          <w:szCs w:val="20"/>
        </w:rPr>
      </w:pPr>
      <w:r>
        <w:rPr>
          <w:rFonts w:cstheme="minorHAnsi"/>
          <w:sz w:val="20"/>
          <w:szCs w:val="20"/>
        </w:rPr>
        <w:t>Depreciation</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 xml:space="preserve">Depreciable infrastructure, plant and equipment assets are written-off to their estimated residual values over their estimated useful lives to the department using, in all cases, the straight-line method of depreciation. </w:t>
      </w:r>
      <w:r>
        <w:rPr>
          <w:rFonts w:asciiTheme="minorHAnsi" w:hAnsiTheme="minorHAnsi" w:cstheme="minorHAnsi"/>
          <w:lang w:eastAsia="en-AU"/>
        </w:rPr>
        <w:tab/>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Depreciation rates (useful lives), residual values and methods are reviewed at each reporting date and necessary adjustments are recognised in the current, or current and future reporting periods, as appropriate.</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Depreciation rates applying to each class of depreciable asset are based on the following useful lives</w:t>
      </w:r>
      <w:r>
        <w:rPr>
          <w:rFonts w:asciiTheme="minorHAnsi" w:hAnsiTheme="minorHAnsi" w:cstheme="minorHAnsi"/>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820"/>
      </w:tblGrid>
      <w:tr w:rsidR="00361797" w:rsidTr="00B50E5D">
        <w:tc>
          <w:tcPr>
            <w:tcW w:w="3888"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NotesTextHeading"/>
              <w:rPr>
                <w:rFonts w:cstheme="minorHAnsi"/>
                <w:sz w:val="20"/>
                <w:szCs w:val="20"/>
              </w:rPr>
            </w:pPr>
            <w:r>
              <w:rPr>
                <w:rFonts w:cstheme="minorHAnsi"/>
                <w:sz w:val="20"/>
                <w:szCs w:val="20"/>
              </w:rPr>
              <w:t>Asset Class</w:t>
            </w:r>
          </w:p>
        </w:tc>
        <w:tc>
          <w:tcPr>
            <w:tcW w:w="2520" w:type="dxa"/>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pStyle w:val="NotesTextHeading"/>
              <w:rPr>
                <w:rFonts w:cstheme="minorHAnsi"/>
                <w:sz w:val="20"/>
                <w:szCs w:val="20"/>
              </w:rPr>
            </w:pPr>
            <w:r>
              <w:rPr>
                <w:rFonts w:cstheme="minorHAnsi"/>
                <w:sz w:val="20"/>
                <w:szCs w:val="20"/>
              </w:rPr>
              <w:t>2014</w:t>
            </w:r>
          </w:p>
        </w:tc>
        <w:tc>
          <w:tcPr>
            <w:tcW w:w="2820" w:type="dxa"/>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pStyle w:val="NotesTextHeading"/>
              <w:rPr>
                <w:rFonts w:cstheme="minorHAnsi"/>
                <w:sz w:val="20"/>
                <w:szCs w:val="20"/>
              </w:rPr>
            </w:pPr>
            <w:r>
              <w:rPr>
                <w:rFonts w:cstheme="minorHAnsi"/>
                <w:sz w:val="20"/>
                <w:szCs w:val="20"/>
              </w:rPr>
              <w:t>2013</w:t>
            </w:r>
          </w:p>
        </w:tc>
      </w:tr>
      <w:tr w:rsidR="00361797" w:rsidTr="00B50E5D">
        <w:tc>
          <w:tcPr>
            <w:tcW w:w="3888"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Buildings on freehold land</w:t>
            </w:r>
          </w:p>
        </w:tc>
        <w:tc>
          <w:tcPr>
            <w:tcW w:w="2520"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37-51 years</w:t>
            </w:r>
          </w:p>
        </w:tc>
        <w:tc>
          <w:tcPr>
            <w:tcW w:w="2820"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37-51 years</w:t>
            </w:r>
          </w:p>
        </w:tc>
      </w:tr>
      <w:tr w:rsidR="00361797" w:rsidTr="00B50E5D">
        <w:tc>
          <w:tcPr>
            <w:tcW w:w="3888"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Buildings – leasehold improvements</w:t>
            </w:r>
          </w:p>
        </w:tc>
        <w:tc>
          <w:tcPr>
            <w:tcW w:w="2520"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Lease term</w:t>
            </w:r>
          </w:p>
        </w:tc>
        <w:tc>
          <w:tcPr>
            <w:tcW w:w="2820"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Lease term</w:t>
            </w:r>
          </w:p>
        </w:tc>
      </w:tr>
      <w:tr w:rsidR="00361797" w:rsidTr="00B50E5D">
        <w:tc>
          <w:tcPr>
            <w:tcW w:w="3888"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Infrastructure, plant and equipment</w:t>
            </w:r>
          </w:p>
        </w:tc>
        <w:tc>
          <w:tcPr>
            <w:tcW w:w="2520"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3-25 years</w:t>
            </w:r>
          </w:p>
        </w:tc>
        <w:tc>
          <w:tcPr>
            <w:tcW w:w="2820" w:type="dxa"/>
            <w:tcBorders>
              <w:top w:val="single" w:sz="4" w:space="0" w:color="auto"/>
              <w:left w:val="single" w:sz="4" w:space="0" w:color="auto"/>
              <w:bottom w:val="single" w:sz="4" w:space="0" w:color="auto"/>
              <w:right w:val="single" w:sz="4" w:space="0" w:color="auto"/>
            </w:tcBorders>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3-25 years</w:t>
            </w:r>
          </w:p>
        </w:tc>
      </w:tr>
    </w:tbl>
    <w:p w:rsidR="00361797" w:rsidRDefault="00361797" w:rsidP="00361797">
      <w:pPr>
        <w:pStyle w:val="StyleNotesTextItalic"/>
        <w:rPr>
          <w:rFonts w:cstheme="minorHAnsi"/>
          <w:sz w:val="20"/>
          <w:szCs w:val="20"/>
        </w:rPr>
      </w:pPr>
      <w:r>
        <w:rPr>
          <w:rFonts w:cstheme="minorHAnsi"/>
          <w:sz w:val="20"/>
          <w:szCs w:val="20"/>
        </w:rPr>
        <w:t>Impairment</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All assets were assessed for impairment at 30 June 2013. Where indications of impairment exist, the asset’s recoverable amount is estimated and an impairment adjustment made if the asset’s recoverable amount is less than its carrying amount. The department has relied upon this assessment for the reporting period at 18 September 2013.</w:t>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The recoverable amount of an asset is the higher of its fair value less costs to sell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the department were deprived of the asset, its value in use is taken to be its depreciated replacement cost</w:t>
      </w:r>
      <w:r>
        <w:rPr>
          <w:rFonts w:asciiTheme="minorHAnsi" w:hAnsiTheme="minorHAnsi" w:cstheme="minorHAnsi"/>
        </w:rPr>
        <w:t>.</w:t>
      </w:r>
    </w:p>
    <w:p w:rsidR="00361797" w:rsidRDefault="00361797" w:rsidP="00361797">
      <w:pPr>
        <w:pStyle w:val="StyleNotesTextItalic"/>
        <w:rPr>
          <w:rFonts w:cstheme="minorHAnsi"/>
          <w:sz w:val="20"/>
          <w:szCs w:val="20"/>
        </w:rPr>
      </w:pPr>
      <w:proofErr w:type="spellStart"/>
      <w:r>
        <w:rPr>
          <w:rFonts w:cstheme="minorHAnsi"/>
          <w:sz w:val="20"/>
          <w:szCs w:val="20"/>
        </w:rPr>
        <w:t>Derecognition</w:t>
      </w:r>
      <w:proofErr w:type="spellEnd"/>
    </w:p>
    <w:p w:rsidR="00361797" w:rsidRDefault="00361797" w:rsidP="00361797">
      <w:pPr>
        <w:pStyle w:val="StyleNotesTextBold1"/>
        <w:rPr>
          <w:rFonts w:asciiTheme="minorHAnsi" w:hAnsiTheme="minorHAnsi" w:cstheme="minorHAnsi"/>
        </w:rPr>
      </w:pPr>
      <w:r>
        <w:rPr>
          <w:rFonts w:asciiTheme="minorHAnsi" w:hAnsiTheme="minorHAnsi" w:cstheme="minorHAnsi"/>
        </w:rPr>
        <w:lastRenderedPageBreak/>
        <w:t>An item of infrastructure, plant and equipment is derecognised upon disposal or when no further future economic benefits are expected from its use or disposal.</w:t>
      </w:r>
    </w:p>
    <w:p w:rsidR="00361797" w:rsidRDefault="00361797" w:rsidP="00361797">
      <w:pPr>
        <w:pStyle w:val="StyleNotesTextItalic"/>
        <w:rPr>
          <w:rFonts w:cstheme="minorHAnsi"/>
          <w:sz w:val="20"/>
          <w:szCs w:val="20"/>
        </w:rPr>
      </w:pPr>
      <w:r>
        <w:rPr>
          <w:rFonts w:cstheme="minorHAnsi"/>
          <w:sz w:val="20"/>
          <w:szCs w:val="20"/>
        </w:rPr>
        <w:t>Assets not previously recognised</w:t>
      </w:r>
    </w:p>
    <w:p w:rsidR="00361797" w:rsidRDefault="00361797" w:rsidP="00361797">
      <w:pPr>
        <w:pStyle w:val="NotesText0"/>
        <w:rPr>
          <w:rFonts w:cstheme="minorHAnsi"/>
          <w:sz w:val="20"/>
          <w:szCs w:val="20"/>
        </w:rPr>
      </w:pPr>
      <w:r>
        <w:rPr>
          <w:rFonts w:cstheme="minorHAnsi"/>
          <w:sz w:val="20"/>
          <w:szCs w:val="20"/>
        </w:rPr>
        <w:t xml:space="preserve">Equipment was brought to account as part of infrastructure, plant and equipment for the first time as at </w:t>
      </w:r>
      <w:r>
        <w:rPr>
          <w:rFonts w:cstheme="minorHAnsi"/>
          <w:sz w:val="20"/>
          <w:szCs w:val="20"/>
        </w:rPr>
        <w:br/>
        <w:t xml:space="preserve">18 September 2013.  </w:t>
      </w:r>
    </w:p>
    <w:p w:rsidR="00361797" w:rsidRDefault="00361797" w:rsidP="00361797">
      <w:pPr>
        <w:pStyle w:val="SAPHeading-Level2"/>
        <w:numPr>
          <w:ilvl w:val="1"/>
          <w:numId w:val="16"/>
        </w:numPr>
      </w:pPr>
      <w:r>
        <w:t xml:space="preserve">Intangibles </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The department’s intangibles comprise purchased and internally developed software for internal use. These assets are carried at cost less accumulated amortisation and accumulated impairment losses. Purchases costing less than $200,000 are expensed in the year of acquisition (other than where they form part of a group of similar items which are significant in total).</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Software is amortised on a straight-line basis over its anticipated useful life.  The useful lives of the department’s software are 2–15 years (</w:t>
      </w:r>
      <w:r w:rsidRPr="00D12DEC">
        <w:rPr>
          <w:rFonts w:asciiTheme="minorHAnsi" w:hAnsiTheme="minorHAnsi" w:cstheme="minorHAnsi"/>
          <w:lang w:eastAsia="en-AU"/>
        </w:rPr>
        <w:t>2013</w:t>
      </w:r>
      <w:r>
        <w:rPr>
          <w:rFonts w:asciiTheme="minorHAnsi" w:hAnsiTheme="minorHAnsi" w:cstheme="minorHAnsi"/>
          <w:lang w:eastAsia="en-AU"/>
        </w:rPr>
        <w:t>: 2–15 years).</w:t>
      </w:r>
      <w:r>
        <w:rPr>
          <w:rFonts w:asciiTheme="minorHAnsi" w:hAnsiTheme="minorHAnsi" w:cstheme="minorHAnsi"/>
          <w:lang w:eastAsia="en-AU"/>
        </w:rPr>
        <w:tab/>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All software assets were assessed for indications of impairment as at 30 June 2013</w:t>
      </w:r>
      <w:r>
        <w:rPr>
          <w:rFonts w:asciiTheme="minorHAnsi" w:hAnsiTheme="minorHAnsi" w:cstheme="minorHAnsi"/>
        </w:rPr>
        <w:t>. The department has relied upon this assessment for the reporting period at 18 September 2013.</w:t>
      </w:r>
    </w:p>
    <w:p w:rsidR="00361797" w:rsidRDefault="00361797" w:rsidP="00361797">
      <w:pPr>
        <w:pStyle w:val="SAPHeading-Level2"/>
        <w:numPr>
          <w:ilvl w:val="1"/>
          <w:numId w:val="16"/>
        </w:numPr>
      </w:pPr>
      <w:r>
        <w:t>Taxation</w:t>
      </w:r>
    </w:p>
    <w:p w:rsidR="00361797" w:rsidRDefault="00361797" w:rsidP="00361797">
      <w:pPr>
        <w:pStyle w:val="StyleNotesTextBold1"/>
        <w:rPr>
          <w:rFonts w:asciiTheme="minorHAnsi" w:hAnsiTheme="minorHAnsi" w:cstheme="minorHAnsi"/>
          <w:lang w:eastAsia="en-AU"/>
        </w:rPr>
      </w:pPr>
      <w:r>
        <w:rPr>
          <w:rFonts w:asciiTheme="minorHAnsi" w:hAnsiTheme="minorHAnsi" w:cstheme="minorHAnsi"/>
          <w:lang w:eastAsia="en-AU"/>
        </w:rPr>
        <w:t>The department is exempt from all forms of taxation except Fringe Benefits Tax (</w:t>
      </w:r>
      <w:proofErr w:type="spellStart"/>
      <w:r>
        <w:rPr>
          <w:rFonts w:asciiTheme="minorHAnsi" w:hAnsiTheme="minorHAnsi" w:cstheme="minorHAnsi"/>
          <w:lang w:eastAsia="en-AU"/>
        </w:rPr>
        <w:t>FBT</w:t>
      </w:r>
      <w:proofErr w:type="spellEnd"/>
      <w:r>
        <w:rPr>
          <w:rFonts w:asciiTheme="minorHAnsi" w:hAnsiTheme="minorHAnsi" w:cstheme="minorHAnsi"/>
          <w:lang w:eastAsia="en-AU"/>
        </w:rPr>
        <w:t>) and the Goods and Services Tax (GST).</w:t>
      </w:r>
      <w:r>
        <w:rPr>
          <w:rFonts w:asciiTheme="minorHAnsi" w:hAnsiTheme="minorHAnsi" w:cstheme="minorHAnsi"/>
          <w:lang w:eastAsia="en-AU"/>
        </w:rPr>
        <w:tab/>
      </w:r>
    </w:p>
    <w:p w:rsidR="00361797" w:rsidRDefault="00361797" w:rsidP="00361797">
      <w:pPr>
        <w:pStyle w:val="StyleNotesTextBold1"/>
        <w:rPr>
          <w:rFonts w:asciiTheme="minorHAnsi" w:hAnsiTheme="minorHAnsi" w:cstheme="minorHAnsi"/>
        </w:rPr>
      </w:pPr>
      <w:r>
        <w:rPr>
          <w:rFonts w:asciiTheme="minorHAnsi" w:hAnsiTheme="minorHAnsi" w:cstheme="minorHAnsi"/>
          <w:lang w:eastAsia="en-AU"/>
        </w:rPr>
        <w:t>Revenues, expenses and non-financial assets are recognised net of GST except</w:t>
      </w:r>
      <w:r>
        <w:rPr>
          <w:rFonts w:asciiTheme="minorHAnsi" w:hAnsiTheme="minorHAnsi" w:cstheme="minorHAnsi"/>
        </w:rPr>
        <w:t>:</w:t>
      </w:r>
      <w:r>
        <w:rPr>
          <w:rFonts w:asciiTheme="minorHAnsi" w:hAnsiTheme="minorHAnsi" w:cstheme="minorHAnsi"/>
        </w:rPr>
        <w:tab/>
      </w:r>
    </w:p>
    <w:p w:rsidR="00361797" w:rsidRDefault="00361797" w:rsidP="00361797">
      <w:pPr>
        <w:pStyle w:val="BulletKPMG"/>
        <w:numPr>
          <w:ilvl w:val="0"/>
          <w:numId w:val="17"/>
        </w:numPr>
        <w:rPr>
          <w:rFonts w:asciiTheme="minorHAnsi" w:hAnsiTheme="minorHAnsi" w:cstheme="minorHAnsi"/>
          <w:lang w:val="en-AU"/>
        </w:rPr>
      </w:pPr>
      <w:r>
        <w:rPr>
          <w:rFonts w:asciiTheme="minorHAnsi" w:hAnsiTheme="minorHAnsi" w:cstheme="minorHAnsi"/>
          <w:lang w:val="en-AU"/>
        </w:rPr>
        <w:t>where the amount of GST incurred is not recoverable from the Australian Taxation Office</w:t>
      </w:r>
    </w:p>
    <w:p w:rsidR="00361797" w:rsidRDefault="00361797" w:rsidP="00361797">
      <w:pPr>
        <w:pStyle w:val="BulletKPMG"/>
        <w:numPr>
          <w:ilvl w:val="0"/>
          <w:numId w:val="17"/>
        </w:numPr>
        <w:rPr>
          <w:rFonts w:asciiTheme="minorHAnsi" w:hAnsiTheme="minorHAnsi" w:cstheme="minorHAnsi"/>
          <w:lang w:val="en-AU"/>
        </w:rPr>
      </w:pPr>
      <w:proofErr w:type="gramStart"/>
      <w:r>
        <w:rPr>
          <w:rFonts w:asciiTheme="minorHAnsi" w:hAnsiTheme="minorHAnsi" w:cstheme="minorHAnsi"/>
          <w:lang w:val="en-AU"/>
        </w:rPr>
        <w:t>receivables</w:t>
      </w:r>
      <w:proofErr w:type="gramEnd"/>
      <w:r>
        <w:rPr>
          <w:rFonts w:asciiTheme="minorHAnsi" w:hAnsiTheme="minorHAnsi" w:cstheme="minorHAnsi"/>
          <w:lang w:val="en-AU"/>
        </w:rPr>
        <w:t xml:space="preserve"> and payables.</w:t>
      </w:r>
    </w:p>
    <w:p w:rsidR="00361797" w:rsidRDefault="00361797" w:rsidP="00361797">
      <w:pPr>
        <w:rPr>
          <w:rFonts w:asciiTheme="minorHAnsi" w:hAnsiTheme="minorHAnsi" w:cstheme="minorHAnsi"/>
          <w:sz w:val="20"/>
        </w:rPr>
      </w:pPr>
      <w:r>
        <w:rPr>
          <w:rFonts w:asciiTheme="minorHAnsi" w:hAnsiTheme="minorHAnsi" w:cstheme="minorHAnsi"/>
          <w:sz w:val="20"/>
        </w:rPr>
        <w:br w:type="page"/>
      </w:r>
    </w:p>
    <w:p w:rsidR="00361797" w:rsidRDefault="00361797" w:rsidP="00361797">
      <w:pPr>
        <w:rPr>
          <w:rFonts w:asciiTheme="minorHAnsi" w:hAnsiTheme="minorHAnsi" w:cstheme="minorHAnsi"/>
          <w:sz w:val="20"/>
        </w:rPr>
      </w:pPr>
    </w:p>
    <w:tbl>
      <w:tblPr>
        <w:tblW w:w="0" w:type="auto"/>
        <w:tblLook w:val="01E0" w:firstRow="1" w:lastRow="1" w:firstColumn="1" w:lastColumn="1" w:noHBand="0" w:noVBand="0"/>
      </w:tblPr>
      <w:tblGrid>
        <w:gridCol w:w="9854"/>
      </w:tblGrid>
      <w:tr w:rsidR="00361797" w:rsidTr="00B50E5D">
        <w:tc>
          <w:tcPr>
            <w:tcW w:w="9854" w:type="dxa"/>
            <w:shd w:val="clear" w:color="auto" w:fill="CCCCCC"/>
            <w:hideMark/>
          </w:tcPr>
          <w:p w:rsidR="00361797" w:rsidRDefault="00361797" w:rsidP="00361797">
            <w:pPr>
              <w:pStyle w:val="SAPHeading-Level2"/>
              <w:numPr>
                <w:ilvl w:val="1"/>
                <w:numId w:val="16"/>
              </w:numPr>
            </w:pPr>
            <w:r>
              <w:t xml:space="preserve">Reporting of Administered Activities </w:t>
            </w:r>
          </w:p>
          <w:p w:rsidR="00361797" w:rsidRDefault="00361797" w:rsidP="00B50E5D">
            <w:pPr>
              <w:pStyle w:val="StyleNotesTextBold1"/>
              <w:rPr>
                <w:rFonts w:asciiTheme="minorHAnsi" w:hAnsiTheme="minorHAnsi" w:cstheme="minorHAnsi"/>
              </w:rPr>
            </w:pPr>
            <w:r>
              <w:rPr>
                <w:rFonts w:asciiTheme="minorHAnsi" w:hAnsiTheme="minorHAnsi" w:cstheme="minorHAnsi"/>
                <w:lang w:eastAsia="en-AU"/>
              </w:rPr>
              <w:t>Administered revenues, expenses, assets, liabilities and cash flows are disclosed in the Schedule of Administered Items and related notes</w:t>
            </w:r>
            <w:r>
              <w:rPr>
                <w:rFonts w:asciiTheme="minorHAnsi" w:hAnsiTheme="minorHAnsi" w:cstheme="minorHAnsi"/>
              </w:rPr>
              <w:t>.</w:t>
            </w:r>
          </w:p>
          <w:p w:rsidR="00361797" w:rsidRDefault="00361797" w:rsidP="00B50E5D">
            <w:pPr>
              <w:pStyle w:val="StyleNotesTextBold1"/>
              <w:rPr>
                <w:rFonts w:asciiTheme="minorHAnsi" w:hAnsiTheme="minorHAnsi" w:cstheme="minorHAnsi"/>
                <w:lang w:eastAsia="en-AU"/>
              </w:rPr>
            </w:pPr>
            <w:r>
              <w:rPr>
                <w:rFonts w:asciiTheme="minorHAnsi" w:hAnsiTheme="minorHAnsi" w:cstheme="minorHAnsi"/>
                <w:lang w:eastAsia="en-AU"/>
              </w:rPr>
              <w:t>Except where otherwise stated below, administered items are accounted for on the same basis and using the same policies as for departmental items, including the application of Australian Accounting Standards.</w:t>
            </w:r>
          </w:p>
          <w:p w:rsidR="00361797" w:rsidRDefault="00361797" w:rsidP="00B50E5D">
            <w:pPr>
              <w:pStyle w:val="StyleReferenceTextItalic"/>
              <w:rPr>
                <w:rFonts w:asciiTheme="minorHAnsi" w:hAnsiTheme="minorHAnsi" w:cstheme="minorHAnsi"/>
              </w:rPr>
            </w:pPr>
            <w:r>
              <w:rPr>
                <w:rFonts w:asciiTheme="minorHAnsi" w:hAnsiTheme="minorHAnsi" w:cstheme="minorHAnsi"/>
              </w:rPr>
              <w:t>Administered cash transfers to and from the Official Public Account</w:t>
            </w:r>
          </w:p>
          <w:p w:rsidR="00361797" w:rsidRDefault="00361797" w:rsidP="00B50E5D">
            <w:pPr>
              <w:pStyle w:val="StyleNotesTextBold1"/>
              <w:rPr>
                <w:rFonts w:asciiTheme="minorHAnsi" w:hAnsiTheme="minorHAnsi" w:cstheme="minorHAnsi"/>
                <w:lang w:eastAsia="en-AU"/>
              </w:rPr>
            </w:pPr>
            <w:r>
              <w:rPr>
                <w:rFonts w:asciiTheme="minorHAnsi" w:hAnsiTheme="minorHAnsi" w:cstheme="minorHAnsi"/>
                <w:lang w:eastAsia="en-AU"/>
              </w:rPr>
              <w:t>Revenue collected by the department for use by the Government rather than the department is administered revenue. Collections are transferred to the Official Public Account (</w:t>
            </w:r>
            <w:proofErr w:type="spellStart"/>
            <w:r>
              <w:rPr>
                <w:rFonts w:asciiTheme="minorHAnsi" w:hAnsiTheme="minorHAnsi" w:cstheme="minorHAnsi"/>
                <w:lang w:eastAsia="en-AU"/>
              </w:rPr>
              <w:t>OPA</w:t>
            </w:r>
            <w:proofErr w:type="spellEnd"/>
            <w:r>
              <w:rPr>
                <w:rFonts w:asciiTheme="minorHAnsi" w:hAnsiTheme="minorHAnsi" w:cstheme="minorHAnsi"/>
                <w:lang w:eastAsia="en-AU"/>
              </w:rPr>
              <w:t xml:space="preserve">) maintained by the Department of Finance. Conversely, cash is drawn from the </w:t>
            </w:r>
            <w:proofErr w:type="spellStart"/>
            <w:r>
              <w:rPr>
                <w:rFonts w:asciiTheme="minorHAnsi" w:hAnsiTheme="minorHAnsi" w:cstheme="minorHAnsi"/>
                <w:lang w:eastAsia="en-AU"/>
              </w:rPr>
              <w:t>OPA</w:t>
            </w:r>
            <w:proofErr w:type="spellEnd"/>
            <w:r>
              <w:rPr>
                <w:rFonts w:asciiTheme="minorHAnsi" w:hAnsiTheme="minorHAnsi" w:cstheme="minorHAnsi"/>
                <w:lang w:eastAsia="en-AU"/>
              </w:rPr>
              <w:t xml:space="preserve"> to make payments under Parliamentary appropriation on behalf of Government. These transfers to and from the </w:t>
            </w:r>
            <w:proofErr w:type="spellStart"/>
            <w:r>
              <w:rPr>
                <w:rFonts w:asciiTheme="minorHAnsi" w:hAnsiTheme="minorHAnsi" w:cstheme="minorHAnsi"/>
                <w:lang w:eastAsia="en-AU"/>
              </w:rPr>
              <w:t>OPA</w:t>
            </w:r>
            <w:proofErr w:type="spellEnd"/>
            <w:r>
              <w:rPr>
                <w:rFonts w:asciiTheme="minorHAnsi" w:hAnsiTheme="minorHAnsi" w:cstheme="minorHAnsi"/>
                <w:lang w:eastAsia="en-AU"/>
              </w:rPr>
              <w:t xml:space="preserve"> are adjustments to the administered cash held by the department on behalf of the Government and reported as such in the schedule of administered cash flows and in the administered reconciliation schedule.</w:t>
            </w:r>
          </w:p>
          <w:p w:rsidR="00361797" w:rsidRDefault="00361797" w:rsidP="00B50E5D">
            <w:pPr>
              <w:pStyle w:val="StyleReferenceTextItalic"/>
              <w:rPr>
                <w:rFonts w:asciiTheme="minorHAnsi" w:hAnsiTheme="minorHAnsi" w:cstheme="minorHAnsi"/>
              </w:rPr>
            </w:pPr>
            <w:r>
              <w:rPr>
                <w:rFonts w:asciiTheme="minorHAnsi" w:hAnsiTheme="minorHAnsi" w:cstheme="minorHAnsi"/>
              </w:rPr>
              <w:t>Revenue</w:t>
            </w:r>
          </w:p>
          <w:p w:rsidR="00361797" w:rsidRDefault="00361797" w:rsidP="00B50E5D">
            <w:pPr>
              <w:pStyle w:val="StyleNotesTextBold1"/>
              <w:rPr>
                <w:rFonts w:asciiTheme="minorHAnsi" w:hAnsiTheme="minorHAnsi" w:cstheme="minorHAnsi"/>
                <w:lang w:eastAsia="en-AU"/>
              </w:rPr>
            </w:pPr>
            <w:r>
              <w:rPr>
                <w:rFonts w:asciiTheme="minorHAnsi" w:hAnsiTheme="minorHAnsi" w:cstheme="minorHAnsi"/>
                <w:lang w:eastAsia="en-AU"/>
              </w:rPr>
              <w:t>All administered revenues are revenues relating to the course of ordinary activities performed by the department on behalf of the Australian Government.  As such, administered appropriations are not revenues of the individual entity that oversees distribution or expenditure of funds as directed.</w:t>
            </w:r>
          </w:p>
          <w:p w:rsidR="00361797" w:rsidRDefault="00361797" w:rsidP="00B50E5D">
            <w:pPr>
              <w:pStyle w:val="StyleNotesTextBold1"/>
              <w:rPr>
                <w:rFonts w:asciiTheme="minorHAnsi" w:hAnsiTheme="minorHAnsi" w:cstheme="minorHAnsi"/>
                <w:lang w:eastAsia="en-AU"/>
              </w:rPr>
            </w:pPr>
            <w:r>
              <w:rPr>
                <w:rFonts w:asciiTheme="minorHAnsi" w:hAnsiTheme="minorHAnsi" w:cstheme="minorHAnsi"/>
                <w:lang w:eastAsia="en-AU"/>
              </w:rPr>
              <w:t>Administered fee revenue is recognised when the service is provided. Collectability of the debt is reviewed at balance date.  Impairment allowances are made when collectability of the debt is judged to be less, rather than more, likely.</w:t>
            </w:r>
          </w:p>
          <w:p w:rsidR="00361797" w:rsidRDefault="00361797" w:rsidP="00B50E5D">
            <w:pPr>
              <w:pStyle w:val="StyleReferenceTextItalic"/>
              <w:rPr>
                <w:rFonts w:asciiTheme="minorHAnsi" w:hAnsiTheme="minorHAnsi" w:cstheme="minorHAnsi"/>
              </w:rPr>
            </w:pPr>
            <w:r>
              <w:rPr>
                <w:rFonts w:asciiTheme="minorHAnsi" w:hAnsiTheme="minorHAnsi" w:cstheme="minorHAnsi"/>
              </w:rPr>
              <w:t>Gains and losses</w:t>
            </w:r>
          </w:p>
          <w:p w:rsidR="00361797" w:rsidRDefault="00361797" w:rsidP="00B50E5D">
            <w:pPr>
              <w:pStyle w:val="StyleNotesTextBold1"/>
              <w:rPr>
                <w:rFonts w:asciiTheme="minorHAnsi" w:hAnsiTheme="minorHAnsi" w:cstheme="minorHAnsi"/>
                <w:lang w:eastAsia="en-AU"/>
              </w:rPr>
            </w:pPr>
            <w:r>
              <w:rPr>
                <w:rFonts w:asciiTheme="minorHAnsi" w:hAnsiTheme="minorHAnsi" w:cstheme="minorHAnsi"/>
                <w:lang w:eastAsia="en-AU"/>
              </w:rPr>
              <w:t>Administered gains or losses under the Student Financial Supplement Scheme (</w:t>
            </w:r>
            <w:proofErr w:type="spellStart"/>
            <w:r>
              <w:rPr>
                <w:rFonts w:asciiTheme="minorHAnsi" w:hAnsiTheme="minorHAnsi" w:cstheme="minorHAnsi"/>
                <w:lang w:eastAsia="en-AU"/>
              </w:rPr>
              <w:t>ABSTUDY</w:t>
            </w:r>
            <w:proofErr w:type="spellEnd"/>
            <w:r>
              <w:rPr>
                <w:rFonts w:asciiTheme="minorHAnsi" w:hAnsiTheme="minorHAnsi" w:cstheme="minorHAnsi"/>
                <w:lang w:eastAsia="en-AU"/>
              </w:rPr>
              <w:t>) are recognised at 30 June each year based on an actuarial assessment of the fair value. No actuarial assessment was undertaken at                      18 September 2013.</w:t>
            </w:r>
          </w:p>
          <w:p w:rsidR="00361797" w:rsidRDefault="00361797" w:rsidP="00B50E5D">
            <w:pPr>
              <w:pStyle w:val="StyleReferenceTextItalic"/>
              <w:rPr>
                <w:rFonts w:asciiTheme="minorHAnsi" w:hAnsiTheme="minorHAnsi" w:cstheme="minorHAnsi"/>
              </w:rPr>
            </w:pPr>
            <w:r>
              <w:rPr>
                <w:rFonts w:asciiTheme="minorHAnsi" w:hAnsiTheme="minorHAnsi" w:cstheme="minorHAnsi"/>
              </w:rPr>
              <w:t>Loans and receivables</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Where loans and receivables are not subject to concessional treatment, they are carried at amortised cost using the effective interest method.  Gains and losses due to </w:t>
            </w:r>
            <w:proofErr w:type="gramStart"/>
            <w:r>
              <w:rPr>
                <w:rFonts w:asciiTheme="minorHAnsi" w:hAnsiTheme="minorHAnsi" w:cstheme="minorHAnsi"/>
              </w:rPr>
              <w:t>impairment,</w:t>
            </w:r>
            <w:proofErr w:type="gramEnd"/>
            <w:r>
              <w:rPr>
                <w:rFonts w:asciiTheme="minorHAnsi" w:hAnsiTheme="minorHAnsi" w:cstheme="minorHAnsi"/>
              </w:rPr>
              <w:t xml:space="preserve"> </w:t>
            </w:r>
            <w:proofErr w:type="spellStart"/>
            <w:r>
              <w:rPr>
                <w:rFonts w:asciiTheme="minorHAnsi" w:hAnsiTheme="minorHAnsi" w:cstheme="minorHAnsi"/>
              </w:rPr>
              <w:t>derecognition</w:t>
            </w:r>
            <w:proofErr w:type="spellEnd"/>
            <w:r>
              <w:rPr>
                <w:rFonts w:asciiTheme="minorHAnsi" w:hAnsiTheme="minorHAnsi" w:cstheme="minorHAnsi"/>
              </w:rPr>
              <w:t xml:space="preserve"> and amortisation are recognised through profit or loss.  </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Administered receivables, including those relating to personal benefit </w:t>
            </w:r>
            <w:proofErr w:type="gramStart"/>
            <w:r>
              <w:rPr>
                <w:rFonts w:asciiTheme="minorHAnsi" w:hAnsiTheme="minorHAnsi" w:cstheme="minorHAnsi"/>
              </w:rPr>
              <w:t>overpayments,</w:t>
            </w:r>
            <w:proofErr w:type="gramEnd"/>
            <w:r>
              <w:rPr>
                <w:rFonts w:asciiTheme="minorHAnsi" w:hAnsiTheme="minorHAnsi" w:cstheme="minorHAnsi"/>
              </w:rPr>
              <w:t xml:space="preserve"> represent debts owed to the department by past and present customers. All debts known to be irrecoverable are excluded from the value of administered receivables. Irrecoverable debts comprise amounts written off pursuant to section 1236 of the </w:t>
            </w:r>
            <w:r>
              <w:rPr>
                <w:rFonts w:asciiTheme="minorHAnsi" w:hAnsiTheme="minorHAnsi" w:cstheme="minorHAnsi"/>
                <w:i/>
              </w:rPr>
              <w:t>Social Security Act 1991</w:t>
            </w:r>
            <w:r>
              <w:rPr>
                <w:rFonts w:asciiTheme="minorHAnsi" w:hAnsiTheme="minorHAnsi" w:cstheme="minorHAnsi"/>
              </w:rPr>
              <w:t xml:space="preserve"> and amounts waived pursuant to section 1237 of the </w:t>
            </w:r>
            <w:r>
              <w:rPr>
                <w:rFonts w:asciiTheme="minorHAnsi" w:hAnsiTheme="minorHAnsi" w:cstheme="minorHAnsi"/>
                <w:i/>
              </w:rPr>
              <w:t>Social Security Act 1991</w:t>
            </w:r>
            <w:r>
              <w:rPr>
                <w:rFonts w:asciiTheme="minorHAnsi" w:hAnsiTheme="minorHAnsi" w:cstheme="minorHAnsi"/>
              </w:rPr>
              <w:t xml:space="preserve">. In accordance with departmental guidelines for the operation of waivers under section 1237 of the </w:t>
            </w:r>
            <w:r>
              <w:rPr>
                <w:rFonts w:asciiTheme="minorHAnsi" w:hAnsiTheme="minorHAnsi" w:cstheme="minorHAnsi"/>
                <w:i/>
              </w:rPr>
              <w:t>Social Security Act 1991</w:t>
            </w:r>
            <w:r>
              <w:rPr>
                <w:rFonts w:asciiTheme="minorHAnsi" w:hAnsiTheme="minorHAnsi" w:cstheme="minorHAnsi"/>
              </w:rPr>
              <w:t>, where a debt is not likely to exceed a threshold amount and it is not cost effective for the Australian Government to recover the debt, the debt is waived.</w:t>
            </w:r>
          </w:p>
        </w:tc>
      </w:tr>
      <w:tr w:rsidR="00361797" w:rsidTr="00B50E5D">
        <w:tc>
          <w:tcPr>
            <w:tcW w:w="9854" w:type="dxa"/>
            <w:shd w:val="clear" w:color="auto" w:fill="CCCCCC"/>
            <w:hideMark/>
          </w:tcPr>
          <w:p w:rsidR="00361797" w:rsidRDefault="00361797" w:rsidP="00B50E5D">
            <w:pPr>
              <w:pStyle w:val="StyleNotesTextBold1"/>
              <w:rPr>
                <w:rFonts w:asciiTheme="minorHAnsi" w:hAnsiTheme="minorHAnsi" w:cstheme="minorHAnsi"/>
              </w:rPr>
            </w:pPr>
            <w:r>
              <w:rPr>
                <w:rFonts w:asciiTheme="minorHAnsi" w:hAnsiTheme="minorHAnsi" w:cstheme="minorHAnsi"/>
              </w:rPr>
              <w:t>Independent valuations are conducted with sufficient frequency to ensure that the carrying amounts of impairment allowances for doubtful debts does not differ materially from the fair value as at the reporting date. The regularity of independent valuations depends upon the volatility of movements in the programmes.</w:t>
            </w:r>
          </w:p>
          <w:p w:rsidR="00361797" w:rsidRDefault="00361797" w:rsidP="00B50E5D">
            <w:pPr>
              <w:pStyle w:val="StyleReferenceTextItalic"/>
              <w:rPr>
                <w:rFonts w:asciiTheme="minorHAnsi" w:hAnsiTheme="minorHAnsi" w:cstheme="minorHAnsi"/>
              </w:rPr>
            </w:pPr>
            <w:r>
              <w:rPr>
                <w:rFonts w:asciiTheme="minorHAnsi" w:hAnsiTheme="minorHAnsi" w:cstheme="minorHAnsi"/>
              </w:rPr>
              <w:t>Administered investments</w:t>
            </w:r>
          </w:p>
          <w:p w:rsidR="00361797" w:rsidRDefault="00361797" w:rsidP="00B50E5D">
            <w:pPr>
              <w:pStyle w:val="StyleNotesTextBold1"/>
              <w:rPr>
                <w:rFonts w:asciiTheme="minorHAnsi" w:hAnsiTheme="minorHAnsi" w:cstheme="minorHAnsi"/>
              </w:rPr>
            </w:pPr>
            <w:r>
              <w:rPr>
                <w:rFonts w:asciiTheme="minorHAnsi" w:hAnsiTheme="minorHAnsi" w:cstheme="minorHAnsi"/>
              </w:rPr>
              <w:t>Administered investments in subsidiaries, joint ventures and associates are not consolidated because their consolidation is relevant only at the whole of government level.</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Administered investments other than those held for sale are classified as available-for-sale and are measured at their fair value as at 30 June </w:t>
            </w:r>
            <w:r w:rsidRPr="00D12DEC">
              <w:rPr>
                <w:rFonts w:asciiTheme="minorHAnsi" w:hAnsiTheme="minorHAnsi" w:cstheme="minorHAnsi"/>
              </w:rPr>
              <w:t>2013</w:t>
            </w:r>
            <w:r>
              <w:rPr>
                <w:rFonts w:asciiTheme="minorHAnsi" w:hAnsiTheme="minorHAnsi" w:cstheme="minorHAnsi"/>
              </w:rPr>
              <w:t xml:space="preserve">. Fair value has been taken to be the Government's proportional interest in the net assets of the entities as at the end of the reporting period.  </w:t>
            </w:r>
          </w:p>
          <w:p w:rsidR="00361797" w:rsidRDefault="00361797" w:rsidP="00B50E5D">
            <w:pPr>
              <w:pStyle w:val="StyleReferenceTextItalic"/>
              <w:rPr>
                <w:rFonts w:asciiTheme="minorHAnsi" w:hAnsiTheme="minorHAnsi" w:cstheme="minorHAnsi"/>
              </w:rPr>
            </w:pPr>
            <w:r>
              <w:rPr>
                <w:rFonts w:asciiTheme="minorHAnsi" w:hAnsiTheme="minorHAnsi" w:cstheme="minorHAnsi"/>
              </w:rPr>
              <w:t>Grants and subsidies</w:t>
            </w:r>
          </w:p>
          <w:p w:rsidR="00361797" w:rsidRDefault="00361797" w:rsidP="00B50E5D">
            <w:pPr>
              <w:pStyle w:val="StyleNotesTextBold1"/>
              <w:rPr>
                <w:rFonts w:asciiTheme="minorHAnsi" w:hAnsiTheme="minorHAnsi" w:cstheme="minorHAnsi"/>
              </w:rPr>
            </w:pPr>
            <w:r>
              <w:rPr>
                <w:rFonts w:asciiTheme="minorHAnsi" w:hAnsiTheme="minorHAnsi" w:cstheme="minorHAnsi"/>
              </w:rPr>
              <w:t>The department administered a number of grant and subsidy schemes on behalf of the Government.</w:t>
            </w:r>
          </w:p>
          <w:p w:rsidR="00361797" w:rsidRDefault="00361797" w:rsidP="00B50E5D">
            <w:pPr>
              <w:pStyle w:val="StyleNotesTextBold1"/>
              <w:rPr>
                <w:rFonts w:asciiTheme="minorHAnsi" w:hAnsiTheme="minorHAnsi" w:cstheme="minorHAnsi"/>
              </w:rPr>
            </w:pPr>
            <w:r>
              <w:rPr>
                <w:rFonts w:asciiTheme="minorHAnsi" w:hAnsiTheme="minorHAnsi" w:cstheme="minorHAnsi"/>
              </w:rPr>
              <w:t>Grant and subsidy liabilities are recognised to the extent that (</w:t>
            </w:r>
            <w:proofErr w:type="spellStart"/>
            <w:r>
              <w:rPr>
                <w:rFonts w:asciiTheme="minorHAnsi" w:hAnsiTheme="minorHAnsi" w:cstheme="minorHAnsi"/>
              </w:rPr>
              <w:t>i</w:t>
            </w:r>
            <w:proofErr w:type="spellEnd"/>
            <w:r>
              <w:rPr>
                <w:rFonts w:asciiTheme="minorHAnsi" w:hAnsiTheme="minorHAnsi" w:cstheme="minorHAnsi"/>
              </w:rPr>
              <w:t>) the services required to be performed by the grantee have been performed or (ii) the grant eligibility criteria have been satisfied, but payments due have not been made. A commitment is recorded when the Government enters into an agreement to make these grants but services have not been performed or criteria satisfied.</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Under the Federal Financial Framework agreed with Council of Australian Governments, which came into effect on 1 January 2009, the Department of the Treasury is accountable for the payment of grants under the National Partnership Agreements to the states and territories. As a result the department reported payments made since the agreement came into effect as nation building transfers (Note </w:t>
            </w:r>
            <w:proofErr w:type="spellStart"/>
            <w:r>
              <w:rPr>
                <w:rFonts w:asciiTheme="minorHAnsi" w:hAnsiTheme="minorHAnsi" w:cstheme="minorHAnsi"/>
              </w:rPr>
              <w:t>17D</w:t>
            </w:r>
            <w:proofErr w:type="spellEnd"/>
            <w:r>
              <w:rPr>
                <w:rFonts w:asciiTheme="minorHAnsi" w:hAnsiTheme="minorHAnsi" w:cstheme="minorHAnsi"/>
              </w:rPr>
              <w:t>) for all payments made through state and territory governments.</w:t>
            </w:r>
          </w:p>
          <w:p w:rsidR="00361797" w:rsidRPr="00AE6B1D" w:rsidRDefault="00361797" w:rsidP="00B50E5D">
            <w:pPr>
              <w:pStyle w:val="StyleNotesTextBold1"/>
              <w:rPr>
                <w:rFonts w:asciiTheme="minorHAnsi" w:hAnsiTheme="minorHAnsi" w:cstheme="minorHAnsi"/>
              </w:rPr>
            </w:pPr>
            <w:r w:rsidRPr="00AE6B1D">
              <w:rPr>
                <w:rFonts w:asciiTheme="minorHAnsi" w:hAnsiTheme="minorHAnsi" w:cstheme="minorHAnsi"/>
              </w:rPr>
              <w:t xml:space="preserve">The Australian Government continues to have regard to developments in case law, including the High Court’s most recent decision on Commonwealth expenditure in Williams v Commonwealth [2014] HCA 23, as they contribute to the larger body of law relevant to the development of Commonwealth programmes. In accordance with its general practice, the Government will continue to </w:t>
            </w:r>
            <w:r w:rsidRPr="00AE6B1D">
              <w:rPr>
                <w:rFonts w:asciiTheme="minorHAnsi" w:hAnsiTheme="minorHAnsi" w:cstheme="minorHAnsi"/>
              </w:rPr>
              <w:lastRenderedPageBreak/>
              <w:t>monitor and assess risk and decide on any appropriate actions to respond to risks of expenditure not being consistent with constitutional or other legal requirements.</w:t>
            </w:r>
          </w:p>
          <w:p w:rsidR="00361797" w:rsidRDefault="00361797" w:rsidP="00B50E5D">
            <w:pPr>
              <w:pStyle w:val="StyleReferenceTextItalic"/>
              <w:rPr>
                <w:rFonts w:asciiTheme="minorHAnsi" w:hAnsiTheme="minorHAnsi" w:cstheme="minorHAnsi"/>
              </w:rPr>
            </w:pPr>
            <w:r>
              <w:rPr>
                <w:rFonts w:asciiTheme="minorHAnsi" w:hAnsiTheme="minorHAnsi" w:cstheme="minorHAnsi"/>
              </w:rPr>
              <w:t>Personal Benefits</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The department administered a number of personal benefit programmes on behalf of the Government that provide income support, family assistance and other entitlements to individuals. Payments are determined in accordance with provisions under social security law and other legislation.  Payments made under the </w:t>
            </w:r>
            <w:r>
              <w:rPr>
                <w:rFonts w:asciiTheme="minorHAnsi" w:hAnsiTheme="minorHAnsi" w:cstheme="minorHAnsi"/>
                <w:i/>
              </w:rPr>
              <w:t>Social Security Act 1991</w:t>
            </w:r>
            <w:r>
              <w:rPr>
                <w:rFonts w:asciiTheme="minorHAnsi" w:hAnsiTheme="minorHAnsi" w:cstheme="minorHAnsi"/>
              </w:rPr>
              <w:t xml:space="preserve">, </w:t>
            </w:r>
            <w:r>
              <w:rPr>
                <w:rFonts w:asciiTheme="minorHAnsi" w:hAnsiTheme="minorHAnsi" w:cstheme="minorHAnsi"/>
                <w:i/>
              </w:rPr>
              <w:t>Social Security (Administration) Act 1999</w:t>
            </w:r>
            <w:r>
              <w:rPr>
                <w:rFonts w:asciiTheme="minorHAnsi" w:hAnsiTheme="minorHAnsi" w:cstheme="minorHAnsi"/>
              </w:rPr>
              <w:t xml:space="preserve">, </w:t>
            </w:r>
            <w:r>
              <w:rPr>
                <w:rFonts w:asciiTheme="minorHAnsi" w:hAnsiTheme="minorHAnsi" w:cstheme="minorHAnsi"/>
                <w:i/>
              </w:rPr>
              <w:t>A New Tax System (Family Assistance) Act 1999</w:t>
            </w:r>
            <w:r>
              <w:rPr>
                <w:rFonts w:asciiTheme="minorHAnsi" w:hAnsiTheme="minorHAnsi" w:cstheme="minorHAnsi"/>
              </w:rPr>
              <w:t xml:space="preserve">, </w:t>
            </w:r>
            <w:r>
              <w:rPr>
                <w:rFonts w:asciiTheme="minorHAnsi" w:hAnsiTheme="minorHAnsi" w:cstheme="minorHAnsi"/>
                <w:i/>
              </w:rPr>
              <w:t>A New Tax System (Family Assistance) (Administration) Act 1999</w:t>
            </w:r>
            <w:r>
              <w:rPr>
                <w:rFonts w:asciiTheme="minorHAnsi" w:hAnsiTheme="minorHAnsi" w:cstheme="minorHAnsi"/>
              </w:rPr>
              <w:t xml:space="preserve"> and </w:t>
            </w:r>
            <w:r>
              <w:rPr>
                <w:rFonts w:asciiTheme="minorHAnsi" w:hAnsiTheme="minorHAnsi" w:cstheme="minorHAnsi"/>
                <w:i/>
              </w:rPr>
              <w:t>Student Assistance Act 1973</w:t>
            </w:r>
            <w:r>
              <w:rPr>
                <w:rFonts w:asciiTheme="minorHAnsi" w:hAnsiTheme="minorHAnsi" w:cstheme="minorHAnsi"/>
              </w:rPr>
              <w:t xml:space="preserve"> legislation are assessed, determined and paid by officers of the Department of Human Services (</w:t>
            </w:r>
            <w:proofErr w:type="spellStart"/>
            <w:r>
              <w:rPr>
                <w:rFonts w:asciiTheme="minorHAnsi" w:hAnsiTheme="minorHAnsi" w:cstheme="minorHAnsi"/>
              </w:rPr>
              <w:t>DHS</w:t>
            </w:r>
            <w:proofErr w:type="spellEnd"/>
            <w:r>
              <w:rPr>
                <w:rFonts w:asciiTheme="minorHAnsi" w:hAnsiTheme="minorHAnsi" w:cstheme="minorHAnsi"/>
              </w:rPr>
              <w:t>) under delegation from the department.</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Payments made by </w:t>
            </w:r>
            <w:proofErr w:type="spellStart"/>
            <w:r>
              <w:rPr>
                <w:rFonts w:asciiTheme="minorHAnsi" w:hAnsiTheme="minorHAnsi" w:cstheme="minorHAnsi"/>
              </w:rPr>
              <w:t>DHS</w:t>
            </w:r>
            <w:proofErr w:type="spellEnd"/>
            <w:r>
              <w:rPr>
                <w:rFonts w:asciiTheme="minorHAnsi" w:hAnsiTheme="minorHAnsi" w:cstheme="minorHAnsi"/>
              </w:rPr>
              <w:t xml:space="preserve"> appear in the financial statements of the department, which received appropriations for the payments.  </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The </w:t>
            </w:r>
            <w:r w:rsidRPr="00AD4582">
              <w:rPr>
                <w:rFonts w:asciiTheme="minorHAnsi" w:hAnsiTheme="minorHAnsi" w:cstheme="minorHAnsi"/>
                <w:i/>
              </w:rPr>
              <w:t>Social Security (Administration) Act 1999</w:t>
            </w:r>
            <w:r>
              <w:rPr>
                <w:rFonts w:asciiTheme="minorHAnsi" w:hAnsiTheme="minorHAnsi" w:cstheme="minorHAnsi"/>
              </w:rPr>
              <w:t xml:space="preserve">, </w:t>
            </w:r>
            <w:r w:rsidRPr="00AD4582">
              <w:rPr>
                <w:rFonts w:asciiTheme="minorHAnsi" w:hAnsiTheme="minorHAnsi" w:cstheme="minorHAnsi"/>
                <w:i/>
              </w:rPr>
              <w:t>A New Tax System (Family Assistance) (Administration) Act 1999</w:t>
            </w:r>
            <w:r>
              <w:rPr>
                <w:rFonts w:asciiTheme="minorHAnsi" w:hAnsiTheme="minorHAnsi" w:cstheme="minorHAnsi"/>
              </w:rPr>
              <w:t xml:space="preserve"> and </w:t>
            </w:r>
            <w:r w:rsidRPr="00AD4582">
              <w:rPr>
                <w:rFonts w:asciiTheme="minorHAnsi" w:hAnsiTheme="minorHAnsi" w:cstheme="minorHAnsi"/>
                <w:i/>
              </w:rPr>
              <w:t>Student Assistance Act 1973</w:t>
            </w:r>
            <w:r>
              <w:rPr>
                <w:rFonts w:asciiTheme="minorHAnsi" w:hAnsiTheme="minorHAnsi" w:cstheme="minorHAnsi"/>
              </w:rPr>
              <w:t xml:space="preserve"> imposes obligations on payment recipients to disclose to </w:t>
            </w:r>
            <w:proofErr w:type="spellStart"/>
            <w:r>
              <w:rPr>
                <w:rFonts w:asciiTheme="minorHAnsi" w:hAnsiTheme="minorHAnsi" w:cstheme="minorHAnsi"/>
              </w:rPr>
              <w:t>DHS</w:t>
            </w:r>
            <w:proofErr w:type="spellEnd"/>
            <w:r>
              <w:rPr>
                <w:rFonts w:asciiTheme="minorHAnsi" w:hAnsiTheme="minorHAnsi" w:cstheme="minorHAnsi"/>
              </w:rPr>
              <w:t xml:space="preserve"> information about financial and personal circumstances that affect entitlement to payment.  Unreported changes in circumstances can lead to incorrect payment, even if deliberate fraud is not intended. However, risks associated with relying on voluntary disclosure are mitigated by a risk management strategy which focuses on prevention, detection and deterrence.</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In addition, as part of its ongoing administration obligations </w:t>
            </w:r>
            <w:proofErr w:type="spellStart"/>
            <w:r>
              <w:rPr>
                <w:rFonts w:asciiTheme="minorHAnsi" w:hAnsiTheme="minorHAnsi" w:cstheme="minorHAnsi"/>
              </w:rPr>
              <w:t>DHS</w:t>
            </w:r>
            <w:proofErr w:type="spellEnd"/>
            <w:r>
              <w:rPr>
                <w:rFonts w:asciiTheme="minorHAnsi" w:hAnsiTheme="minorHAnsi" w:cstheme="minorHAnsi"/>
              </w:rPr>
              <w:t xml:space="preserve"> conducts a comprehensive program of reviews. Compliance reviews of payment recipient’s circumstances contribute to the detection of overpayment and benefit fraud. Recipients are generally selected for compliance reviews based on risk categories and inconsistencies in income, assets or other data across </w:t>
            </w:r>
            <w:proofErr w:type="spellStart"/>
            <w:r>
              <w:rPr>
                <w:rFonts w:asciiTheme="minorHAnsi" w:hAnsiTheme="minorHAnsi" w:cstheme="minorHAnsi"/>
              </w:rPr>
              <w:t>DHS</w:t>
            </w:r>
            <w:proofErr w:type="spellEnd"/>
            <w:r>
              <w:rPr>
                <w:rFonts w:asciiTheme="minorHAnsi" w:hAnsiTheme="minorHAnsi" w:cstheme="minorHAnsi"/>
              </w:rPr>
              <w:t xml:space="preserve"> systems, or between </w:t>
            </w:r>
            <w:proofErr w:type="spellStart"/>
            <w:r>
              <w:rPr>
                <w:rFonts w:asciiTheme="minorHAnsi" w:hAnsiTheme="minorHAnsi" w:cstheme="minorHAnsi"/>
              </w:rPr>
              <w:t>DHS</w:t>
            </w:r>
            <w:proofErr w:type="spellEnd"/>
            <w:r>
              <w:rPr>
                <w:rFonts w:asciiTheme="minorHAnsi" w:hAnsiTheme="minorHAnsi" w:cstheme="minorHAnsi"/>
              </w:rPr>
              <w:t xml:space="preserve"> and data gathered through Job Services Australia, universities, or held by other agencies such as the Australian Taxation Office and financial institutions. </w:t>
            </w:r>
            <w:proofErr w:type="spellStart"/>
            <w:r>
              <w:rPr>
                <w:rFonts w:asciiTheme="minorHAnsi" w:hAnsiTheme="minorHAnsi" w:cstheme="minorHAnsi"/>
              </w:rPr>
              <w:t>DHS</w:t>
            </w:r>
            <w:proofErr w:type="spellEnd"/>
            <w:r>
              <w:rPr>
                <w:rFonts w:asciiTheme="minorHAnsi" w:hAnsiTheme="minorHAnsi" w:cstheme="minorHAnsi"/>
              </w:rPr>
              <w:t xml:space="preserve"> also undertakes reviews that are triggered by the length of time since a particular event has happened for a recipient. The department oversees a program of random sampling of recipients in order to identify emerging risks to payment accuracy.</w:t>
            </w:r>
          </w:p>
          <w:p w:rsidR="00361797" w:rsidRDefault="00361797" w:rsidP="00B50E5D">
            <w:pPr>
              <w:pStyle w:val="StyleReferenceTextItalic"/>
              <w:rPr>
                <w:rFonts w:asciiTheme="minorHAnsi" w:hAnsiTheme="minorHAnsi" w:cstheme="minorHAnsi"/>
              </w:rPr>
            </w:pPr>
            <w:r>
              <w:rPr>
                <w:rFonts w:asciiTheme="minorHAnsi" w:hAnsiTheme="minorHAnsi" w:cstheme="minorHAnsi"/>
              </w:rPr>
              <w:t>Payments to CAC Act bodies</w:t>
            </w:r>
          </w:p>
          <w:p w:rsidR="00361797" w:rsidRDefault="00361797" w:rsidP="00B50E5D">
            <w:pPr>
              <w:pStyle w:val="StyleNotesTextBold1"/>
              <w:rPr>
                <w:rFonts w:asciiTheme="minorHAnsi" w:hAnsiTheme="minorHAnsi" w:cstheme="minorHAnsi"/>
              </w:rPr>
            </w:pPr>
            <w:r>
              <w:rPr>
                <w:rFonts w:asciiTheme="minorHAnsi" w:hAnsiTheme="minorHAnsi" w:cstheme="minorHAnsi"/>
              </w:rPr>
              <w:t xml:space="preserve">Payments to </w:t>
            </w:r>
            <w:proofErr w:type="spellStart"/>
            <w:r>
              <w:rPr>
                <w:rFonts w:asciiTheme="minorHAnsi" w:hAnsiTheme="minorHAnsi" w:cstheme="minorHAnsi"/>
              </w:rPr>
              <w:t>Comcare</w:t>
            </w:r>
            <w:proofErr w:type="spellEnd"/>
            <w:r>
              <w:rPr>
                <w:rFonts w:asciiTheme="minorHAnsi" w:hAnsiTheme="minorHAnsi" w:cstheme="minorHAnsi"/>
              </w:rPr>
              <w:t xml:space="preserve"> from amounts appropriated for that purpose are classified as administered expenses of the relevant portfolio department. The appropriation to the department is disclosed in Table A and Table D of the appropriation note. </w:t>
            </w:r>
          </w:p>
        </w:tc>
      </w:tr>
    </w:tbl>
    <w:p w:rsidR="00361797" w:rsidRDefault="00361797" w:rsidP="00361797">
      <w:pPr>
        <w:spacing w:line="240" w:lineRule="auto"/>
        <w:rPr>
          <w:rFonts w:asciiTheme="minorHAnsi" w:hAnsiTheme="minorHAnsi" w:cstheme="minorHAnsi"/>
          <w:sz w:val="20"/>
          <w:lang w:eastAsia="en-AU"/>
        </w:rPr>
      </w:pPr>
    </w:p>
    <w:p w:rsidR="00361797" w:rsidRDefault="00361797" w:rsidP="00361797">
      <w:pPr>
        <w:spacing w:line="240" w:lineRule="auto"/>
        <w:rPr>
          <w:rFonts w:asciiTheme="minorHAnsi" w:hAnsiTheme="minorHAnsi" w:cs="Arial"/>
          <w:sz w:val="20"/>
          <w:lang w:eastAsia="en-AU"/>
        </w:rPr>
      </w:pPr>
      <w:r>
        <w:rPr>
          <w:rFonts w:asciiTheme="minorHAnsi" w:hAnsiTheme="minorHAnsi" w:cs="Arial"/>
          <w:sz w:val="20"/>
          <w:lang w:eastAsia="en-AU"/>
        </w:rPr>
        <w:br w:type="page"/>
      </w:r>
    </w:p>
    <w:p w:rsidR="00361797" w:rsidRDefault="00361797" w:rsidP="00361797">
      <w:pPr>
        <w:pStyle w:val="NotesHeading-Level1"/>
        <w:numPr>
          <w:ilvl w:val="0"/>
          <w:numId w:val="14"/>
        </w:numPr>
      </w:pPr>
      <w:bookmarkStart w:id="2" w:name="_Toc388962621"/>
      <w:r>
        <w:lastRenderedPageBreak/>
        <w:t>Events After the Reporting Period</w:t>
      </w:r>
      <w:bookmarkEnd w:id="2"/>
    </w:p>
    <w:p w:rsidR="00361797" w:rsidRDefault="00361797" w:rsidP="00361797">
      <w:pPr>
        <w:spacing w:line="240" w:lineRule="auto"/>
      </w:pPr>
    </w:p>
    <w:p w:rsidR="00361797" w:rsidRDefault="00361797" w:rsidP="00361797">
      <w:pPr>
        <w:spacing w:before="120" w:after="60" w:line="240" w:lineRule="auto"/>
        <w:rPr>
          <w:rFonts w:asciiTheme="minorHAnsi" w:hAnsiTheme="minorHAnsi" w:cs="Arial"/>
          <w:sz w:val="20"/>
          <w:lang w:eastAsia="en-AU"/>
        </w:rPr>
      </w:pPr>
      <w:r>
        <w:rPr>
          <w:rFonts w:asciiTheme="minorHAnsi" w:hAnsiTheme="minorHAnsi" w:cs="Arial"/>
          <w:sz w:val="20"/>
          <w:lang w:eastAsia="en-AU"/>
        </w:rPr>
        <w:t xml:space="preserve">In accordance with the Administrative Arrangements Order of 18 September 2013, the department was abolished and its functions transferred to the Department of Education, the Department of Employment, the Department of the Prime Minister and Cabinet and the Department of Social Services. Refer to Note 10 Restructuring for details of the transfers. </w:t>
      </w:r>
    </w:p>
    <w:p w:rsidR="00361797" w:rsidRPr="003057C5" w:rsidRDefault="00361797" w:rsidP="00361797">
      <w:pPr>
        <w:spacing w:before="120" w:after="60" w:line="240" w:lineRule="auto"/>
        <w:rPr>
          <w:rFonts w:asciiTheme="minorHAnsi" w:hAnsiTheme="minorHAnsi" w:cs="Arial"/>
          <w:sz w:val="20"/>
          <w:lang w:eastAsia="en-AU"/>
        </w:rPr>
      </w:pPr>
      <w:r>
        <w:rPr>
          <w:rFonts w:asciiTheme="minorHAnsi" w:hAnsiTheme="minorHAnsi" w:cs="Arial"/>
          <w:sz w:val="20"/>
          <w:lang w:eastAsia="en-AU"/>
        </w:rPr>
        <w:t>During the financial year t</w:t>
      </w:r>
      <w:r w:rsidRPr="00C91582">
        <w:rPr>
          <w:rFonts w:asciiTheme="minorHAnsi" w:hAnsiTheme="minorHAnsi" w:cs="Arial"/>
          <w:sz w:val="20"/>
          <w:lang w:eastAsia="en-AU"/>
        </w:rPr>
        <w:t xml:space="preserve">he High Court in </w:t>
      </w:r>
      <w:proofErr w:type="gramStart"/>
      <w:r>
        <w:rPr>
          <w:rFonts w:asciiTheme="minorHAnsi" w:hAnsiTheme="minorHAnsi" w:cs="Arial"/>
          <w:i/>
          <w:sz w:val="20"/>
          <w:lang w:eastAsia="en-AU"/>
        </w:rPr>
        <w:t>Williams</w:t>
      </w:r>
      <w:proofErr w:type="gramEnd"/>
      <w:r>
        <w:rPr>
          <w:rFonts w:asciiTheme="minorHAnsi" w:hAnsiTheme="minorHAnsi" w:cs="Arial"/>
          <w:i/>
          <w:sz w:val="20"/>
          <w:lang w:eastAsia="en-AU"/>
        </w:rPr>
        <w:t xml:space="preserve"> v Commonwealth [2014] HCA 23</w:t>
      </w:r>
      <w:r w:rsidRPr="00C91582">
        <w:rPr>
          <w:rFonts w:asciiTheme="minorHAnsi" w:hAnsiTheme="minorHAnsi" w:cs="Arial"/>
          <w:sz w:val="20"/>
          <w:lang w:eastAsia="en-AU"/>
        </w:rPr>
        <w:t xml:space="preserve"> held that payments made under the National Schools Chaplaincy and Student Welfare program were invalid on the grounds that they were not supported by a Commonwealth constitutional head of power. Consequently, the payments so made became debts owed to the Commonwealth.  However, the Minister for Finance, the Hon Mathias </w:t>
      </w:r>
      <w:proofErr w:type="spellStart"/>
      <w:r w:rsidRPr="00C91582">
        <w:rPr>
          <w:rFonts w:asciiTheme="minorHAnsi" w:hAnsiTheme="minorHAnsi" w:cs="Arial"/>
          <w:sz w:val="20"/>
          <w:lang w:eastAsia="en-AU"/>
        </w:rPr>
        <w:t>Cormann</w:t>
      </w:r>
      <w:proofErr w:type="spellEnd"/>
      <w:r w:rsidRPr="00C91582">
        <w:rPr>
          <w:rFonts w:asciiTheme="minorHAnsi" w:hAnsiTheme="minorHAnsi" w:cs="Arial"/>
          <w:sz w:val="20"/>
          <w:lang w:eastAsia="en-AU"/>
        </w:rPr>
        <w:t xml:space="preserve">, after considering all relevant matters waived those debts under </w:t>
      </w:r>
      <w:proofErr w:type="spellStart"/>
      <w:r w:rsidRPr="00C91582">
        <w:rPr>
          <w:rFonts w:asciiTheme="minorHAnsi" w:hAnsiTheme="minorHAnsi" w:cs="Arial"/>
          <w:sz w:val="20"/>
          <w:lang w:eastAsia="en-AU"/>
        </w:rPr>
        <w:t>s34</w:t>
      </w:r>
      <w:proofErr w:type="spellEnd"/>
      <w:r w:rsidRPr="00C91582">
        <w:rPr>
          <w:rFonts w:asciiTheme="minorHAnsi" w:hAnsiTheme="minorHAnsi" w:cs="Arial"/>
          <w:sz w:val="20"/>
          <w:lang w:eastAsia="en-AU"/>
        </w:rPr>
        <w:t xml:space="preserve">(1)(a) of the </w:t>
      </w:r>
      <w:r w:rsidRPr="00EB77E5">
        <w:rPr>
          <w:rFonts w:asciiTheme="minorHAnsi" w:hAnsiTheme="minorHAnsi" w:cs="Arial"/>
          <w:i/>
          <w:sz w:val="20"/>
          <w:lang w:eastAsia="en-AU"/>
        </w:rPr>
        <w:t>Financial Management and Accountability Act 1997</w:t>
      </w:r>
      <w:r>
        <w:rPr>
          <w:rFonts w:asciiTheme="minorHAnsi" w:hAnsiTheme="minorHAnsi" w:cs="Arial"/>
          <w:sz w:val="20"/>
          <w:lang w:eastAsia="en-AU"/>
        </w:rPr>
        <w:t xml:space="preserve"> on</w:t>
      </w:r>
      <w:r>
        <w:rPr>
          <w:rFonts w:asciiTheme="minorHAnsi" w:hAnsiTheme="minorHAnsi" w:cs="Arial"/>
          <w:sz w:val="20"/>
          <w:lang w:eastAsia="en-AU"/>
        </w:rPr>
        <w:br/>
      </w:r>
      <w:r w:rsidRPr="00C91582">
        <w:rPr>
          <w:rFonts w:asciiTheme="minorHAnsi" w:hAnsiTheme="minorHAnsi" w:cs="Arial"/>
          <w:sz w:val="20"/>
          <w:lang w:eastAsia="en-AU"/>
        </w:rPr>
        <w:t>19 June 2014. The amount waived was $156.121 million, this included $</w:t>
      </w:r>
      <w:r>
        <w:rPr>
          <w:rFonts w:asciiTheme="minorHAnsi" w:hAnsiTheme="minorHAnsi" w:cs="Arial"/>
          <w:sz w:val="20"/>
          <w:lang w:eastAsia="en-AU"/>
        </w:rPr>
        <w:t xml:space="preserve">87.945 </w:t>
      </w:r>
      <w:r w:rsidRPr="00C91582">
        <w:rPr>
          <w:rFonts w:asciiTheme="minorHAnsi" w:hAnsiTheme="minorHAnsi" w:cs="Arial"/>
          <w:sz w:val="20"/>
          <w:lang w:eastAsia="en-AU"/>
        </w:rPr>
        <w:t xml:space="preserve">million </w:t>
      </w:r>
      <w:r>
        <w:rPr>
          <w:rFonts w:asciiTheme="minorHAnsi" w:hAnsiTheme="minorHAnsi" w:cs="Arial"/>
          <w:sz w:val="20"/>
          <w:lang w:eastAsia="en-AU"/>
        </w:rPr>
        <w:t>paid</w:t>
      </w:r>
      <w:r w:rsidRPr="00C91582">
        <w:rPr>
          <w:rFonts w:asciiTheme="minorHAnsi" w:hAnsiTheme="minorHAnsi" w:cs="Arial"/>
          <w:sz w:val="20"/>
          <w:lang w:eastAsia="en-AU"/>
        </w:rPr>
        <w:t xml:space="preserve"> by the Department of Education, Employment and Workplace Relations.</w:t>
      </w:r>
      <w:r w:rsidRPr="00C91582">
        <w:rPr>
          <w:rFonts w:asciiTheme="minorHAnsi" w:hAnsiTheme="minorHAnsi" w:cs="Arial"/>
          <w:sz w:val="20"/>
          <w:lang w:eastAsia="en-AU"/>
        </w:rPr>
        <w:br w:type="page"/>
      </w:r>
    </w:p>
    <w:p w:rsidR="00361797" w:rsidRDefault="00361797" w:rsidP="00361797">
      <w:pPr>
        <w:pStyle w:val="NotesHeading-Level1"/>
        <w:numPr>
          <w:ilvl w:val="0"/>
          <w:numId w:val="14"/>
        </w:numPr>
        <w:rPr>
          <w:rFonts w:cstheme="minorHAnsi"/>
        </w:rPr>
      </w:pPr>
      <w:bookmarkStart w:id="3" w:name="_Toc388962622"/>
      <w:r>
        <w:rPr>
          <w:rFonts w:cstheme="minorHAnsi"/>
        </w:rPr>
        <w:lastRenderedPageBreak/>
        <w:t>Expenses</w:t>
      </w:r>
      <w:bookmarkEnd w:id="3"/>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4" w:name="Note_EEX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4"/>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3A</w:t>
            </w:r>
            <w:proofErr w:type="spellEnd"/>
            <w:r>
              <w:rPr>
                <w:rFonts w:cs="Calibri"/>
                <w:b/>
                <w:bCs/>
                <w:szCs w:val="18"/>
                <w:u w:val="single"/>
              </w:rPr>
              <w:t>: Employee benefits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Wages and salaries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64,417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287,826</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Superannuation:</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Defined contribution plans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5,032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22,857</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Defined benefit plans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10,269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44,374</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Leave and other entitlements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11,489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64,826</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Separations and redundancies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182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639</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Other employee expenses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525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2,706</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i/>
                <w:iCs/>
                <w:szCs w:val="18"/>
              </w:rPr>
            </w:pPr>
            <w:r>
              <w:rPr>
                <w:rFonts w:cs="Calibri"/>
                <w:b/>
                <w:bCs/>
                <w:i/>
                <w:iCs/>
                <w:szCs w:val="18"/>
              </w:rPr>
              <w:t>Total employee benefits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91,914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423,228</w:t>
            </w:r>
          </w:p>
        </w:tc>
      </w:tr>
    </w:tbl>
    <w:p w:rsidR="00361797" w:rsidRDefault="00361797" w:rsidP="00361797">
      <w:bookmarkStart w:id="5" w:name="RANGE!D6:D16"/>
      <w:bookmarkStart w:id="6" w:name="RANGE!D6:G16"/>
      <w:bookmarkEnd w:id="5"/>
      <w:bookmarkEnd w:id="6"/>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7" w:name="Note_SXPTABLE1" w:colFirst="0" w:colLast="0"/>
            <w:r>
              <w:rPr>
                <w:rFonts w:cs="Calibri"/>
                <w:b/>
                <w:bCs/>
                <w:szCs w:val="18"/>
                <w:u w:val="single"/>
              </w:rPr>
              <w:t xml:space="preserve">Note </w:t>
            </w:r>
            <w:proofErr w:type="spellStart"/>
            <w:r>
              <w:rPr>
                <w:rFonts w:cs="Calibri"/>
                <w:b/>
                <w:bCs/>
                <w:szCs w:val="18"/>
                <w:u w:val="single"/>
              </w:rPr>
              <w:t>3B</w:t>
            </w:r>
            <w:proofErr w:type="spellEnd"/>
            <w:r>
              <w:rPr>
                <w:rFonts w:cs="Calibri"/>
                <w:b/>
                <w:bCs/>
                <w:szCs w:val="18"/>
                <w:u w:val="single"/>
              </w:rPr>
              <w:t>: Supplier expenses</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bookmarkEnd w:id="7"/>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Goods and services supplied or rendered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Consultants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3,559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23,148</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Contractors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1,955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17,657</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Travel</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1,036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8,695</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IT services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7,414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42,580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Property</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1,821</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11,402</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Resources received free of charge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1,610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2,890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20,911</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goods and services supplied or rendered</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19,179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126,003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Goods and services are made up of:</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xml:space="preserve">Provision of goods – related entities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52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Provision of goods – 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339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2,568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Rendering of services – related entities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1,436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7,948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Rendering of services – 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17,401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115,435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goods and services supplied or rendered</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19,179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126,003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Other supplier expenses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Operating lease rentals – 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Minimum lease repayments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11,954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51,884</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Contingent rentals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297</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Workers compensation expenses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955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6,326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other supplier expenses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12,973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58,507</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supplier expenses</w:t>
            </w:r>
          </w:p>
        </w:tc>
        <w:tc>
          <w:tcPr>
            <w:tcW w:w="1238"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32,152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184,510</w:t>
            </w:r>
          </w:p>
        </w:tc>
      </w:tr>
    </w:tbl>
    <w:p w:rsidR="00361797" w:rsidRDefault="00361797" w:rsidP="00361797">
      <w:bookmarkStart w:id="8" w:name="RANGE!D7:G32"/>
      <w:bookmarkStart w:id="9" w:name="RANGE!D6:G35"/>
      <w:bookmarkStart w:id="10" w:name="RANGE!D6:D34"/>
      <w:bookmarkStart w:id="11" w:name="RANGE!D6:G34"/>
      <w:bookmarkEnd w:id="8"/>
      <w:bookmarkEnd w:id="9"/>
      <w:bookmarkEnd w:id="10"/>
      <w:bookmarkEnd w:id="11"/>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2" w:name="Note_GRXTABLE1" w:colFirst="0" w:colLast="0"/>
            <w:r>
              <w:rPr>
                <w:rFonts w:cs="Calibri"/>
                <w:b/>
                <w:bCs/>
                <w:szCs w:val="18"/>
                <w:u w:val="single"/>
              </w:rPr>
              <w:t xml:space="preserve">Note </w:t>
            </w:r>
            <w:proofErr w:type="spellStart"/>
            <w:r>
              <w:rPr>
                <w:rFonts w:cs="Calibri"/>
                <w:b/>
                <w:bCs/>
                <w:szCs w:val="18"/>
                <w:u w:val="single"/>
              </w:rPr>
              <w:t>3C</w:t>
            </w:r>
            <w:proofErr w:type="spellEnd"/>
            <w:r>
              <w:rPr>
                <w:rFonts w:cs="Calibri"/>
                <w:b/>
                <w:bCs/>
                <w:szCs w:val="18"/>
                <w:u w:val="single"/>
              </w:rPr>
              <w:t>: Grants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12"/>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Public sector</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Australian Government entities (related entities)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93</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Private sector</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Non-profit organisations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859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1,100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1,720</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1,027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2,913</w:t>
            </w:r>
          </w:p>
        </w:tc>
      </w:tr>
    </w:tbl>
    <w:p w:rsidR="00361797" w:rsidRDefault="00361797" w:rsidP="00361797">
      <w:bookmarkStart w:id="13" w:name="RANGE!D7:G14"/>
      <w:bookmarkStart w:id="14" w:name="RANGE!D6:D15"/>
      <w:bookmarkStart w:id="15" w:name="RANGE!D6:G15"/>
      <w:bookmarkEnd w:id="13"/>
      <w:bookmarkEnd w:id="14"/>
      <w:bookmarkEnd w:id="15"/>
    </w:p>
    <w:p w:rsidR="00361797" w:rsidRDefault="00361797" w:rsidP="00361797">
      <w:pPr>
        <w:rPr>
          <w:rFonts w:asciiTheme="minorHAnsi" w:hAnsiTheme="minorHAnsi" w:cstheme="minorHAnsi"/>
          <w:szCs w:val="18"/>
        </w:rPr>
      </w:pPr>
    </w:p>
    <w:p w:rsidR="00361797" w:rsidRDefault="00361797" w:rsidP="00361797">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16" w:name="Note_DAATABLE1" w:colFirst="0" w:colLast="0"/>
            <w:r>
              <w:rPr>
                <w:rFonts w:cs="Calibri"/>
                <w:szCs w:val="18"/>
              </w:rPr>
              <w:lastRenderedPageBreak/>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16"/>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Note 3D: Depreciation and amortisation</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Depreciation</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Infrastructure, plant and equipment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2,712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12,336</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Buildings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83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Leasehold improvements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3,180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18,147</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depreciation</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5,909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30,566</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Amortisation</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Intangibles: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Computer software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8,275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30,173</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amortisation</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8,275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30,173</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depreciation and amortisation</w:t>
            </w:r>
          </w:p>
        </w:tc>
        <w:tc>
          <w:tcPr>
            <w:tcW w:w="1238"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14,184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60,739</w:t>
            </w:r>
          </w:p>
        </w:tc>
      </w:tr>
    </w:tbl>
    <w:p w:rsidR="00361797" w:rsidRDefault="00361797" w:rsidP="00361797">
      <w:bookmarkStart w:id="17" w:name="RANGE!D6:D20"/>
      <w:bookmarkStart w:id="18" w:name="RANGE!D6:G20"/>
      <w:bookmarkEnd w:id="17"/>
      <w:bookmarkEnd w:id="18"/>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9" w:name="Note_FCETABLE1" w:colFirst="0" w:colLast="0"/>
            <w:r>
              <w:rPr>
                <w:rFonts w:cs="Calibri"/>
                <w:b/>
                <w:bCs/>
                <w:szCs w:val="18"/>
                <w:u w:val="single"/>
              </w:rPr>
              <w:t xml:space="preserve">Note </w:t>
            </w:r>
            <w:proofErr w:type="spellStart"/>
            <w:r>
              <w:rPr>
                <w:rFonts w:cs="Calibri"/>
                <w:b/>
                <w:bCs/>
                <w:szCs w:val="18"/>
                <w:u w:val="single"/>
              </w:rPr>
              <w:t>3E</w:t>
            </w:r>
            <w:proofErr w:type="spellEnd"/>
            <w:r>
              <w:rPr>
                <w:rFonts w:cs="Calibri"/>
                <w:b/>
                <w:bCs/>
                <w:szCs w:val="18"/>
                <w:u w:val="single"/>
              </w:rPr>
              <w:t>: Finance costs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19"/>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Unwinding of discount on provision for restoration obligations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119</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finance costs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119</w:t>
            </w:r>
          </w:p>
        </w:tc>
      </w:tr>
    </w:tbl>
    <w:p w:rsidR="00361797" w:rsidRDefault="00361797" w:rsidP="00361797">
      <w:bookmarkStart w:id="20" w:name="RANGE!D7:G10"/>
      <w:bookmarkStart w:id="21" w:name="RANGE!D6:G8"/>
      <w:bookmarkStart w:id="22" w:name="RANGE!D6:D13"/>
      <w:bookmarkStart w:id="23" w:name="RANGE!D6:G13"/>
      <w:bookmarkEnd w:id="20"/>
      <w:bookmarkEnd w:id="21"/>
      <w:bookmarkEnd w:id="22"/>
      <w:bookmarkEnd w:id="23"/>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4" w:name="Note_WDATABLE1" w:colFirst="0" w:colLast="0"/>
            <w:r>
              <w:rPr>
                <w:rFonts w:cs="Calibri"/>
                <w:b/>
                <w:bCs/>
                <w:szCs w:val="18"/>
                <w:u w:val="single"/>
              </w:rPr>
              <w:t xml:space="preserve">Note </w:t>
            </w:r>
            <w:proofErr w:type="spellStart"/>
            <w:r>
              <w:rPr>
                <w:rFonts w:cs="Calibri"/>
                <w:b/>
                <w:bCs/>
                <w:szCs w:val="18"/>
                <w:u w:val="single"/>
              </w:rPr>
              <w:t>3F</w:t>
            </w:r>
            <w:proofErr w:type="spellEnd"/>
            <w:r>
              <w:rPr>
                <w:rFonts w:cs="Calibri"/>
                <w:b/>
                <w:bCs/>
                <w:szCs w:val="18"/>
                <w:u w:val="single"/>
              </w:rPr>
              <w:t>: Write-down and impairment of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24"/>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 of receivables - goods and services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Impairment  of intangibles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650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 of non-financial assets – infrastructure, plant  and equipment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253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 of non-financial assets – land and buildings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228</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write-down and impairment of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1,149</w:t>
            </w:r>
          </w:p>
        </w:tc>
      </w:tr>
    </w:tbl>
    <w:p w:rsidR="00361797" w:rsidRDefault="00361797" w:rsidP="00361797">
      <w:pPr>
        <w:spacing w:line="240" w:lineRule="auto"/>
      </w:pPr>
      <w:bookmarkStart w:id="25" w:name="RANGE!D7:G18"/>
      <w:bookmarkStart w:id="26" w:name="RANGE!D6:D17"/>
      <w:bookmarkStart w:id="27" w:name="RANGE!D6:G17"/>
      <w:bookmarkStart w:id="28" w:name="RANGE!D6:D10"/>
      <w:bookmarkStart w:id="29" w:name="RANGE!D6:G10"/>
      <w:bookmarkEnd w:id="25"/>
      <w:bookmarkEnd w:id="26"/>
      <w:bookmarkEnd w:id="27"/>
      <w:bookmarkEnd w:id="28"/>
      <w:bookmarkEnd w:id="29"/>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30" w:name="Note_LSATABLE1" w:colFirst="0" w:colLast="0"/>
            <w:r>
              <w:rPr>
                <w:rFonts w:cs="Calibri"/>
                <w:b/>
                <w:bCs/>
                <w:szCs w:val="18"/>
                <w:u w:val="single"/>
              </w:rPr>
              <w:t xml:space="preserve">Note </w:t>
            </w:r>
            <w:proofErr w:type="spellStart"/>
            <w:r>
              <w:rPr>
                <w:rFonts w:cs="Calibri"/>
                <w:b/>
                <w:bCs/>
                <w:szCs w:val="18"/>
                <w:u w:val="single"/>
              </w:rPr>
              <w:t>3G</w:t>
            </w:r>
            <w:proofErr w:type="spellEnd"/>
            <w:r>
              <w:rPr>
                <w:rFonts w:cs="Calibri"/>
                <w:b/>
                <w:bCs/>
                <w:szCs w:val="18"/>
                <w:u w:val="single"/>
              </w:rPr>
              <w:t>: Losses from asset sales</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bookmarkEnd w:id="30"/>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Infrastructure, plant and equipment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Proceeds from sale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(26)</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Carrying value of assets sold</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314</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Net loss from infrastructure, plant and equipment</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288</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losses from asset sales</w:t>
            </w:r>
          </w:p>
        </w:tc>
        <w:tc>
          <w:tcPr>
            <w:tcW w:w="1238"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288</w:t>
            </w:r>
          </w:p>
        </w:tc>
      </w:tr>
    </w:tbl>
    <w:p w:rsidR="00361797" w:rsidRDefault="00361797" w:rsidP="00361797">
      <w:pPr>
        <w:spacing w:line="240" w:lineRule="auto"/>
      </w:pPr>
      <w:bookmarkStart w:id="31" w:name="RANGE!D6:G37"/>
      <w:bookmarkStart w:id="32" w:name="RANGE!D6:D38"/>
      <w:bookmarkStart w:id="33" w:name="RANGE!D6:G38"/>
      <w:bookmarkEnd w:id="31"/>
      <w:bookmarkEnd w:id="32"/>
      <w:bookmarkEnd w:id="33"/>
    </w:p>
    <w:p w:rsidR="00361797" w:rsidRDefault="00361797" w:rsidP="00361797">
      <w:pPr>
        <w:spacing w:line="240" w:lineRule="auto"/>
      </w:pPr>
      <w:r>
        <w:br w:type="page"/>
      </w:r>
    </w:p>
    <w:p w:rsidR="00361797" w:rsidRDefault="00361797" w:rsidP="00361797">
      <w:pPr>
        <w:spacing w:line="240" w:lineRule="auto"/>
      </w:pPr>
    </w:p>
    <w:p w:rsidR="00361797" w:rsidRDefault="00361797" w:rsidP="00361797">
      <w:pPr>
        <w:pStyle w:val="NotesHeading-Level1"/>
        <w:numPr>
          <w:ilvl w:val="0"/>
          <w:numId w:val="14"/>
        </w:numPr>
        <w:rPr>
          <w:rFonts w:cstheme="minorHAnsi"/>
        </w:rPr>
      </w:pPr>
      <w:bookmarkStart w:id="34" w:name="_Toc388962623"/>
      <w:r>
        <w:rPr>
          <w:rFonts w:cstheme="minorHAnsi"/>
        </w:rPr>
        <w:t>Own- Source Income</w:t>
      </w:r>
      <w:bookmarkEnd w:id="34"/>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bookmarkStart w:id="35" w:name="Note_GASTABLE1" w:colFirst="0" w:colLast="0"/>
            <w:r>
              <w:rPr>
                <w:rFonts w:cs="Calibri"/>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35"/>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Own-Source Income</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4A</w:t>
            </w:r>
            <w:proofErr w:type="spellEnd"/>
            <w:r>
              <w:rPr>
                <w:rFonts w:cs="Calibri"/>
                <w:b/>
                <w:bCs/>
                <w:szCs w:val="18"/>
                <w:u w:val="single"/>
              </w:rPr>
              <w:t>: Sale of goods and rendering of services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Provision of goods - 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Rendering of services - related entities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6,656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40,469</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Rendering of services - 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788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4,654</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sale of goods and rendering of services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7,446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45,130</w:t>
            </w:r>
          </w:p>
        </w:tc>
      </w:tr>
    </w:tbl>
    <w:p w:rsidR="00361797" w:rsidRDefault="00361797" w:rsidP="00361797">
      <w:bookmarkStart w:id="36" w:name="RANGE!D6:D12"/>
      <w:bookmarkStart w:id="37" w:name="RANGE!D6:G12"/>
      <w:bookmarkEnd w:id="36"/>
      <w:bookmarkEnd w:id="37"/>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bookmarkStart w:id="38" w:name="Note_GSATABLE1" w:colFirst="0" w:colLast="0"/>
            <w:r>
              <w:rPr>
                <w:rFonts w:cs="Calibri"/>
                <w:b/>
                <w:bCs/>
                <w:szCs w:val="18"/>
              </w:rPr>
              <w:t>Gains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bookmarkEnd w:id="38"/>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4B</w:t>
            </w:r>
            <w:proofErr w:type="spellEnd"/>
            <w:r>
              <w:rPr>
                <w:rFonts w:cs="Calibri"/>
                <w:b/>
                <w:bCs/>
                <w:szCs w:val="18"/>
                <w:u w:val="single"/>
              </w:rPr>
              <w:t>: Sale of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Land and buildings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Proceeds from sale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302</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Carrying value of assets sold</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(256)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Net gain from sale of land and buildings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46</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ascii="Arial" w:hAnsi="Arial" w:cs="Arial"/>
                <w:szCs w:val="18"/>
              </w:rPr>
            </w:pPr>
            <w:r>
              <w:rPr>
                <w:rFonts w:ascii="Arial" w:hAnsi="Arial" w:cs="Arial"/>
                <w:szCs w:val="18"/>
              </w:rPr>
              <w:t>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Net gain from sale of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46</w:t>
            </w:r>
          </w:p>
        </w:tc>
      </w:tr>
    </w:tbl>
    <w:p w:rsidR="00361797" w:rsidRDefault="00361797" w:rsidP="00361797"/>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39" w:name="RANGE!D7:D10"/>
            <w:bookmarkStart w:id="40" w:name="Note_RAWTABLE1" w:colFirst="0" w:colLast="0"/>
            <w:r>
              <w:rPr>
                <w:rFonts w:cs="Calibri"/>
                <w:b/>
                <w:bCs/>
                <w:szCs w:val="18"/>
                <w:u w:val="single"/>
              </w:rPr>
              <w:t xml:space="preserve">Note </w:t>
            </w:r>
            <w:proofErr w:type="spellStart"/>
            <w:r>
              <w:rPr>
                <w:rFonts w:cs="Calibri"/>
                <w:b/>
                <w:bCs/>
                <w:szCs w:val="18"/>
                <w:u w:val="single"/>
              </w:rPr>
              <w:t>4C</w:t>
            </w:r>
            <w:proofErr w:type="spellEnd"/>
            <w:r>
              <w:rPr>
                <w:rFonts w:cs="Calibri"/>
                <w:b/>
                <w:bCs/>
                <w:szCs w:val="18"/>
                <w:u w:val="single"/>
              </w:rPr>
              <w:t>: Reversals of previous asset write-downs and impairment</w:t>
            </w:r>
            <w:bookmarkEnd w:id="39"/>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40"/>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Reversal of impairment losses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reversals of previous asset write-downs and impairments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w:t>
            </w:r>
          </w:p>
        </w:tc>
      </w:tr>
    </w:tbl>
    <w:p w:rsidR="00361797" w:rsidRDefault="00361797" w:rsidP="00361797"/>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1" w:name="Note_OGATABLE1" w:colFirst="0" w:colLast="0"/>
            <w:r>
              <w:rPr>
                <w:rFonts w:cs="Calibri"/>
                <w:b/>
                <w:bCs/>
                <w:szCs w:val="18"/>
                <w:u w:val="single"/>
              </w:rPr>
              <w:t xml:space="preserve">Note </w:t>
            </w:r>
            <w:proofErr w:type="spellStart"/>
            <w:r>
              <w:rPr>
                <w:rFonts w:cs="Calibri"/>
                <w:b/>
                <w:bCs/>
                <w:szCs w:val="18"/>
                <w:u w:val="single"/>
              </w:rPr>
              <w:t>4D</w:t>
            </w:r>
            <w:proofErr w:type="spellEnd"/>
            <w:r>
              <w:rPr>
                <w:rFonts w:cs="Calibri"/>
                <w:b/>
                <w:bCs/>
                <w:szCs w:val="18"/>
                <w:u w:val="single"/>
              </w:rPr>
              <w:t>: Other gains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41"/>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Resources received free of charge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1,610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Gain on write back of restoration provision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1,446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First time recognition of assets – property, plant and equipment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First time recognition of assets – portable and attractive items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318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1,435</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gains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848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4,550</w:t>
            </w:r>
          </w:p>
        </w:tc>
      </w:tr>
    </w:tbl>
    <w:p w:rsidR="00361797" w:rsidRDefault="00361797" w:rsidP="00361797"/>
    <w:p w:rsidR="00361797" w:rsidRDefault="00361797" w:rsidP="00361797">
      <w:pPr>
        <w:spacing w:line="240" w:lineRule="auto"/>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bookmarkStart w:id="42" w:name="Note_RFGTABLE1" w:colFirst="0" w:colLast="0"/>
            <w:r>
              <w:rPr>
                <w:rFonts w:cs="Calibri"/>
                <w:b/>
                <w:bCs/>
                <w:szCs w:val="18"/>
              </w:rPr>
              <w:t>REVENUE FROM GOVERNMENT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bookmarkEnd w:id="42"/>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4E</w:t>
            </w:r>
            <w:proofErr w:type="spellEnd"/>
            <w:r>
              <w:rPr>
                <w:rFonts w:cs="Calibri"/>
                <w:b/>
                <w:bCs/>
                <w:szCs w:val="18"/>
                <w:u w:val="single"/>
              </w:rPr>
              <w:t>: Revenue from Government</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Appropriations: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Departmental appropriations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347,040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563,881</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revenue from Government</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347,040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563,881</w:t>
            </w:r>
          </w:p>
        </w:tc>
      </w:tr>
    </w:tbl>
    <w:p w:rsidR="00361797" w:rsidRDefault="00361797" w:rsidP="00361797">
      <w:pPr>
        <w:rPr>
          <w:rFonts w:ascii="Arial" w:hAnsi="Arial" w:cs="Arial"/>
          <w:b/>
          <w:bCs/>
          <w:szCs w:val="18"/>
        </w:rPr>
      </w:pPr>
      <w:bookmarkStart w:id="43" w:name="RANGE!D6:D14"/>
      <w:bookmarkStart w:id="44" w:name="RANGE!D6:G14"/>
      <w:bookmarkEnd w:id="43"/>
      <w:bookmarkEnd w:id="44"/>
    </w:p>
    <w:p w:rsidR="00361797" w:rsidRDefault="00361797" w:rsidP="00361797">
      <w:pPr>
        <w:spacing w:line="240" w:lineRule="auto"/>
        <w:rPr>
          <w:rFonts w:ascii="Arial" w:hAnsi="Arial" w:cs="Arial"/>
          <w:b/>
          <w:bCs/>
          <w:szCs w:val="18"/>
        </w:rPr>
      </w:pPr>
      <w:r>
        <w:rPr>
          <w:rFonts w:ascii="Arial" w:hAnsi="Arial" w:cs="Arial"/>
          <w:b/>
          <w:bCs/>
          <w:szCs w:val="18"/>
        </w:rPr>
        <w:br w:type="page"/>
      </w:r>
    </w:p>
    <w:p w:rsidR="00361797" w:rsidRDefault="00361797" w:rsidP="00361797">
      <w:pPr>
        <w:pStyle w:val="NotesHeading-Level1"/>
        <w:numPr>
          <w:ilvl w:val="0"/>
          <w:numId w:val="14"/>
        </w:numPr>
        <w:rPr>
          <w:rFonts w:cstheme="minorHAnsi"/>
        </w:rPr>
      </w:pPr>
      <w:bookmarkStart w:id="45" w:name="_Toc388962624"/>
      <w:r>
        <w:rPr>
          <w:rFonts w:cstheme="minorHAnsi"/>
        </w:rPr>
        <w:lastRenderedPageBreak/>
        <w:t>Fair Value Measurement</w:t>
      </w:r>
      <w:bookmarkEnd w:id="45"/>
    </w:p>
    <w:p w:rsidR="00361797" w:rsidRPr="00503EC9" w:rsidRDefault="00361797" w:rsidP="00361797">
      <w:pPr>
        <w:pStyle w:val="NotesHeading-Level1"/>
        <w:numPr>
          <w:ilvl w:val="0"/>
          <w:numId w:val="0"/>
        </w:numPr>
        <w:spacing w:before="120" w:after="120"/>
        <w:rPr>
          <w:rFonts w:cs="Arial"/>
          <w:b w:val="0"/>
          <w:sz w:val="18"/>
          <w:szCs w:val="18"/>
          <w:lang w:eastAsia="en-AU"/>
        </w:rPr>
      </w:pPr>
      <w:r w:rsidRPr="00503EC9">
        <w:rPr>
          <w:rFonts w:cs="Arial"/>
          <w:b w:val="0"/>
          <w:sz w:val="18"/>
          <w:szCs w:val="18"/>
          <w:lang w:eastAsia="en-AU"/>
        </w:rPr>
        <w:t>The following tables provide an analysis of assets and liabilities that are measured at fair value.</w:t>
      </w:r>
    </w:p>
    <w:p w:rsidR="00361797" w:rsidRPr="00503EC9" w:rsidRDefault="00361797" w:rsidP="00361797">
      <w:pPr>
        <w:pStyle w:val="NotesHeading-Level1"/>
        <w:numPr>
          <w:ilvl w:val="0"/>
          <w:numId w:val="0"/>
        </w:numPr>
        <w:spacing w:before="120" w:after="120"/>
        <w:ind w:left="1134" w:hanging="1134"/>
        <w:rPr>
          <w:rFonts w:cs="Arial"/>
          <w:b w:val="0"/>
          <w:sz w:val="18"/>
          <w:szCs w:val="18"/>
          <w:lang w:eastAsia="en-AU"/>
        </w:rPr>
      </w:pPr>
      <w:r w:rsidRPr="00503EC9">
        <w:rPr>
          <w:rFonts w:cs="Arial"/>
          <w:b w:val="0"/>
          <w:sz w:val="18"/>
          <w:szCs w:val="18"/>
          <w:lang w:eastAsia="en-AU"/>
        </w:rPr>
        <w:t xml:space="preserve">The different levels of the fair value hierarchy are defined </w:t>
      </w:r>
      <w:r>
        <w:rPr>
          <w:rFonts w:cs="Arial"/>
          <w:b w:val="0"/>
          <w:sz w:val="18"/>
          <w:szCs w:val="18"/>
          <w:lang w:eastAsia="en-AU"/>
        </w:rPr>
        <w:t>as follows:</w:t>
      </w:r>
    </w:p>
    <w:p w:rsidR="00361797" w:rsidRPr="00503EC9" w:rsidRDefault="00361797" w:rsidP="00361797">
      <w:pPr>
        <w:pStyle w:val="NotesHeading-Level1"/>
        <w:numPr>
          <w:ilvl w:val="0"/>
          <w:numId w:val="0"/>
        </w:numPr>
        <w:spacing w:before="120" w:after="120"/>
        <w:ind w:left="284"/>
        <w:rPr>
          <w:rFonts w:cs="Arial"/>
          <w:b w:val="0"/>
          <w:sz w:val="18"/>
          <w:szCs w:val="18"/>
          <w:lang w:eastAsia="en-AU"/>
        </w:rPr>
      </w:pPr>
      <w:r w:rsidRPr="00503EC9">
        <w:rPr>
          <w:rFonts w:cs="Arial"/>
          <w:b w:val="0"/>
          <w:sz w:val="18"/>
          <w:szCs w:val="18"/>
          <w:lang w:eastAsia="en-AU"/>
        </w:rPr>
        <w:t>Level 1: Quoted prices (unadjusted) in active markets for identical assets or liabilities that the department can access at measurement date.</w:t>
      </w:r>
    </w:p>
    <w:p w:rsidR="00361797" w:rsidRPr="00503EC9" w:rsidRDefault="00361797" w:rsidP="00361797">
      <w:pPr>
        <w:pStyle w:val="NotesHeading-Level1"/>
        <w:numPr>
          <w:ilvl w:val="0"/>
          <w:numId w:val="0"/>
        </w:numPr>
        <w:spacing w:before="120" w:after="120"/>
        <w:ind w:left="284"/>
        <w:rPr>
          <w:rFonts w:cs="Arial"/>
          <w:b w:val="0"/>
          <w:sz w:val="18"/>
          <w:szCs w:val="18"/>
          <w:lang w:eastAsia="en-AU"/>
        </w:rPr>
      </w:pPr>
      <w:r w:rsidRPr="00503EC9">
        <w:rPr>
          <w:rFonts w:cs="Arial"/>
          <w:b w:val="0"/>
          <w:sz w:val="18"/>
          <w:szCs w:val="18"/>
          <w:lang w:eastAsia="en-AU"/>
        </w:rPr>
        <w:t>Level 2: Inputs other than quoted prices included within Level 1 that are observable for the asset or liability, either directly or indirectly.</w:t>
      </w:r>
    </w:p>
    <w:p w:rsidR="00361797" w:rsidRPr="00503EC9" w:rsidRDefault="00361797" w:rsidP="00361797">
      <w:pPr>
        <w:pStyle w:val="NotesHeading-Level1"/>
        <w:numPr>
          <w:ilvl w:val="0"/>
          <w:numId w:val="0"/>
        </w:numPr>
        <w:spacing w:before="120" w:after="120"/>
        <w:ind w:left="284"/>
        <w:rPr>
          <w:rFonts w:cs="Arial"/>
          <w:b w:val="0"/>
          <w:sz w:val="18"/>
          <w:szCs w:val="18"/>
          <w:lang w:eastAsia="en-AU"/>
        </w:rPr>
      </w:pPr>
      <w:proofErr w:type="gramStart"/>
      <w:r w:rsidRPr="00503EC9">
        <w:rPr>
          <w:rFonts w:cs="Arial"/>
          <w:b w:val="0"/>
          <w:sz w:val="18"/>
          <w:szCs w:val="18"/>
          <w:lang w:eastAsia="en-AU"/>
        </w:rPr>
        <w:t>Level 3: Unobservable inputs for the asset or liability.</w:t>
      </w:r>
      <w:proofErr w:type="gramEnd"/>
    </w:p>
    <w:p w:rsidR="00361797" w:rsidRDefault="00361797" w:rsidP="00361797">
      <w:pPr>
        <w:pStyle w:val="NotesHeading-Level1"/>
        <w:numPr>
          <w:ilvl w:val="0"/>
          <w:numId w:val="0"/>
        </w:numPr>
        <w:rPr>
          <w:rFonts w:cstheme="minorHAnsi"/>
        </w:rPr>
      </w:pPr>
    </w:p>
    <w:p w:rsidR="00361797" w:rsidRDefault="00361797" w:rsidP="00361797">
      <w:pPr>
        <w:pStyle w:val="NotesHeading-Level1"/>
        <w:numPr>
          <w:ilvl w:val="0"/>
          <w:numId w:val="0"/>
        </w:numPr>
        <w:rPr>
          <w:rFonts w:cstheme="minorHAnsi"/>
        </w:rPr>
      </w:pPr>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361797" w:rsidTr="00B50E5D">
        <w:trPr>
          <w:trHeight w:val="240"/>
        </w:trPr>
        <w:tc>
          <w:tcPr>
            <w:tcW w:w="4028"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6" w:name="Note_FIMTABLE1" w:colFirst="0" w:colLast="0"/>
            <w:r>
              <w:rPr>
                <w:rFonts w:cs="Calibri"/>
                <w:b/>
                <w:bCs/>
                <w:szCs w:val="18"/>
                <w:u w:val="single"/>
              </w:rPr>
              <w:t xml:space="preserve">Note </w:t>
            </w:r>
            <w:proofErr w:type="spellStart"/>
            <w:r>
              <w:rPr>
                <w:rFonts w:cs="Calibri"/>
                <w:b/>
                <w:bCs/>
                <w:szCs w:val="18"/>
                <w:u w:val="single"/>
              </w:rPr>
              <w:t>5A</w:t>
            </w:r>
            <w:proofErr w:type="spellEnd"/>
            <w:r>
              <w:rPr>
                <w:rFonts w:cs="Calibri"/>
                <w:b/>
                <w:bCs/>
                <w:szCs w:val="18"/>
                <w:u w:val="single"/>
              </w:rPr>
              <w:t>: Fair Value Measurement</w:t>
            </w:r>
          </w:p>
        </w:tc>
        <w:tc>
          <w:tcPr>
            <w:tcW w:w="123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r>
      <w:bookmarkEnd w:id="46"/>
      <w:tr w:rsidR="00361797" w:rsidTr="00B50E5D">
        <w:trPr>
          <w:trHeight w:val="465"/>
        </w:trPr>
        <w:tc>
          <w:tcPr>
            <w:tcW w:w="8980" w:type="dxa"/>
            <w:gridSpan w:val="5"/>
            <w:tcBorders>
              <w:top w:val="nil"/>
              <w:left w:val="nil"/>
              <w:bottom w:val="single" w:sz="4" w:space="0" w:color="auto"/>
              <w:right w:val="nil"/>
            </w:tcBorders>
            <w:shd w:val="clear" w:color="FFFFFF" w:fill="FFFFFF"/>
            <w:vAlign w:val="bottom"/>
            <w:hideMark/>
          </w:tcPr>
          <w:p w:rsidR="00361797" w:rsidRDefault="00361797" w:rsidP="00B50E5D">
            <w:pPr>
              <w:rPr>
                <w:rFonts w:cs="Calibri"/>
                <w:szCs w:val="18"/>
              </w:rPr>
            </w:pPr>
            <w:r>
              <w:rPr>
                <w:rFonts w:cs="Calibri"/>
                <w:szCs w:val="18"/>
              </w:rPr>
              <w:t xml:space="preserve">Fair value measurements at the end of the reporting period by hierarchy for non-financial assets as at </w:t>
            </w:r>
            <w:r>
              <w:rPr>
                <w:rFonts w:cs="Calibri"/>
                <w:szCs w:val="18"/>
              </w:rPr>
              <w:br/>
              <w:t>18 September 2013</w:t>
            </w:r>
          </w:p>
        </w:tc>
      </w:tr>
      <w:tr w:rsidR="00361797" w:rsidTr="00B50E5D">
        <w:trPr>
          <w:trHeight w:val="495"/>
        </w:trPr>
        <w:tc>
          <w:tcPr>
            <w:tcW w:w="402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3714" w:type="dxa"/>
            <w:gridSpan w:val="3"/>
            <w:tcBorders>
              <w:top w:val="single" w:sz="4" w:space="0" w:color="auto"/>
              <w:left w:val="nil"/>
              <w:bottom w:val="single" w:sz="4" w:space="0" w:color="auto"/>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Fair value measurements at the end of the reporting period using</w:t>
            </w:r>
          </w:p>
        </w:tc>
      </w:tr>
      <w:tr w:rsidR="00361797" w:rsidTr="00B50E5D">
        <w:trPr>
          <w:trHeight w:val="240"/>
        </w:trPr>
        <w:tc>
          <w:tcPr>
            <w:tcW w:w="402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Fair value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Level 1 inputs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Level 2 inputs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Level 3 inputs</w:t>
            </w:r>
          </w:p>
        </w:tc>
      </w:tr>
      <w:tr w:rsidR="00361797" w:rsidTr="00B50E5D">
        <w:trPr>
          <w:trHeight w:val="240"/>
        </w:trPr>
        <w:tc>
          <w:tcPr>
            <w:tcW w:w="4028"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Non-financial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Land and buildings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3,834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3,834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Leasehold improvements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78,678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445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78,233 </w:t>
            </w:r>
          </w:p>
        </w:tc>
      </w:tr>
      <w:tr w:rsidR="00361797" w:rsidTr="00B50E5D">
        <w:trPr>
          <w:trHeight w:val="2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 property, plant and equipment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29,577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9,027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20,550 </w:t>
            </w:r>
          </w:p>
        </w:tc>
      </w:tr>
      <w:tr w:rsidR="00361797" w:rsidTr="00B50E5D">
        <w:trPr>
          <w:trHeight w:val="2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non-financial assets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112,089</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13,306</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98,783</w:t>
            </w:r>
          </w:p>
        </w:tc>
      </w:tr>
      <w:tr w:rsidR="00361797" w:rsidTr="00B50E5D">
        <w:trPr>
          <w:trHeight w:val="5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Total fair value measurements of assets in statement of financial </w:t>
            </w:r>
            <w:proofErr w:type="spellStart"/>
            <w:r>
              <w:rPr>
                <w:rFonts w:cs="Calibri"/>
                <w:b/>
                <w:bCs/>
                <w:szCs w:val="18"/>
              </w:rPr>
              <w:t>position</w:t>
            </w:r>
            <w:r>
              <w:rPr>
                <w:rFonts w:cs="Calibri"/>
                <w:b/>
                <w:bCs/>
                <w:szCs w:val="18"/>
                <w:vertAlign w:val="superscript"/>
              </w:rPr>
              <w:t>1</w:t>
            </w:r>
            <w:proofErr w:type="spellEnd"/>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112,089</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13,306</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98,783</w:t>
            </w:r>
          </w:p>
        </w:tc>
      </w:tr>
      <w:tr w:rsidR="00361797" w:rsidTr="00B50E5D">
        <w:trPr>
          <w:trHeight w:val="2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525"/>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Assets not measured at fair value in the statement of financial position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540"/>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Total non-financial assets not measured at fair value in the statement of financial position </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bl>
    <w:p w:rsidR="00361797" w:rsidRDefault="00361797" w:rsidP="00361797">
      <w:pPr>
        <w:pStyle w:val="NotesHeading-Level1"/>
        <w:numPr>
          <w:ilvl w:val="0"/>
          <w:numId w:val="0"/>
        </w:numPr>
        <w:rPr>
          <w:rFonts w:cstheme="minorHAnsi"/>
        </w:rPr>
      </w:pPr>
      <w:bookmarkStart w:id="47" w:name="RANGE!D7:D23"/>
      <w:bookmarkStart w:id="48" w:name="RANGE!D7:D22"/>
      <w:bookmarkStart w:id="49" w:name="RANGE!D7:H22"/>
      <w:bookmarkStart w:id="50" w:name="RANGE!D7:D29"/>
      <w:bookmarkEnd w:id="47"/>
      <w:bookmarkEnd w:id="48"/>
      <w:bookmarkEnd w:id="49"/>
      <w:bookmarkEnd w:id="50"/>
    </w:p>
    <w:p w:rsidR="00361797" w:rsidRDefault="00361797" w:rsidP="00361797">
      <w:pPr>
        <w:pStyle w:val="NotesHeading-Level1"/>
        <w:numPr>
          <w:ilvl w:val="0"/>
          <w:numId w:val="0"/>
        </w:numPr>
        <w:ind w:right="424"/>
        <w:rPr>
          <w:rFonts w:cs="Arial"/>
          <w:b w:val="0"/>
          <w:sz w:val="18"/>
          <w:szCs w:val="18"/>
          <w:lang w:eastAsia="en-AU"/>
        </w:rPr>
      </w:pPr>
      <w:r w:rsidRPr="00CA4344">
        <w:rPr>
          <w:rFonts w:cs="Arial"/>
          <w:b w:val="0"/>
          <w:sz w:val="18"/>
          <w:szCs w:val="18"/>
          <w:vertAlign w:val="superscript"/>
          <w:lang w:eastAsia="en-AU"/>
        </w:rPr>
        <w:t>1</w:t>
      </w:r>
      <w:r>
        <w:rPr>
          <w:rFonts w:cs="Arial"/>
          <w:b w:val="0"/>
          <w:sz w:val="18"/>
          <w:szCs w:val="18"/>
          <w:lang w:eastAsia="en-AU"/>
        </w:rPr>
        <w:t xml:space="preserve"> The department did not measure any non-financial assets at fair value on a non-recurring basis as at 18 September 2013. The department has a number of assets and liabilities not measured at fair value in the statement of financial position. The carrying amounts of these assets and liabilities are considered to be a reasonable approximation of their fair value.</w:t>
      </w:r>
    </w:p>
    <w:p w:rsidR="00361797" w:rsidRDefault="00361797" w:rsidP="00361797">
      <w:pPr>
        <w:pStyle w:val="NotesHeading-Level1"/>
        <w:numPr>
          <w:ilvl w:val="0"/>
          <w:numId w:val="0"/>
        </w:numPr>
        <w:ind w:right="424"/>
        <w:rPr>
          <w:rFonts w:cs="Arial"/>
          <w:b w:val="0"/>
          <w:sz w:val="18"/>
          <w:szCs w:val="18"/>
          <w:lang w:eastAsia="en-AU"/>
        </w:rPr>
      </w:pPr>
    </w:p>
    <w:p w:rsidR="00361797" w:rsidRPr="00F03793" w:rsidRDefault="00361797" w:rsidP="00361797">
      <w:pPr>
        <w:pStyle w:val="NotesHeading-Level1"/>
        <w:numPr>
          <w:ilvl w:val="0"/>
          <w:numId w:val="0"/>
        </w:numPr>
        <w:ind w:right="424"/>
        <w:rPr>
          <w:rFonts w:cs="Arial"/>
          <w:sz w:val="18"/>
          <w:szCs w:val="18"/>
          <w:lang w:eastAsia="en-AU"/>
        </w:rPr>
      </w:pPr>
      <w:r w:rsidRPr="00F03793">
        <w:rPr>
          <w:rFonts w:cs="Arial"/>
          <w:sz w:val="18"/>
          <w:szCs w:val="18"/>
          <w:lang w:eastAsia="en-AU"/>
        </w:rPr>
        <w:t>Fair value measurement – highest and best use for non-financial assets</w:t>
      </w:r>
    </w:p>
    <w:p w:rsidR="00361797" w:rsidRPr="00EF164F" w:rsidRDefault="00361797" w:rsidP="00361797">
      <w:pPr>
        <w:pStyle w:val="NotesHeading-Level1"/>
        <w:numPr>
          <w:ilvl w:val="0"/>
          <w:numId w:val="0"/>
        </w:numPr>
        <w:ind w:right="424"/>
        <w:rPr>
          <w:rFonts w:cs="Arial"/>
          <w:b w:val="0"/>
          <w:sz w:val="18"/>
          <w:szCs w:val="18"/>
          <w:lang w:eastAsia="en-AU"/>
        </w:rPr>
      </w:pPr>
      <w:r>
        <w:rPr>
          <w:rFonts w:cs="Arial"/>
          <w:b w:val="0"/>
          <w:sz w:val="18"/>
          <w:szCs w:val="18"/>
          <w:lang w:eastAsia="en-AU"/>
        </w:rPr>
        <w:t>The department’s assets are held for operational purposes and not held for the purpose of deriving a profit. The current use of all controlled assets is considered the highest and best use.</w:t>
      </w:r>
    </w:p>
    <w:p w:rsidR="00361797" w:rsidRDefault="00361797" w:rsidP="00361797">
      <w:pPr>
        <w:spacing w:line="240" w:lineRule="auto"/>
        <w:rPr>
          <w:rFonts w:cstheme="minorHAnsi"/>
        </w:rPr>
      </w:pPr>
    </w:p>
    <w:p w:rsidR="00361797" w:rsidRDefault="00361797" w:rsidP="00361797">
      <w:pPr>
        <w:pStyle w:val="NotesHeading-Level1"/>
        <w:numPr>
          <w:ilvl w:val="0"/>
          <w:numId w:val="0"/>
        </w:numPr>
        <w:ind w:right="424"/>
        <w:rPr>
          <w:rFonts w:cs="Arial"/>
          <w:b w:val="0"/>
          <w:sz w:val="18"/>
          <w:szCs w:val="18"/>
          <w:lang w:eastAsia="en-AU"/>
        </w:rPr>
      </w:pPr>
      <w:r w:rsidRPr="00EF164F">
        <w:rPr>
          <w:rFonts w:cs="Arial"/>
          <w:b w:val="0"/>
          <w:sz w:val="18"/>
          <w:szCs w:val="18"/>
          <w:lang w:eastAsia="en-AU"/>
        </w:rPr>
        <w:t xml:space="preserve">There </w:t>
      </w:r>
      <w:r>
        <w:rPr>
          <w:rFonts w:cs="Arial"/>
          <w:b w:val="0"/>
          <w:sz w:val="18"/>
          <w:szCs w:val="18"/>
          <w:lang w:eastAsia="en-AU"/>
        </w:rPr>
        <w:t>have been no transfers between levels of the hierarchy during the year.</w:t>
      </w:r>
    </w:p>
    <w:p w:rsidR="00361797" w:rsidRDefault="00361797" w:rsidP="00361797">
      <w:pPr>
        <w:pStyle w:val="NotesHeading-Level1"/>
        <w:numPr>
          <w:ilvl w:val="0"/>
          <w:numId w:val="0"/>
        </w:numPr>
        <w:ind w:right="424"/>
        <w:rPr>
          <w:rFonts w:cs="Arial"/>
          <w:b w:val="0"/>
          <w:sz w:val="18"/>
          <w:szCs w:val="18"/>
          <w:lang w:eastAsia="en-AU"/>
        </w:rPr>
      </w:pPr>
    </w:p>
    <w:p w:rsidR="00361797" w:rsidRPr="00EF164F" w:rsidRDefault="00361797" w:rsidP="00361797">
      <w:pPr>
        <w:pStyle w:val="NotesHeading-Level1"/>
        <w:numPr>
          <w:ilvl w:val="0"/>
          <w:numId w:val="0"/>
        </w:numPr>
        <w:ind w:right="424"/>
        <w:rPr>
          <w:rFonts w:cs="Arial"/>
          <w:b w:val="0"/>
          <w:sz w:val="18"/>
          <w:szCs w:val="18"/>
          <w:lang w:eastAsia="en-AU"/>
        </w:rPr>
      </w:pPr>
      <w:r>
        <w:rPr>
          <w:rFonts w:cs="Arial"/>
          <w:b w:val="0"/>
          <w:sz w:val="18"/>
          <w:szCs w:val="18"/>
          <w:lang w:eastAsia="en-AU"/>
        </w:rPr>
        <w:t>The department’s policy for determining when transfers between levels are deemed to have occurred can be found in Note 1.</w:t>
      </w:r>
    </w:p>
    <w:p w:rsidR="00361797" w:rsidRDefault="00361797" w:rsidP="00361797">
      <w:pPr>
        <w:spacing w:line="240" w:lineRule="auto"/>
        <w:rPr>
          <w:rFonts w:asciiTheme="minorHAnsi" w:hAnsiTheme="minorHAnsi" w:cstheme="minorHAnsi"/>
          <w:b/>
          <w:sz w:val="20"/>
        </w:rPr>
      </w:pPr>
      <w:r>
        <w:rPr>
          <w:rFonts w:cstheme="minorHAnsi"/>
        </w:rPr>
        <w:br w:type="page"/>
      </w:r>
    </w:p>
    <w:p w:rsidR="00361797" w:rsidRDefault="00361797" w:rsidP="00361797">
      <w:pPr>
        <w:pStyle w:val="NotesHeading-Level1"/>
        <w:numPr>
          <w:ilvl w:val="0"/>
          <w:numId w:val="0"/>
        </w:numPr>
        <w:rPr>
          <w:rFonts w:cstheme="minorHAnsi"/>
        </w:rPr>
      </w:pPr>
      <w:bookmarkStart w:id="51" w:name="RANGE!D7:D19"/>
      <w:bookmarkEnd w:id="51"/>
    </w:p>
    <w:p w:rsidR="00361797" w:rsidRDefault="00361797" w:rsidP="00361797">
      <w:pPr>
        <w:pStyle w:val="NotesHeading-Level1"/>
        <w:numPr>
          <w:ilvl w:val="0"/>
          <w:numId w:val="0"/>
        </w:numPr>
        <w:rPr>
          <w:rFonts w:cstheme="minorHAnsi"/>
        </w:rPr>
      </w:pPr>
    </w:p>
    <w:tbl>
      <w:tblPr>
        <w:tblW w:w="9087" w:type="dxa"/>
        <w:tblInd w:w="80" w:type="dxa"/>
        <w:tblLayout w:type="fixed"/>
        <w:tblLook w:val="04A0" w:firstRow="1" w:lastRow="0" w:firstColumn="1" w:lastColumn="0" w:noHBand="0" w:noVBand="1"/>
      </w:tblPr>
      <w:tblGrid>
        <w:gridCol w:w="1423"/>
        <w:gridCol w:w="1062"/>
        <w:gridCol w:w="1083"/>
        <w:gridCol w:w="1285"/>
        <w:gridCol w:w="2682"/>
        <w:gridCol w:w="1552"/>
      </w:tblGrid>
      <w:tr w:rsidR="00361797" w:rsidTr="00B50E5D">
        <w:trPr>
          <w:trHeight w:val="240"/>
        </w:trPr>
        <w:tc>
          <w:tcPr>
            <w:tcW w:w="7070" w:type="dxa"/>
            <w:gridSpan w:val="5"/>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52" w:name="RANGE!D7:I8"/>
            <w:bookmarkStart w:id="53" w:name="Note_FIOTABLE1" w:colFirst="0" w:colLast="0"/>
            <w:r>
              <w:rPr>
                <w:rFonts w:cs="Calibri"/>
                <w:b/>
                <w:bCs/>
                <w:szCs w:val="18"/>
                <w:u w:val="single"/>
              </w:rPr>
              <w:t xml:space="preserve">Note </w:t>
            </w:r>
            <w:proofErr w:type="spellStart"/>
            <w:r>
              <w:rPr>
                <w:rFonts w:cs="Calibri"/>
                <w:b/>
                <w:bCs/>
                <w:szCs w:val="18"/>
                <w:u w:val="single"/>
              </w:rPr>
              <w:t>5B</w:t>
            </w:r>
            <w:proofErr w:type="spellEnd"/>
            <w:r>
              <w:rPr>
                <w:rFonts w:cs="Calibri"/>
                <w:b/>
                <w:bCs/>
                <w:szCs w:val="18"/>
                <w:u w:val="single"/>
              </w:rPr>
              <w:t>: Valuation technique and inputs for Level 2 and Level 3 fair value measurements</w:t>
            </w:r>
            <w:bookmarkEnd w:id="52"/>
          </w:p>
        </w:tc>
        <w:tc>
          <w:tcPr>
            <w:tcW w:w="14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bookmarkEnd w:id="53"/>
      <w:tr w:rsidR="00361797" w:rsidTr="00B50E5D">
        <w:trPr>
          <w:trHeight w:val="240"/>
        </w:trPr>
        <w:tc>
          <w:tcPr>
            <w:tcW w:w="13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9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01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0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51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13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9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01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0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51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720"/>
        </w:trPr>
        <w:tc>
          <w:tcPr>
            <w:tcW w:w="1336"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996" w:type="dxa"/>
            <w:tcBorders>
              <w:top w:val="single" w:sz="4" w:space="0" w:color="auto"/>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Category (Level 2 or Level 3)</w:t>
            </w:r>
          </w:p>
        </w:tc>
        <w:tc>
          <w:tcPr>
            <w:tcW w:w="1016" w:type="dxa"/>
            <w:tcBorders>
              <w:top w:val="single" w:sz="4" w:space="0" w:color="auto"/>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Fair Value</w:t>
            </w:r>
          </w:p>
        </w:tc>
        <w:tc>
          <w:tcPr>
            <w:tcW w:w="1206" w:type="dxa"/>
            <w:tcBorders>
              <w:top w:val="single" w:sz="4" w:space="0" w:color="auto"/>
              <w:left w:val="nil"/>
              <w:bottom w:val="nil"/>
              <w:right w:val="nil"/>
            </w:tcBorders>
            <w:shd w:val="clear" w:color="FFFFFF" w:fill="FFFFFF"/>
            <w:hideMark/>
          </w:tcPr>
          <w:p w:rsidR="00361797" w:rsidRDefault="00361797" w:rsidP="00B50E5D">
            <w:pPr>
              <w:jc w:val="right"/>
              <w:rPr>
                <w:rFonts w:cs="Calibri"/>
                <w:b/>
                <w:bCs/>
                <w:sz w:val="16"/>
                <w:szCs w:val="16"/>
              </w:rPr>
            </w:pPr>
            <w:r>
              <w:rPr>
                <w:rFonts w:cs="Calibri"/>
                <w:b/>
                <w:bCs/>
                <w:szCs w:val="18"/>
              </w:rPr>
              <w:t>Valuation technique(s)</w:t>
            </w:r>
            <w:r>
              <w:rPr>
                <w:rFonts w:ascii="Arial" w:hAnsi="Arial" w:cs="Arial"/>
                <w:b/>
                <w:bCs/>
                <w:sz w:val="16"/>
                <w:szCs w:val="16"/>
                <w:vertAlign w:val="superscript"/>
              </w:rPr>
              <w:t>1</w:t>
            </w:r>
          </w:p>
        </w:tc>
        <w:tc>
          <w:tcPr>
            <w:tcW w:w="2516" w:type="dxa"/>
            <w:tcBorders>
              <w:top w:val="single" w:sz="4" w:space="0" w:color="auto"/>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Inputs used</w:t>
            </w:r>
          </w:p>
        </w:tc>
        <w:tc>
          <w:tcPr>
            <w:tcW w:w="1456" w:type="dxa"/>
            <w:tcBorders>
              <w:top w:val="single" w:sz="4" w:space="0" w:color="auto"/>
              <w:left w:val="nil"/>
              <w:bottom w:val="nil"/>
              <w:right w:val="nil"/>
            </w:tcBorders>
            <w:shd w:val="clear" w:color="FFFFFF" w:fill="FFFFFF"/>
            <w:hideMark/>
          </w:tcPr>
          <w:p w:rsidR="00361797" w:rsidRDefault="00361797" w:rsidP="00B50E5D">
            <w:pPr>
              <w:jc w:val="right"/>
              <w:rPr>
                <w:rFonts w:cs="Calibri"/>
                <w:b/>
                <w:bCs/>
                <w:sz w:val="16"/>
                <w:szCs w:val="16"/>
              </w:rPr>
            </w:pPr>
            <w:r>
              <w:rPr>
                <w:rFonts w:cs="Calibri"/>
                <w:b/>
                <w:bCs/>
                <w:szCs w:val="18"/>
              </w:rPr>
              <w:t>Range (weighted average)</w:t>
            </w:r>
            <w:r>
              <w:rPr>
                <w:rFonts w:ascii="Arial" w:hAnsi="Arial" w:cs="Arial"/>
                <w:b/>
                <w:bCs/>
                <w:sz w:val="16"/>
                <w:szCs w:val="16"/>
                <w:vertAlign w:val="superscript"/>
              </w:rPr>
              <w:t>2</w:t>
            </w:r>
          </w:p>
        </w:tc>
      </w:tr>
      <w:tr w:rsidR="00361797" w:rsidTr="00B50E5D">
        <w:trPr>
          <w:trHeight w:val="240"/>
        </w:trPr>
        <w:tc>
          <w:tcPr>
            <w:tcW w:w="133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99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01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20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51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45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40"/>
        </w:trPr>
        <w:tc>
          <w:tcPr>
            <w:tcW w:w="133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Non-financial assets</w:t>
            </w:r>
          </w:p>
        </w:tc>
        <w:tc>
          <w:tcPr>
            <w:tcW w:w="9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01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0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51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133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9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01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0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51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48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Leasehold improvements</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2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445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Replacement Cost </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Replacement Cost (price per </w:t>
            </w:r>
            <w:proofErr w:type="spellStart"/>
            <w:r>
              <w:rPr>
                <w:rFonts w:cs="Calibri"/>
                <w:szCs w:val="18"/>
              </w:rPr>
              <w:t>sqm</w:t>
            </w:r>
            <w:proofErr w:type="spellEnd"/>
            <w:r>
              <w:rPr>
                <w:rFonts w:cs="Calibri"/>
                <w:szCs w:val="18"/>
              </w:rPr>
              <w:t>)</w:t>
            </w:r>
          </w:p>
        </w:tc>
        <w:tc>
          <w:tcPr>
            <w:tcW w:w="1456" w:type="dxa"/>
            <w:tcBorders>
              <w:top w:val="nil"/>
              <w:left w:val="nil"/>
              <w:bottom w:val="nil"/>
              <w:right w:val="nil"/>
            </w:tcBorders>
            <w:shd w:val="clear" w:color="000000" w:fill="BFBFBF"/>
            <w:hideMark/>
          </w:tcPr>
          <w:p w:rsidR="00361797" w:rsidRDefault="00361797" w:rsidP="00B50E5D">
            <w:pPr>
              <w:jc w:val="right"/>
              <w:rPr>
                <w:rFonts w:cs="Calibri"/>
                <w:szCs w:val="18"/>
              </w:rPr>
            </w:pPr>
            <w:r>
              <w:rPr>
                <w:rFonts w:cs="Calibri"/>
                <w:szCs w:val="18"/>
              </w:rPr>
              <w:t> </w:t>
            </w:r>
          </w:p>
        </w:tc>
      </w:tr>
      <w:tr w:rsidR="00361797" w:rsidTr="00B50E5D">
        <w:trPr>
          <w:trHeight w:val="72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Leasehold improvements</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3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77,029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Depreciated Replacement Cost (DRC)</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Replacement Cost (price per </w:t>
            </w:r>
            <w:proofErr w:type="spellStart"/>
            <w:r>
              <w:rPr>
                <w:rFonts w:cs="Calibri"/>
                <w:szCs w:val="18"/>
              </w:rPr>
              <w:t>sqm</w:t>
            </w:r>
            <w:proofErr w:type="spellEnd"/>
            <w:r>
              <w:rPr>
                <w:rFonts w:cs="Calibri"/>
                <w:szCs w:val="18"/>
              </w:rPr>
              <w:t>)</w:t>
            </w:r>
          </w:p>
        </w:tc>
        <w:tc>
          <w:tcPr>
            <w:tcW w:w="1456" w:type="dxa"/>
            <w:tcBorders>
              <w:top w:val="nil"/>
              <w:left w:val="nil"/>
              <w:bottom w:val="nil"/>
              <w:right w:val="nil"/>
            </w:tcBorders>
            <w:shd w:val="clear" w:color="000000" w:fill="BFBFBF"/>
            <w:hideMark/>
          </w:tcPr>
          <w:p w:rsidR="00361797" w:rsidRDefault="00361797" w:rsidP="00B50E5D">
            <w:pPr>
              <w:spacing w:after="240"/>
              <w:jc w:val="right"/>
              <w:rPr>
                <w:rFonts w:cs="Calibri"/>
                <w:szCs w:val="18"/>
              </w:rPr>
            </w:pPr>
          </w:p>
        </w:tc>
      </w:tr>
      <w:tr w:rsidR="00361797" w:rsidTr="00B50E5D">
        <w:trPr>
          <w:trHeight w:val="81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 </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Useful Life (consumed economic benefit/ obsolescence of asset)</w:t>
            </w:r>
          </w:p>
        </w:tc>
        <w:tc>
          <w:tcPr>
            <w:tcW w:w="145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4.3%-33.3% (8.0%) per annum</w:t>
            </w:r>
          </w:p>
        </w:tc>
      </w:tr>
      <w:tr w:rsidR="00361797" w:rsidTr="00B50E5D">
        <w:trPr>
          <w:trHeight w:val="108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Leasehold improvements (make good)</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3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1,204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Net Present Value</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Current obligation costs (price per </w:t>
            </w:r>
            <w:proofErr w:type="spellStart"/>
            <w:r>
              <w:rPr>
                <w:rFonts w:cs="Calibri"/>
                <w:szCs w:val="18"/>
              </w:rPr>
              <w:t>sqm</w:t>
            </w:r>
            <w:proofErr w:type="spellEnd"/>
            <w:r>
              <w:rPr>
                <w:rFonts w:cs="Calibri"/>
                <w:szCs w:val="18"/>
              </w:rPr>
              <w:t>), discount rate, indexation rates</w:t>
            </w:r>
          </w:p>
        </w:tc>
        <w:tc>
          <w:tcPr>
            <w:tcW w:w="145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$85 - $200,</w:t>
            </w:r>
            <w:r>
              <w:rPr>
                <w:rFonts w:cs="Calibri"/>
                <w:szCs w:val="18"/>
              </w:rPr>
              <w:br/>
              <w:t>3.75% - 4.24%</w:t>
            </w:r>
            <w:r>
              <w:rPr>
                <w:rFonts w:cs="Calibri"/>
                <w:szCs w:val="18"/>
              </w:rPr>
              <w:br/>
              <w:t>(3.98%),</w:t>
            </w:r>
            <w:r>
              <w:rPr>
                <w:rFonts w:cs="Calibri"/>
                <w:szCs w:val="18"/>
              </w:rPr>
              <w:br/>
              <w:t>1.41% - 1.90%</w:t>
            </w:r>
          </w:p>
        </w:tc>
      </w:tr>
      <w:tr w:rsidR="00361797" w:rsidTr="00B50E5D">
        <w:trPr>
          <w:trHeight w:val="48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Land and buildings</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2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3,834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Market Approach</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Adjusted market transactions</w:t>
            </w:r>
          </w:p>
        </w:tc>
        <w:tc>
          <w:tcPr>
            <w:tcW w:w="1456" w:type="dxa"/>
            <w:tcBorders>
              <w:top w:val="nil"/>
              <w:left w:val="nil"/>
              <w:bottom w:val="nil"/>
              <w:right w:val="nil"/>
            </w:tcBorders>
            <w:shd w:val="clear" w:color="000000" w:fill="BFBFBF"/>
            <w:hideMark/>
          </w:tcPr>
          <w:p w:rsidR="00361797" w:rsidRDefault="00361797" w:rsidP="00B50E5D">
            <w:pPr>
              <w:jc w:val="right"/>
              <w:rPr>
                <w:rFonts w:cs="Calibri"/>
                <w:szCs w:val="18"/>
              </w:rPr>
            </w:pPr>
            <w:r>
              <w:rPr>
                <w:rFonts w:cs="Calibri"/>
                <w:szCs w:val="18"/>
              </w:rPr>
              <w:t> </w:t>
            </w:r>
          </w:p>
        </w:tc>
      </w:tr>
      <w:tr w:rsidR="00361797" w:rsidTr="00B50E5D">
        <w:trPr>
          <w:trHeight w:val="84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Other property, plant and equipment</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2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9,027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Market Approach</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Adjusted market transactions</w:t>
            </w:r>
          </w:p>
        </w:tc>
        <w:tc>
          <w:tcPr>
            <w:tcW w:w="1456" w:type="dxa"/>
            <w:tcBorders>
              <w:top w:val="nil"/>
              <w:left w:val="nil"/>
              <w:bottom w:val="nil"/>
              <w:right w:val="nil"/>
            </w:tcBorders>
            <w:shd w:val="clear" w:color="000000" w:fill="BFBFBF"/>
            <w:hideMark/>
          </w:tcPr>
          <w:p w:rsidR="00361797" w:rsidRDefault="00361797" w:rsidP="00B50E5D">
            <w:pPr>
              <w:jc w:val="right"/>
              <w:rPr>
                <w:rFonts w:cs="Calibri"/>
                <w:szCs w:val="18"/>
              </w:rPr>
            </w:pPr>
            <w:r>
              <w:rPr>
                <w:rFonts w:cs="Calibri"/>
                <w:szCs w:val="18"/>
              </w:rPr>
              <w:t> </w:t>
            </w:r>
          </w:p>
        </w:tc>
      </w:tr>
      <w:tr w:rsidR="00361797" w:rsidTr="00B50E5D">
        <w:trPr>
          <w:trHeight w:val="990"/>
        </w:trPr>
        <w:tc>
          <w:tcPr>
            <w:tcW w:w="1336"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Other property, plant and equipment</w:t>
            </w:r>
          </w:p>
        </w:tc>
        <w:tc>
          <w:tcPr>
            <w:tcW w:w="99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3 </w:t>
            </w:r>
          </w:p>
        </w:tc>
        <w:tc>
          <w:tcPr>
            <w:tcW w:w="10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 xml:space="preserve">20,550 </w:t>
            </w:r>
          </w:p>
        </w:tc>
        <w:tc>
          <w:tcPr>
            <w:tcW w:w="120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Depreciated Replacement Cost (DRC)</w:t>
            </w:r>
          </w:p>
        </w:tc>
        <w:tc>
          <w:tcPr>
            <w:tcW w:w="2516" w:type="dxa"/>
            <w:tcBorders>
              <w:top w:val="nil"/>
              <w:left w:val="nil"/>
              <w:bottom w:val="nil"/>
              <w:right w:val="nil"/>
            </w:tcBorders>
            <w:shd w:val="clear" w:color="FFFFFF" w:fill="FFFFFF"/>
            <w:hideMark/>
          </w:tcPr>
          <w:p w:rsidR="00361797" w:rsidRDefault="00361797" w:rsidP="00B50E5D">
            <w:pPr>
              <w:jc w:val="right"/>
              <w:rPr>
                <w:rFonts w:cs="Calibri"/>
                <w:szCs w:val="18"/>
              </w:rPr>
            </w:pPr>
            <w:r>
              <w:rPr>
                <w:rFonts w:cs="Calibri"/>
                <w:szCs w:val="18"/>
              </w:rPr>
              <w:t>Replacement Cost New</w:t>
            </w:r>
            <w:r>
              <w:rPr>
                <w:rFonts w:cs="Calibri"/>
                <w:szCs w:val="18"/>
              </w:rPr>
              <w:br/>
              <w:t>(size, capacity, use, configuration, style, type)</w:t>
            </w:r>
            <w:r>
              <w:rPr>
                <w:rFonts w:cs="Calibri"/>
                <w:szCs w:val="18"/>
              </w:rPr>
              <w:br/>
              <w:t>Useful life</w:t>
            </w:r>
          </w:p>
        </w:tc>
        <w:tc>
          <w:tcPr>
            <w:tcW w:w="1456" w:type="dxa"/>
            <w:tcBorders>
              <w:top w:val="nil"/>
              <w:left w:val="nil"/>
              <w:bottom w:val="nil"/>
              <w:right w:val="nil"/>
            </w:tcBorders>
            <w:shd w:val="clear" w:color="000000" w:fill="BFBFBF"/>
            <w:hideMark/>
          </w:tcPr>
          <w:p w:rsidR="00361797" w:rsidRDefault="00361797" w:rsidP="00B50E5D">
            <w:pPr>
              <w:jc w:val="right"/>
              <w:rPr>
                <w:rFonts w:cs="Calibri"/>
                <w:szCs w:val="18"/>
              </w:rPr>
            </w:pPr>
            <w:r>
              <w:rPr>
                <w:rFonts w:cs="Calibri"/>
                <w:szCs w:val="18"/>
              </w:rPr>
              <w:t> </w:t>
            </w:r>
          </w:p>
        </w:tc>
      </w:tr>
      <w:tr w:rsidR="00361797" w:rsidTr="00B50E5D">
        <w:trPr>
          <w:trHeight w:val="795"/>
        </w:trPr>
        <w:tc>
          <w:tcPr>
            <w:tcW w:w="1336" w:type="dxa"/>
            <w:tcBorders>
              <w:top w:val="nil"/>
              <w:left w:val="nil"/>
              <w:bottom w:val="single" w:sz="4" w:space="0" w:color="auto"/>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996" w:type="dxa"/>
            <w:tcBorders>
              <w:top w:val="nil"/>
              <w:left w:val="nil"/>
              <w:bottom w:val="single" w:sz="4" w:space="0" w:color="auto"/>
              <w:right w:val="nil"/>
            </w:tcBorders>
            <w:shd w:val="clear" w:color="FFFFFF" w:fill="FFFFFF"/>
            <w:hideMark/>
          </w:tcPr>
          <w:p w:rsidR="00361797" w:rsidRDefault="00361797" w:rsidP="00B50E5D">
            <w:pPr>
              <w:jc w:val="right"/>
              <w:rPr>
                <w:rFonts w:cs="Calibri"/>
                <w:szCs w:val="18"/>
              </w:rPr>
            </w:pPr>
            <w:r>
              <w:rPr>
                <w:rFonts w:cs="Calibri"/>
                <w:szCs w:val="18"/>
              </w:rPr>
              <w:t> </w:t>
            </w:r>
          </w:p>
        </w:tc>
        <w:tc>
          <w:tcPr>
            <w:tcW w:w="1016" w:type="dxa"/>
            <w:tcBorders>
              <w:top w:val="nil"/>
              <w:left w:val="nil"/>
              <w:bottom w:val="single" w:sz="4" w:space="0" w:color="auto"/>
              <w:right w:val="nil"/>
            </w:tcBorders>
            <w:shd w:val="clear" w:color="FFFFFF" w:fill="FFFFFF"/>
            <w:hideMark/>
          </w:tcPr>
          <w:p w:rsidR="00361797" w:rsidRDefault="00361797" w:rsidP="00B50E5D">
            <w:pPr>
              <w:jc w:val="right"/>
              <w:rPr>
                <w:rFonts w:cs="Calibri"/>
                <w:szCs w:val="18"/>
              </w:rPr>
            </w:pPr>
            <w:r>
              <w:rPr>
                <w:rFonts w:cs="Calibri"/>
                <w:szCs w:val="18"/>
              </w:rPr>
              <w:t> </w:t>
            </w:r>
          </w:p>
        </w:tc>
        <w:tc>
          <w:tcPr>
            <w:tcW w:w="1206" w:type="dxa"/>
            <w:tcBorders>
              <w:top w:val="nil"/>
              <w:left w:val="nil"/>
              <w:bottom w:val="single" w:sz="4" w:space="0" w:color="auto"/>
              <w:right w:val="nil"/>
            </w:tcBorders>
            <w:shd w:val="clear" w:color="FFFFFF" w:fill="FFFFFF"/>
            <w:hideMark/>
          </w:tcPr>
          <w:p w:rsidR="00361797" w:rsidRDefault="00361797" w:rsidP="00B50E5D">
            <w:pPr>
              <w:jc w:val="right"/>
              <w:rPr>
                <w:rFonts w:cs="Calibri"/>
                <w:szCs w:val="18"/>
              </w:rPr>
            </w:pPr>
            <w:r>
              <w:rPr>
                <w:rFonts w:cs="Calibri"/>
                <w:szCs w:val="18"/>
              </w:rPr>
              <w:t> </w:t>
            </w:r>
          </w:p>
        </w:tc>
        <w:tc>
          <w:tcPr>
            <w:tcW w:w="2516" w:type="dxa"/>
            <w:tcBorders>
              <w:top w:val="nil"/>
              <w:left w:val="nil"/>
              <w:bottom w:val="single" w:sz="4" w:space="0" w:color="auto"/>
              <w:right w:val="nil"/>
            </w:tcBorders>
            <w:shd w:val="clear" w:color="FFFFFF" w:fill="FFFFFF"/>
            <w:hideMark/>
          </w:tcPr>
          <w:p w:rsidR="00361797" w:rsidRDefault="00361797" w:rsidP="00B50E5D">
            <w:pPr>
              <w:jc w:val="right"/>
              <w:rPr>
                <w:rFonts w:cs="Calibri"/>
                <w:szCs w:val="18"/>
              </w:rPr>
            </w:pPr>
            <w:r>
              <w:rPr>
                <w:rFonts w:cs="Calibri"/>
                <w:szCs w:val="18"/>
              </w:rPr>
              <w:t>Useful Life (consumed economic benefit/ obsolescence of asset)</w:t>
            </w:r>
          </w:p>
        </w:tc>
        <w:tc>
          <w:tcPr>
            <w:tcW w:w="1456" w:type="dxa"/>
            <w:tcBorders>
              <w:top w:val="nil"/>
              <w:left w:val="nil"/>
              <w:bottom w:val="single" w:sz="4" w:space="0" w:color="auto"/>
              <w:right w:val="nil"/>
            </w:tcBorders>
            <w:shd w:val="clear" w:color="FFFFFF" w:fill="FFFFFF"/>
            <w:hideMark/>
          </w:tcPr>
          <w:p w:rsidR="00361797" w:rsidRDefault="00361797" w:rsidP="00B50E5D">
            <w:pPr>
              <w:jc w:val="right"/>
              <w:rPr>
                <w:rFonts w:cs="Calibri"/>
                <w:szCs w:val="18"/>
              </w:rPr>
            </w:pPr>
            <w:r>
              <w:rPr>
                <w:rFonts w:cs="Calibri"/>
                <w:szCs w:val="18"/>
              </w:rPr>
              <w:t>6.7% - 33.3% (15.6%) per annum</w:t>
            </w:r>
          </w:p>
        </w:tc>
      </w:tr>
    </w:tbl>
    <w:p w:rsidR="00361797" w:rsidRDefault="00361797" w:rsidP="00361797">
      <w:pPr>
        <w:pStyle w:val="NotesHeading-Level1"/>
        <w:numPr>
          <w:ilvl w:val="0"/>
          <w:numId w:val="0"/>
        </w:numPr>
        <w:rPr>
          <w:rFonts w:cs="Arial"/>
          <w:b w:val="0"/>
          <w:sz w:val="18"/>
          <w:szCs w:val="18"/>
          <w:lang w:eastAsia="en-AU"/>
        </w:rPr>
      </w:pPr>
      <w:bookmarkStart w:id="54" w:name="RANGE!D7:D21"/>
      <w:bookmarkStart w:id="55" w:name="RANGE!D7:I21"/>
      <w:bookmarkStart w:id="56" w:name="RANGE!D7:I17"/>
      <w:bookmarkStart w:id="57" w:name="RANGE!D7:I27"/>
      <w:bookmarkStart w:id="58" w:name="RANGE!D7:D24"/>
      <w:bookmarkStart w:id="59" w:name="RANGE!D7:I24"/>
      <w:bookmarkEnd w:id="54"/>
      <w:bookmarkEnd w:id="55"/>
      <w:bookmarkEnd w:id="56"/>
      <w:bookmarkEnd w:id="57"/>
      <w:bookmarkEnd w:id="58"/>
      <w:bookmarkEnd w:id="59"/>
      <w:r w:rsidRPr="00CA4344">
        <w:rPr>
          <w:rFonts w:cs="Arial"/>
          <w:b w:val="0"/>
          <w:sz w:val="18"/>
          <w:szCs w:val="18"/>
          <w:vertAlign w:val="superscript"/>
          <w:lang w:eastAsia="en-AU"/>
        </w:rPr>
        <w:t>1</w:t>
      </w:r>
      <w:r>
        <w:rPr>
          <w:rFonts w:cs="Arial"/>
          <w:b w:val="0"/>
          <w:sz w:val="18"/>
          <w:szCs w:val="18"/>
          <w:lang w:eastAsia="en-AU"/>
        </w:rPr>
        <w:t xml:space="preserve"> There </w:t>
      </w:r>
      <w:proofErr w:type="gramStart"/>
      <w:r>
        <w:rPr>
          <w:rFonts w:cs="Arial"/>
          <w:b w:val="0"/>
          <w:sz w:val="18"/>
          <w:szCs w:val="18"/>
          <w:lang w:eastAsia="en-AU"/>
        </w:rPr>
        <w:t>have</w:t>
      </w:r>
      <w:proofErr w:type="gramEnd"/>
      <w:r>
        <w:rPr>
          <w:rFonts w:cs="Arial"/>
          <w:b w:val="0"/>
          <w:sz w:val="18"/>
          <w:szCs w:val="18"/>
          <w:lang w:eastAsia="en-AU"/>
        </w:rPr>
        <w:t xml:space="preserve"> been no changes to valuation techniques.</w:t>
      </w:r>
    </w:p>
    <w:p w:rsidR="00361797" w:rsidRPr="00503EC9" w:rsidRDefault="00361797" w:rsidP="00361797">
      <w:pPr>
        <w:pStyle w:val="NotesHeading-Level1"/>
        <w:numPr>
          <w:ilvl w:val="0"/>
          <w:numId w:val="0"/>
        </w:numPr>
        <w:rPr>
          <w:rFonts w:cs="Arial"/>
          <w:b w:val="0"/>
          <w:sz w:val="18"/>
          <w:szCs w:val="18"/>
          <w:lang w:eastAsia="en-AU"/>
        </w:rPr>
      </w:pPr>
      <w:proofErr w:type="gramStart"/>
      <w:r w:rsidRPr="00CA4344">
        <w:rPr>
          <w:rFonts w:cs="Arial"/>
          <w:b w:val="0"/>
          <w:sz w:val="18"/>
          <w:szCs w:val="18"/>
          <w:vertAlign w:val="superscript"/>
          <w:lang w:eastAsia="en-AU"/>
        </w:rPr>
        <w:t>2</w:t>
      </w:r>
      <w:r>
        <w:rPr>
          <w:rFonts w:cs="Arial"/>
          <w:b w:val="0"/>
          <w:sz w:val="18"/>
          <w:szCs w:val="18"/>
          <w:lang w:eastAsia="en-AU"/>
        </w:rPr>
        <w:t xml:space="preserve"> Significant unobservable inputs only.</w:t>
      </w:r>
      <w:proofErr w:type="gramEnd"/>
      <w:r>
        <w:rPr>
          <w:rFonts w:cs="Arial"/>
          <w:b w:val="0"/>
          <w:sz w:val="18"/>
          <w:szCs w:val="18"/>
          <w:lang w:eastAsia="en-AU"/>
        </w:rPr>
        <w:t xml:space="preserve"> Not applicable for assets or liabilities in the level 2 category.</w:t>
      </w:r>
    </w:p>
    <w:p w:rsidR="00361797" w:rsidRDefault="00361797" w:rsidP="00361797">
      <w:pPr>
        <w:spacing w:line="240" w:lineRule="auto"/>
        <w:rPr>
          <w:rFonts w:cstheme="minorHAnsi"/>
          <w:b/>
        </w:rPr>
      </w:pPr>
    </w:p>
    <w:p w:rsidR="00361797" w:rsidRPr="0009034E" w:rsidRDefault="00361797" w:rsidP="00361797">
      <w:pPr>
        <w:spacing w:line="240" w:lineRule="auto"/>
        <w:rPr>
          <w:rFonts w:cstheme="minorHAnsi"/>
          <w:b/>
        </w:rPr>
      </w:pPr>
      <w:r w:rsidRPr="0009034E">
        <w:rPr>
          <w:rFonts w:cstheme="minorHAnsi"/>
          <w:b/>
        </w:rPr>
        <w:t>Recurring and non-recurring Level 3 fair value measurements – valuation processes</w:t>
      </w:r>
    </w:p>
    <w:p w:rsidR="00361797" w:rsidRDefault="00361797" w:rsidP="00361797">
      <w:pPr>
        <w:spacing w:line="240" w:lineRule="auto"/>
        <w:rPr>
          <w:rFonts w:cstheme="minorHAnsi"/>
        </w:rPr>
      </w:pPr>
      <w:r>
        <w:rPr>
          <w:rFonts w:cstheme="minorHAnsi"/>
        </w:rPr>
        <w:t xml:space="preserve">The Australian Valuation Office provided a comprehensive valuation of all departmental non-financial assets as at </w:t>
      </w:r>
      <w:r>
        <w:rPr>
          <w:rFonts w:cstheme="minorHAnsi"/>
        </w:rPr>
        <w:br/>
        <w:t>30 June 2012. The department has a policy of testing the currency of the valuation of various asset classes at least once every 12 months and to obtain a comprehensive valuation at least once every three years. The entity has engaged the Australian Valuation Solutions (</w:t>
      </w:r>
      <w:proofErr w:type="spellStart"/>
      <w:r>
        <w:rPr>
          <w:rFonts w:cstheme="minorHAnsi"/>
        </w:rPr>
        <w:t>AVS</w:t>
      </w:r>
      <w:proofErr w:type="spellEnd"/>
      <w:r>
        <w:rPr>
          <w:rFonts w:cstheme="minorHAnsi"/>
        </w:rPr>
        <w:t xml:space="preserve">) to provide written assurance that the methodology developed by the department has complied with the requirements of the new </w:t>
      </w:r>
      <w:proofErr w:type="spellStart"/>
      <w:r w:rsidRPr="008F59C9">
        <w:rPr>
          <w:rFonts w:cstheme="minorHAnsi"/>
          <w:i/>
        </w:rPr>
        <w:t>AASB</w:t>
      </w:r>
      <w:proofErr w:type="spellEnd"/>
      <w:r w:rsidRPr="008F59C9">
        <w:rPr>
          <w:rFonts w:cstheme="minorHAnsi"/>
          <w:i/>
        </w:rPr>
        <w:t xml:space="preserve"> 13 Fair Value Measurements</w:t>
      </w:r>
      <w:r>
        <w:rPr>
          <w:rFonts w:cstheme="minorHAnsi"/>
          <w:i/>
        </w:rPr>
        <w:t xml:space="preserve"> </w:t>
      </w:r>
      <w:r>
        <w:rPr>
          <w:rFonts w:cstheme="minorHAnsi"/>
        </w:rPr>
        <w:t>from 1 July 2013</w:t>
      </w:r>
      <w:r>
        <w:rPr>
          <w:rFonts w:cstheme="minorHAnsi"/>
          <w:i/>
        </w:rPr>
        <w:t>.</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 xml:space="preserve">The </w:t>
      </w:r>
      <w:proofErr w:type="spellStart"/>
      <w:r>
        <w:rPr>
          <w:rFonts w:cstheme="minorHAnsi"/>
        </w:rPr>
        <w:t>AVS</w:t>
      </w:r>
      <w:proofErr w:type="spellEnd"/>
      <w:r>
        <w:rPr>
          <w:rFonts w:cstheme="minorHAnsi"/>
        </w:rPr>
        <w:t xml:space="preserve"> provided written assurance to the department that the models developed are in compliance with </w:t>
      </w:r>
      <w:proofErr w:type="spellStart"/>
      <w:r>
        <w:rPr>
          <w:rFonts w:cstheme="minorHAnsi"/>
        </w:rPr>
        <w:t>AASB</w:t>
      </w:r>
      <w:proofErr w:type="spellEnd"/>
      <w:r>
        <w:rPr>
          <w:rFonts w:cstheme="minorHAnsi"/>
        </w:rPr>
        <w:t xml:space="preserve"> 13.</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There is no change in the valuation technique since the prior year.</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There were no significant inter-relationships between unobservable inputs that materially affect the fair value.</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br w:type="page"/>
      </w:r>
    </w:p>
    <w:p w:rsidR="00361797" w:rsidRDefault="00361797" w:rsidP="00361797">
      <w:pPr>
        <w:spacing w:line="240" w:lineRule="auto"/>
        <w:rPr>
          <w:rFonts w:cstheme="minorHAnsi"/>
        </w:rPr>
      </w:pPr>
      <w:r>
        <w:rPr>
          <w:rFonts w:cstheme="minorHAnsi"/>
        </w:rPr>
        <w:lastRenderedPageBreak/>
        <w:t>Significant Level 3 inputs used by the department are derived and evaluated as follows:</w:t>
      </w:r>
    </w:p>
    <w:p w:rsidR="00361797" w:rsidRDefault="00361797" w:rsidP="00361797">
      <w:pPr>
        <w:spacing w:line="240" w:lineRule="auto"/>
        <w:rPr>
          <w:rFonts w:cstheme="minorHAnsi"/>
        </w:rPr>
      </w:pPr>
    </w:p>
    <w:p w:rsidR="00361797" w:rsidRPr="008F59C9" w:rsidRDefault="00361797" w:rsidP="00361797">
      <w:pPr>
        <w:spacing w:line="240" w:lineRule="auto"/>
        <w:rPr>
          <w:rFonts w:cstheme="minorHAnsi"/>
          <w:b/>
          <w:u w:val="single"/>
        </w:rPr>
      </w:pPr>
      <w:r w:rsidRPr="008F59C9">
        <w:rPr>
          <w:rFonts w:cstheme="minorHAnsi"/>
          <w:b/>
          <w:u w:val="single"/>
        </w:rPr>
        <w:t>Leasehold Improvements – Depreciated Replacement Cost Valuation</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Assets that do not transact with enough frequency or transparency to develop objective opinions of value from observable market evidence have been measured using the Depreciated Replacement Cost (DRC) approach. Under the DRC approach the estimated cost to replace the asset is calculated and then adjusted to take account of its economic useful life and obsolescence (accumulated depreciation). The economic useful lives and asset obsolescence has been determined based on professional judgement regarding physical, economic and external obsolescence factors relevant to the asset under consideration.</w:t>
      </w:r>
    </w:p>
    <w:p w:rsidR="00361797" w:rsidRDefault="00361797" w:rsidP="00361797">
      <w:pPr>
        <w:spacing w:line="240" w:lineRule="auto"/>
        <w:rPr>
          <w:rFonts w:cstheme="minorHAnsi"/>
        </w:rPr>
      </w:pPr>
    </w:p>
    <w:p w:rsidR="00361797" w:rsidRDefault="00361797" w:rsidP="00361797">
      <w:pPr>
        <w:spacing w:line="240" w:lineRule="auto"/>
        <w:rPr>
          <w:rFonts w:cstheme="minorHAnsi"/>
          <w:b/>
          <w:u w:val="single"/>
        </w:rPr>
      </w:pPr>
      <w:r w:rsidRPr="00476B08">
        <w:rPr>
          <w:rFonts w:cstheme="minorHAnsi"/>
          <w:b/>
          <w:u w:val="single"/>
        </w:rPr>
        <w:t>Leasehold Improvements – Current Restoration C</w:t>
      </w:r>
      <w:r>
        <w:rPr>
          <w:rFonts w:cstheme="minorHAnsi"/>
          <w:b/>
          <w:u w:val="single"/>
        </w:rPr>
        <w:t>osts, I</w:t>
      </w:r>
      <w:r w:rsidRPr="00476B08">
        <w:rPr>
          <w:rFonts w:cstheme="minorHAnsi"/>
          <w:b/>
          <w:u w:val="single"/>
        </w:rPr>
        <w:t>n</w:t>
      </w:r>
      <w:r>
        <w:rPr>
          <w:rFonts w:cstheme="minorHAnsi"/>
          <w:b/>
          <w:u w:val="single"/>
        </w:rPr>
        <w:t>dexation Rates and Discount R</w:t>
      </w:r>
      <w:r w:rsidRPr="00476B08">
        <w:rPr>
          <w:rFonts w:cstheme="minorHAnsi"/>
          <w:b/>
          <w:u w:val="single"/>
        </w:rPr>
        <w:t>ate</w:t>
      </w:r>
    </w:p>
    <w:p w:rsidR="00361797" w:rsidRDefault="00361797" w:rsidP="00361797">
      <w:pPr>
        <w:spacing w:line="240" w:lineRule="auto"/>
        <w:rPr>
          <w:rFonts w:cstheme="minorHAnsi"/>
          <w:b/>
          <w:u w:val="single"/>
        </w:rPr>
      </w:pPr>
    </w:p>
    <w:p w:rsidR="00361797" w:rsidRPr="00476B08" w:rsidRDefault="00361797" w:rsidP="00361797">
      <w:pPr>
        <w:spacing w:line="240" w:lineRule="auto"/>
        <w:rPr>
          <w:rFonts w:cstheme="minorHAnsi"/>
        </w:rPr>
      </w:pPr>
      <w:r w:rsidRPr="00476B08">
        <w:rPr>
          <w:rFonts w:cstheme="minorHAnsi"/>
        </w:rPr>
        <w:t>Applicable</w:t>
      </w:r>
      <w:r>
        <w:rPr>
          <w:rFonts w:cstheme="minorHAnsi"/>
        </w:rPr>
        <w:t xml:space="preserve"> make good provisions have been determined in accordance with Australian Accounting Guidance Note 2010/1 </w:t>
      </w:r>
      <w:proofErr w:type="gramStart"/>
      <w:r>
        <w:rPr>
          <w:rFonts w:cstheme="minorHAnsi"/>
        </w:rPr>
        <w:t>Accounting</w:t>
      </w:r>
      <w:proofErr w:type="gramEnd"/>
      <w:r>
        <w:rPr>
          <w:rFonts w:cstheme="minorHAnsi"/>
        </w:rPr>
        <w:t xml:space="preserve"> for Decommissioning, Restoration and Similar Provisions (‘Make Good’). Current restoration costs have been established based on analysed transactions, costing publications and industry sources. Current restoration costs have been indexed to the obligation date (generally the expiry of the lease term) using industry building cost indexes relevant to the asset’s location and then discounted where the time value of money is material using the Australian Government 10 year bond rate. The estimated provision is depreciated in line with the corresponding leasehold improvement asset.</w:t>
      </w:r>
    </w:p>
    <w:p w:rsidR="00361797" w:rsidRDefault="00361797" w:rsidP="00361797">
      <w:pPr>
        <w:spacing w:line="240" w:lineRule="auto"/>
        <w:rPr>
          <w:rFonts w:cstheme="minorHAnsi"/>
        </w:rPr>
      </w:pPr>
    </w:p>
    <w:p w:rsidR="00361797" w:rsidRPr="008F59C9" w:rsidRDefault="00361797" w:rsidP="00361797">
      <w:pPr>
        <w:spacing w:line="240" w:lineRule="auto"/>
        <w:rPr>
          <w:rFonts w:cstheme="minorHAnsi"/>
          <w:b/>
          <w:u w:val="single"/>
        </w:rPr>
      </w:pPr>
      <w:r>
        <w:rPr>
          <w:rFonts w:cstheme="minorHAnsi"/>
          <w:b/>
          <w:u w:val="single"/>
        </w:rPr>
        <w:t>Other Property, Plant and Equipment</w:t>
      </w:r>
      <w:r w:rsidRPr="008F59C9">
        <w:rPr>
          <w:rFonts w:cstheme="minorHAnsi"/>
          <w:b/>
          <w:u w:val="single"/>
        </w:rPr>
        <w:t xml:space="preserve"> – Depreciated Replacement Cost Valuation</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Assets that do not transact with enough frequency or transparency to develop objective opinions of value from observable market evidence have been measured using the DRC approach. Under the DRC approach the estimated cost to replace the asset is calculated and then adjusted to take account of its economic useful life and obsolescence (accumulated depreciation). The economic useful lives and asset obsolescence has been determined based on professional judgement regarding physical, economic and external obsolescence factors relevant to the asset under consideration.</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 xml:space="preserve">The weighted average is determined by assessing the fair value measurement as a proportion of the total fair value for the class against the total useful life of each asset. </w:t>
      </w:r>
    </w:p>
    <w:p w:rsidR="00361797" w:rsidRPr="008F59C9" w:rsidRDefault="00361797" w:rsidP="00361797">
      <w:pPr>
        <w:spacing w:line="240" w:lineRule="auto"/>
        <w:rPr>
          <w:rFonts w:cstheme="minorHAnsi"/>
        </w:rPr>
      </w:pPr>
    </w:p>
    <w:p w:rsidR="00361797" w:rsidRPr="0009034E" w:rsidRDefault="00361797" w:rsidP="00361797">
      <w:pPr>
        <w:spacing w:line="240" w:lineRule="auto"/>
        <w:rPr>
          <w:rFonts w:cstheme="minorHAnsi"/>
          <w:b/>
        </w:rPr>
      </w:pPr>
      <w:r w:rsidRPr="0009034E">
        <w:rPr>
          <w:rFonts w:cstheme="minorHAnsi"/>
          <w:b/>
        </w:rPr>
        <w:t>Recurring</w:t>
      </w:r>
      <w:r>
        <w:rPr>
          <w:rFonts w:cstheme="minorHAnsi"/>
          <w:b/>
        </w:rPr>
        <w:t xml:space="preserve"> Level 3 fair</w:t>
      </w:r>
      <w:r w:rsidRPr="0009034E">
        <w:rPr>
          <w:rFonts w:cstheme="minorHAnsi"/>
          <w:b/>
        </w:rPr>
        <w:t xml:space="preserve"> value measurements – </w:t>
      </w:r>
      <w:r>
        <w:rPr>
          <w:rFonts w:cstheme="minorHAnsi"/>
          <w:b/>
        </w:rPr>
        <w:t>sensitivity of inputs</w:t>
      </w:r>
    </w:p>
    <w:p w:rsidR="00361797" w:rsidRDefault="00361797" w:rsidP="00361797">
      <w:pPr>
        <w:spacing w:line="240" w:lineRule="auto"/>
        <w:rPr>
          <w:rFonts w:cstheme="minorHAnsi"/>
        </w:rPr>
      </w:pPr>
    </w:p>
    <w:p w:rsidR="00361797" w:rsidRPr="008F59C9" w:rsidRDefault="00361797" w:rsidP="00361797">
      <w:pPr>
        <w:spacing w:line="240" w:lineRule="auto"/>
        <w:rPr>
          <w:rFonts w:cstheme="minorHAnsi"/>
          <w:b/>
          <w:u w:val="single"/>
        </w:rPr>
      </w:pPr>
      <w:r w:rsidRPr="008F59C9">
        <w:rPr>
          <w:rFonts w:cstheme="minorHAnsi"/>
          <w:b/>
          <w:u w:val="single"/>
        </w:rPr>
        <w:t>Leasehold Improvements</w:t>
      </w:r>
      <w:r>
        <w:rPr>
          <w:rFonts w:cstheme="minorHAnsi"/>
          <w:b/>
          <w:u w:val="single"/>
        </w:rPr>
        <w:t>, Other Property, Plant and Equipment</w:t>
      </w:r>
      <w:r w:rsidRPr="008F59C9">
        <w:rPr>
          <w:rFonts w:cstheme="minorHAnsi"/>
          <w:b/>
          <w:u w:val="single"/>
        </w:rPr>
        <w:t xml:space="preserve"> – Depreciated Replacement Cost Valuation</w:t>
      </w:r>
    </w:p>
    <w:p w:rsidR="00361797" w:rsidRDefault="00361797" w:rsidP="00361797">
      <w:pPr>
        <w:spacing w:line="240" w:lineRule="auto"/>
        <w:rPr>
          <w:rFonts w:cstheme="minorHAnsi"/>
        </w:rPr>
      </w:pPr>
    </w:p>
    <w:p w:rsidR="00361797" w:rsidRDefault="00361797" w:rsidP="00361797">
      <w:pPr>
        <w:spacing w:line="240" w:lineRule="auto"/>
        <w:rPr>
          <w:rFonts w:cstheme="minorHAnsi"/>
        </w:rPr>
      </w:pPr>
      <w:r>
        <w:rPr>
          <w:rFonts w:cstheme="minorHAnsi"/>
        </w:rPr>
        <w:t>The significant unobservable inputs used in the fair value measurement of department’s leasehold improvements and property, plant and equipment asset classes relate to the economic useful life and asset obsolescence (accumulated depreciation). A significant increase (decrease) in this input would result in a significant lower (higher) fair value measurement. The expected economic useful life may be greater than the department’s useful life for assets and this can contribute to the uncertainty of the unobservable inputs.</w:t>
      </w:r>
    </w:p>
    <w:p w:rsidR="00361797" w:rsidRDefault="00361797" w:rsidP="00361797">
      <w:pPr>
        <w:spacing w:line="240" w:lineRule="auto"/>
        <w:rPr>
          <w:rFonts w:cstheme="minorHAnsi"/>
        </w:rPr>
      </w:pPr>
    </w:p>
    <w:p w:rsidR="00361797" w:rsidRPr="000A346E" w:rsidRDefault="00361797" w:rsidP="00361797">
      <w:pPr>
        <w:spacing w:line="240" w:lineRule="auto"/>
        <w:rPr>
          <w:rFonts w:cstheme="minorHAnsi"/>
          <w:b/>
          <w:u w:val="single"/>
        </w:rPr>
      </w:pPr>
      <w:r w:rsidRPr="000A346E">
        <w:rPr>
          <w:rFonts w:cstheme="minorHAnsi"/>
          <w:b/>
          <w:u w:val="single"/>
        </w:rPr>
        <w:t>Leasehold Improvements – Current Restoration Costs, Indexation Rates and Discount Rate</w:t>
      </w:r>
    </w:p>
    <w:p w:rsidR="00361797" w:rsidRDefault="00361797" w:rsidP="00361797">
      <w:pPr>
        <w:spacing w:line="240" w:lineRule="auto"/>
        <w:rPr>
          <w:rFonts w:cstheme="minorHAnsi"/>
        </w:rPr>
      </w:pPr>
    </w:p>
    <w:p w:rsidR="00361797" w:rsidRPr="000A346E" w:rsidRDefault="00361797" w:rsidP="00361797">
      <w:pPr>
        <w:spacing w:line="240" w:lineRule="auto"/>
        <w:rPr>
          <w:rFonts w:cstheme="minorHAnsi"/>
        </w:rPr>
      </w:pPr>
      <w:r>
        <w:rPr>
          <w:rFonts w:cstheme="minorHAnsi"/>
        </w:rPr>
        <w:t xml:space="preserve"> The significant unobservable inputs used in the fair value measurement of the department’s leasehold restoration cost (make good) asset class relate to the current restoration costs, escalation rates and discount rates. A significant increase (decrease) in this cost and (or) escalation rate and decrease (increase) in the discount rate would result in a significantly higher (lower) fair value measurement.</w:t>
      </w:r>
      <w:r>
        <w:rPr>
          <w:rFonts w:cstheme="minorHAnsi"/>
        </w:rPr>
        <w:br w:type="page"/>
      </w:r>
    </w:p>
    <w:tbl>
      <w:tblPr>
        <w:tblW w:w="9087" w:type="dxa"/>
        <w:tblInd w:w="80" w:type="dxa"/>
        <w:tblLayout w:type="fixed"/>
        <w:tblLook w:val="04A0" w:firstRow="1" w:lastRow="0" w:firstColumn="1" w:lastColumn="0" w:noHBand="0" w:noVBand="1"/>
      </w:tblPr>
      <w:tblGrid>
        <w:gridCol w:w="4280"/>
        <w:gridCol w:w="1113"/>
        <w:gridCol w:w="1110"/>
        <w:gridCol w:w="1480"/>
        <w:gridCol w:w="1104"/>
      </w:tblGrid>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60" w:name="Note_FIPTABLE1" w:colFirst="0" w:colLast="0"/>
            <w:r>
              <w:rPr>
                <w:rFonts w:cs="Calibri"/>
                <w:szCs w:val="18"/>
              </w:rPr>
              <w:lastRenderedPageBreak/>
              <w:t> </w:t>
            </w:r>
          </w:p>
        </w:tc>
        <w:tc>
          <w:tcPr>
            <w:tcW w:w="110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9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46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bookmarkEnd w:id="60"/>
      <w:tr w:rsidR="00361797" w:rsidTr="00B50E5D">
        <w:trPr>
          <w:trHeight w:val="240"/>
        </w:trPr>
        <w:tc>
          <w:tcPr>
            <w:tcW w:w="8995" w:type="dxa"/>
            <w:gridSpan w:val="5"/>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5C</w:t>
            </w:r>
            <w:proofErr w:type="spellEnd"/>
            <w:r>
              <w:rPr>
                <w:rFonts w:cs="Calibri"/>
                <w:b/>
                <w:bCs/>
                <w:szCs w:val="18"/>
                <w:u w:val="single"/>
              </w:rPr>
              <w:t>: Reconciliation for recurring Level 3 fair value measurements</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9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46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5338" w:type="dxa"/>
            <w:gridSpan w:val="2"/>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Recurring Level 3 fair value measurements - reconciliation for assets</w:t>
            </w:r>
          </w:p>
        </w:tc>
        <w:tc>
          <w:tcPr>
            <w:tcW w:w="109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46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4236"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4759" w:type="dxa"/>
            <w:gridSpan w:val="4"/>
            <w:tcBorders>
              <w:top w:val="single" w:sz="4" w:space="0" w:color="auto"/>
              <w:left w:val="nil"/>
              <w:bottom w:val="single" w:sz="4" w:space="0" w:color="auto"/>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Non-financial assets</w:t>
            </w:r>
          </w:p>
        </w:tc>
      </w:tr>
      <w:tr w:rsidR="00361797" w:rsidTr="00B50E5D">
        <w:trPr>
          <w:trHeight w:val="72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2" w:type="dxa"/>
            <w:tcBorders>
              <w:top w:val="nil"/>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Land and buildings</w:t>
            </w:r>
          </w:p>
        </w:tc>
        <w:tc>
          <w:tcPr>
            <w:tcW w:w="1099" w:type="dxa"/>
            <w:tcBorders>
              <w:top w:val="nil"/>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Property, plant and equipment</w:t>
            </w:r>
          </w:p>
        </w:tc>
        <w:tc>
          <w:tcPr>
            <w:tcW w:w="1465" w:type="dxa"/>
            <w:tcBorders>
              <w:top w:val="nil"/>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Leasehold improvements</w:t>
            </w:r>
          </w:p>
        </w:tc>
        <w:tc>
          <w:tcPr>
            <w:tcW w:w="1093" w:type="dxa"/>
            <w:tcBorders>
              <w:top w:val="nil"/>
              <w:left w:val="nil"/>
              <w:bottom w:val="nil"/>
              <w:right w:val="nil"/>
            </w:tcBorders>
            <w:shd w:val="clear" w:color="FFFFFF" w:fill="FFFFFF"/>
            <w:hideMark/>
          </w:tcPr>
          <w:p w:rsidR="00361797" w:rsidRDefault="00361797" w:rsidP="00B50E5D">
            <w:pPr>
              <w:jc w:val="right"/>
              <w:rPr>
                <w:rFonts w:cs="Calibri"/>
                <w:b/>
                <w:bCs/>
                <w:szCs w:val="18"/>
              </w:rPr>
            </w:pPr>
            <w:r>
              <w:rPr>
                <w:rFonts w:cs="Calibri"/>
                <w:b/>
                <w:bCs/>
                <w:szCs w:val="18"/>
              </w:rPr>
              <w:t>Total</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2"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09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465"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109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40"/>
        </w:trPr>
        <w:tc>
          <w:tcPr>
            <w:tcW w:w="423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Opening </w:t>
            </w:r>
            <w:proofErr w:type="spellStart"/>
            <w:r>
              <w:rPr>
                <w:rFonts w:cs="Calibri"/>
                <w:b/>
                <w:bCs/>
                <w:szCs w:val="18"/>
              </w:rPr>
              <w:t>balance</w:t>
            </w:r>
            <w:r>
              <w:rPr>
                <w:rFonts w:cs="Calibri"/>
                <w:b/>
                <w:bCs/>
                <w:szCs w:val="18"/>
                <w:vertAlign w:val="superscript"/>
              </w:rPr>
              <w:t>1</w:t>
            </w:r>
            <w:proofErr w:type="spellEnd"/>
          </w:p>
        </w:tc>
        <w:tc>
          <w:tcPr>
            <w:tcW w:w="1102"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21,502 </w:t>
            </w:r>
          </w:p>
        </w:tc>
        <w:tc>
          <w:tcPr>
            <w:tcW w:w="1465"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81,327 </w:t>
            </w:r>
          </w:p>
        </w:tc>
        <w:tc>
          <w:tcPr>
            <w:tcW w:w="109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102,829 </w:t>
            </w:r>
          </w:p>
        </w:tc>
      </w:tr>
      <w:tr w:rsidR="00361797" w:rsidTr="00B50E5D">
        <w:trPr>
          <w:trHeight w:val="240"/>
        </w:trPr>
        <w:tc>
          <w:tcPr>
            <w:tcW w:w="423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xml:space="preserve">Total gains/(losses) in net cost of </w:t>
            </w:r>
            <w:proofErr w:type="spellStart"/>
            <w:r>
              <w:rPr>
                <w:rFonts w:cs="Calibri"/>
                <w:szCs w:val="18"/>
              </w:rPr>
              <w:t>services</w:t>
            </w:r>
            <w:r>
              <w:rPr>
                <w:rFonts w:cs="Calibri"/>
                <w:szCs w:val="18"/>
                <w:vertAlign w:val="superscript"/>
              </w:rPr>
              <w:t>2</w:t>
            </w:r>
            <w:proofErr w:type="spellEnd"/>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(1,576)</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(3,180)</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(4,756)</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Purchases</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623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86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709 </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Sales</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Write-offs</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40"/>
        </w:trPr>
        <w:tc>
          <w:tcPr>
            <w:tcW w:w="4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Settlements</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40"/>
        </w:trPr>
        <w:tc>
          <w:tcPr>
            <w:tcW w:w="423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Transfers into Level 3</w:t>
            </w:r>
            <w:r>
              <w:rPr>
                <w:rFonts w:cs="Calibri"/>
                <w:szCs w:val="18"/>
                <w:vertAlign w:val="superscript"/>
              </w:rPr>
              <w:t>3</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40"/>
        </w:trPr>
        <w:tc>
          <w:tcPr>
            <w:tcW w:w="423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Transfers out of Level 3</w:t>
            </w:r>
            <w:r>
              <w:rPr>
                <w:rFonts w:cs="Calibri"/>
                <w:szCs w:val="18"/>
                <w:vertAlign w:val="superscript"/>
              </w:rPr>
              <w:t>4</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40"/>
        </w:trPr>
        <w:tc>
          <w:tcPr>
            <w:tcW w:w="423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Closing balance</w:t>
            </w:r>
          </w:p>
        </w:tc>
        <w:tc>
          <w:tcPr>
            <w:tcW w:w="110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09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20,549 </w:t>
            </w:r>
          </w:p>
        </w:tc>
        <w:tc>
          <w:tcPr>
            <w:tcW w:w="146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78,233 </w:t>
            </w:r>
          </w:p>
        </w:tc>
        <w:tc>
          <w:tcPr>
            <w:tcW w:w="109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98,782 </w:t>
            </w:r>
          </w:p>
        </w:tc>
      </w:tr>
      <w:tr w:rsidR="00361797" w:rsidTr="00B50E5D">
        <w:trPr>
          <w:trHeight w:val="585"/>
        </w:trPr>
        <w:tc>
          <w:tcPr>
            <w:tcW w:w="423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Changes in unrealised gains/(losses) recognised in net cost of services for assets held at the end of the reporting </w:t>
            </w:r>
            <w:proofErr w:type="spellStart"/>
            <w:r>
              <w:rPr>
                <w:rFonts w:cs="Calibri"/>
                <w:b/>
                <w:bCs/>
                <w:szCs w:val="18"/>
              </w:rPr>
              <w:t>period</w:t>
            </w:r>
            <w:r>
              <w:rPr>
                <w:rFonts w:cs="Calibri"/>
                <w:b/>
                <w:bCs/>
                <w:szCs w:val="18"/>
                <w:vertAlign w:val="superscript"/>
              </w:rPr>
              <w:t>5</w:t>
            </w:r>
            <w:proofErr w:type="spellEnd"/>
          </w:p>
        </w:tc>
        <w:tc>
          <w:tcPr>
            <w:tcW w:w="1102"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099"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6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09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bl>
    <w:p w:rsidR="00361797" w:rsidRDefault="00361797" w:rsidP="00361797">
      <w:pPr>
        <w:pStyle w:val="NotesHeading-Level1"/>
        <w:numPr>
          <w:ilvl w:val="0"/>
          <w:numId w:val="0"/>
        </w:numPr>
        <w:rPr>
          <w:rFonts w:cstheme="minorHAnsi"/>
        </w:rPr>
      </w:pPr>
    </w:p>
    <w:p w:rsidR="00361797" w:rsidRDefault="00361797" w:rsidP="00361797">
      <w:pPr>
        <w:pStyle w:val="NotesHeading-Level1"/>
        <w:numPr>
          <w:ilvl w:val="0"/>
          <w:numId w:val="0"/>
        </w:numPr>
        <w:spacing w:before="120" w:after="120"/>
        <w:rPr>
          <w:rFonts w:cs="Arial"/>
          <w:b w:val="0"/>
          <w:sz w:val="18"/>
          <w:szCs w:val="18"/>
          <w:lang w:eastAsia="en-AU"/>
        </w:rPr>
      </w:pPr>
      <w:proofErr w:type="gramStart"/>
      <w:r w:rsidRPr="00567073">
        <w:rPr>
          <w:rFonts w:cs="Arial"/>
          <w:b w:val="0"/>
          <w:sz w:val="18"/>
          <w:szCs w:val="18"/>
          <w:vertAlign w:val="superscript"/>
          <w:lang w:eastAsia="en-AU"/>
        </w:rPr>
        <w:t>1</w:t>
      </w:r>
      <w:r>
        <w:rPr>
          <w:rFonts w:cs="Arial"/>
          <w:b w:val="0"/>
          <w:sz w:val="18"/>
          <w:szCs w:val="18"/>
          <w:lang w:eastAsia="en-AU"/>
        </w:rPr>
        <w:t xml:space="preserve"> </w:t>
      </w:r>
      <w:r w:rsidRPr="00503EC9">
        <w:rPr>
          <w:rFonts w:cs="Arial"/>
          <w:b w:val="0"/>
          <w:sz w:val="18"/>
          <w:szCs w:val="18"/>
          <w:lang w:eastAsia="en-AU"/>
        </w:rPr>
        <w:t xml:space="preserve"> </w:t>
      </w:r>
      <w:r>
        <w:rPr>
          <w:rFonts w:cs="Arial"/>
          <w:b w:val="0"/>
          <w:sz w:val="18"/>
          <w:szCs w:val="18"/>
          <w:lang w:eastAsia="en-AU"/>
        </w:rPr>
        <w:t>Opening</w:t>
      </w:r>
      <w:proofErr w:type="gramEnd"/>
      <w:r>
        <w:rPr>
          <w:rFonts w:cs="Arial"/>
          <w:b w:val="0"/>
          <w:sz w:val="18"/>
          <w:szCs w:val="18"/>
          <w:lang w:eastAsia="en-AU"/>
        </w:rPr>
        <w:t xml:space="preserve"> balance as determined in accordance with </w:t>
      </w:r>
      <w:proofErr w:type="spellStart"/>
      <w:r>
        <w:rPr>
          <w:rFonts w:cs="Arial"/>
          <w:b w:val="0"/>
          <w:sz w:val="18"/>
          <w:szCs w:val="18"/>
          <w:lang w:eastAsia="en-AU"/>
        </w:rPr>
        <w:t>AASB</w:t>
      </w:r>
      <w:proofErr w:type="spellEnd"/>
      <w:r>
        <w:rPr>
          <w:rFonts w:cs="Arial"/>
          <w:b w:val="0"/>
          <w:sz w:val="18"/>
          <w:szCs w:val="18"/>
          <w:lang w:eastAsia="en-AU"/>
        </w:rPr>
        <w:t xml:space="preserve"> 13.</w:t>
      </w:r>
    </w:p>
    <w:p w:rsidR="00361797" w:rsidRDefault="00361797" w:rsidP="00361797">
      <w:pPr>
        <w:pStyle w:val="NotesHeading-Level1"/>
        <w:numPr>
          <w:ilvl w:val="0"/>
          <w:numId w:val="0"/>
        </w:numPr>
        <w:spacing w:before="120" w:after="120"/>
        <w:rPr>
          <w:rFonts w:cs="Arial"/>
          <w:b w:val="0"/>
          <w:sz w:val="18"/>
          <w:szCs w:val="18"/>
          <w:lang w:eastAsia="en-AU"/>
        </w:rPr>
      </w:pPr>
      <w:proofErr w:type="gramStart"/>
      <w:r w:rsidRPr="00567073">
        <w:rPr>
          <w:rFonts w:cs="Arial"/>
          <w:b w:val="0"/>
          <w:sz w:val="18"/>
          <w:szCs w:val="18"/>
          <w:vertAlign w:val="superscript"/>
          <w:lang w:eastAsia="en-AU"/>
        </w:rPr>
        <w:t>2</w:t>
      </w:r>
      <w:r>
        <w:rPr>
          <w:rFonts w:cs="Arial"/>
          <w:b w:val="0"/>
          <w:sz w:val="18"/>
          <w:szCs w:val="18"/>
          <w:lang w:eastAsia="en-AU"/>
        </w:rPr>
        <w:t xml:space="preserve"> </w:t>
      </w:r>
      <w:r w:rsidRPr="0009034E">
        <w:rPr>
          <w:rFonts w:cs="Arial"/>
          <w:b w:val="0"/>
          <w:sz w:val="18"/>
          <w:szCs w:val="18"/>
          <w:lang w:eastAsia="en-AU"/>
        </w:rPr>
        <w:t xml:space="preserve"> The</w:t>
      </w:r>
      <w:proofErr w:type="gramEnd"/>
      <w:r w:rsidRPr="0009034E">
        <w:rPr>
          <w:rFonts w:cs="Arial"/>
          <w:b w:val="0"/>
          <w:sz w:val="18"/>
          <w:szCs w:val="18"/>
          <w:lang w:eastAsia="en-AU"/>
        </w:rPr>
        <w:t xml:space="preserve"> presentation of these gains/</w:t>
      </w:r>
      <w:r>
        <w:rPr>
          <w:rFonts w:cs="Arial"/>
          <w:b w:val="0"/>
          <w:sz w:val="18"/>
          <w:szCs w:val="18"/>
          <w:lang w:eastAsia="en-AU"/>
        </w:rPr>
        <w:t>(</w:t>
      </w:r>
      <w:r w:rsidRPr="0009034E">
        <w:rPr>
          <w:rFonts w:cs="Arial"/>
          <w:b w:val="0"/>
          <w:sz w:val="18"/>
          <w:szCs w:val="18"/>
          <w:lang w:eastAsia="en-AU"/>
        </w:rPr>
        <w:t>losses</w:t>
      </w:r>
      <w:r>
        <w:rPr>
          <w:rFonts w:cs="Arial"/>
          <w:b w:val="0"/>
          <w:sz w:val="18"/>
          <w:szCs w:val="18"/>
          <w:lang w:eastAsia="en-AU"/>
        </w:rPr>
        <w:t>) in the Statement of Comprehensive Income under depreciation.</w:t>
      </w:r>
    </w:p>
    <w:p w:rsidR="00361797" w:rsidRDefault="00361797" w:rsidP="00361797">
      <w:pPr>
        <w:pStyle w:val="NotesHeading-Level1"/>
        <w:numPr>
          <w:ilvl w:val="0"/>
          <w:numId w:val="0"/>
        </w:numPr>
        <w:spacing w:before="120" w:after="120"/>
        <w:rPr>
          <w:rFonts w:cs="Arial"/>
          <w:b w:val="0"/>
          <w:sz w:val="18"/>
          <w:szCs w:val="18"/>
          <w:lang w:eastAsia="en-AU"/>
        </w:rPr>
      </w:pPr>
      <w:proofErr w:type="gramStart"/>
      <w:r w:rsidRPr="00567073">
        <w:rPr>
          <w:rFonts w:cs="Arial"/>
          <w:b w:val="0"/>
          <w:sz w:val="18"/>
          <w:szCs w:val="18"/>
          <w:vertAlign w:val="superscript"/>
          <w:lang w:eastAsia="en-AU"/>
        </w:rPr>
        <w:t>3</w:t>
      </w:r>
      <w:r>
        <w:rPr>
          <w:rFonts w:cs="Arial"/>
          <w:b w:val="0"/>
          <w:sz w:val="18"/>
          <w:szCs w:val="18"/>
          <w:lang w:eastAsia="en-AU"/>
        </w:rPr>
        <w:t xml:space="preserve">  There</w:t>
      </w:r>
      <w:proofErr w:type="gramEnd"/>
      <w:r>
        <w:rPr>
          <w:rFonts w:cs="Arial"/>
          <w:b w:val="0"/>
          <w:sz w:val="18"/>
          <w:szCs w:val="18"/>
          <w:lang w:eastAsia="en-AU"/>
        </w:rPr>
        <w:t xml:space="preserve"> have been no transfers between levels of the hierarchy during the year.</w:t>
      </w:r>
    </w:p>
    <w:p w:rsidR="00361797" w:rsidRPr="0009034E" w:rsidRDefault="00361797" w:rsidP="00361797">
      <w:pPr>
        <w:pStyle w:val="NotesHeading-Level1"/>
        <w:numPr>
          <w:ilvl w:val="0"/>
          <w:numId w:val="0"/>
        </w:numPr>
        <w:spacing w:before="120" w:after="120"/>
        <w:rPr>
          <w:rFonts w:cs="Arial"/>
          <w:b w:val="0"/>
          <w:sz w:val="18"/>
          <w:szCs w:val="18"/>
          <w:lang w:eastAsia="en-AU"/>
        </w:rPr>
      </w:pPr>
      <w:proofErr w:type="gramStart"/>
      <w:r w:rsidRPr="00567073">
        <w:rPr>
          <w:rFonts w:cs="Arial"/>
          <w:b w:val="0"/>
          <w:sz w:val="18"/>
          <w:szCs w:val="18"/>
          <w:vertAlign w:val="superscript"/>
          <w:lang w:eastAsia="en-AU"/>
        </w:rPr>
        <w:t>4</w:t>
      </w:r>
      <w:r>
        <w:rPr>
          <w:rFonts w:cs="Arial"/>
          <w:b w:val="0"/>
          <w:sz w:val="18"/>
          <w:szCs w:val="18"/>
          <w:lang w:eastAsia="en-AU"/>
        </w:rPr>
        <w:t xml:space="preserve">  There</w:t>
      </w:r>
      <w:proofErr w:type="gramEnd"/>
      <w:r>
        <w:rPr>
          <w:rFonts w:cs="Arial"/>
          <w:b w:val="0"/>
          <w:sz w:val="18"/>
          <w:szCs w:val="18"/>
          <w:lang w:eastAsia="en-AU"/>
        </w:rPr>
        <w:t xml:space="preserve"> have been no transfers between levels of the hierarchy during the year.</w:t>
      </w:r>
    </w:p>
    <w:p w:rsidR="00361797" w:rsidRDefault="00361797" w:rsidP="00361797">
      <w:pPr>
        <w:pStyle w:val="NotesHeading-Level1"/>
        <w:numPr>
          <w:ilvl w:val="0"/>
          <w:numId w:val="0"/>
        </w:numPr>
        <w:spacing w:before="120" w:after="120"/>
        <w:rPr>
          <w:rFonts w:cs="Arial"/>
          <w:b w:val="0"/>
          <w:sz w:val="18"/>
          <w:szCs w:val="18"/>
          <w:lang w:eastAsia="en-AU"/>
        </w:rPr>
      </w:pPr>
      <w:proofErr w:type="gramStart"/>
      <w:r w:rsidRPr="00567073">
        <w:rPr>
          <w:rFonts w:cs="Arial"/>
          <w:b w:val="0"/>
          <w:sz w:val="18"/>
          <w:szCs w:val="18"/>
          <w:vertAlign w:val="superscript"/>
          <w:lang w:eastAsia="en-AU"/>
        </w:rPr>
        <w:t>5</w:t>
      </w:r>
      <w:r>
        <w:rPr>
          <w:rFonts w:cs="Arial"/>
          <w:b w:val="0"/>
          <w:sz w:val="18"/>
          <w:szCs w:val="18"/>
          <w:lang w:eastAsia="en-AU"/>
        </w:rPr>
        <w:t xml:space="preserve">  The</w:t>
      </w:r>
      <w:proofErr w:type="gramEnd"/>
      <w:r>
        <w:rPr>
          <w:rFonts w:cs="Arial"/>
          <w:b w:val="0"/>
          <w:sz w:val="18"/>
          <w:szCs w:val="18"/>
          <w:lang w:eastAsia="en-AU"/>
        </w:rPr>
        <w:t xml:space="preserve"> presentation of unrealised gains/(losses) in the Statement of Comprehensive Income under other comprehensive income.</w:t>
      </w:r>
    </w:p>
    <w:p w:rsidR="00361797" w:rsidRPr="0009034E" w:rsidRDefault="00361797" w:rsidP="00361797">
      <w:pPr>
        <w:pStyle w:val="NotesHeading-Level1"/>
        <w:numPr>
          <w:ilvl w:val="0"/>
          <w:numId w:val="0"/>
        </w:numPr>
        <w:spacing w:before="120" w:after="120"/>
        <w:rPr>
          <w:rFonts w:cs="Arial"/>
          <w:b w:val="0"/>
          <w:sz w:val="18"/>
          <w:szCs w:val="18"/>
          <w:lang w:eastAsia="en-AU"/>
        </w:rPr>
      </w:pPr>
      <w:r>
        <w:rPr>
          <w:rFonts w:cs="Arial"/>
          <w:b w:val="0"/>
          <w:sz w:val="18"/>
          <w:szCs w:val="18"/>
          <w:lang w:eastAsia="en-AU"/>
        </w:rPr>
        <w:t>The department’s policy for determining when transfers between levels are deemed to have occurred can be found in   Note 1.</w:t>
      </w:r>
    </w:p>
    <w:p w:rsidR="00361797" w:rsidRDefault="00361797" w:rsidP="00361797">
      <w:pPr>
        <w:spacing w:line="240" w:lineRule="auto"/>
        <w:rPr>
          <w:rFonts w:asciiTheme="minorHAnsi" w:hAnsiTheme="minorHAnsi" w:cstheme="minorHAnsi"/>
          <w:b/>
          <w:sz w:val="20"/>
        </w:rPr>
      </w:pPr>
      <w:r>
        <w:rPr>
          <w:rFonts w:cstheme="minorHAnsi"/>
        </w:rPr>
        <w:br w:type="page"/>
      </w:r>
    </w:p>
    <w:p w:rsidR="00361797" w:rsidRDefault="00361797" w:rsidP="00361797">
      <w:pPr>
        <w:pStyle w:val="NotesHeading-Level1"/>
        <w:numPr>
          <w:ilvl w:val="0"/>
          <w:numId w:val="14"/>
        </w:numPr>
        <w:rPr>
          <w:rFonts w:cstheme="minorHAnsi"/>
        </w:rPr>
      </w:pPr>
      <w:bookmarkStart w:id="61" w:name="_Toc388962625"/>
      <w:r>
        <w:rPr>
          <w:rFonts w:cstheme="minorHAnsi"/>
        </w:rPr>
        <w:lastRenderedPageBreak/>
        <w:t>Financial Assets</w:t>
      </w:r>
      <w:bookmarkEnd w:id="61"/>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62" w:name="Note_CSH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62"/>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6A</w:t>
            </w:r>
            <w:proofErr w:type="spellEnd"/>
            <w:r>
              <w:rPr>
                <w:rFonts w:cs="Calibri"/>
                <w:b/>
                <w:bCs/>
                <w:szCs w:val="18"/>
                <w:u w:val="single"/>
              </w:rPr>
              <w:t>: Cash and cash equivalents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Cash on hand or on deposit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4,613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21,569</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cash and cash equivalents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4,613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21,569</w:t>
            </w:r>
          </w:p>
        </w:tc>
      </w:tr>
    </w:tbl>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63" w:name="Note_RECTABLE1" w:colFirst="0" w:colLast="0"/>
            <w:r>
              <w:rPr>
                <w:rFonts w:cs="Calibri"/>
                <w:b/>
                <w:bCs/>
                <w:szCs w:val="18"/>
                <w:u w:val="single"/>
              </w:rPr>
              <w:t xml:space="preserve">Note </w:t>
            </w:r>
            <w:proofErr w:type="spellStart"/>
            <w:r>
              <w:rPr>
                <w:rFonts w:cs="Calibri"/>
                <w:b/>
                <w:bCs/>
                <w:szCs w:val="18"/>
                <w:u w:val="single"/>
              </w:rPr>
              <w:t>6B</w:t>
            </w:r>
            <w:proofErr w:type="spellEnd"/>
            <w:r>
              <w:rPr>
                <w:rFonts w:cs="Calibri"/>
                <w:b/>
                <w:bCs/>
                <w:szCs w:val="18"/>
                <w:u w:val="single"/>
              </w:rPr>
              <w:t>: Trade and other receivables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63"/>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Goods and Services receivable in connection with</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Related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12,549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3,575</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2,269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2,636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goods and services receivables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14,818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6,211</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Appropriations receivable</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Existing programmes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337,416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84,337</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appropriations receivable</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337,416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84,337</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Other receivables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GST receivable from the Australian Taxation Office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370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3,798</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other receivables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370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3,798</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trade and other receivables (gross)</w:t>
            </w:r>
          </w:p>
        </w:tc>
        <w:tc>
          <w:tcPr>
            <w:tcW w:w="123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352,604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94,346</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Less impairment allowance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Goods and services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Total impairment allowance </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trade and other receivables (net)</w:t>
            </w:r>
          </w:p>
        </w:tc>
        <w:tc>
          <w:tcPr>
            <w:tcW w:w="1238"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352,604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94,346</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Trade and other receivables (net) expected to be recovered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352,604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94,346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trade and other receivables (net)</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352,604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94,346</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Trade and other receivables (gross) aged as follows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345,874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93,492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Overdue by</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0 to 30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4,087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152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31 to 60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1,996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81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61 to 90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225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53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More than 90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422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568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trade and other receivables (gross)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352,604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94,346</w:t>
            </w:r>
          </w:p>
        </w:tc>
      </w:tr>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The impairment allowance aged as follows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Overdue by:</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0 to 30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31 to 60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61 to 90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200" w:firstLine="360"/>
              <w:rPr>
                <w:rFonts w:cs="Calibri"/>
                <w:szCs w:val="18"/>
              </w:rPr>
            </w:pPr>
            <w:r>
              <w:rPr>
                <w:rFonts w:cs="Calibri"/>
                <w:szCs w:val="18"/>
              </w:rPr>
              <w:t xml:space="preserve">     More than 90 days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 xml:space="preserve">Total impairment allowance </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bl>
    <w:p w:rsidR="00361797" w:rsidRDefault="00361797" w:rsidP="00361797">
      <w:bookmarkStart w:id="64" w:name="RANGE!D7:G49"/>
      <w:bookmarkEnd w:id="64"/>
    </w:p>
    <w:tbl>
      <w:tblPr>
        <w:tblW w:w="9087" w:type="dxa"/>
        <w:tblInd w:w="80" w:type="dxa"/>
        <w:tblLayout w:type="fixed"/>
        <w:tblLook w:val="04A0" w:firstRow="1" w:lastRow="0" w:firstColumn="1" w:lastColumn="0" w:noHBand="0" w:noVBand="1"/>
      </w:tblPr>
      <w:tblGrid>
        <w:gridCol w:w="6577"/>
        <w:gridCol w:w="1255"/>
        <w:gridCol w:w="1255"/>
      </w:tblGrid>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bookmarkStart w:id="65" w:name="RANGE!D7:F9"/>
            <w:bookmarkStart w:id="66" w:name="Note_RIATABLE1" w:colFirst="0" w:colLast="0"/>
            <w:r>
              <w:rPr>
                <w:rFonts w:cs="Calibri"/>
                <w:b/>
                <w:bCs/>
                <w:szCs w:val="18"/>
              </w:rPr>
              <w:t xml:space="preserve">Reconciliation of the Impairment Allowance </w:t>
            </w:r>
            <w:bookmarkEnd w:id="65"/>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66"/>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Movements in relation to 2014</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495"/>
        </w:trPr>
        <w:tc>
          <w:tcPr>
            <w:tcW w:w="6500"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Goods and services</w:t>
            </w:r>
          </w:p>
        </w:tc>
        <w:tc>
          <w:tcPr>
            <w:tcW w:w="1240"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40"/>
        </w:trPr>
        <w:tc>
          <w:tcPr>
            <w:tcW w:w="6500"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4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40"/>
        </w:trPr>
        <w:tc>
          <w:tcPr>
            <w:tcW w:w="6500"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Opening balance</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Amounts written off</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Amounts recovered and reversed</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Increase/(decrease) recognised in net surplus</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40"/>
        </w:trPr>
        <w:tc>
          <w:tcPr>
            <w:tcW w:w="6500"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Closing balance</w:t>
            </w:r>
          </w:p>
        </w:tc>
        <w:tc>
          <w:tcPr>
            <w:tcW w:w="124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4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40"/>
        </w:trPr>
        <w:tc>
          <w:tcPr>
            <w:tcW w:w="6500"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Movements in relation to 2013</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510"/>
        </w:trPr>
        <w:tc>
          <w:tcPr>
            <w:tcW w:w="6500"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Goods and services</w:t>
            </w:r>
          </w:p>
        </w:tc>
        <w:tc>
          <w:tcPr>
            <w:tcW w:w="1240"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40"/>
        </w:trPr>
        <w:tc>
          <w:tcPr>
            <w:tcW w:w="6500"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4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40"/>
        </w:trPr>
        <w:tc>
          <w:tcPr>
            <w:tcW w:w="6500"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Opening balance</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Amounts written off</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Amounts recovered and reversed</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18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w:t>
            </w:r>
          </w:p>
        </w:tc>
      </w:tr>
      <w:tr w:rsidR="00361797" w:rsidTr="00B50E5D">
        <w:trPr>
          <w:trHeight w:val="240"/>
        </w:trPr>
        <w:tc>
          <w:tcPr>
            <w:tcW w:w="6500"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Increase/(decrease) recognised in net surplus</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w:t>
            </w:r>
          </w:p>
        </w:tc>
      </w:tr>
      <w:tr w:rsidR="00361797" w:rsidTr="00B50E5D">
        <w:trPr>
          <w:trHeight w:val="240"/>
        </w:trPr>
        <w:tc>
          <w:tcPr>
            <w:tcW w:w="6500"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Closing balance</w:t>
            </w:r>
          </w:p>
        </w:tc>
        <w:tc>
          <w:tcPr>
            <w:tcW w:w="124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4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bl>
    <w:p w:rsidR="00361797" w:rsidRDefault="00361797" w:rsidP="00361797">
      <w:bookmarkStart w:id="67" w:name="RANGE!D7:D27"/>
      <w:bookmarkStart w:id="68" w:name="RANGE!D7:F27"/>
      <w:bookmarkStart w:id="69" w:name="RANGE!D7:D25"/>
      <w:bookmarkStart w:id="70" w:name="RANGE!D7:F25"/>
      <w:bookmarkStart w:id="71" w:name="RANGE!D8:D26"/>
      <w:bookmarkStart w:id="72" w:name="RANGE!D8:F26"/>
      <w:bookmarkEnd w:id="67"/>
      <w:bookmarkEnd w:id="68"/>
      <w:bookmarkEnd w:id="69"/>
      <w:bookmarkEnd w:id="70"/>
      <w:bookmarkEnd w:id="71"/>
      <w:bookmarkEnd w:id="72"/>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bookmarkStart w:id="73" w:name="Note_OFATABLE1" w:colFirst="0" w:colLast="0"/>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73"/>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6C</w:t>
            </w:r>
            <w:proofErr w:type="spellEnd"/>
            <w:r>
              <w:rPr>
                <w:rFonts w:cs="Calibri"/>
                <w:b/>
                <w:bCs/>
                <w:szCs w:val="18"/>
                <w:u w:val="single"/>
              </w:rPr>
              <w:t>: Other financial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revenue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6,343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14,326</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6,343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14,326</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Other financial assets expected to be recovered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6,343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14,326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6,343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14,326</w:t>
            </w:r>
          </w:p>
        </w:tc>
      </w:tr>
    </w:tbl>
    <w:p w:rsidR="00361797" w:rsidRDefault="00361797" w:rsidP="00361797">
      <w:bookmarkStart w:id="74" w:name="RANGE!D7:G51"/>
      <w:bookmarkStart w:id="75" w:name="RANGE!D43:G74"/>
      <w:bookmarkStart w:id="76" w:name="RANGE!D44:G75"/>
      <w:bookmarkStart w:id="77" w:name="RANGE!D44:G74"/>
      <w:bookmarkStart w:id="78" w:name="RANGE!D44:G73"/>
      <w:bookmarkStart w:id="79" w:name="RANGE!D44:G72"/>
      <w:bookmarkStart w:id="80" w:name="RANGE!D53:H70"/>
      <w:bookmarkStart w:id="81" w:name="RANGE!D52:H69"/>
      <w:bookmarkStart w:id="82" w:name="RANGE!D59:H76"/>
      <w:bookmarkStart w:id="83" w:name="RANGE!D62:H80"/>
      <w:bookmarkStart w:id="84" w:name="RANGE!D7:G15"/>
      <w:bookmarkStart w:id="85" w:name="RANGE!D6:D63"/>
      <w:bookmarkStart w:id="86" w:name="RANGE!D6:H63"/>
      <w:bookmarkStart w:id="87" w:name="RANGE!D6:D28"/>
      <w:bookmarkStart w:id="88" w:name="RANGE!D6:H28"/>
      <w:bookmarkStart w:id="89" w:name="RANGE!D6:H13"/>
      <w:bookmarkStart w:id="90" w:name="RANGE!D6:H1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61797" w:rsidRDefault="00361797" w:rsidP="00361797">
      <w:pPr>
        <w:spacing w:line="240" w:lineRule="auto"/>
      </w:pPr>
      <w:r>
        <w:br w:type="page"/>
      </w:r>
    </w:p>
    <w:p w:rsidR="00361797" w:rsidRDefault="00361797" w:rsidP="00361797">
      <w:pPr>
        <w:pStyle w:val="NotesHeading-Level1"/>
        <w:numPr>
          <w:ilvl w:val="0"/>
          <w:numId w:val="14"/>
        </w:numPr>
        <w:rPr>
          <w:rFonts w:cstheme="minorHAnsi"/>
        </w:rPr>
      </w:pPr>
      <w:bookmarkStart w:id="91" w:name="_Toc388962626"/>
      <w:r>
        <w:rPr>
          <w:rFonts w:cstheme="minorHAnsi"/>
        </w:rPr>
        <w:lastRenderedPageBreak/>
        <w:t>Non-Financial Assets</w:t>
      </w:r>
      <w:bookmarkEnd w:id="91"/>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92" w:name="Note_LAB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bookmarkEnd w:id="92"/>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7A</w:t>
            </w:r>
            <w:proofErr w:type="spellEnd"/>
            <w:r>
              <w:rPr>
                <w:rFonts w:cs="Calibri"/>
                <w:b/>
                <w:bCs/>
                <w:szCs w:val="18"/>
                <w:u w:val="single"/>
              </w:rPr>
              <w:t>: Land and buildings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Land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Freehold land at fair value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1,910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land</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1,910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Buildings on freehold land: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Fair value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2,020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2,020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Accumulated depreciation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(79)</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buildings on freehold land</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1,924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1,941</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Leasehold improvements: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Work in progress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445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275</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Fair value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97,240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97,154</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Accumulated depreciation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(18,302)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(15,122)</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Accumulated impairment losses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(705)</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(705)</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leasehold improvements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78,678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81,602</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land and buildings</w:t>
            </w:r>
          </w:p>
        </w:tc>
        <w:tc>
          <w:tcPr>
            <w:tcW w:w="1238"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82,512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85,453</w:t>
            </w:r>
          </w:p>
        </w:tc>
      </w:tr>
    </w:tbl>
    <w:p w:rsidR="00361797" w:rsidRDefault="00361797" w:rsidP="00361797">
      <w:bookmarkStart w:id="93" w:name="RANGE!D6:G26"/>
      <w:bookmarkStart w:id="94" w:name="RANGE!D6:D27"/>
      <w:bookmarkStart w:id="95" w:name="RANGE!D6:G27"/>
      <w:bookmarkEnd w:id="93"/>
      <w:bookmarkEnd w:id="94"/>
      <w:bookmarkEnd w:id="95"/>
    </w:p>
    <w:p w:rsidR="00361797" w:rsidRDefault="00361797" w:rsidP="00361797">
      <w:pPr>
        <w:pStyle w:val="NotesText0"/>
      </w:pPr>
      <w:r>
        <w:t xml:space="preserve">There are three residential properties to be sold within the next 12 months.  The properties have a net book value of $1,353,731 as at 18 September 2013.  </w:t>
      </w:r>
    </w:p>
    <w:p w:rsidR="00361797" w:rsidRDefault="00361797" w:rsidP="00361797">
      <w:pPr>
        <w:pStyle w:val="NotesText0"/>
      </w:pPr>
      <w:r>
        <w:t>There are two leased properties that the department manages which are due to be vacated within the next 12 months that have leasehold improvement assets.  The total net book value of the leasehold improvements including restoration for these properties was $242,103 as at 18 September 2013.</w:t>
      </w:r>
    </w:p>
    <w:p w:rsidR="00361797" w:rsidRDefault="00361797" w:rsidP="00361797">
      <w:pPr>
        <w:pStyle w:val="NotesText0"/>
      </w:pPr>
      <w:r>
        <w:t xml:space="preserve">The impairment loss of $704,536 was first recognised in 2011-12 for one property associated with surplus lease space. </w:t>
      </w:r>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96" w:name="Note_IPETABLE1" w:colFirst="0" w:colLast="0"/>
            <w:r>
              <w:rPr>
                <w:rFonts w:cs="Calibri"/>
                <w:b/>
                <w:bCs/>
                <w:szCs w:val="18"/>
                <w:u w:val="single"/>
              </w:rPr>
              <w:t xml:space="preserve">Note </w:t>
            </w:r>
            <w:proofErr w:type="spellStart"/>
            <w:r>
              <w:rPr>
                <w:rFonts w:cs="Calibri"/>
                <w:b/>
                <w:bCs/>
                <w:szCs w:val="18"/>
                <w:u w:val="single"/>
              </w:rPr>
              <w:t>7B</w:t>
            </w:r>
            <w:proofErr w:type="spellEnd"/>
            <w:r>
              <w:rPr>
                <w:rFonts w:cs="Calibri"/>
                <w:b/>
                <w:bCs/>
                <w:szCs w:val="18"/>
                <w:u w:val="single"/>
              </w:rPr>
              <w:t>: Infrastructure, plant and equipment</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96"/>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Fair value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46,156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45,273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Accumulated depreciation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(16,579)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(13,983)</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infrastructure, plant and equipment</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29,577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31,290</w:t>
            </w:r>
          </w:p>
        </w:tc>
      </w:tr>
    </w:tbl>
    <w:p w:rsidR="00361797" w:rsidRDefault="00361797" w:rsidP="00361797">
      <w:pPr>
        <w:rPr>
          <w:rFonts w:ascii="Arial" w:hAnsi="Arial" w:cs="Arial"/>
          <w:sz w:val="16"/>
          <w:szCs w:val="16"/>
        </w:rPr>
      </w:pPr>
      <w:bookmarkStart w:id="97" w:name="RANGE!D7:G12"/>
      <w:bookmarkEnd w:id="97"/>
    </w:p>
    <w:p w:rsidR="00361797" w:rsidRDefault="00361797" w:rsidP="00361797">
      <w:pPr>
        <w:pStyle w:val="NotesText0"/>
      </w:pPr>
      <w:r>
        <w:t xml:space="preserve">No material amounts of infrastructure, plant and equipment are expected to be sold or disposed of within the next 12 months. </w:t>
      </w:r>
    </w:p>
    <w:p w:rsidR="00361797" w:rsidRDefault="00361797" w:rsidP="00361797">
      <w:pPr>
        <w:pStyle w:val="NotesText0"/>
      </w:pPr>
      <w:r>
        <w:t>No indicators of impairment were found for infrastructure, plant and equipment assets.</w:t>
      </w:r>
    </w:p>
    <w:p w:rsidR="00361797" w:rsidRDefault="00361797" w:rsidP="00361797">
      <w:pPr>
        <w:spacing w:line="240" w:lineRule="auto"/>
        <w:rPr>
          <w:rFonts w:asciiTheme="minorHAnsi" w:hAnsiTheme="minorHAnsi" w:cs="Arial"/>
          <w:szCs w:val="18"/>
          <w:lang w:eastAsia="en-AU"/>
        </w:rPr>
        <w:sectPr w:rsidR="00361797">
          <w:type w:val="continuous"/>
          <w:pgSz w:w="11906" w:h="16838"/>
          <w:pgMar w:top="1134" w:right="1134" w:bottom="1134" w:left="1134" w:header="958" w:footer="737" w:gutter="0"/>
          <w:cols w:space="720"/>
        </w:sectPr>
      </w:pPr>
    </w:p>
    <w:p w:rsidR="00361797" w:rsidRDefault="00361797" w:rsidP="00361797">
      <w:pPr>
        <w:rPr>
          <w:b/>
        </w:rPr>
      </w:pPr>
      <w:r>
        <w:rPr>
          <w:b/>
        </w:rPr>
        <w:lastRenderedPageBreak/>
        <w:t>Revaluations of non-financial assets</w:t>
      </w:r>
    </w:p>
    <w:p w:rsidR="00361797" w:rsidRDefault="00361797" w:rsidP="00361797">
      <w:pPr>
        <w:pStyle w:val="NotesText0"/>
      </w:pPr>
      <w:r>
        <w:t>All revaluations were conducted in accordance with the revaluation policy stated at Note 1.</w:t>
      </w:r>
    </w:p>
    <w:p w:rsidR="00361797" w:rsidRDefault="00361797" w:rsidP="00361797">
      <w:pPr>
        <w:pStyle w:val="NotesText0"/>
      </w:pPr>
      <w:r>
        <w:t>No revaluation increments for land (2013: nil), buildings on freehold land (2013: nil) and leasehold improvements (2013: nil) or decrements for infrastructure, plant and equipment (2013: nil) were credited to the asset revaluation surplus by asset class and included in the equity section of the balance sheet; no increments/decrements were expensed (2013: nil).</w:t>
      </w:r>
    </w:p>
    <w:p w:rsidR="00361797" w:rsidRDefault="00361797" w:rsidP="00361797">
      <w:pPr>
        <w:spacing w:line="240" w:lineRule="auto"/>
        <w:rPr>
          <w:rFonts w:asciiTheme="minorHAnsi" w:hAnsiTheme="minorHAnsi" w:cs="Arial"/>
          <w:szCs w:val="18"/>
          <w:lang w:eastAsia="en-AU"/>
        </w:rPr>
        <w:sectPr w:rsidR="00361797">
          <w:type w:val="continuous"/>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6125"/>
        <w:gridCol w:w="1290"/>
        <w:gridCol w:w="1291"/>
        <w:gridCol w:w="1412"/>
        <w:gridCol w:w="1291"/>
        <w:gridCol w:w="1291"/>
        <w:gridCol w:w="1291"/>
      </w:tblGrid>
      <w:tr w:rsidR="00361797" w:rsidTr="00B50E5D">
        <w:trPr>
          <w:trHeight w:val="255"/>
        </w:trPr>
        <w:tc>
          <w:tcPr>
            <w:tcW w:w="11768" w:type="dxa"/>
            <w:gridSpan w:val="6"/>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98" w:name="Note_MTATABLE1" w:colFirst="0" w:colLast="0"/>
            <w:r>
              <w:rPr>
                <w:rFonts w:cs="Calibri"/>
                <w:b/>
                <w:bCs/>
                <w:szCs w:val="18"/>
                <w:u w:val="single"/>
              </w:rPr>
              <w:lastRenderedPageBreak/>
              <w:t xml:space="preserve">Note </w:t>
            </w:r>
            <w:proofErr w:type="spellStart"/>
            <w:r>
              <w:rPr>
                <w:rFonts w:cs="Calibri"/>
                <w:b/>
                <w:bCs/>
                <w:szCs w:val="18"/>
                <w:u w:val="single"/>
              </w:rPr>
              <w:t>7C</w:t>
            </w:r>
            <w:proofErr w:type="spellEnd"/>
            <w:r>
              <w:rPr>
                <w:rFonts w:cs="Calibri"/>
                <w:b/>
                <w:bCs/>
                <w:szCs w:val="18"/>
                <w:u w:val="single"/>
              </w:rPr>
              <w:t>: Reconciliation of the opening and closing balances of property, plant and equipment (2013-14)</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98"/>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0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960"/>
        </w:trPr>
        <w:tc>
          <w:tcPr>
            <w:tcW w:w="5676"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Land</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Buildings</w:t>
            </w:r>
          </w:p>
        </w:tc>
        <w:tc>
          <w:tcPr>
            <w:tcW w:w="130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Leasehold improvements</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 land and buildings</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Other property, plant &amp; equipment</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567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30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 at 1 July 2013</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30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1,910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2,020 </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97,429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101,359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45,273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146,632</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depreciation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(79)</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(15,827)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(15,906)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(13,983)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(29,889)</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 July 2013</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1,941</w:t>
            </w:r>
          </w:p>
        </w:tc>
        <w:tc>
          <w:tcPr>
            <w:tcW w:w="130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81,602</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85,453</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31,290</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116,743</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Additions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By purchase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256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1,009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1,265</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By lease incentive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First time recognition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26</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Leasehold restoration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Reclassification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Revaluations and impairments recognised in other comprehensive income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Impairments recognised in net cost of services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(17)</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Depreciation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(17)</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(3,180)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(3,197)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(2,712)</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(5,909)</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 movements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xml:space="preserve">Correction of Prior Year Revaluation Error (through </w:t>
            </w:r>
            <w:proofErr w:type="spellStart"/>
            <w:r>
              <w:rPr>
                <w:rFonts w:cs="Calibri"/>
                <w:szCs w:val="18"/>
              </w:rPr>
              <w:t>ARR</w:t>
            </w:r>
            <w:proofErr w:type="spellEnd"/>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Disposals</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30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From disposal of entities or operations (including restructuring)</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70"/>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1,924</w:t>
            </w:r>
          </w:p>
        </w:tc>
        <w:tc>
          <w:tcPr>
            <w:tcW w:w="130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78,678</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82,512</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29,577</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112,089</w:t>
            </w:r>
          </w:p>
        </w:tc>
      </w:tr>
      <w:tr w:rsidR="00361797" w:rsidTr="00B50E5D">
        <w:trPr>
          <w:trHeight w:val="270"/>
        </w:trPr>
        <w:tc>
          <w:tcPr>
            <w:tcW w:w="56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30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 represented by</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30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2,020</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97,685</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101,615</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46,156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147,771</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depreciation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(96)</w:t>
            </w:r>
          </w:p>
        </w:tc>
        <w:tc>
          <w:tcPr>
            <w:tcW w:w="130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(19,007)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(16,579)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(35,682)</w:t>
            </w:r>
          </w:p>
        </w:tc>
      </w:tr>
      <w:tr w:rsidR="00361797" w:rsidTr="00B50E5D">
        <w:trPr>
          <w:trHeight w:val="270"/>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1,910</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1,924</w:t>
            </w:r>
          </w:p>
        </w:tc>
        <w:tc>
          <w:tcPr>
            <w:tcW w:w="130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78,678</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82,512</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29,577</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112,089</w:t>
            </w:r>
          </w:p>
        </w:tc>
      </w:tr>
    </w:tbl>
    <w:p w:rsidR="00361797" w:rsidRDefault="00361797" w:rsidP="00361797">
      <w:bookmarkStart w:id="99" w:name="RANGE!E7:K52"/>
      <w:bookmarkStart w:id="100" w:name="RANGE!E7:K53"/>
      <w:bookmarkStart w:id="101" w:name="RANGE!E7:K49"/>
      <w:bookmarkStart w:id="102" w:name="RANGE!E6:K48"/>
      <w:bookmarkStart w:id="103" w:name="RANGE!E6:K47"/>
      <w:bookmarkStart w:id="104" w:name="RANGE!E6:K49"/>
      <w:bookmarkStart w:id="105" w:name="RANGE!E6:E50"/>
      <w:bookmarkStart w:id="106" w:name="RANGE!E6:K50"/>
      <w:bookmarkEnd w:id="99"/>
      <w:bookmarkEnd w:id="100"/>
      <w:bookmarkEnd w:id="101"/>
      <w:bookmarkEnd w:id="102"/>
      <w:bookmarkEnd w:id="103"/>
      <w:bookmarkEnd w:id="104"/>
      <w:bookmarkEnd w:id="105"/>
      <w:bookmarkEnd w:id="106"/>
    </w:p>
    <w:tbl>
      <w:tblPr>
        <w:tblW w:w="13991" w:type="dxa"/>
        <w:tblInd w:w="80" w:type="dxa"/>
        <w:tblLayout w:type="fixed"/>
        <w:tblLook w:val="04A0" w:firstRow="1" w:lastRow="0" w:firstColumn="1" w:lastColumn="0" w:noHBand="0" w:noVBand="1"/>
      </w:tblPr>
      <w:tblGrid>
        <w:gridCol w:w="6138"/>
        <w:gridCol w:w="1294"/>
        <w:gridCol w:w="1293"/>
        <w:gridCol w:w="1387"/>
        <w:gridCol w:w="1293"/>
        <w:gridCol w:w="1293"/>
        <w:gridCol w:w="1293"/>
      </w:tblGrid>
      <w:tr w:rsidR="00361797" w:rsidTr="00B50E5D">
        <w:trPr>
          <w:trHeight w:val="255"/>
        </w:trPr>
        <w:tc>
          <w:tcPr>
            <w:tcW w:w="12939" w:type="dxa"/>
            <w:gridSpan w:val="7"/>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07" w:name="Note_MTATABLE2" w:colFirst="0" w:colLast="0"/>
            <w:r>
              <w:rPr>
                <w:rFonts w:cs="Calibri"/>
                <w:b/>
                <w:bCs/>
                <w:szCs w:val="18"/>
                <w:u w:val="single"/>
              </w:rPr>
              <w:lastRenderedPageBreak/>
              <w:t xml:space="preserve">Note </w:t>
            </w:r>
            <w:proofErr w:type="spellStart"/>
            <w:r>
              <w:rPr>
                <w:rFonts w:cs="Calibri"/>
                <w:b/>
                <w:bCs/>
                <w:szCs w:val="18"/>
                <w:u w:val="single"/>
              </w:rPr>
              <w:t>7C</w:t>
            </w:r>
            <w:proofErr w:type="spellEnd"/>
            <w:r>
              <w:rPr>
                <w:rFonts w:cs="Calibri"/>
                <w:b/>
                <w:bCs/>
                <w:szCs w:val="18"/>
                <w:u w:val="single"/>
              </w:rPr>
              <w:t>: Reconciliation of the opening and closing balances of property, plant and equipment (2012-13)</w:t>
            </w:r>
          </w:p>
        </w:tc>
      </w:tr>
      <w:bookmarkEnd w:id="107"/>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960"/>
        </w:trPr>
        <w:tc>
          <w:tcPr>
            <w:tcW w:w="5676"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Land</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Buildings</w:t>
            </w:r>
          </w:p>
        </w:tc>
        <w:tc>
          <w:tcPr>
            <w:tcW w:w="1283"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Leasehold improvements</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 land and buildings</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Other property, plant &amp; equipment</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567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83"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 at 1 July 2012</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1,960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2,210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102,068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106,238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40,469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146,707</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depreciation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(1,378)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(1,378)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(3,527)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(4,905)</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 July 2012</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1,960</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2,210</w:t>
            </w:r>
          </w:p>
        </w:tc>
        <w:tc>
          <w:tcPr>
            <w:tcW w:w="12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100,690</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104,860</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36,942</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141,802</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Additions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By purchase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1,341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1,341</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7,196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8,537</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By lease incentive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First time recognition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56</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Leasehold restoration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780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780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780</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Reclassification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Revaluations and impairments recognised in other comprehensive income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Impairments recognised in net cost of services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xml:space="preserve">Depreciation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(83)</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(18,147)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(18,230)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(12,336)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(30,566)</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 movements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xml:space="preserve">Correction of Prior Year Revaluation Error (through </w:t>
            </w:r>
            <w:proofErr w:type="spellStart"/>
            <w:r>
              <w:rPr>
                <w:rFonts w:cs="Calibri"/>
                <w:szCs w:val="18"/>
              </w:rPr>
              <w:t>ARR</w:t>
            </w:r>
            <w:proofErr w:type="spellEnd"/>
            <w:r>
              <w:rPr>
                <w:rFonts w:cs="Calibri"/>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(1,039)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(1,039)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(1,039)</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Disposals</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From disposal of entities or operations (including restructuring)</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(1,774)</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(1,774)</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(1,777)</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(186)</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(21)</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(257)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(570)</w:t>
            </w:r>
          </w:p>
        </w:tc>
      </w:tr>
      <w:tr w:rsidR="00361797" w:rsidTr="00B50E5D">
        <w:trPr>
          <w:trHeight w:val="255"/>
        </w:trPr>
        <w:tc>
          <w:tcPr>
            <w:tcW w:w="56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(228)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(228)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(253)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(481)</w:t>
            </w:r>
          </w:p>
        </w:tc>
      </w:tr>
      <w:tr w:rsidR="00361797" w:rsidTr="00B50E5D">
        <w:trPr>
          <w:trHeight w:val="270"/>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30 June 2013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1,910</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1,941</w:t>
            </w:r>
          </w:p>
        </w:tc>
        <w:tc>
          <w:tcPr>
            <w:tcW w:w="1283"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81,602</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85,453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31,290</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116,743</w:t>
            </w:r>
          </w:p>
        </w:tc>
      </w:tr>
      <w:tr w:rsidR="00361797" w:rsidTr="00B50E5D">
        <w:trPr>
          <w:trHeight w:val="270"/>
        </w:trPr>
        <w:tc>
          <w:tcPr>
            <w:tcW w:w="56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30 June 2013 represented by</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1,910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2,020 </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97,429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101,359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45,273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146,632</w:t>
            </w:r>
          </w:p>
        </w:tc>
      </w:tr>
      <w:tr w:rsidR="00361797" w:rsidTr="00B50E5D">
        <w:trPr>
          <w:trHeight w:val="255"/>
        </w:trPr>
        <w:tc>
          <w:tcPr>
            <w:tcW w:w="56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depreciation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(79)</w:t>
            </w:r>
          </w:p>
        </w:tc>
        <w:tc>
          <w:tcPr>
            <w:tcW w:w="12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(15,827)</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(15,906)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(13,983)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(29,889)</w:t>
            </w:r>
          </w:p>
        </w:tc>
      </w:tr>
      <w:tr w:rsidR="00361797" w:rsidTr="00B50E5D">
        <w:trPr>
          <w:trHeight w:val="270"/>
        </w:trPr>
        <w:tc>
          <w:tcPr>
            <w:tcW w:w="567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30 June 2013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1,910</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1,941</w:t>
            </w:r>
          </w:p>
        </w:tc>
        <w:tc>
          <w:tcPr>
            <w:tcW w:w="1283"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81,602</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85,453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31,290</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116,743</w:t>
            </w:r>
          </w:p>
        </w:tc>
      </w:tr>
    </w:tbl>
    <w:p w:rsidR="00361797" w:rsidRDefault="00361797" w:rsidP="00361797">
      <w:bookmarkStart w:id="108" w:name="RANGE!E61:K89"/>
      <w:bookmarkStart w:id="109" w:name="RANGE!E61:K87"/>
      <w:bookmarkStart w:id="110" w:name="RANGE!E60:K85"/>
      <w:bookmarkStart w:id="111" w:name="RANGE!E61:K86"/>
      <w:bookmarkStart w:id="112" w:name="RANGE!E57:K82"/>
      <w:bookmarkStart w:id="113" w:name="RANGE!E58:K83"/>
      <w:bookmarkStart w:id="114" w:name="RANGE!E57:K81"/>
      <w:bookmarkStart w:id="115" w:name="RANGE!E56:K79"/>
      <w:bookmarkStart w:id="116" w:name="RANGE!E58:K81"/>
      <w:bookmarkStart w:id="117" w:name="RANGE!E59:K82"/>
      <w:bookmarkStart w:id="118" w:name="RANGE!E59:K83"/>
      <w:bookmarkEnd w:id="108"/>
      <w:bookmarkEnd w:id="109"/>
      <w:bookmarkEnd w:id="110"/>
      <w:bookmarkEnd w:id="111"/>
      <w:bookmarkEnd w:id="112"/>
      <w:bookmarkEnd w:id="113"/>
      <w:bookmarkEnd w:id="114"/>
      <w:bookmarkEnd w:id="115"/>
      <w:bookmarkEnd w:id="116"/>
      <w:bookmarkEnd w:id="117"/>
      <w:bookmarkEnd w:id="118"/>
    </w:p>
    <w:p w:rsidR="00361797" w:rsidRPr="00204710" w:rsidRDefault="00361797" w:rsidP="00361797">
      <w:pPr>
        <w:spacing w:line="240" w:lineRule="auto"/>
        <w:sectPr w:rsidR="00361797" w:rsidRPr="00204710">
          <w:type w:val="continuous"/>
          <w:pgSz w:w="16838" w:h="11906" w:orient="landscape"/>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bookmarkStart w:id="119" w:name="Note_INTTABLE1" w:colFirst="0" w:colLast="0"/>
            <w:r>
              <w:rPr>
                <w:rFonts w:ascii="Arial" w:hAnsi="Arial" w:cs="Arial"/>
                <w:szCs w:val="18"/>
              </w:rPr>
              <w:lastRenderedPageBreak/>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119"/>
      <w:tr w:rsidR="00361797" w:rsidTr="00B50E5D">
        <w:trPr>
          <w:trHeight w:val="24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7D</w:t>
            </w:r>
            <w:proofErr w:type="spellEnd"/>
            <w:r>
              <w:rPr>
                <w:rFonts w:cs="Calibri"/>
                <w:b/>
                <w:bCs/>
                <w:szCs w:val="18"/>
                <w:u w:val="single"/>
              </w:rPr>
              <w:t>: Intangibles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Computer software</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xml:space="preserve">Internally developed – in progress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7,340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19,944</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Internally developed – in use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240,342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221,132</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Purchased</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3,728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3,728</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computer software (gross)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251,410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244,804</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Accumulated amortisation – internally developed</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(137,296)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(129,040)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Accumulated amortisation – purchased</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(3,421)</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(3,402)</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computer software (net)</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110,693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112,362</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intangibles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110,693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112,362</w:t>
            </w:r>
          </w:p>
        </w:tc>
      </w:tr>
    </w:tbl>
    <w:p w:rsidR="00361797" w:rsidRDefault="00361797" w:rsidP="00361797">
      <w:bookmarkStart w:id="120" w:name="RANGE!D6:G22"/>
      <w:bookmarkStart w:id="121" w:name="RANGE!D6:D23"/>
      <w:bookmarkStart w:id="122" w:name="RANGE!D6:G23"/>
      <w:bookmarkEnd w:id="120"/>
      <w:bookmarkEnd w:id="121"/>
      <w:bookmarkEnd w:id="122"/>
    </w:p>
    <w:p w:rsidR="00361797" w:rsidRDefault="00361797" w:rsidP="00361797">
      <w:pPr>
        <w:pStyle w:val="NotesText0"/>
      </w:pPr>
      <w:r>
        <w:t xml:space="preserve">No indicators of impairment were found for intangible assets.  </w:t>
      </w:r>
    </w:p>
    <w:p w:rsidR="00361797" w:rsidRDefault="00361797" w:rsidP="00361797">
      <w:pPr>
        <w:pStyle w:val="NotesText0"/>
        <w:rPr>
          <w:rFonts w:ascii="Arial" w:hAnsi="Arial"/>
          <w:sz w:val="16"/>
          <w:szCs w:val="16"/>
        </w:rPr>
      </w:pPr>
      <w:r>
        <w:t xml:space="preserve">No material amounts of intangibles are expected to be sold or disposed of within the next 12 months. </w:t>
      </w:r>
    </w:p>
    <w:p w:rsidR="00361797" w:rsidRDefault="00361797" w:rsidP="00361797">
      <w:pPr>
        <w:spacing w:line="240" w:lineRule="auto"/>
        <w:rPr>
          <w:rFonts w:ascii="Arial" w:hAnsi="Arial" w:cs="Arial"/>
          <w:sz w:val="16"/>
          <w:szCs w:val="16"/>
          <w:lang w:eastAsia="en-AU"/>
        </w:rPr>
        <w:sectPr w:rsidR="00361797">
          <w:type w:val="continuous"/>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9680"/>
        <w:gridCol w:w="1437"/>
        <w:gridCol w:w="1437"/>
        <w:gridCol w:w="1437"/>
      </w:tblGrid>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23" w:name="RANGE!E7:E43"/>
            <w:bookmarkStart w:id="124" w:name="Note_INRTABLE1" w:colFirst="0" w:colLast="0"/>
            <w:r>
              <w:rPr>
                <w:rFonts w:cs="Calibri"/>
                <w:b/>
                <w:bCs/>
                <w:szCs w:val="18"/>
                <w:u w:val="single"/>
              </w:rPr>
              <w:lastRenderedPageBreak/>
              <w:t xml:space="preserve">Note </w:t>
            </w:r>
            <w:proofErr w:type="spellStart"/>
            <w:r>
              <w:rPr>
                <w:rFonts w:cs="Calibri"/>
                <w:b/>
                <w:bCs/>
                <w:szCs w:val="18"/>
                <w:u w:val="single"/>
              </w:rPr>
              <w:t>7E</w:t>
            </w:r>
            <w:proofErr w:type="spellEnd"/>
            <w:r>
              <w:rPr>
                <w:rFonts w:cs="Calibri"/>
                <w:b/>
                <w:bCs/>
                <w:szCs w:val="18"/>
                <w:u w:val="single"/>
              </w:rPr>
              <w:t>: Reconciliation of the opening and closing Balances of intangibles (2013-14)</w:t>
            </w:r>
            <w:bookmarkEnd w:id="123"/>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125" w:name="RANGE!H7:H43"/>
            <w:r>
              <w:rPr>
                <w:rFonts w:cs="Calibri"/>
                <w:szCs w:val="18"/>
              </w:rPr>
              <w:t> </w:t>
            </w:r>
            <w:bookmarkEnd w:id="125"/>
          </w:p>
        </w:tc>
      </w:tr>
      <w:bookmarkEnd w:id="124"/>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960"/>
        </w:trPr>
        <w:tc>
          <w:tcPr>
            <w:tcW w:w="8056"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bookmarkStart w:id="126" w:name="RANGE!F9:H9"/>
            <w:r>
              <w:rPr>
                <w:rFonts w:cs="Calibri"/>
                <w:b/>
                <w:bCs/>
                <w:szCs w:val="18"/>
              </w:rPr>
              <w:t>Computer software internally developed</w:t>
            </w:r>
            <w:bookmarkEnd w:id="126"/>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Computer  software purchased</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805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 at 1 July 2013</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241,076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3,728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244,804</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amortisation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(129,040)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(3,402)</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(132,442)</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 July 2013</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112,036</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326</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112,362</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Additions</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By Purchase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Internally developed</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6,606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6,606</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Revaluations and impairments recognised in other comprehensive income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Impairments recognised in net cost of services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Amortisation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(8,256)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(8,275)</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Disposals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From disposal of entities or operations (including restructuring)</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70"/>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110,386</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307</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110,693</w:t>
            </w:r>
          </w:p>
        </w:tc>
      </w:tr>
      <w:tr w:rsidR="00361797" w:rsidTr="00B50E5D">
        <w:trPr>
          <w:trHeight w:val="270"/>
        </w:trPr>
        <w:tc>
          <w:tcPr>
            <w:tcW w:w="80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 represented by</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247,682</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3,728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251,410</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amortisation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(137,296)</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(3,421)</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(140,717)</w:t>
            </w:r>
          </w:p>
        </w:tc>
      </w:tr>
      <w:tr w:rsidR="00361797" w:rsidTr="00B50E5D">
        <w:trPr>
          <w:trHeight w:val="270"/>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110,386</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307</w:t>
            </w:r>
          </w:p>
        </w:tc>
        <w:tc>
          <w:tcPr>
            <w:tcW w:w="119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110,693</w:t>
            </w:r>
          </w:p>
        </w:tc>
      </w:tr>
    </w:tbl>
    <w:p w:rsidR="00361797" w:rsidRDefault="00361797" w:rsidP="00361797">
      <w:bookmarkStart w:id="127" w:name="RANGE!E7:H43"/>
      <w:bookmarkStart w:id="128" w:name="RANGE!E6:H41"/>
      <w:bookmarkStart w:id="129" w:name="RANGE!E6:H47"/>
      <w:bookmarkStart w:id="130" w:name="RANGE!E6:H46"/>
      <w:bookmarkStart w:id="131" w:name="RANGE!E6:J46"/>
      <w:bookmarkStart w:id="132" w:name="RANGE!E6:E47"/>
      <w:bookmarkStart w:id="133" w:name="RANGE!E6:J47"/>
      <w:bookmarkEnd w:id="127"/>
      <w:bookmarkEnd w:id="128"/>
      <w:bookmarkEnd w:id="129"/>
      <w:bookmarkEnd w:id="130"/>
      <w:bookmarkEnd w:id="131"/>
      <w:bookmarkEnd w:id="132"/>
      <w:bookmarkEnd w:id="133"/>
    </w:p>
    <w:p w:rsidR="00361797" w:rsidRDefault="00361797" w:rsidP="00361797">
      <w:pPr>
        <w:spacing w:line="240" w:lineRule="auto"/>
      </w:pPr>
      <w:r>
        <w:t>There were no write offs of internally developed software or purchased software.</w:t>
      </w:r>
      <w:r>
        <w:br w:type="page"/>
      </w:r>
    </w:p>
    <w:tbl>
      <w:tblPr>
        <w:tblW w:w="13991" w:type="dxa"/>
        <w:tblInd w:w="80" w:type="dxa"/>
        <w:tblLayout w:type="fixed"/>
        <w:tblLook w:val="04A0" w:firstRow="1" w:lastRow="0" w:firstColumn="1" w:lastColumn="0" w:noHBand="0" w:noVBand="1"/>
      </w:tblPr>
      <w:tblGrid>
        <w:gridCol w:w="9680"/>
        <w:gridCol w:w="1437"/>
        <w:gridCol w:w="1437"/>
        <w:gridCol w:w="1437"/>
      </w:tblGrid>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34" w:name="RANGE!E52:E74"/>
            <w:bookmarkStart w:id="135" w:name="Note_INRTABLE2" w:colFirst="0" w:colLast="0"/>
            <w:r>
              <w:rPr>
                <w:rFonts w:cs="Calibri"/>
                <w:b/>
                <w:bCs/>
                <w:szCs w:val="18"/>
                <w:u w:val="single"/>
              </w:rPr>
              <w:lastRenderedPageBreak/>
              <w:t xml:space="preserve">Note </w:t>
            </w:r>
            <w:proofErr w:type="spellStart"/>
            <w:r>
              <w:rPr>
                <w:rFonts w:cs="Calibri"/>
                <w:b/>
                <w:bCs/>
                <w:szCs w:val="18"/>
                <w:u w:val="single"/>
              </w:rPr>
              <w:t>7E</w:t>
            </w:r>
            <w:proofErr w:type="spellEnd"/>
            <w:r>
              <w:rPr>
                <w:rFonts w:cs="Calibri"/>
                <w:b/>
                <w:bCs/>
                <w:szCs w:val="18"/>
                <w:u w:val="single"/>
              </w:rPr>
              <w:t>: Reconciliation of the opening and closing balances of intangibles (2012-13)</w:t>
            </w:r>
            <w:bookmarkEnd w:id="134"/>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135"/>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960"/>
        </w:trPr>
        <w:tc>
          <w:tcPr>
            <w:tcW w:w="8056"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bookmarkStart w:id="136" w:name="RANGE!F54:H54"/>
            <w:r>
              <w:rPr>
                <w:rFonts w:cs="Calibri"/>
                <w:szCs w:val="18"/>
              </w:rPr>
              <w:t>Computer software internally developed</w:t>
            </w:r>
            <w:bookmarkEnd w:id="136"/>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Computer  software purchased</w:t>
            </w:r>
          </w:p>
        </w:tc>
        <w:tc>
          <w:tcPr>
            <w:tcW w:w="1196"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805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9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 at 1 July 2012</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208,253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3,381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211,634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amortisation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(101,918)</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(3,333)</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(105,251)</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 July 2012</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106,335</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48</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106,383</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Additions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Purchased</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347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347 </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Internally developed</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36,455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36,455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Impairments recognised in net cost of services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(650)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(650)</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Amortisation</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(30,104)</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(69)</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(30,173)</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Disposals</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From disposal of entities or operations (including restructuring)</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Write-offs</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30 June 2013</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112,036</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326</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112,362</w:t>
            </w:r>
          </w:p>
        </w:tc>
      </w:tr>
      <w:tr w:rsidR="00361797" w:rsidTr="00B50E5D">
        <w:trPr>
          <w:trHeight w:val="255"/>
        </w:trPr>
        <w:tc>
          <w:tcPr>
            <w:tcW w:w="80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30 June 2013 represented by</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Gross book value</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241,076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3,728 </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244,804 </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Accumulated amortisation and impairment</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(129,040)</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(3,402)</w:t>
            </w:r>
          </w:p>
        </w:tc>
        <w:tc>
          <w:tcPr>
            <w:tcW w:w="119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(132,442)</w:t>
            </w:r>
          </w:p>
        </w:tc>
      </w:tr>
      <w:tr w:rsidR="00361797" w:rsidTr="00B50E5D">
        <w:trPr>
          <w:trHeight w:val="255"/>
        </w:trPr>
        <w:tc>
          <w:tcPr>
            <w:tcW w:w="805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30 June 2013</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112,036</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326</w:t>
            </w:r>
          </w:p>
        </w:tc>
        <w:tc>
          <w:tcPr>
            <w:tcW w:w="119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112,362</w:t>
            </w:r>
          </w:p>
        </w:tc>
      </w:tr>
    </w:tbl>
    <w:p w:rsidR="00361797" w:rsidRDefault="00361797" w:rsidP="00361797">
      <w:bookmarkStart w:id="137" w:name="RANGE!E52:H74"/>
      <w:bookmarkStart w:id="138" w:name="RANGE!E50:H68"/>
      <w:bookmarkStart w:id="139" w:name="RANGE!E56:H74"/>
      <w:bookmarkStart w:id="140" w:name="RANGE!E55:H73"/>
      <w:bookmarkStart w:id="141" w:name="RANGE!E55:J79"/>
      <w:bookmarkStart w:id="142" w:name="RANGE!E56:J80"/>
      <w:bookmarkEnd w:id="137"/>
      <w:bookmarkEnd w:id="138"/>
      <w:bookmarkEnd w:id="139"/>
      <w:bookmarkEnd w:id="140"/>
      <w:bookmarkEnd w:id="141"/>
      <w:bookmarkEnd w:id="142"/>
    </w:p>
    <w:p w:rsidR="00361797" w:rsidRDefault="00361797" w:rsidP="00361797">
      <w:pPr>
        <w:pStyle w:val="NotesText0"/>
      </w:pPr>
    </w:p>
    <w:p w:rsidR="00361797" w:rsidRDefault="00361797" w:rsidP="00361797">
      <w:pPr>
        <w:pStyle w:val="NotesText0"/>
      </w:pPr>
      <w:r>
        <w:t>In the 2012–13 financial year write offs of $2.841 million were carried out for internally developed software. There were no write offs of purchased software.</w:t>
      </w:r>
    </w:p>
    <w:p w:rsidR="00361797" w:rsidRDefault="00361797" w:rsidP="00361797">
      <w:pPr>
        <w:spacing w:line="240" w:lineRule="auto"/>
        <w:rPr>
          <w:rFonts w:asciiTheme="minorHAnsi" w:hAnsiTheme="minorHAnsi" w:cs="Arial"/>
          <w:szCs w:val="18"/>
          <w:lang w:eastAsia="en-AU"/>
        </w:rPr>
        <w:sectPr w:rsidR="00361797">
          <w:type w:val="continuous"/>
          <w:pgSz w:w="16838" w:h="11906" w:orient="landscape"/>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bookmarkStart w:id="143" w:name="Note_ONATABLE1" w:colFirst="0" w:colLast="0"/>
            <w:r>
              <w:rPr>
                <w:rFonts w:cs="Calibri"/>
                <w:b/>
                <w:bCs/>
                <w:szCs w:val="18"/>
              </w:rPr>
              <w:lastRenderedPageBreak/>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143"/>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7F</w:t>
            </w:r>
            <w:proofErr w:type="spellEnd"/>
            <w:r>
              <w:rPr>
                <w:rFonts w:cs="Calibri"/>
                <w:b/>
                <w:bCs/>
                <w:szCs w:val="18"/>
                <w:u w:val="single"/>
              </w:rPr>
              <w:t>: Other non-financial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Prepayments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27,039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23,716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27,039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23,716</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Other non-financial assets expected to be recovered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24,231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20,614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2,808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3,102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27,039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23,716</w:t>
            </w:r>
          </w:p>
        </w:tc>
      </w:tr>
    </w:tbl>
    <w:p w:rsidR="00361797" w:rsidRDefault="00361797" w:rsidP="00361797">
      <w:pPr>
        <w:spacing w:line="240" w:lineRule="auto"/>
      </w:pPr>
    </w:p>
    <w:p w:rsidR="00361797" w:rsidRDefault="00361797" w:rsidP="00361797">
      <w:pPr>
        <w:spacing w:line="240" w:lineRule="auto"/>
      </w:pPr>
      <w:r>
        <w:t>No indicators of impairment were found for other non-financial assets.</w:t>
      </w:r>
      <w:r>
        <w:br w:type="page"/>
      </w:r>
    </w:p>
    <w:p w:rsidR="00361797" w:rsidRDefault="00361797" w:rsidP="00361797">
      <w:pPr>
        <w:spacing w:line="240" w:lineRule="auto"/>
      </w:pPr>
    </w:p>
    <w:p w:rsidR="00361797" w:rsidRDefault="00361797" w:rsidP="00361797">
      <w:pPr>
        <w:pStyle w:val="NotesHeading-Level1"/>
        <w:numPr>
          <w:ilvl w:val="0"/>
          <w:numId w:val="14"/>
        </w:numPr>
        <w:rPr>
          <w:rFonts w:cstheme="minorHAnsi"/>
        </w:rPr>
      </w:pPr>
      <w:bookmarkStart w:id="144" w:name="_Toc388962627"/>
      <w:r>
        <w:rPr>
          <w:rFonts w:cstheme="minorHAnsi"/>
        </w:rPr>
        <w:t>Payables</w:t>
      </w:r>
      <w:bookmarkEnd w:id="144"/>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145" w:name="Note_SPA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145"/>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8A</w:t>
            </w:r>
            <w:proofErr w:type="spellEnd"/>
            <w:r>
              <w:rPr>
                <w:rFonts w:cs="Calibri"/>
                <w:b/>
                <w:bCs/>
                <w:szCs w:val="18"/>
                <w:u w:val="single"/>
              </w:rPr>
              <w:t>: Suppliers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Trade creditors and accruals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3,467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28,140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Operating lease rentals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9,930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9,777</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 xml:space="preserve">Total suppliers </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13,397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37,917</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Suppliers expected to be settled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3,610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28,367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9,787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9,550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suppliers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13,397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37,917</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Suppliers in connection with</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Related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704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2,195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External parties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12,693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35,722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suppliers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13,397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37,917</w:t>
            </w:r>
          </w:p>
        </w:tc>
      </w:tr>
    </w:tbl>
    <w:p w:rsidR="00361797" w:rsidRDefault="00361797" w:rsidP="00361797">
      <w:bookmarkStart w:id="146" w:name="RANGE!D6:D24"/>
      <w:bookmarkStart w:id="147" w:name="RANGE!D6:G24"/>
      <w:bookmarkEnd w:id="146"/>
      <w:bookmarkEnd w:id="147"/>
    </w:p>
    <w:p w:rsidR="00361797" w:rsidRDefault="00361797" w:rsidP="00361797">
      <w:r>
        <w:t>Settlement is usually made within 30 days.</w:t>
      </w:r>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48" w:name="Note_OPBTABLE1" w:colFirst="0" w:colLast="0"/>
            <w:r>
              <w:rPr>
                <w:rFonts w:cs="Calibri"/>
                <w:b/>
                <w:bCs/>
                <w:szCs w:val="18"/>
                <w:u w:val="single"/>
              </w:rPr>
              <w:t xml:space="preserve">Note </w:t>
            </w:r>
            <w:proofErr w:type="spellStart"/>
            <w:r>
              <w:rPr>
                <w:rFonts w:cs="Calibri"/>
                <w:b/>
                <w:bCs/>
                <w:szCs w:val="18"/>
                <w:u w:val="single"/>
              </w:rPr>
              <w:t>8B</w:t>
            </w:r>
            <w:proofErr w:type="spellEnd"/>
            <w:r>
              <w:rPr>
                <w:rFonts w:cs="Calibri"/>
                <w:b/>
                <w:bCs/>
                <w:szCs w:val="18"/>
                <w:u w:val="single"/>
              </w:rPr>
              <w:t>: Other payables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148"/>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Wages and salaries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8,678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10,380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Superannuation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3,307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1,779</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Separations and redundancies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280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 employee benefits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91</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313</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Lease incentives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25,420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26,325</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Unearned income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574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717</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Payable to the Official Public Account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Accrued expenses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4,132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9,738</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Surplus lease space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2,450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2,763</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payables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44,653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52,296</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Other payables expected to be settled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21,185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30,150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23,468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22,146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payables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44,653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52,296</w:t>
            </w:r>
          </w:p>
        </w:tc>
      </w:tr>
    </w:tbl>
    <w:p w:rsidR="00361797" w:rsidRDefault="00361797" w:rsidP="00361797">
      <w:r>
        <w:br w:type="page"/>
      </w:r>
      <w:bookmarkStart w:id="149" w:name="RANGE!D7:G23"/>
      <w:bookmarkEnd w:id="149"/>
    </w:p>
    <w:p w:rsidR="00361797" w:rsidRDefault="00361797" w:rsidP="00361797">
      <w:pPr>
        <w:pStyle w:val="NotesHeading-Level1"/>
        <w:numPr>
          <w:ilvl w:val="0"/>
          <w:numId w:val="14"/>
        </w:numPr>
        <w:rPr>
          <w:rFonts w:cstheme="minorHAnsi"/>
        </w:rPr>
      </w:pPr>
      <w:bookmarkStart w:id="150" w:name="RANGE!D6:H21"/>
      <w:bookmarkStart w:id="151" w:name="RANGE!D6:D22"/>
      <w:bookmarkStart w:id="152" w:name="RANGE!D6:H22"/>
      <w:bookmarkStart w:id="153" w:name="RANGE!D6:D21"/>
      <w:bookmarkStart w:id="154" w:name="RANGE!D6:G21"/>
      <w:bookmarkStart w:id="155" w:name="RANGE!D6:H20"/>
      <w:bookmarkStart w:id="156" w:name="RANGE!D6:H16"/>
      <w:bookmarkStart w:id="157" w:name="_Toc388962628"/>
      <w:bookmarkEnd w:id="150"/>
      <w:bookmarkEnd w:id="151"/>
      <w:bookmarkEnd w:id="152"/>
      <w:bookmarkEnd w:id="153"/>
      <w:bookmarkEnd w:id="154"/>
      <w:bookmarkEnd w:id="155"/>
      <w:bookmarkEnd w:id="156"/>
      <w:r>
        <w:rPr>
          <w:rFonts w:cstheme="minorHAnsi"/>
        </w:rPr>
        <w:lastRenderedPageBreak/>
        <w:t>Provisions</w:t>
      </w:r>
      <w:bookmarkEnd w:id="157"/>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158" w:name="Note_PROTABLE1" w:colFirst="0" w:colLast="0"/>
            <w:r>
              <w:rPr>
                <w:rFonts w:cs="Calibri"/>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158"/>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9A</w:t>
            </w:r>
            <w:proofErr w:type="spellEnd"/>
            <w:r>
              <w:rPr>
                <w:rFonts w:cs="Calibri"/>
                <w:b/>
                <w:bCs/>
                <w:szCs w:val="18"/>
                <w:u w:val="single"/>
              </w:rPr>
              <w:t>: Employee provisions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Leave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130,302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131,932</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employee provisions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130,302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131,932</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color w:val="FF0000"/>
                <w:szCs w:val="18"/>
              </w:rPr>
            </w:pPr>
            <w:r>
              <w:rPr>
                <w:rFonts w:ascii="Arial" w:hAnsi="Arial" w:cs="Arial"/>
                <w:color w:val="FF0000"/>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Employee provisions expected to be settled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39,666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40,046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90,636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91,886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employee provisions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130,302</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131,932</w:t>
            </w:r>
          </w:p>
        </w:tc>
      </w:tr>
    </w:tbl>
    <w:p w:rsidR="00361797" w:rsidRDefault="00361797" w:rsidP="00361797">
      <w:pPr>
        <w:spacing w:line="240" w:lineRule="auto"/>
      </w:pPr>
      <w:bookmarkStart w:id="159" w:name="RANGE!D6:D18"/>
      <w:bookmarkStart w:id="160" w:name="RANGE!D6:G18"/>
      <w:bookmarkEnd w:id="159"/>
      <w:bookmarkEnd w:id="160"/>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61" w:name="Note_OPRTABLE1" w:colFirst="0" w:colLast="0"/>
            <w:r>
              <w:rPr>
                <w:rFonts w:cs="Calibri"/>
                <w:b/>
                <w:bCs/>
                <w:szCs w:val="18"/>
                <w:u w:val="single"/>
              </w:rPr>
              <w:t xml:space="preserve">Note </w:t>
            </w:r>
            <w:proofErr w:type="spellStart"/>
            <w:r>
              <w:rPr>
                <w:rFonts w:cs="Calibri"/>
                <w:b/>
                <w:bCs/>
                <w:szCs w:val="18"/>
                <w:u w:val="single"/>
              </w:rPr>
              <w:t>9B</w:t>
            </w:r>
            <w:proofErr w:type="spellEnd"/>
            <w:r>
              <w:rPr>
                <w:rFonts w:cs="Calibri"/>
                <w:b/>
                <w:bCs/>
                <w:szCs w:val="18"/>
                <w:u w:val="single"/>
              </w:rPr>
              <w:t>: Other provisions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161"/>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Provision for restoration obligations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2,026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2,058</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Provision for legal obligations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1,364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1,364</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provisions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3,390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3,422</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Other provisions expected to be settled</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186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1,550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3,204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1,872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provisions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3,390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3,422</w:t>
            </w:r>
          </w:p>
        </w:tc>
      </w:tr>
    </w:tbl>
    <w:p w:rsidR="00361797" w:rsidRDefault="00361797" w:rsidP="00361797"/>
    <w:p w:rsidR="00361797" w:rsidRDefault="00361797" w:rsidP="00361797"/>
    <w:tbl>
      <w:tblPr>
        <w:tblW w:w="9087" w:type="dxa"/>
        <w:tblInd w:w="80" w:type="dxa"/>
        <w:tblLayout w:type="fixed"/>
        <w:tblLook w:val="04A0" w:firstRow="1" w:lastRow="0" w:firstColumn="1" w:lastColumn="0" w:noHBand="0" w:noVBand="1"/>
      </w:tblPr>
      <w:tblGrid>
        <w:gridCol w:w="5344"/>
        <w:gridCol w:w="1248"/>
        <w:gridCol w:w="1248"/>
        <w:gridCol w:w="1247"/>
      </w:tblGrid>
      <w:tr w:rsidR="00361797" w:rsidTr="00B50E5D">
        <w:trPr>
          <w:trHeight w:val="720"/>
        </w:trPr>
        <w:tc>
          <w:tcPr>
            <w:tcW w:w="5281" w:type="dxa"/>
            <w:tcBorders>
              <w:top w:val="single" w:sz="4" w:space="0" w:color="auto"/>
              <w:left w:val="nil"/>
              <w:bottom w:val="nil"/>
              <w:right w:val="nil"/>
            </w:tcBorders>
            <w:shd w:val="clear" w:color="FFFFFF" w:fill="FFFFFF"/>
            <w:vAlign w:val="bottom"/>
            <w:hideMark/>
          </w:tcPr>
          <w:p w:rsidR="00361797" w:rsidRDefault="00361797" w:rsidP="00B50E5D">
            <w:pPr>
              <w:rPr>
                <w:rFonts w:ascii="Arial" w:hAnsi="Arial" w:cs="Arial"/>
                <w:szCs w:val="18"/>
              </w:rPr>
            </w:pPr>
            <w:bookmarkStart w:id="162" w:name="Note_ROPTABLE1" w:colFirst="0" w:colLast="0"/>
            <w:r>
              <w:rPr>
                <w:rFonts w:ascii="Arial" w:hAnsi="Arial" w:cs="Arial"/>
                <w:szCs w:val="18"/>
              </w:rPr>
              <w:t> </w:t>
            </w:r>
          </w:p>
        </w:tc>
        <w:tc>
          <w:tcPr>
            <w:tcW w:w="1234"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Provision for restoration obligations</w:t>
            </w:r>
          </w:p>
        </w:tc>
        <w:tc>
          <w:tcPr>
            <w:tcW w:w="1234"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Provision for legal obligations</w:t>
            </w:r>
          </w:p>
        </w:tc>
        <w:tc>
          <w:tcPr>
            <w:tcW w:w="1233"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w:t>
            </w:r>
          </w:p>
        </w:tc>
      </w:tr>
      <w:bookmarkEnd w:id="162"/>
      <w:tr w:rsidR="00361797" w:rsidTr="00B50E5D">
        <w:trPr>
          <w:trHeight w:val="255"/>
        </w:trPr>
        <w:tc>
          <w:tcPr>
            <w:tcW w:w="5281" w:type="dxa"/>
            <w:tcBorders>
              <w:top w:val="nil"/>
              <w:left w:val="nil"/>
              <w:bottom w:val="single" w:sz="4" w:space="0" w:color="auto"/>
              <w:right w:val="nil"/>
            </w:tcBorders>
            <w:shd w:val="clear" w:color="FFFFFF" w:fill="FFFFFF"/>
            <w:vAlign w:val="bottom"/>
            <w:hideMark/>
          </w:tcPr>
          <w:p w:rsidR="00361797" w:rsidRDefault="00361797" w:rsidP="00B50E5D">
            <w:pPr>
              <w:rPr>
                <w:rFonts w:ascii="Arial" w:hAnsi="Arial" w:cs="Arial"/>
                <w:szCs w:val="18"/>
              </w:rPr>
            </w:pPr>
            <w:r>
              <w:rPr>
                <w:rFonts w:ascii="Arial" w:hAnsi="Arial" w:cs="Arial"/>
                <w:szCs w:val="18"/>
              </w:rPr>
              <w:t> </w:t>
            </w:r>
          </w:p>
        </w:tc>
        <w:tc>
          <w:tcPr>
            <w:tcW w:w="1234"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4"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3"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5281"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 at 1 July 2013</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2,058 </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1,364 </w:t>
            </w:r>
          </w:p>
        </w:tc>
        <w:tc>
          <w:tcPr>
            <w:tcW w:w="123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3,422 </w:t>
            </w:r>
          </w:p>
        </w:tc>
      </w:tr>
      <w:tr w:rsidR="00361797" w:rsidTr="00B50E5D">
        <w:trPr>
          <w:trHeight w:val="255"/>
        </w:trPr>
        <w:tc>
          <w:tcPr>
            <w:tcW w:w="5281"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Additional provisions made</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55"/>
        </w:trPr>
        <w:tc>
          <w:tcPr>
            <w:tcW w:w="5281"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Amounts reversed</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55"/>
        </w:trPr>
        <w:tc>
          <w:tcPr>
            <w:tcW w:w="5281"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Amounts used</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55"/>
        </w:trPr>
        <w:tc>
          <w:tcPr>
            <w:tcW w:w="5281"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Unwinding of discount or change in discount rate</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(32)</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(32)</w:t>
            </w:r>
          </w:p>
        </w:tc>
      </w:tr>
      <w:tr w:rsidR="00361797" w:rsidTr="00B50E5D">
        <w:trPr>
          <w:trHeight w:val="255"/>
        </w:trPr>
        <w:tc>
          <w:tcPr>
            <w:tcW w:w="5281"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Adjustments to asset revaluation reserve</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55"/>
        </w:trPr>
        <w:tc>
          <w:tcPr>
            <w:tcW w:w="5281"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 at 18 September 2013</w:t>
            </w:r>
          </w:p>
        </w:tc>
        <w:tc>
          <w:tcPr>
            <w:tcW w:w="1234"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2,026</w:t>
            </w:r>
          </w:p>
        </w:tc>
        <w:tc>
          <w:tcPr>
            <w:tcW w:w="1234"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1,364</w:t>
            </w:r>
          </w:p>
        </w:tc>
        <w:tc>
          <w:tcPr>
            <w:tcW w:w="123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3,390</w:t>
            </w:r>
          </w:p>
        </w:tc>
      </w:tr>
    </w:tbl>
    <w:p w:rsidR="00361797" w:rsidRDefault="00361797" w:rsidP="00361797">
      <w:bookmarkStart w:id="163" w:name="RANGE!D7:F15"/>
      <w:bookmarkStart w:id="164" w:name="RANGE!D8:F16"/>
      <w:bookmarkEnd w:id="163"/>
      <w:bookmarkEnd w:id="164"/>
    </w:p>
    <w:p w:rsidR="00361797" w:rsidRDefault="00361797" w:rsidP="00361797">
      <w:bookmarkStart w:id="165" w:name="RANGE!D18:G26"/>
      <w:bookmarkStart w:id="166" w:name="RANGE!D18:G27"/>
      <w:bookmarkStart w:id="167" w:name="RANGE!D18:G25"/>
      <w:bookmarkEnd w:id="165"/>
      <w:bookmarkEnd w:id="166"/>
      <w:bookmarkEnd w:id="167"/>
    </w:p>
    <w:p w:rsidR="00361797" w:rsidRDefault="00361797" w:rsidP="00361797">
      <w:pPr>
        <w:pStyle w:val="NotesText0"/>
      </w:pPr>
      <w:r>
        <w:t>The department currently has five (2013: 5) agreements for the leasing of premises which have provisions requiring the department to restore the premises to their original condition at the conclusion of the lease.  The department has made a provision to reflect the present value of this obligation.</w:t>
      </w:r>
    </w:p>
    <w:p w:rsidR="00361797" w:rsidRDefault="00361797" w:rsidP="00361797">
      <w:pPr>
        <w:spacing w:line="240" w:lineRule="auto"/>
        <w:rPr>
          <w:rFonts w:asciiTheme="minorHAnsi" w:hAnsiTheme="minorHAnsi" w:cs="Arial"/>
          <w:szCs w:val="18"/>
          <w:lang w:eastAsia="en-AU"/>
        </w:rPr>
        <w:sectPr w:rsidR="00361797">
          <w:pgSz w:w="11906" w:h="16838"/>
          <w:pgMar w:top="1134" w:right="1134" w:bottom="1134" w:left="1134" w:header="958" w:footer="737" w:gutter="0"/>
          <w:cols w:space="720"/>
        </w:sectPr>
      </w:pPr>
    </w:p>
    <w:p w:rsidR="00361797" w:rsidRDefault="00361797" w:rsidP="00361797">
      <w:pPr>
        <w:pStyle w:val="NotesHeading-Level1"/>
        <w:numPr>
          <w:ilvl w:val="0"/>
          <w:numId w:val="14"/>
        </w:numPr>
        <w:rPr>
          <w:rFonts w:cstheme="minorHAnsi"/>
        </w:rPr>
      </w:pPr>
      <w:bookmarkStart w:id="168" w:name="_Toc388962629"/>
      <w:r>
        <w:rPr>
          <w:rFonts w:cstheme="minorHAnsi"/>
        </w:rPr>
        <w:lastRenderedPageBreak/>
        <w:t>Restructuring</w:t>
      </w:r>
      <w:bookmarkEnd w:id="168"/>
    </w:p>
    <w:tbl>
      <w:tblPr>
        <w:tblW w:w="13991" w:type="dxa"/>
        <w:tblInd w:w="80" w:type="dxa"/>
        <w:tblLayout w:type="fixed"/>
        <w:tblLook w:val="04A0" w:firstRow="1" w:lastRow="0" w:firstColumn="1" w:lastColumn="0" w:noHBand="0" w:noVBand="1"/>
      </w:tblPr>
      <w:tblGrid>
        <w:gridCol w:w="2785"/>
        <w:gridCol w:w="1666"/>
        <w:gridCol w:w="1454"/>
        <w:gridCol w:w="1823"/>
        <w:gridCol w:w="1497"/>
        <w:gridCol w:w="295"/>
        <w:gridCol w:w="2554"/>
        <w:gridCol w:w="1917"/>
      </w:tblGrid>
      <w:tr w:rsidR="00361797" w:rsidTr="00B50E5D">
        <w:trPr>
          <w:trHeight w:val="255"/>
        </w:trPr>
        <w:tc>
          <w:tcPr>
            <w:tcW w:w="13888" w:type="dxa"/>
            <w:gridSpan w:val="8"/>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169" w:name="Note_RESTABLE1" w:colFirst="0" w:colLast="0"/>
            <w:r>
              <w:rPr>
                <w:rFonts w:cs="Calibri"/>
                <w:b/>
                <w:bCs/>
                <w:szCs w:val="18"/>
                <w:u w:val="single"/>
              </w:rPr>
              <w:t xml:space="preserve">Note </w:t>
            </w:r>
            <w:proofErr w:type="spellStart"/>
            <w:r>
              <w:rPr>
                <w:rFonts w:cs="Calibri"/>
                <w:b/>
                <w:bCs/>
                <w:szCs w:val="18"/>
                <w:u w:val="single"/>
              </w:rPr>
              <w:t>10A</w:t>
            </w:r>
            <w:proofErr w:type="spellEnd"/>
            <w:r>
              <w:rPr>
                <w:rFonts w:cs="Calibri"/>
                <w:b/>
                <w:bCs/>
                <w:szCs w:val="18"/>
                <w:u w:val="single"/>
              </w:rPr>
              <w:t>: Departmental restructuring</w:t>
            </w:r>
          </w:p>
        </w:tc>
      </w:tr>
      <w:bookmarkEnd w:id="169"/>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65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4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81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8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90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2764"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6393" w:type="dxa"/>
            <w:gridSpan w:val="4"/>
            <w:tcBorders>
              <w:top w:val="single" w:sz="4" w:space="0" w:color="auto"/>
              <w:left w:val="nil"/>
              <w:bottom w:val="single" w:sz="4" w:space="0" w:color="auto"/>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2014</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4438" w:type="dxa"/>
            <w:gridSpan w:val="2"/>
            <w:tcBorders>
              <w:top w:val="single" w:sz="4" w:space="0" w:color="auto"/>
              <w:left w:val="nil"/>
              <w:bottom w:val="single" w:sz="4" w:space="0" w:color="auto"/>
              <w:right w:val="nil"/>
            </w:tcBorders>
            <w:shd w:val="clear" w:color="FFFFFF" w:fill="FFFFFF"/>
            <w:vAlign w:val="bottom"/>
            <w:hideMark/>
          </w:tcPr>
          <w:p w:rsidR="00361797" w:rsidRDefault="00361797" w:rsidP="00B50E5D">
            <w:pPr>
              <w:jc w:val="center"/>
              <w:rPr>
                <w:rFonts w:cs="Calibri"/>
                <w:szCs w:val="18"/>
              </w:rPr>
            </w:pPr>
            <w:r>
              <w:rPr>
                <w:rFonts w:cs="Calibri"/>
                <w:szCs w:val="18"/>
              </w:rPr>
              <w:t>2013</w:t>
            </w:r>
          </w:p>
        </w:tc>
      </w:tr>
      <w:tr w:rsidR="00361797" w:rsidTr="00B50E5D">
        <w:trPr>
          <w:trHeight w:val="1440"/>
        </w:trPr>
        <w:tc>
          <w:tcPr>
            <w:tcW w:w="2764" w:type="dxa"/>
            <w:tcBorders>
              <w:top w:val="nil"/>
              <w:left w:val="nil"/>
              <w:bottom w:val="nil"/>
              <w:right w:val="nil"/>
            </w:tcBorders>
            <w:shd w:val="clear" w:color="FFFFFF" w:fill="FFFFFF"/>
            <w:noWrap/>
            <w:hideMark/>
          </w:tcPr>
          <w:p w:rsidR="00361797" w:rsidRDefault="00361797" w:rsidP="00B50E5D">
            <w:pPr>
              <w:rPr>
                <w:rFonts w:ascii="Arial" w:hAnsi="Arial" w:cs="Arial"/>
                <w:b/>
                <w:bCs/>
                <w:szCs w:val="18"/>
              </w:rPr>
            </w:pPr>
            <w:r>
              <w:rPr>
                <w:rFonts w:ascii="Arial" w:hAnsi="Arial" w:cs="Arial"/>
                <w:b/>
                <w:bCs/>
                <w:szCs w:val="18"/>
              </w:rPr>
              <w:t>Function</w:t>
            </w:r>
          </w:p>
        </w:tc>
        <w:tc>
          <w:tcPr>
            <w:tcW w:w="1654"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Education including: Early Childhood Education and Care and Schools and Youth</w:t>
            </w:r>
          </w:p>
        </w:tc>
        <w:tc>
          <w:tcPr>
            <w:tcW w:w="1443"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Employment and Workplace Relations</w:t>
            </w:r>
          </w:p>
        </w:tc>
        <w:tc>
          <w:tcPr>
            <w:tcW w:w="1810"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Education and Employment functions as they relate to Indigenous affairs</w:t>
            </w:r>
          </w:p>
        </w:tc>
        <w:tc>
          <w:tcPr>
            <w:tcW w:w="1486"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Employment including: working age payments and Disability Employment Services</w:t>
            </w:r>
          </w:p>
        </w:tc>
        <w:tc>
          <w:tcPr>
            <w:tcW w:w="293" w:type="dxa"/>
            <w:tcBorders>
              <w:top w:val="nil"/>
              <w:left w:val="nil"/>
              <w:bottom w:val="nil"/>
              <w:right w:val="nil"/>
            </w:tcBorders>
            <w:shd w:val="clear" w:color="FFFFFF" w:fill="FFFFFF"/>
            <w:noWrap/>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Tertiary Education: including Higher Education, Vocational Education and International Education</w:t>
            </w:r>
          </w:p>
        </w:tc>
        <w:tc>
          <w:tcPr>
            <w:tcW w:w="1903" w:type="dxa"/>
            <w:tcBorders>
              <w:top w:val="nil"/>
              <w:left w:val="nil"/>
              <w:bottom w:val="nil"/>
              <w:right w:val="nil"/>
            </w:tcBorders>
            <w:shd w:val="clear" w:color="FFFFFF" w:fill="FFFFFF"/>
            <w:hideMark/>
          </w:tcPr>
          <w:p w:rsidR="00361797" w:rsidRDefault="00361797" w:rsidP="00B50E5D">
            <w:pPr>
              <w:rPr>
                <w:rFonts w:cs="Calibri"/>
                <w:szCs w:val="18"/>
              </w:rPr>
            </w:pPr>
            <w:proofErr w:type="spellStart"/>
            <w:r>
              <w:rPr>
                <w:rFonts w:cs="Calibri"/>
                <w:szCs w:val="18"/>
              </w:rPr>
              <w:t>ASQA</w:t>
            </w:r>
            <w:proofErr w:type="spellEnd"/>
            <w:r>
              <w:rPr>
                <w:rFonts w:cs="Calibri"/>
                <w:szCs w:val="18"/>
              </w:rPr>
              <w:t>: a national VET regulator, responsible for registering training organisations and accrediting courses.</w:t>
            </w:r>
          </w:p>
        </w:tc>
      </w:tr>
      <w:tr w:rsidR="00361797" w:rsidTr="00B50E5D">
        <w:trPr>
          <w:trHeight w:val="780"/>
        </w:trPr>
        <w:tc>
          <w:tcPr>
            <w:tcW w:w="2764" w:type="dxa"/>
            <w:tcBorders>
              <w:top w:val="nil"/>
              <w:left w:val="nil"/>
              <w:bottom w:val="nil"/>
              <w:right w:val="nil"/>
            </w:tcBorders>
            <w:shd w:val="clear" w:color="FFFFFF" w:fill="FFFFFF"/>
            <w:noWrap/>
            <w:hideMark/>
          </w:tcPr>
          <w:p w:rsidR="00361797" w:rsidRDefault="00361797" w:rsidP="00B50E5D">
            <w:pPr>
              <w:rPr>
                <w:rFonts w:ascii="Arial" w:hAnsi="Arial" w:cs="Arial"/>
                <w:b/>
                <w:bCs/>
                <w:szCs w:val="18"/>
              </w:rPr>
            </w:pPr>
            <w:r>
              <w:rPr>
                <w:rFonts w:ascii="Arial" w:hAnsi="Arial" w:cs="Arial"/>
                <w:b/>
                <w:bCs/>
                <w:szCs w:val="18"/>
              </w:rPr>
              <w:t>Entity</w:t>
            </w:r>
          </w:p>
        </w:tc>
        <w:tc>
          <w:tcPr>
            <w:tcW w:w="1654"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 xml:space="preserve">Department of </w:t>
            </w:r>
            <w:proofErr w:type="spellStart"/>
            <w:r>
              <w:rPr>
                <w:rFonts w:cs="Calibri"/>
                <w:b/>
                <w:bCs/>
                <w:szCs w:val="18"/>
              </w:rPr>
              <w:t>Education</w:t>
            </w:r>
            <w:r>
              <w:rPr>
                <w:rFonts w:cs="Calibri"/>
                <w:b/>
                <w:bCs/>
                <w:szCs w:val="18"/>
                <w:vertAlign w:val="superscript"/>
              </w:rPr>
              <w:t>1</w:t>
            </w:r>
            <w:proofErr w:type="spellEnd"/>
          </w:p>
        </w:tc>
        <w:tc>
          <w:tcPr>
            <w:tcW w:w="1443"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 xml:space="preserve">Department of </w:t>
            </w:r>
            <w:proofErr w:type="spellStart"/>
            <w:r>
              <w:rPr>
                <w:rFonts w:cs="Calibri"/>
                <w:b/>
                <w:bCs/>
                <w:szCs w:val="18"/>
              </w:rPr>
              <w:t>Employment</w:t>
            </w:r>
            <w:r>
              <w:rPr>
                <w:rFonts w:cs="Calibri"/>
                <w:b/>
                <w:bCs/>
                <w:szCs w:val="18"/>
                <w:vertAlign w:val="superscript"/>
              </w:rPr>
              <w:t>2</w:t>
            </w:r>
            <w:proofErr w:type="spellEnd"/>
          </w:p>
        </w:tc>
        <w:tc>
          <w:tcPr>
            <w:tcW w:w="1810"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 xml:space="preserve">Department of the Prime Minister and </w:t>
            </w:r>
            <w:proofErr w:type="spellStart"/>
            <w:r>
              <w:rPr>
                <w:rFonts w:cs="Calibri"/>
                <w:b/>
                <w:bCs/>
                <w:szCs w:val="18"/>
              </w:rPr>
              <w:t>Cabinet</w:t>
            </w:r>
            <w:r>
              <w:rPr>
                <w:rFonts w:cs="Calibri"/>
                <w:b/>
                <w:bCs/>
                <w:szCs w:val="18"/>
                <w:vertAlign w:val="superscript"/>
              </w:rPr>
              <w:t>3</w:t>
            </w:r>
            <w:proofErr w:type="spellEnd"/>
          </w:p>
        </w:tc>
        <w:tc>
          <w:tcPr>
            <w:tcW w:w="1486" w:type="dxa"/>
            <w:tcBorders>
              <w:top w:val="nil"/>
              <w:left w:val="nil"/>
              <w:bottom w:val="nil"/>
              <w:right w:val="nil"/>
            </w:tcBorders>
            <w:shd w:val="clear" w:color="FFFFFF" w:fill="FFFFFF"/>
            <w:hideMark/>
          </w:tcPr>
          <w:p w:rsidR="00361797" w:rsidRDefault="00361797" w:rsidP="00B50E5D">
            <w:pPr>
              <w:rPr>
                <w:rFonts w:cs="Calibri"/>
                <w:b/>
                <w:bCs/>
                <w:szCs w:val="18"/>
              </w:rPr>
            </w:pPr>
            <w:r>
              <w:rPr>
                <w:rFonts w:cs="Calibri"/>
                <w:b/>
                <w:bCs/>
                <w:szCs w:val="18"/>
              </w:rPr>
              <w:t xml:space="preserve">Department of Social </w:t>
            </w:r>
            <w:proofErr w:type="spellStart"/>
            <w:r>
              <w:rPr>
                <w:rFonts w:cs="Calibri"/>
                <w:b/>
                <w:bCs/>
                <w:szCs w:val="18"/>
              </w:rPr>
              <w:t>Services</w:t>
            </w:r>
            <w:r>
              <w:rPr>
                <w:rFonts w:cs="Calibri"/>
                <w:b/>
                <w:bCs/>
                <w:szCs w:val="18"/>
                <w:vertAlign w:val="superscript"/>
              </w:rPr>
              <w:t>4</w:t>
            </w:r>
            <w:proofErr w:type="spellEnd"/>
          </w:p>
        </w:tc>
        <w:tc>
          <w:tcPr>
            <w:tcW w:w="293" w:type="dxa"/>
            <w:tcBorders>
              <w:top w:val="nil"/>
              <w:left w:val="nil"/>
              <w:bottom w:val="nil"/>
              <w:right w:val="nil"/>
            </w:tcBorders>
            <w:shd w:val="clear" w:color="FFFFFF" w:fill="FFFFFF"/>
            <w:noWrap/>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 xml:space="preserve">Department of Industry, Innovation, Science, Research and Tertiary </w:t>
            </w:r>
            <w:proofErr w:type="spellStart"/>
            <w:r>
              <w:rPr>
                <w:rFonts w:cs="Calibri"/>
                <w:szCs w:val="18"/>
              </w:rPr>
              <w:t>Education</w:t>
            </w:r>
            <w:r>
              <w:rPr>
                <w:rFonts w:cs="Calibri"/>
                <w:szCs w:val="18"/>
                <w:vertAlign w:val="superscript"/>
              </w:rPr>
              <w:t>5</w:t>
            </w:r>
            <w:proofErr w:type="spellEnd"/>
          </w:p>
        </w:tc>
        <w:tc>
          <w:tcPr>
            <w:tcW w:w="1903" w:type="dxa"/>
            <w:tcBorders>
              <w:top w:val="nil"/>
              <w:left w:val="nil"/>
              <w:bottom w:val="nil"/>
              <w:right w:val="nil"/>
            </w:tcBorders>
            <w:shd w:val="clear" w:color="FFFFFF" w:fill="FFFFFF"/>
            <w:hideMark/>
          </w:tcPr>
          <w:p w:rsidR="00361797" w:rsidRDefault="00361797" w:rsidP="00B50E5D">
            <w:pPr>
              <w:rPr>
                <w:rFonts w:cs="Calibri"/>
                <w:szCs w:val="18"/>
              </w:rPr>
            </w:pPr>
            <w:r>
              <w:rPr>
                <w:rFonts w:cs="Calibri"/>
                <w:szCs w:val="18"/>
              </w:rPr>
              <w:t xml:space="preserve">Australian Skills Quality </w:t>
            </w:r>
            <w:proofErr w:type="spellStart"/>
            <w:r>
              <w:rPr>
                <w:rFonts w:cs="Calibri"/>
                <w:szCs w:val="18"/>
              </w:rPr>
              <w:t>Authority</w:t>
            </w:r>
            <w:r>
              <w:rPr>
                <w:rFonts w:cs="Calibri"/>
                <w:szCs w:val="18"/>
                <w:vertAlign w:val="superscript"/>
              </w:rPr>
              <w:t>6</w:t>
            </w:r>
            <w:proofErr w:type="spellEnd"/>
          </w:p>
        </w:tc>
      </w:tr>
      <w:tr w:rsidR="00361797" w:rsidTr="00B50E5D">
        <w:trPr>
          <w:trHeight w:val="255"/>
        </w:trPr>
        <w:tc>
          <w:tcPr>
            <w:tcW w:w="2764" w:type="dxa"/>
            <w:tcBorders>
              <w:top w:val="nil"/>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654"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443"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81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48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903"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276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FUNCTION RELINQUISHED</w:t>
            </w:r>
          </w:p>
        </w:tc>
        <w:tc>
          <w:tcPr>
            <w:tcW w:w="165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443"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810"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48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90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276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Assets relinquished</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(2,618)</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(1,995)</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Trade and other receivables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(19,789)</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(21,860)</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(3,942)</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(2,348)</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financial assets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(2,395)</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(3,948)</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Land and buildings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(57,229)</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(25,283)</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(1,774)</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Property, plant and equipment</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(11,310)</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(18,267)</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Intangibles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(43,407)</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(67,286)</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non-financial assets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(8,145)</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(18,894)</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 assets relinquished</w:t>
            </w:r>
          </w:p>
        </w:tc>
        <w:tc>
          <w:tcPr>
            <w:tcW w:w="1654"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(144,893)</w:t>
            </w:r>
          </w:p>
        </w:tc>
        <w:tc>
          <w:tcPr>
            <w:tcW w:w="144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(157,533)</w:t>
            </w:r>
          </w:p>
        </w:tc>
        <w:tc>
          <w:tcPr>
            <w:tcW w:w="181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(3,942)</w:t>
            </w:r>
          </w:p>
        </w:tc>
        <w:tc>
          <w:tcPr>
            <w:tcW w:w="148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(2,348)</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w:t>
            </w:r>
          </w:p>
        </w:tc>
        <w:tc>
          <w:tcPr>
            <w:tcW w:w="190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(1,774)</w:t>
            </w:r>
          </w:p>
        </w:tc>
      </w:tr>
      <w:tr w:rsidR="00361797" w:rsidTr="00B50E5D">
        <w:trPr>
          <w:trHeight w:val="75"/>
        </w:trPr>
        <w:tc>
          <w:tcPr>
            <w:tcW w:w="276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65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443"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810"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48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903"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r>
      <w:tr w:rsidR="00361797" w:rsidTr="00B50E5D">
        <w:trPr>
          <w:trHeight w:val="240"/>
        </w:trPr>
        <w:tc>
          <w:tcPr>
            <w:tcW w:w="276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Liabilities relinquished</w:t>
            </w:r>
          </w:p>
        </w:tc>
        <w:tc>
          <w:tcPr>
            <w:tcW w:w="165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443"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810"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48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Suppliers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8,203 </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5,194 </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payables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27,309 </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17,344 </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Employee provisions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59,126 </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71,176 </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provisions</w:t>
            </w:r>
          </w:p>
        </w:tc>
        <w:tc>
          <w:tcPr>
            <w:tcW w:w="1654"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1,864 </w:t>
            </w:r>
          </w:p>
        </w:tc>
        <w:tc>
          <w:tcPr>
            <w:tcW w:w="144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1,526 </w:t>
            </w:r>
          </w:p>
        </w:tc>
        <w:tc>
          <w:tcPr>
            <w:tcW w:w="18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8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90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764"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 liabilities relinquished</w:t>
            </w:r>
          </w:p>
        </w:tc>
        <w:tc>
          <w:tcPr>
            <w:tcW w:w="1654"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96,502</w:t>
            </w:r>
          </w:p>
        </w:tc>
        <w:tc>
          <w:tcPr>
            <w:tcW w:w="144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95,240</w:t>
            </w:r>
          </w:p>
        </w:tc>
        <w:tc>
          <w:tcPr>
            <w:tcW w:w="181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48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90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85"/>
        </w:trPr>
        <w:tc>
          <w:tcPr>
            <w:tcW w:w="2764" w:type="dxa"/>
            <w:tcBorders>
              <w:top w:val="nil"/>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Net assets </w:t>
            </w:r>
            <w:proofErr w:type="spellStart"/>
            <w:r>
              <w:rPr>
                <w:rFonts w:cs="Calibri"/>
                <w:b/>
                <w:bCs/>
                <w:szCs w:val="18"/>
              </w:rPr>
              <w:t>relinquished</w:t>
            </w:r>
            <w:r>
              <w:rPr>
                <w:rFonts w:cs="Calibri"/>
                <w:b/>
                <w:bCs/>
                <w:szCs w:val="18"/>
                <w:vertAlign w:val="superscript"/>
              </w:rPr>
              <w:t>7</w:t>
            </w:r>
            <w:proofErr w:type="spellEnd"/>
          </w:p>
        </w:tc>
        <w:tc>
          <w:tcPr>
            <w:tcW w:w="1654"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(48,391)</w:t>
            </w:r>
          </w:p>
        </w:tc>
        <w:tc>
          <w:tcPr>
            <w:tcW w:w="144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(62,293)</w:t>
            </w:r>
          </w:p>
        </w:tc>
        <w:tc>
          <w:tcPr>
            <w:tcW w:w="1810"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(3,942)</w:t>
            </w:r>
          </w:p>
        </w:tc>
        <w:tc>
          <w:tcPr>
            <w:tcW w:w="148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(2,348)</w:t>
            </w:r>
          </w:p>
        </w:tc>
        <w:tc>
          <w:tcPr>
            <w:tcW w:w="29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535"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w:t>
            </w:r>
          </w:p>
        </w:tc>
        <w:tc>
          <w:tcPr>
            <w:tcW w:w="190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(1,774)</w:t>
            </w:r>
          </w:p>
        </w:tc>
      </w:tr>
    </w:tbl>
    <w:p w:rsidR="00361797" w:rsidRDefault="00361797" w:rsidP="00361797">
      <w:pPr>
        <w:pStyle w:val="ReferenceText"/>
      </w:pPr>
      <w:bookmarkStart w:id="170" w:name="RANGE!D7:K30"/>
      <w:bookmarkStart w:id="171" w:name="RANGE!D7:I30"/>
      <w:bookmarkStart w:id="172" w:name="RANGE!D7:J30"/>
      <w:bookmarkStart w:id="173" w:name="RANGE!D7:J25"/>
      <w:bookmarkStart w:id="174" w:name="RANGE!D6:K7"/>
      <w:bookmarkStart w:id="175" w:name="RANGE!D6:L7"/>
      <w:bookmarkEnd w:id="170"/>
      <w:bookmarkEnd w:id="171"/>
      <w:bookmarkEnd w:id="172"/>
      <w:bookmarkEnd w:id="173"/>
      <w:bookmarkEnd w:id="174"/>
      <w:bookmarkEnd w:id="175"/>
    </w:p>
    <w:p w:rsidR="00361797" w:rsidRDefault="00361797" w:rsidP="00361797">
      <w:pPr>
        <w:pStyle w:val="ReferenceText"/>
      </w:pPr>
      <w:r>
        <w:t>Notes:</w:t>
      </w:r>
    </w:p>
    <w:p w:rsidR="00361797" w:rsidRDefault="00361797" w:rsidP="00361797">
      <w:pPr>
        <w:pStyle w:val="ReferenceText"/>
      </w:pPr>
      <w:r w:rsidRPr="003A1A70">
        <w:rPr>
          <w:vertAlign w:val="superscript"/>
        </w:rPr>
        <w:t>1</w:t>
      </w:r>
      <w:r>
        <w:t xml:space="preserve"> </w:t>
      </w:r>
      <w:r w:rsidRPr="000173F9">
        <w:t>The Early Childhood Education and Care and Schools and Youth Education functions were relinquished to the Department of Education following the Administrative Arrangement Order changes on 18 September 2013.</w:t>
      </w:r>
    </w:p>
    <w:p w:rsidR="00361797" w:rsidRDefault="00361797" w:rsidP="00361797">
      <w:pPr>
        <w:pStyle w:val="ReferenceText"/>
      </w:pPr>
      <w:r w:rsidRPr="003A1A70">
        <w:rPr>
          <w:vertAlign w:val="superscript"/>
        </w:rPr>
        <w:t>2</w:t>
      </w:r>
      <w:r>
        <w:t xml:space="preserve"> </w:t>
      </w:r>
      <w:r w:rsidRPr="000173F9">
        <w:t xml:space="preserve">The Employment and Workplace Relations functions in relation to the former </w:t>
      </w:r>
      <w:proofErr w:type="spellStart"/>
      <w:r w:rsidRPr="000173F9">
        <w:t>DEEWR</w:t>
      </w:r>
      <w:proofErr w:type="spellEnd"/>
      <w:r w:rsidRPr="000173F9">
        <w:t xml:space="preserve"> were relinquished to the Department of Employment following the Administrative Arrangement Order changes on 18 September 2013. </w:t>
      </w:r>
    </w:p>
    <w:p w:rsidR="00361797" w:rsidRDefault="00361797" w:rsidP="00361797">
      <w:pPr>
        <w:pStyle w:val="ReferenceText"/>
      </w:pPr>
      <w:r w:rsidRPr="003A1A70">
        <w:rPr>
          <w:vertAlign w:val="superscript"/>
        </w:rPr>
        <w:t>3</w:t>
      </w:r>
      <w:r>
        <w:t xml:space="preserve"> </w:t>
      </w:r>
      <w:r w:rsidRPr="000173F9">
        <w:t>Indigenous functions relating to education and employment were relinquished to the Department of the Prime Minister and Cabinet during 2013</w:t>
      </w:r>
      <w:r>
        <w:t>–</w:t>
      </w:r>
      <w:r w:rsidRPr="000173F9">
        <w:t>14 following the Administrative Arrangement Orders of 18 September 2013.</w:t>
      </w:r>
    </w:p>
    <w:p w:rsidR="00361797" w:rsidRDefault="00361797" w:rsidP="00361797">
      <w:pPr>
        <w:pStyle w:val="ReferenceText"/>
      </w:pPr>
      <w:r w:rsidRPr="003A1A70">
        <w:rPr>
          <w:vertAlign w:val="superscript"/>
        </w:rPr>
        <w:t>4</w:t>
      </w:r>
      <w:r>
        <w:t xml:space="preserve"> </w:t>
      </w:r>
      <w:r w:rsidRPr="000173F9">
        <w:t>Working age payments and disability employment service functions were relinquished to the Department of Social Security during 2013</w:t>
      </w:r>
      <w:r>
        <w:t>–</w:t>
      </w:r>
      <w:r w:rsidRPr="000173F9">
        <w:t xml:space="preserve">14 following the Administrative Arrangement Orders of </w:t>
      </w:r>
      <w:r>
        <w:br/>
      </w:r>
      <w:r w:rsidRPr="000173F9">
        <w:t>18 September 2013.</w:t>
      </w:r>
    </w:p>
    <w:p w:rsidR="00361797" w:rsidRDefault="00361797" w:rsidP="00361797">
      <w:pPr>
        <w:pStyle w:val="ReferenceText"/>
      </w:pPr>
      <w:r w:rsidRPr="003A1A70">
        <w:rPr>
          <w:vertAlign w:val="superscript"/>
        </w:rPr>
        <w:t>5</w:t>
      </w:r>
      <w:r>
        <w:t xml:space="preserve"> The tertiary education functions, including higher education, vocational education and international education were relinquished to the former Department of Industry, Innovation, Science, Research and Tertiary Education during 2011–12 due to Administrative Arrangements Order changes on 13 December 2011 and 9 February 2012.</w:t>
      </w:r>
    </w:p>
    <w:p w:rsidR="00361797" w:rsidRDefault="00361797" w:rsidP="00361797">
      <w:pPr>
        <w:pStyle w:val="ReferenceText"/>
      </w:pPr>
      <w:r w:rsidRPr="003A1A70">
        <w:rPr>
          <w:vertAlign w:val="superscript"/>
        </w:rPr>
        <w:t>6</w:t>
      </w:r>
      <w:r>
        <w:t xml:space="preserve"> Responsibility for registering training organisations and accrediting courses was relinquished to the national VET regulator, the Australian Skills Quality Authority on 1 July 2011.  As at 30 June 2012 some assets had not been transferred to the Australian Skills Quality Authority.  An additional transfer of land and buildings ($1.774 million) was completed in July 2012.</w:t>
      </w:r>
    </w:p>
    <w:p w:rsidR="00361797" w:rsidRDefault="00361797" w:rsidP="00361797">
      <w:pPr>
        <w:spacing w:line="240" w:lineRule="auto"/>
        <w:rPr>
          <w:rFonts w:asciiTheme="minorHAnsi" w:hAnsiTheme="minorHAnsi" w:cstheme="minorHAnsi"/>
          <w:lang w:eastAsia="en-AU"/>
        </w:rPr>
      </w:pPr>
      <w:r w:rsidRPr="003A1A70">
        <w:rPr>
          <w:rFonts w:asciiTheme="minorHAnsi" w:hAnsiTheme="minorHAnsi" w:cstheme="minorHAnsi"/>
          <w:vertAlign w:val="superscript"/>
          <w:lang w:eastAsia="en-AU"/>
        </w:rPr>
        <w:t>7</w:t>
      </w:r>
      <w:r>
        <w:rPr>
          <w:rFonts w:asciiTheme="minorHAnsi" w:hAnsiTheme="minorHAnsi" w:cstheme="minorHAnsi"/>
          <w:lang w:eastAsia="en-AU"/>
        </w:rPr>
        <w:t xml:space="preserve"> The net assets relinquished to all entities were $116.974 million (2013 $1.777 million) </w:t>
      </w:r>
    </w:p>
    <w:p w:rsidR="00361797" w:rsidRPr="003A1A70" w:rsidRDefault="00361797" w:rsidP="00361797">
      <w:pPr>
        <w:rPr>
          <w:rFonts w:asciiTheme="minorHAnsi" w:hAnsiTheme="minorHAnsi" w:cstheme="minorHAnsi"/>
          <w:lang w:eastAsia="en-AU"/>
        </w:rPr>
      </w:pPr>
    </w:p>
    <w:p w:rsidR="00361797" w:rsidRDefault="00361797" w:rsidP="00361797">
      <w:pPr>
        <w:rPr>
          <w:rFonts w:asciiTheme="minorHAnsi" w:hAnsiTheme="minorHAnsi" w:cstheme="minorHAnsi"/>
          <w:lang w:eastAsia="en-AU"/>
        </w:rPr>
      </w:pPr>
    </w:p>
    <w:p w:rsidR="00361797" w:rsidRDefault="00361797" w:rsidP="00361797">
      <w:pPr>
        <w:jc w:val="center"/>
        <w:rPr>
          <w:rFonts w:asciiTheme="minorHAnsi" w:hAnsiTheme="minorHAnsi" w:cstheme="minorHAnsi"/>
          <w:lang w:eastAsia="en-AU"/>
        </w:rPr>
      </w:pPr>
    </w:p>
    <w:p w:rsidR="00361797" w:rsidRDefault="00361797" w:rsidP="00361797">
      <w:pPr>
        <w:rPr>
          <w:rFonts w:asciiTheme="minorHAnsi" w:hAnsiTheme="minorHAnsi" w:cstheme="minorHAnsi"/>
          <w:lang w:eastAsia="en-AU"/>
        </w:rPr>
      </w:pPr>
    </w:p>
    <w:p w:rsidR="00361797" w:rsidRPr="003A1A70" w:rsidRDefault="00361797" w:rsidP="00361797">
      <w:pPr>
        <w:rPr>
          <w:rFonts w:asciiTheme="minorHAnsi" w:hAnsiTheme="minorHAnsi" w:cstheme="minorHAnsi"/>
          <w:lang w:eastAsia="en-AU"/>
        </w:rPr>
        <w:sectPr w:rsidR="00361797" w:rsidRPr="003A1A70">
          <w:pgSz w:w="16838" w:h="11906" w:orient="landscape"/>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4081"/>
        <w:gridCol w:w="2399"/>
        <w:gridCol w:w="2399"/>
        <w:gridCol w:w="2399"/>
        <w:gridCol w:w="2399"/>
        <w:gridCol w:w="314"/>
      </w:tblGrid>
      <w:tr w:rsidR="00361797" w:rsidTr="00B50E5D">
        <w:trPr>
          <w:trHeight w:val="255"/>
        </w:trPr>
        <w:tc>
          <w:tcPr>
            <w:tcW w:w="11641" w:type="dxa"/>
            <w:gridSpan w:val="6"/>
            <w:tcBorders>
              <w:top w:val="nil"/>
              <w:left w:val="nil"/>
              <w:bottom w:val="nil"/>
              <w:right w:val="nil"/>
            </w:tcBorders>
            <w:shd w:val="clear" w:color="000000" w:fill="D9D9D9"/>
            <w:noWrap/>
            <w:vAlign w:val="bottom"/>
            <w:hideMark/>
          </w:tcPr>
          <w:p w:rsidR="00361797" w:rsidRDefault="00361797" w:rsidP="00B50E5D">
            <w:pPr>
              <w:rPr>
                <w:rFonts w:cs="Calibri"/>
                <w:b/>
                <w:bCs/>
                <w:szCs w:val="18"/>
                <w:u w:val="single"/>
              </w:rPr>
            </w:pPr>
            <w:bookmarkStart w:id="176" w:name="RANGE!D7:D61"/>
            <w:bookmarkStart w:id="177" w:name="Note_AESTABLE1" w:colFirst="0" w:colLast="0"/>
            <w:r>
              <w:rPr>
                <w:rFonts w:cs="Calibri"/>
                <w:b/>
                <w:bCs/>
                <w:szCs w:val="18"/>
                <w:u w:val="single"/>
              </w:rPr>
              <w:lastRenderedPageBreak/>
              <w:t xml:space="preserve">Note </w:t>
            </w:r>
            <w:proofErr w:type="spellStart"/>
            <w:r>
              <w:rPr>
                <w:rFonts w:cs="Calibri"/>
                <w:b/>
                <w:bCs/>
                <w:szCs w:val="18"/>
                <w:u w:val="single"/>
              </w:rPr>
              <w:t>10B</w:t>
            </w:r>
            <w:proofErr w:type="spellEnd"/>
            <w:r>
              <w:rPr>
                <w:rFonts w:cs="Calibri"/>
                <w:b/>
                <w:bCs/>
                <w:szCs w:val="18"/>
                <w:u w:val="single"/>
              </w:rPr>
              <w:t>: Administered restructuring</w:t>
            </w:r>
            <w:bookmarkEnd w:id="176"/>
          </w:p>
        </w:tc>
      </w:tr>
      <w:bookmarkEnd w:id="177"/>
      <w:tr w:rsidR="00361797" w:rsidTr="00B50E5D">
        <w:trPr>
          <w:trHeight w:val="255"/>
        </w:trPr>
        <w:tc>
          <w:tcPr>
            <w:tcW w:w="3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99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99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99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960"/>
        </w:trPr>
        <w:tc>
          <w:tcPr>
            <w:tcW w:w="3396" w:type="dxa"/>
            <w:tcBorders>
              <w:top w:val="nil"/>
              <w:left w:val="nil"/>
              <w:bottom w:val="nil"/>
              <w:right w:val="nil"/>
            </w:tcBorders>
            <w:shd w:val="clear" w:color="000000" w:fill="D9D9D9"/>
            <w:noWrap/>
            <w:hideMark/>
          </w:tcPr>
          <w:p w:rsidR="00361797" w:rsidRDefault="00361797" w:rsidP="00B50E5D">
            <w:pPr>
              <w:rPr>
                <w:rFonts w:ascii="Arial" w:hAnsi="Arial" w:cs="Arial"/>
                <w:b/>
                <w:bCs/>
                <w:sz w:val="16"/>
                <w:szCs w:val="16"/>
              </w:rPr>
            </w:pPr>
            <w:r>
              <w:rPr>
                <w:rFonts w:ascii="Arial" w:hAnsi="Arial" w:cs="Arial"/>
                <w:b/>
                <w:bCs/>
                <w:sz w:val="16"/>
                <w:szCs w:val="16"/>
              </w:rPr>
              <w:t>Function</w:t>
            </w:r>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Education including: Early Childhood Education and Care and Schools and Youth</w:t>
            </w:r>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Employment and Workplace Relations</w:t>
            </w:r>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Education and Employment functions as they relate to Indigenous affairs</w:t>
            </w:r>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Employment including: working age payments and Disability Employment Services</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105"/>
        </w:trPr>
        <w:tc>
          <w:tcPr>
            <w:tcW w:w="3396" w:type="dxa"/>
            <w:tcBorders>
              <w:top w:val="nil"/>
              <w:left w:val="nil"/>
              <w:bottom w:val="nil"/>
              <w:right w:val="nil"/>
            </w:tcBorders>
            <w:shd w:val="clear" w:color="000000" w:fill="D9D9D9"/>
            <w:noWrap/>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780"/>
        </w:trPr>
        <w:tc>
          <w:tcPr>
            <w:tcW w:w="3396" w:type="dxa"/>
            <w:tcBorders>
              <w:top w:val="nil"/>
              <w:left w:val="nil"/>
              <w:bottom w:val="nil"/>
              <w:right w:val="nil"/>
            </w:tcBorders>
            <w:shd w:val="clear" w:color="000000" w:fill="D9D9D9"/>
            <w:noWrap/>
            <w:hideMark/>
          </w:tcPr>
          <w:p w:rsidR="00361797" w:rsidRDefault="00361797" w:rsidP="00B50E5D">
            <w:pPr>
              <w:rPr>
                <w:rFonts w:ascii="Arial" w:hAnsi="Arial" w:cs="Arial"/>
                <w:b/>
                <w:bCs/>
                <w:sz w:val="16"/>
                <w:szCs w:val="16"/>
              </w:rPr>
            </w:pPr>
            <w:r>
              <w:rPr>
                <w:rFonts w:ascii="Arial" w:hAnsi="Arial" w:cs="Arial"/>
                <w:b/>
                <w:bCs/>
                <w:sz w:val="16"/>
                <w:szCs w:val="16"/>
              </w:rPr>
              <w:t>Entity</w:t>
            </w:r>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Department of </w:t>
            </w:r>
            <w:proofErr w:type="spellStart"/>
            <w:r>
              <w:rPr>
                <w:rFonts w:cs="Calibri"/>
                <w:b/>
                <w:bCs/>
                <w:szCs w:val="18"/>
              </w:rPr>
              <w:t>Education</w:t>
            </w:r>
            <w:r>
              <w:rPr>
                <w:rFonts w:cs="Calibri"/>
                <w:b/>
                <w:bCs/>
                <w:szCs w:val="18"/>
                <w:vertAlign w:val="superscript"/>
              </w:rPr>
              <w:t>1</w:t>
            </w:r>
            <w:proofErr w:type="spellEnd"/>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Department of </w:t>
            </w:r>
            <w:proofErr w:type="spellStart"/>
            <w:r>
              <w:rPr>
                <w:rFonts w:cs="Calibri"/>
                <w:b/>
                <w:bCs/>
                <w:szCs w:val="18"/>
              </w:rPr>
              <w:t>Employment</w:t>
            </w:r>
            <w:r>
              <w:rPr>
                <w:rFonts w:cs="Calibri"/>
                <w:b/>
                <w:bCs/>
                <w:sz w:val="20"/>
                <w:vertAlign w:val="superscript"/>
              </w:rPr>
              <w:t>2</w:t>
            </w:r>
            <w:proofErr w:type="spellEnd"/>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Department of the Prime Minister and </w:t>
            </w:r>
            <w:proofErr w:type="spellStart"/>
            <w:r>
              <w:rPr>
                <w:rFonts w:cs="Calibri"/>
                <w:b/>
                <w:bCs/>
                <w:szCs w:val="18"/>
              </w:rPr>
              <w:t>Cabinet</w:t>
            </w:r>
            <w:r>
              <w:rPr>
                <w:rFonts w:cs="Calibri"/>
                <w:b/>
                <w:bCs/>
                <w:sz w:val="20"/>
                <w:vertAlign w:val="superscript"/>
              </w:rPr>
              <w:t>3</w:t>
            </w:r>
            <w:proofErr w:type="spellEnd"/>
          </w:p>
        </w:tc>
        <w:tc>
          <w:tcPr>
            <w:tcW w:w="199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Department of Social </w:t>
            </w:r>
            <w:proofErr w:type="spellStart"/>
            <w:r>
              <w:rPr>
                <w:rFonts w:cs="Calibri"/>
                <w:b/>
                <w:bCs/>
                <w:szCs w:val="18"/>
              </w:rPr>
              <w:t>Services</w:t>
            </w:r>
            <w:r>
              <w:rPr>
                <w:rFonts w:cs="Calibri"/>
                <w:b/>
                <w:bCs/>
                <w:sz w:val="20"/>
                <w:vertAlign w:val="superscript"/>
              </w:rPr>
              <w:t>4</w:t>
            </w:r>
            <w:proofErr w:type="spellEnd"/>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99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FUNCTIONS RELINQUISHED</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Assets relinquished</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(139,331)</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(78)</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Trade and other receivables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(9,478)</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(17,357)</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(946)</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 receivables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(295,752)</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(781,622)</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Advances and loans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(11,885)</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(98,255)</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Investments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(6,987)</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(116,725)</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non-financial assets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(3,864)</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(2,329)</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(61,980)</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single" w:sz="4" w:space="0" w:color="000000"/>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 assets relinquished</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(467,297)</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(136,489)</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(946)</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(941,857)</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single" w:sz="4" w:space="0" w:color="auto"/>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single" w:sz="4" w:space="0" w:color="auto"/>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Liabilities recognised</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99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Suppliers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33,327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26,014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138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Subsidies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8,025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118,561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2,277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406,208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Grants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13,663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payables</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2,794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2,804,447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single" w:sz="4" w:space="0" w:color="auto"/>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Provision of personal benefits</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624,484 </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396" w:type="dxa"/>
            <w:tcBorders>
              <w:top w:val="nil"/>
              <w:left w:val="nil"/>
              <w:bottom w:val="single" w:sz="4" w:space="0" w:color="000000"/>
              <w:right w:val="nil"/>
            </w:tcBorders>
            <w:shd w:val="clear" w:color="000000" w:fill="D9D9D9"/>
            <w:vAlign w:val="bottom"/>
            <w:hideMark/>
          </w:tcPr>
          <w:p w:rsidR="00361797" w:rsidRDefault="00361797" w:rsidP="00B50E5D">
            <w:pPr>
              <w:rPr>
                <w:rFonts w:cs="Calibri"/>
                <w:b/>
                <w:bCs/>
                <w:szCs w:val="18"/>
              </w:rPr>
            </w:pPr>
            <w:r>
              <w:rPr>
                <w:rFonts w:cs="Calibri"/>
                <w:b/>
                <w:bCs/>
                <w:szCs w:val="18"/>
              </w:rPr>
              <w:t>Total liabilities relinquished</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792,829</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2,840,763</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138</w:t>
            </w:r>
          </w:p>
        </w:tc>
        <w:tc>
          <w:tcPr>
            <w:tcW w:w="19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406,208</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85"/>
        </w:trPr>
        <w:tc>
          <w:tcPr>
            <w:tcW w:w="339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Net assets </w:t>
            </w:r>
            <w:proofErr w:type="spellStart"/>
            <w:r>
              <w:rPr>
                <w:rFonts w:cs="Calibri"/>
                <w:b/>
                <w:bCs/>
                <w:szCs w:val="18"/>
              </w:rPr>
              <w:t>relinquished</w:t>
            </w:r>
            <w:r>
              <w:rPr>
                <w:rFonts w:cs="Calibri"/>
                <w:b/>
                <w:bCs/>
                <w:szCs w:val="18"/>
                <w:vertAlign w:val="superscript"/>
              </w:rPr>
              <w:t>5</w:t>
            </w:r>
            <w:proofErr w:type="spellEnd"/>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325,532</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2,704,274</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(808)</w:t>
            </w:r>
          </w:p>
        </w:tc>
        <w:tc>
          <w:tcPr>
            <w:tcW w:w="19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(535,649)</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bl>
    <w:p w:rsidR="00361797" w:rsidRDefault="00361797" w:rsidP="00361797">
      <w:bookmarkStart w:id="178" w:name="RANGE!D7:I61"/>
      <w:bookmarkStart w:id="179" w:name="RANGE!D7:I62"/>
      <w:bookmarkStart w:id="180" w:name="RANGE!D7:K60"/>
      <w:bookmarkStart w:id="181" w:name="RANGE!D7:K57"/>
      <w:bookmarkStart w:id="182" w:name="RANGE!D7:K59"/>
      <w:bookmarkStart w:id="183" w:name="RANGE!D7:G30"/>
      <w:bookmarkStart w:id="184" w:name="RANGE!D7:G26"/>
      <w:bookmarkStart w:id="185" w:name="RANGE!D6:I41"/>
      <w:bookmarkEnd w:id="178"/>
      <w:bookmarkEnd w:id="179"/>
      <w:bookmarkEnd w:id="180"/>
      <w:bookmarkEnd w:id="181"/>
      <w:bookmarkEnd w:id="182"/>
      <w:bookmarkEnd w:id="183"/>
      <w:bookmarkEnd w:id="184"/>
      <w:bookmarkEnd w:id="185"/>
    </w:p>
    <w:p w:rsidR="00361797" w:rsidRDefault="00361797" w:rsidP="00361797">
      <w:pPr>
        <w:pStyle w:val="ReferenceText"/>
      </w:pPr>
    </w:p>
    <w:p w:rsidR="00361797" w:rsidRDefault="00361797" w:rsidP="00361797">
      <w:r>
        <w:lastRenderedPageBreak/>
        <w:t>Notes</w:t>
      </w:r>
    </w:p>
    <w:p w:rsidR="00361797" w:rsidRDefault="00361797" w:rsidP="00361797">
      <w:pPr>
        <w:pStyle w:val="ReferenceText"/>
      </w:pPr>
      <w:r w:rsidRPr="0017569C">
        <w:rPr>
          <w:vertAlign w:val="superscript"/>
        </w:rPr>
        <w:t>1</w:t>
      </w:r>
      <w:r>
        <w:t xml:space="preserve"> </w:t>
      </w:r>
      <w:r w:rsidRPr="006C066F">
        <w:t>The Early Childhood Education and Care and Schools and Youth Education functions were relinquished to the Department of Education following the Administrative Arrangement Order changes on 18 September 2013.</w:t>
      </w:r>
    </w:p>
    <w:p w:rsidR="00361797" w:rsidRDefault="00361797" w:rsidP="00361797">
      <w:pPr>
        <w:pStyle w:val="ReferenceText"/>
      </w:pPr>
      <w:r w:rsidRPr="0017569C">
        <w:rPr>
          <w:vertAlign w:val="superscript"/>
        </w:rPr>
        <w:t>2</w:t>
      </w:r>
      <w:r>
        <w:t xml:space="preserve"> </w:t>
      </w:r>
      <w:r w:rsidRPr="006C066F">
        <w:t xml:space="preserve">The Employment and Workplace Relations functions in relation to the former </w:t>
      </w:r>
      <w:proofErr w:type="spellStart"/>
      <w:r w:rsidRPr="006C066F">
        <w:t>DEEWR</w:t>
      </w:r>
      <w:proofErr w:type="spellEnd"/>
      <w:r w:rsidRPr="006C066F">
        <w:t xml:space="preserve"> were relinquished to the Department of Employment following the Administrative Arrangement Order changes on 18 September 2013.</w:t>
      </w:r>
    </w:p>
    <w:p w:rsidR="00361797" w:rsidRDefault="00361797" w:rsidP="00361797">
      <w:pPr>
        <w:pStyle w:val="ReferenceText"/>
      </w:pPr>
      <w:r w:rsidRPr="0017569C">
        <w:rPr>
          <w:vertAlign w:val="superscript"/>
        </w:rPr>
        <w:t>3</w:t>
      </w:r>
      <w:r>
        <w:t xml:space="preserve"> </w:t>
      </w:r>
      <w:r w:rsidRPr="006C066F">
        <w:t xml:space="preserve">Indigenous functions relating to education and employment were </w:t>
      </w:r>
      <w:r w:rsidRPr="000173F9">
        <w:t>relinquished</w:t>
      </w:r>
      <w:r w:rsidRPr="006C066F">
        <w:t xml:space="preserve"> to the Department of the Prime Minister and Cabinet during 2013</w:t>
      </w:r>
      <w:r>
        <w:t>–</w:t>
      </w:r>
      <w:r w:rsidRPr="006C066F">
        <w:t>14 following the Administrative Arrangement Orders of 18 September 2013.</w:t>
      </w:r>
    </w:p>
    <w:p w:rsidR="00361797" w:rsidRDefault="00361797" w:rsidP="00361797">
      <w:pPr>
        <w:pStyle w:val="ReferenceText"/>
      </w:pPr>
      <w:r w:rsidRPr="0017569C">
        <w:rPr>
          <w:vertAlign w:val="superscript"/>
        </w:rPr>
        <w:t>4</w:t>
      </w:r>
      <w:r>
        <w:t xml:space="preserve"> [</w:t>
      </w:r>
      <w:r w:rsidRPr="006C066F">
        <w:t xml:space="preserve">Working age payments and disability employment service functions were </w:t>
      </w:r>
      <w:r w:rsidRPr="000173F9">
        <w:t>relinquished</w:t>
      </w:r>
      <w:r w:rsidRPr="006C066F">
        <w:t xml:space="preserve"> to the Department of Social Security during 2013</w:t>
      </w:r>
      <w:r>
        <w:t>–</w:t>
      </w:r>
      <w:r w:rsidRPr="006C066F">
        <w:t xml:space="preserve">14 following the Administrative Arrangement Orders of </w:t>
      </w:r>
      <w:r>
        <w:br/>
      </w:r>
      <w:r w:rsidRPr="006C066F">
        <w:t>18 September 2013.</w:t>
      </w:r>
    </w:p>
    <w:p w:rsidR="00361797" w:rsidRDefault="00361797" w:rsidP="00361797">
      <w:pPr>
        <w:pStyle w:val="ReferenceText"/>
      </w:pPr>
      <w:r>
        <w:rPr>
          <w:vertAlign w:val="superscript"/>
        </w:rPr>
        <w:t>5</w:t>
      </w:r>
      <w:r>
        <w:t xml:space="preserve"> The net assets/liabilities relinquished to all entities were $2,493 billion (2013: nil).</w:t>
      </w:r>
    </w:p>
    <w:p w:rsidR="00361797" w:rsidRPr="00EB712A" w:rsidRDefault="00361797" w:rsidP="00361797">
      <w:pPr>
        <w:pStyle w:val="ReferenceText"/>
        <w:sectPr w:rsidR="00361797" w:rsidRPr="00EB712A" w:rsidSect="00A8269C">
          <w:pgSz w:w="16838" w:h="11906" w:orient="landscape"/>
          <w:pgMar w:top="1134" w:right="1134" w:bottom="1134" w:left="1134" w:header="958" w:footer="737" w:gutter="0"/>
          <w:cols w:space="720"/>
          <w:docGrid w:linePitch="245"/>
        </w:sectPr>
      </w:pPr>
    </w:p>
    <w:p w:rsidR="00361797" w:rsidRDefault="00361797" w:rsidP="00361797"/>
    <w:p w:rsidR="00361797" w:rsidRDefault="00361797" w:rsidP="00361797">
      <w:pPr>
        <w:pStyle w:val="NotesHeading-Level1"/>
        <w:numPr>
          <w:ilvl w:val="0"/>
          <w:numId w:val="14"/>
        </w:numPr>
        <w:rPr>
          <w:rFonts w:cstheme="minorHAnsi"/>
        </w:rPr>
      </w:pPr>
      <w:bookmarkStart w:id="186" w:name="_Toc388962630"/>
      <w:r>
        <w:rPr>
          <w:rFonts w:cstheme="minorHAnsi"/>
        </w:rPr>
        <w:t>Cash Flow Reconciliation</w:t>
      </w:r>
      <w:bookmarkEnd w:id="186"/>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bookmarkStart w:id="187" w:name="Note_CFRTABLE1" w:colFirst="0" w:colLast="0"/>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2013</w:t>
            </w:r>
          </w:p>
        </w:tc>
      </w:tr>
      <w:bookmarkEnd w:id="187"/>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48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Reconciliation of cash and cash equivalents as per statement of financial position to cash flow statement</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Cash and cash equivalents as per</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Cash flow statement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4,613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Statement of financial position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4,613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Discrepancy</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7510" w:type="dxa"/>
            <w:gridSpan w:val="2"/>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Reconciliation of net cost of services to net cash from (used by) operating activities</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Net (cost of) contribution by services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(131,027)</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(623,215)</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Revenue from Government</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347,040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563,881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Adjustments for non-cash items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First time recognition of non-financial assets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Reversal of impairment losses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(5)</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Other gains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(309)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(1,449)</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Depreciation / amortisation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14,184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60,739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Net write-down and impairment of assets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17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1,149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Net losses from sale of assets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242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Finance costs - unwinding of discount on provision for restoration obligations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119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Movements in assets and liabilities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Decrease / (increase) in net receivables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(216,310)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26,151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Decrease / (increase) in accrued income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7,983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(13,835)</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Decrease / (increase) in prepayments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(3,323)</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1,654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Liabilities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Increase / (decrease) in employee provisions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(1,630)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8,293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Increase / (decrease) in supplier payables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(29,430)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(3,801)</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Increase / (decrease) in other provisions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(3,366)</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Increase / (decrease) in other payables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(1,884)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2,199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Net cash from (used by) operating activities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(14,688)</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18,700</w:t>
            </w:r>
          </w:p>
        </w:tc>
      </w:tr>
    </w:tbl>
    <w:p w:rsidR="00361797" w:rsidRDefault="00361797" w:rsidP="00361797">
      <w:pPr>
        <w:spacing w:line="240" w:lineRule="auto"/>
        <w:sectPr w:rsidR="00361797">
          <w:pgSz w:w="11906" w:h="16838"/>
          <w:pgMar w:top="1134" w:right="1134" w:bottom="1134" w:left="1134" w:header="958" w:footer="737" w:gutter="0"/>
          <w:cols w:space="720"/>
        </w:sectPr>
      </w:pPr>
    </w:p>
    <w:p w:rsidR="00361797" w:rsidRDefault="00361797" w:rsidP="00361797">
      <w:pPr>
        <w:pStyle w:val="NotesHeading-Level1"/>
        <w:numPr>
          <w:ilvl w:val="0"/>
          <w:numId w:val="14"/>
        </w:numPr>
        <w:rPr>
          <w:rFonts w:cstheme="minorHAnsi"/>
        </w:rPr>
      </w:pPr>
      <w:bookmarkStart w:id="188" w:name="RANGE!E6:H38"/>
      <w:bookmarkStart w:id="189" w:name="RANGE!E6:E39"/>
      <w:bookmarkStart w:id="190" w:name="RANGE!E6:H39"/>
      <w:bookmarkStart w:id="191" w:name="_Ref317489574"/>
      <w:bookmarkStart w:id="192" w:name="_Toc388962631"/>
      <w:bookmarkEnd w:id="188"/>
      <w:bookmarkEnd w:id="189"/>
      <w:bookmarkEnd w:id="190"/>
      <w:r>
        <w:rPr>
          <w:rFonts w:cstheme="minorHAnsi"/>
        </w:rPr>
        <w:lastRenderedPageBreak/>
        <w:t>Contingent Assets and Liabilities</w:t>
      </w:r>
      <w:bookmarkEnd w:id="191"/>
      <w:bookmarkEnd w:id="192"/>
    </w:p>
    <w:p w:rsidR="00361797" w:rsidRDefault="00361797" w:rsidP="00361797"/>
    <w:tbl>
      <w:tblPr>
        <w:tblW w:w="13991" w:type="dxa"/>
        <w:tblInd w:w="80" w:type="dxa"/>
        <w:tblLayout w:type="fixed"/>
        <w:tblLook w:val="04A0" w:firstRow="1" w:lastRow="0" w:firstColumn="1" w:lastColumn="0" w:noHBand="0" w:noVBand="1"/>
      </w:tblPr>
      <w:tblGrid>
        <w:gridCol w:w="5647"/>
        <w:gridCol w:w="1192"/>
        <w:gridCol w:w="1192"/>
        <w:gridCol w:w="1192"/>
        <w:gridCol w:w="1192"/>
        <w:gridCol w:w="1192"/>
        <w:gridCol w:w="1192"/>
        <w:gridCol w:w="1192"/>
      </w:tblGrid>
      <w:tr w:rsidR="00361797" w:rsidTr="00B50E5D">
        <w:trPr>
          <w:trHeight w:val="570"/>
        </w:trPr>
        <w:tc>
          <w:tcPr>
            <w:tcW w:w="560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bookmarkStart w:id="193" w:name="Note_CLATABLE1" w:colFirst="0" w:colLast="0"/>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6" w:type="dxa"/>
            <w:gridSpan w:val="2"/>
            <w:tcBorders>
              <w:top w:val="nil"/>
              <w:left w:val="nil"/>
              <w:bottom w:val="nil"/>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Indemnities</w:t>
            </w:r>
          </w:p>
        </w:tc>
        <w:tc>
          <w:tcPr>
            <w:tcW w:w="2366" w:type="dxa"/>
            <w:gridSpan w:val="2"/>
            <w:tcBorders>
              <w:top w:val="nil"/>
              <w:left w:val="nil"/>
              <w:bottom w:val="nil"/>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Claims for damages or costs</w:t>
            </w:r>
          </w:p>
        </w:tc>
        <w:tc>
          <w:tcPr>
            <w:tcW w:w="2366" w:type="dxa"/>
            <w:gridSpan w:val="2"/>
            <w:tcBorders>
              <w:top w:val="nil"/>
              <w:left w:val="nil"/>
              <w:bottom w:val="nil"/>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Total</w:t>
            </w:r>
          </w:p>
        </w:tc>
      </w:tr>
      <w:bookmarkEnd w:id="193"/>
      <w:tr w:rsidR="00361797" w:rsidTr="00B50E5D">
        <w:trPr>
          <w:trHeight w:val="255"/>
        </w:trPr>
        <w:tc>
          <w:tcPr>
            <w:tcW w:w="560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Contingent assets</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Balance from previous period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New contingent assets recognised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Re-measurement</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Assets realised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Rights expired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contingent assets</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0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Contingent liabilities</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Balance from previous period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294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3,961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294</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3,961</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New contingent liabilities recognised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19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19</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Re-measurement</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(1,221)</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(1,221)</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Liabilities realised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(47)</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(2,465)</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(47)</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(2,465)</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Obligations expired</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contingent liabilities</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244</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294</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244</w:t>
            </w:r>
          </w:p>
        </w:tc>
        <w:tc>
          <w:tcPr>
            <w:tcW w:w="1183"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294</w:t>
            </w:r>
          </w:p>
        </w:tc>
      </w:tr>
      <w:tr w:rsidR="00361797" w:rsidTr="00B50E5D">
        <w:trPr>
          <w:trHeight w:val="255"/>
        </w:trPr>
        <w:tc>
          <w:tcPr>
            <w:tcW w:w="560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Net contingent assets (liabilities)</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(244)</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(294)</w:t>
            </w:r>
          </w:p>
        </w:tc>
      </w:tr>
    </w:tbl>
    <w:p w:rsidR="00361797" w:rsidRDefault="00361797" w:rsidP="00361797">
      <w:bookmarkStart w:id="194" w:name="RANGE!D7:K25"/>
      <w:bookmarkStart w:id="195" w:name="RANGE!D7:K24"/>
      <w:bookmarkStart w:id="196" w:name="RANGE!D7:K23"/>
      <w:bookmarkStart w:id="197" w:name="RANGE!D6:K22"/>
      <w:bookmarkStart w:id="198" w:name="RANGE!D6:K24"/>
      <w:bookmarkEnd w:id="194"/>
      <w:bookmarkEnd w:id="195"/>
      <w:bookmarkEnd w:id="196"/>
      <w:bookmarkEnd w:id="197"/>
      <w:bookmarkEnd w:id="198"/>
    </w:p>
    <w:p w:rsidR="00361797" w:rsidRDefault="00361797" w:rsidP="00361797"/>
    <w:p w:rsidR="00361797" w:rsidRDefault="00361797" w:rsidP="00361797"/>
    <w:p w:rsidR="00361797" w:rsidRDefault="00361797" w:rsidP="00361797">
      <w:pPr>
        <w:spacing w:line="240" w:lineRule="auto"/>
        <w:sectPr w:rsidR="00361797">
          <w:pgSz w:w="16838" w:h="11906" w:orient="landscape"/>
          <w:pgMar w:top="1134" w:right="1134" w:bottom="1134" w:left="1134" w:header="958" w:footer="737" w:gutter="0"/>
          <w:cols w:space="720"/>
        </w:sectPr>
      </w:pPr>
    </w:p>
    <w:p w:rsidR="00361797" w:rsidRDefault="00361797" w:rsidP="00361797">
      <w:pPr>
        <w:pStyle w:val="UnderlineItalics"/>
        <w:rPr>
          <w:sz w:val="20"/>
        </w:rPr>
      </w:pPr>
      <w:r>
        <w:rPr>
          <w:sz w:val="20"/>
        </w:rPr>
        <w:lastRenderedPageBreak/>
        <w:t>Quantifiable Contingencies</w:t>
      </w:r>
    </w:p>
    <w:p w:rsidR="00361797" w:rsidRDefault="00361797" w:rsidP="00361797">
      <w:pPr>
        <w:pStyle w:val="NotesText0"/>
        <w:rPr>
          <w:sz w:val="20"/>
          <w:szCs w:val="20"/>
        </w:rPr>
      </w:pPr>
      <w:r>
        <w:rPr>
          <w:sz w:val="20"/>
          <w:szCs w:val="20"/>
        </w:rPr>
        <w:t>The schedule of contingencies reports contingent liabilities in respect of indemnities and claims for damages of $0.244 million (</w:t>
      </w:r>
      <w:r w:rsidRPr="00D12DEC">
        <w:rPr>
          <w:sz w:val="20"/>
          <w:szCs w:val="20"/>
        </w:rPr>
        <w:t>2013</w:t>
      </w:r>
      <w:r>
        <w:rPr>
          <w:sz w:val="20"/>
          <w:szCs w:val="20"/>
        </w:rPr>
        <w:t>: $0.294 million).</w:t>
      </w:r>
    </w:p>
    <w:p w:rsidR="00361797" w:rsidRDefault="00361797" w:rsidP="00361797">
      <w:pPr>
        <w:pStyle w:val="NotesText0"/>
        <w:rPr>
          <w:sz w:val="20"/>
          <w:szCs w:val="20"/>
        </w:rPr>
      </w:pPr>
      <w:r>
        <w:rPr>
          <w:sz w:val="20"/>
          <w:szCs w:val="20"/>
        </w:rPr>
        <w:t>The schedule also reports contingent assets in respect of claims for damages of nil (</w:t>
      </w:r>
      <w:r w:rsidRPr="00D12DEC">
        <w:rPr>
          <w:sz w:val="20"/>
          <w:szCs w:val="20"/>
        </w:rPr>
        <w:t>2013</w:t>
      </w:r>
      <w:r>
        <w:rPr>
          <w:sz w:val="20"/>
          <w:szCs w:val="20"/>
        </w:rPr>
        <w:t>: nil).</w:t>
      </w:r>
    </w:p>
    <w:p w:rsidR="00361797" w:rsidRDefault="00361797" w:rsidP="00361797">
      <w:pPr>
        <w:pStyle w:val="NotesText0"/>
        <w:rPr>
          <w:sz w:val="20"/>
          <w:szCs w:val="20"/>
        </w:rPr>
      </w:pPr>
      <w:r>
        <w:rPr>
          <w:sz w:val="20"/>
          <w:szCs w:val="20"/>
        </w:rPr>
        <w:t xml:space="preserve">The amounts included in the schedule represent an estimate of the department’s contingent assets and liabilities based on wide ranging legal cases.   </w:t>
      </w:r>
    </w:p>
    <w:p w:rsidR="00361797" w:rsidRDefault="00361797" w:rsidP="00361797">
      <w:pPr>
        <w:pStyle w:val="UnderlineItalics"/>
        <w:rPr>
          <w:sz w:val="20"/>
        </w:rPr>
      </w:pPr>
      <w:r>
        <w:rPr>
          <w:sz w:val="20"/>
        </w:rPr>
        <w:t>Unquantifiable Contingencies</w:t>
      </w:r>
    </w:p>
    <w:p w:rsidR="00361797" w:rsidRDefault="00361797" w:rsidP="00361797">
      <w:pPr>
        <w:pStyle w:val="NotesText0"/>
        <w:rPr>
          <w:sz w:val="20"/>
          <w:szCs w:val="20"/>
        </w:rPr>
      </w:pPr>
      <w:r>
        <w:rPr>
          <w:sz w:val="20"/>
          <w:szCs w:val="20"/>
        </w:rPr>
        <w:t xml:space="preserve">As at 18 September </w:t>
      </w:r>
      <w:r w:rsidRPr="00D12DEC">
        <w:rPr>
          <w:sz w:val="20"/>
          <w:szCs w:val="20"/>
        </w:rPr>
        <w:t>2013</w:t>
      </w:r>
      <w:r>
        <w:rPr>
          <w:sz w:val="20"/>
          <w:szCs w:val="20"/>
        </w:rPr>
        <w:t>, the department had contingent liabilities likely to be paid in respect of damages and claims that are not quantifiable. There were five open matters in the hands of the department’s legal representatives (</w:t>
      </w:r>
      <w:r w:rsidRPr="00D12DEC">
        <w:rPr>
          <w:sz w:val="20"/>
          <w:szCs w:val="20"/>
        </w:rPr>
        <w:t>2013</w:t>
      </w:r>
      <w:r>
        <w:rPr>
          <w:sz w:val="20"/>
          <w:szCs w:val="20"/>
        </w:rPr>
        <w:t>: 1).  These open matters relate to a wide range of legal issues (departmental and administered) with varying probabilities of success.   It is not possible to estimate the amounts of any eventual receipts or payments that may be received or made in relation to these claims.</w:t>
      </w:r>
    </w:p>
    <w:p w:rsidR="00361797" w:rsidRDefault="00361797" w:rsidP="00361797">
      <w:pPr>
        <w:pStyle w:val="UnderlineItalics"/>
        <w:rPr>
          <w:sz w:val="20"/>
        </w:rPr>
      </w:pPr>
      <w:r>
        <w:rPr>
          <w:sz w:val="20"/>
        </w:rPr>
        <w:t>Significant Remote Contingencies</w:t>
      </w:r>
    </w:p>
    <w:p w:rsidR="00361797" w:rsidRDefault="00361797" w:rsidP="00361797">
      <w:pPr>
        <w:pStyle w:val="NotesText0"/>
        <w:rPr>
          <w:sz w:val="20"/>
          <w:szCs w:val="20"/>
        </w:rPr>
      </w:pPr>
      <w:r>
        <w:rPr>
          <w:sz w:val="20"/>
          <w:szCs w:val="20"/>
        </w:rPr>
        <w:t>The department has one (</w:t>
      </w:r>
      <w:r w:rsidRPr="00D12DEC">
        <w:rPr>
          <w:sz w:val="20"/>
          <w:szCs w:val="20"/>
        </w:rPr>
        <w:t>2013</w:t>
      </w:r>
      <w:r>
        <w:rPr>
          <w:sz w:val="20"/>
          <w:szCs w:val="20"/>
        </w:rPr>
        <w:t>: 3) contingent asset where the likelihood of receipt is remote.  The value of contingent liabilities where the likelihood of payment is remote is nil (</w:t>
      </w:r>
      <w:r w:rsidRPr="00D12DEC">
        <w:rPr>
          <w:sz w:val="20"/>
          <w:szCs w:val="20"/>
        </w:rPr>
        <w:t>2013</w:t>
      </w:r>
      <w:r>
        <w:rPr>
          <w:sz w:val="20"/>
          <w:szCs w:val="20"/>
        </w:rPr>
        <w:t>: nil).  These are not included in the Schedule of Contingencies.</w:t>
      </w:r>
    </w:p>
    <w:p w:rsidR="00361797" w:rsidRDefault="00361797" w:rsidP="00361797">
      <w:pPr>
        <w:pStyle w:val="NotesText0"/>
        <w:rPr>
          <w:sz w:val="20"/>
          <w:szCs w:val="20"/>
        </w:rPr>
      </w:pPr>
      <w:r>
        <w:rPr>
          <w:sz w:val="20"/>
          <w:szCs w:val="20"/>
        </w:rPr>
        <w:t>In addition to the unquantifiable contingencies listed above, the department has provided an indemnity to the Reserve Bank of Australia against loss or damage arising from the bank acting in good faith on the instructions given to it under the provision of the contract for the department’s transactional banking services, any error, mistake, fraud or negligence and any failure of the department to observe its obligations.  The likelihood of any payment being required under the indemnity is remote and unquantifiable.</w:t>
      </w:r>
    </w:p>
    <w:p w:rsidR="00361797" w:rsidRDefault="00361797" w:rsidP="00361797">
      <w:pPr>
        <w:spacing w:line="240" w:lineRule="auto"/>
        <w:rPr>
          <w:sz w:val="20"/>
        </w:rPr>
        <w:sectPr w:rsidR="00361797">
          <w:pgSz w:w="11906" w:h="16838"/>
          <w:pgMar w:top="1134" w:right="1134" w:bottom="1134" w:left="1134" w:header="958" w:footer="737" w:gutter="0"/>
          <w:cols w:space="720"/>
        </w:sectPr>
      </w:pPr>
    </w:p>
    <w:p w:rsidR="00361797" w:rsidRDefault="00361797" w:rsidP="00361797">
      <w:pPr>
        <w:pStyle w:val="NotesHeading-Level1"/>
        <w:numPr>
          <w:ilvl w:val="0"/>
          <w:numId w:val="14"/>
        </w:numPr>
        <w:rPr>
          <w:rFonts w:cstheme="minorHAnsi"/>
        </w:rPr>
      </w:pPr>
      <w:bookmarkStart w:id="199" w:name="_Toc388962632"/>
      <w:r>
        <w:rPr>
          <w:rFonts w:cstheme="minorHAnsi"/>
        </w:rPr>
        <w:lastRenderedPageBreak/>
        <w:t>Senior Executive Remuneration</w:t>
      </w:r>
      <w:bookmarkEnd w:id="199"/>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8982" w:type="dxa"/>
            <w:gridSpan w:val="4"/>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00" w:name="Note_ERETABLE1" w:colFirst="0" w:colLast="0"/>
            <w:r>
              <w:rPr>
                <w:rFonts w:cs="Calibri"/>
                <w:b/>
                <w:bCs/>
                <w:szCs w:val="18"/>
                <w:u w:val="single"/>
              </w:rPr>
              <w:t xml:space="preserve">Note </w:t>
            </w:r>
            <w:proofErr w:type="spellStart"/>
            <w:r>
              <w:rPr>
                <w:rFonts w:cs="Calibri"/>
                <w:b/>
                <w:bCs/>
                <w:szCs w:val="18"/>
                <w:u w:val="single"/>
              </w:rPr>
              <w:t>13A</w:t>
            </w:r>
            <w:proofErr w:type="spellEnd"/>
            <w:r>
              <w:rPr>
                <w:rFonts w:cs="Calibri"/>
                <w:b/>
                <w:bCs/>
                <w:szCs w:val="18"/>
                <w:u w:val="single"/>
              </w:rPr>
              <w:t>: Senior executive remuneration expenses for the reporting period</w:t>
            </w:r>
          </w:p>
        </w:tc>
      </w:tr>
      <w:bookmarkEnd w:id="200"/>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Short-term employee benefits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Salary (including annual leave taken)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24,498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4,515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short-term employee benefits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29,013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Post-employment benefits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Superannuation</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4,701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post-employment benefits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4,701</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Other long-term employee benefits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Annual leave accrued</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381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Long-service leave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589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other long-term benefits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970</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Termination benefits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302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senior executive remuneration expenses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34,986</w:t>
            </w:r>
          </w:p>
        </w:tc>
      </w:tr>
    </w:tbl>
    <w:p w:rsidR="00361797" w:rsidRDefault="00361797" w:rsidP="00361797">
      <w:pPr>
        <w:rPr>
          <w:rFonts w:ascii="Arial" w:hAnsi="Arial" w:cs="Arial"/>
          <w:sz w:val="16"/>
          <w:szCs w:val="16"/>
        </w:rPr>
      </w:pPr>
    </w:p>
    <w:p w:rsidR="00361797" w:rsidRDefault="00361797" w:rsidP="00361797">
      <w:r>
        <w:t>Notes</w:t>
      </w:r>
    </w:p>
    <w:p w:rsidR="00361797" w:rsidRDefault="00361797" w:rsidP="00361797">
      <w:pPr>
        <w:pStyle w:val="ReferenceText"/>
      </w:pPr>
      <w:r w:rsidRPr="005B1BB0">
        <w:rPr>
          <w:vertAlign w:val="superscript"/>
        </w:rPr>
        <w:t>1</w:t>
      </w:r>
      <w:r>
        <w:t xml:space="preserve"> Note </w:t>
      </w:r>
      <w:proofErr w:type="spellStart"/>
      <w:r>
        <w:t>13A</w:t>
      </w:r>
      <w:proofErr w:type="spellEnd"/>
      <w:r>
        <w:t xml:space="preserve"> is prepared from 1 July 2013 to 18 September 2013.</w:t>
      </w:r>
    </w:p>
    <w:p w:rsidR="00361797" w:rsidRDefault="00361797" w:rsidP="00361797">
      <w:pPr>
        <w:pStyle w:val="ReferenceText"/>
      </w:pPr>
      <w:r w:rsidRPr="005B1BB0">
        <w:rPr>
          <w:vertAlign w:val="superscript"/>
        </w:rPr>
        <w:t>2</w:t>
      </w:r>
      <w:r>
        <w:t xml:space="preserve"> Note </w:t>
      </w:r>
      <w:proofErr w:type="spellStart"/>
      <w:r>
        <w:t>13A</w:t>
      </w:r>
      <w:proofErr w:type="spellEnd"/>
      <w:r>
        <w:t xml:space="preserve"> was prepared on an accrual basis. It excludes acting arrangements and part-year service where total remuneration expensed for a senior executive was less than $195,000.</w:t>
      </w:r>
    </w:p>
    <w:p w:rsidR="00361797" w:rsidRDefault="00361797" w:rsidP="00361797">
      <w:pPr>
        <w:pStyle w:val="ReferenceText"/>
      </w:pPr>
      <w:r w:rsidRPr="005B1BB0">
        <w:rPr>
          <w:vertAlign w:val="superscript"/>
        </w:rPr>
        <w:t>3</w:t>
      </w:r>
      <w:r>
        <w:t xml:space="preserve"> Other includes motor vehicle allowances, other allowances and reportable fringe benefits.</w:t>
      </w:r>
    </w:p>
    <w:p w:rsidR="00361797" w:rsidRDefault="00361797" w:rsidP="00361797">
      <w:pPr>
        <w:spacing w:line="240" w:lineRule="auto"/>
        <w:rPr>
          <w:rFonts w:asciiTheme="minorHAnsi" w:hAnsiTheme="minorHAnsi" w:cstheme="minorHAnsi"/>
          <w:lang w:eastAsia="en-AU"/>
        </w:rPr>
        <w:sectPr w:rsidR="00361797">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6196"/>
        <w:gridCol w:w="1260"/>
        <w:gridCol w:w="1260"/>
        <w:gridCol w:w="1475"/>
        <w:gridCol w:w="1260"/>
        <w:gridCol w:w="1260"/>
        <w:gridCol w:w="1280"/>
      </w:tblGrid>
      <w:tr w:rsidR="00361797" w:rsidTr="00B50E5D">
        <w:trPr>
          <w:trHeight w:val="255"/>
        </w:trPr>
        <w:tc>
          <w:tcPr>
            <w:tcW w:w="13946" w:type="dxa"/>
            <w:gridSpan w:val="7"/>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01" w:name="Note_ERPTABLE1" w:colFirst="0" w:colLast="0"/>
            <w:r>
              <w:rPr>
                <w:rFonts w:cs="Calibri"/>
                <w:b/>
                <w:bCs/>
                <w:szCs w:val="18"/>
                <w:u w:val="single"/>
              </w:rPr>
              <w:lastRenderedPageBreak/>
              <w:t xml:space="preserve">Note </w:t>
            </w:r>
            <w:proofErr w:type="spellStart"/>
            <w:r>
              <w:rPr>
                <w:rFonts w:cs="Calibri"/>
                <w:b/>
                <w:bCs/>
                <w:szCs w:val="18"/>
                <w:u w:val="single"/>
              </w:rPr>
              <w:t>13B</w:t>
            </w:r>
            <w:proofErr w:type="spellEnd"/>
            <w:r>
              <w:rPr>
                <w:rFonts w:cs="Calibri"/>
                <w:b/>
                <w:bCs/>
                <w:szCs w:val="18"/>
                <w:u w:val="single"/>
              </w:rPr>
              <w:t>: Average annual reportable remuneration paid to substantive senior executives during the reporting period</w:t>
            </w:r>
          </w:p>
        </w:tc>
      </w:tr>
      <w:bookmarkEnd w:id="201"/>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47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7770" w:type="dxa"/>
            <w:gridSpan w:val="6"/>
            <w:tcBorders>
              <w:top w:val="nil"/>
              <w:left w:val="nil"/>
              <w:bottom w:val="single" w:sz="4" w:space="0" w:color="auto"/>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2013-14</w:t>
            </w:r>
          </w:p>
        </w:tc>
      </w:tr>
      <w:tr w:rsidR="00361797" w:rsidTr="00B50E5D">
        <w:trPr>
          <w:trHeight w:val="750"/>
        </w:trPr>
        <w:tc>
          <w:tcPr>
            <w:tcW w:w="6176" w:type="dxa"/>
            <w:tcBorders>
              <w:top w:val="single" w:sz="4" w:space="0" w:color="auto"/>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Average annual reportable </w:t>
            </w:r>
            <w:proofErr w:type="spellStart"/>
            <w:r>
              <w:rPr>
                <w:rFonts w:cs="Calibri"/>
                <w:b/>
                <w:bCs/>
                <w:szCs w:val="18"/>
              </w:rPr>
              <w:t>remuneration</w:t>
            </w:r>
            <w:r>
              <w:rPr>
                <w:rFonts w:cs="Calibri"/>
                <w:b/>
                <w:bCs/>
                <w:szCs w:val="18"/>
                <w:vertAlign w:val="superscript"/>
              </w:rPr>
              <w:t>1</w:t>
            </w:r>
            <w:proofErr w:type="spellEnd"/>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Substantive Senior Executives</w:t>
            </w:r>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Reportable </w:t>
            </w:r>
            <w:proofErr w:type="spellStart"/>
            <w:r>
              <w:rPr>
                <w:rFonts w:cs="Calibri"/>
                <w:b/>
                <w:bCs/>
                <w:szCs w:val="18"/>
              </w:rPr>
              <w:t>salary</w:t>
            </w:r>
            <w:r>
              <w:rPr>
                <w:rFonts w:ascii="Arial" w:hAnsi="Arial" w:cs="Arial"/>
                <w:b/>
                <w:bCs/>
                <w:szCs w:val="18"/>
                <w:vertAlign w:val="superscript"/>
              </w:rPr>
              <w:t>2</w:t>
            </w:r>
            <w:proofErr w:type="spellEnd"/>
          </w:p>
        </w:tc>
        <w:tc>
          <w:tcPr>
            <w:tcW w:w="1470"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Contributed </w:t>
            </w:r>
            <w:proofErr w:type="spellStart"/>
            <w:r>
              <w:rPr>
                <w:rFonts w:cs="Calibri"/>
                <w:b/>
                <w:bCs/>
                <w:szCs w:val="18"/>
              </w:rPr>
              <w:t>superannuation</w:t>
            </w:r>
            <w:r>
              <w:rPr>
                <w:rFonts w:ascii="Arial" w:hAnsi="Arial" w:cs="Arial"/>
                <w:b/>
                <w:bCs/>
                <w:szCs w:val="18"/>
                <w:vertAlign w:val="superscript"/>
              </w:rPr>
              <w:t>3</w:t>
            </w:r>
            <w:proofErr w:type="spellEnd"/>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Reportable </w:t>
            </w:r>
            <w:proofErr w:type="spellStart"/>
            <w:r>
              <w:rPr>
                <w:rFonts w:cs="Calibri"/>
                <w:b/>
                <w:bCs/>
                <w:szCs w:val="18"/>
              </w:rPr>
              <w:t>allowances</w:t>
            </w:r>
            <w:r>
              <w:rPr>
                <w:rFonts w:ascii="Arial" w:hAnsi="Arial" w:cs="Arial"/>
                <w:b/>
                <w:bCs/>
                <w:szCs w:val="18"/>
                <w:vertAlign w:val="superscript"/>
              </w:rPr>
              <w:t>4</w:t>
            </w:r>
            <w:proofErr w:type="spellEnd"/>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Bonus </w:t>
            </w:r>
            <w:proofErr w:type="spellStart"/>
            <w:r>
              <w:rPr>
                <w:rFonts w:cs="Calibri"/>
                <w:b/>
                <w:bCs/>
                <w:szCs w:val="18"/>
              </w:rPr>
              <w:t>paid</w:t>
            </w:r>
            <w:r>
              <w:rPr>
                <w:rFonts w:ascii="Arial" w:hAnsi="Arial" w:cs="Arial"/>
                <w:b/>
                <w:bCs/>
                <w:szCs w:val="18"/>
                <w:vertAlign w:val="superscript"/>
              </w:rPr>
              <w:t>5</w:t>
            </w:r>
            <w:proofErr w:type="spellEnd"/>
          </w:p>
        </w:tc>
        <w:tc>
          <w:tcPr>
            <w:tcW w:w="127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 reportable remuneration</w:t>
            </w:r>
          </w:p>
        </w:tc>
      </w:tr>
      <w:tr w:rsidR="00361797" w:rsidTr="00B50E5D">
        <w:trPr>
          <w:trHeight w:val="255"/>
        </w:trPr>
        <w:tc>
          <w:tcPr>
            <w:tcW w:w="617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No.</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47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27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55"/>
        </w:trPr>
        <w:tc>
          <w:tcPr>
            <w:tcW w:w="61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Total reportable remuneration (including part-time arrangements)</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47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Less than $195,000</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133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48,691 </w:t>
            </w:r>
          </w:p>
        </w:tc>
        <w:tc>
          <w:tcPr>
            <w:tcW w:w="147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8,516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10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57,217</w:t>
            </w:r>
          </w:p>
        </w:tc>
      </w:tr>
      <w:tr w:rsidR="00361797" w:rsidTr="00B50E5D">
        <w:trPr>
          <w:trHeight w:val="255"/>
        </w:trPr>
        <w:tc>
          <w:tcPr>
            <w:tcW w:w="6176"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number of substantive senior executives</w:t>
            </w:r>
          </w:p>
        </w:tc>
        <w:tc>
          <w:tcPr>
            <w:tcW w:w="125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133</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47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bl>
    <w:p w:rsidR="00361797" w:rsidRDefault="00361797" w:rsidP="00361797">
      <w:bookmarkStart w:id="202" w:name="RANGE!D7:J22"/>
      <w:bookmarkStart w:id="203" w:name="RANGE!D7:J23"/>
      <w:bookmarkStart w:id="204" w:name="RANGE!D6:J22"/>
      <w:bookmarkStart w:id="205" w:name="RANGE!D6:J24"/>
      <w:bookmarkStart w:id="206" w:name="RANGE!D6:J18"/>
      <w:bookmarkStart w:id="207" w:name="RANGE!D6:J19"/>
      <w:bookmarkStart w:id="208" w:name="RANGE!D6:J20"/>
      <w:bookmarkEnd w:id="202"/>
      <w:bookmarkEnd w:id="203"/>
      <w:bookmarkEnd w:id="204"/>
      <w:bookmarkEnd w:id="205"/>
      <w:bookmarkEnd w:id="206"/>
      <w:bookmarkEnd w:id="207"/>
      <w:bookmarkEnd w:id="208"/>
    </w:p>
    <w:tbl>
      <w:tblPr>
        <w:tblW w:w="13991" w:type="dxa"/>
        <w:tblInd w:w="80" w:type="dxa"/>
        <w:tblLayout w:type="fixed"/>
        <w:tblLook w:val="04A0" w:firstRow="1" w:lastRow="0" w:firstColumn="1" w:lastColumn="0" w:noHBand="0" w:noVBand="1"/>
      </w:tblPr>
      <w:tblGrid>
        <w:gridCol w:w="6207"/>
        <w:gridCol w:w="1262"/>
        <w:gridCol w:w="1263"/>
        <w:gridCol w:w="1450"/>
        <w:gridCol w:w="1263"/>
        <w:gridCol w:w="1263"/>
        <w:gridCol w:w="1283"/>
      </w:tblGrid>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bookmarkStart w:id="209" w:name="Note_ERPTABLE2" w:colFirst="0" w:colLast="0"/>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bookmarkStart w:id="210" w:name="RANGE!D29:D43"/>
            <w:bookmarkEnd w:id="209"/>
            <w:r>
              <w:rPr>
                <w:rFonts w:ascii="Arial" w:hAnsi="Arial" w:cs="Arial"/>
                <w:b/>
                <w:bCs/>
                <w:szCs w:val="18"/>
              </w:rPr>
              <w:t> </w:t>
            </w:r>
            <w:bookmarkEnd w:id="210"/>
          </w:p>
        </w:tc>
        <w:tc>
          <w:tcPr>
            <w:tcW w:w="7742" w:type="dxa"/>
            <w:gridSpan w:val="6"/>
            <w:tcBorders>
              <w:top w:val="nil"/>
              <w:left w:val="nil"/>
              <w:bottom w:val="single" w:sz="4" w:space="0" w:color="auto"/>
              <w:right w:val="nil"/>
            </w:tcBorders>
            <w:shd w:val="clear" w:color="FFFFFF" w:fill="FFFFFF"/>
            <w:vAlign w:val="bottom"/>
            <w:hideMark/>
          </w:tcPr>
          <w:p w:rsidR="00361797" w:rsidRDefault="00361797" w:rsidP="00B50E5D">
            <w:pPr>
              <w:jc w:val="center"/>
              <w:rPr>
                <w:rFonts w:cs="Calibri"/>
                <w:szCs w:val="18"/>
              </w:rPr>
            </w:pPr>
            <w:r>
              <w:rPr>
                <w:rFonts w:cs="Calibri"/>
                <w:szCs w:val="18"/>
              </w:rPr>
              <w:t>2012-13</w:t>
            </w:r>
          </w:p>
        </w:tc>
      </w:tr>
      <w:tr w:rsidR="00361797" w:rsidTr="00B50E5D">
        <w:trPr>
          <w:trHeight w:val="750"/>
        </w:trPr>
        <w:tc>
          <w:tcPr>
            <w:tcW w:w="6176" w:type="dxa"/>
            <w:tcBorders>
              <w:top w:val="single" w:sz="4" w:space="0" w:color="auto"/>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Average annual reportable </w:t>
            </w:r>
            <w:proofErr w:type="spellStart"/>
            <w:r>
              <w:rPr>
                <w:rFonts w:cs="Calibri"/>
                <w:b/>
                <w:bCs/>
                <w:szCs w:val="18"/>
              </w:rPr>
              <w:t>remuneration</w:t>
            </w:r>
            <w:r>
              <w:rPr>
                <w:rFonts w:cs="Calibri"/>
                <w:b/>
                <w:bCs/>
                <w:szCs w:val="18"/>
                <w:vertAlign w:val="superscript"/>
              </w:rPr>
              <w:t>1</w:t>
            </w:r>
            <w:proofErr w:type="spellEnd"/>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Substantive Senior Executives</w:t>
            </w:r>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Reportable </w:t>
            </w:r>
            <w:proofErr w:type="spellStart"/>
            <w:r>
              <w:rPr>
                <w:rFonts w:cs="Calibri"/>
                <w:szCs w:val="18"/>
              </w:rPr>
              <w:t>salary</w:t>
            </w:r>
            <w:r>
              <w:rPr>
                <w:rFonts w:ascii="Arial" w:hAnsi="Arial" w:cs="Arial"/>
                <w:szCs w:val="18"/>
                <w:vertAlign w:val="superscript"/>
              </w:rPr>
              <w:t>2</w:t>
            </w:r>
            <w:proofErr w:type="spellEnd"/>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Contributed </w:t>
            </w:r>
            <w:proofErr w:type="spellStart"/>
            <w:r>
              <w:rPr>
                <w:rFonts w:cs="Calibri"/>
                <w:szCs w:val="18"/>
              </w:rPr>
              <w:t>superannuation</w:t>
            </w:r>
            <w:r>
              <w:rPr>
                <w:rFonts w:ascii="Arial" w:hAnsi="Arial" w:cs="Arial"/>
                <w:szCs w:val="18"/>
                <w:vertAlign w:val="superscript"/>
              </w:rPr>
              <w:t>3</w:t>
            </w:r>
            <w:proofErr w:type="spellEnd"/>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Reportable </w:t>
            </w:r>
            <w:proofErr w:type="spellStart"/>
            <w:r>
              <w:rPr>
                <w:rFonts w:cs="Calibri"/>
                <w:szCs w:val="18"/>
              </w:rPr>
              <w:t>allowances</w:t>
            </w:r>
            <w:r>
              <w:rPr>
                <w:rFonts w:ascii="Arial" w:hAnsi="Arial" w:cs="Arial"/>
                <w:szCs w:val="18"/>
                <w:vertAlign w:val="superscript"/>
              </w:rPr>
              <w:t>4</w:t>
            </w:r>
            <w:proofErr w:type="spellEnd"/>
          </w:p>
        </w:tc>
        <w:tc>
          <w:tcPr>
            <w:tcW w:w="125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Bonus </w:t>
            </w:r>
            <w:proofErr w:type="spellStart"/>
            <w:r>
              <w:rPr>
                <w:rFonts w:cs="Calibri"/>
                <w:szCs w:val="18"/>
              </w:rPr>
              <w:t>paid</w:t>
            </w:r>
            <w:r>
              <w:rPr>
                <w:rFonts w:ascii="Arial" w:hAnsi="Arial" w:cs="Arial"/>
                <w:szCs w:val="18"/>
                <w:vertAlign w:val="superscript"/>
              </w:rPr>
              <w:t>5</w:t>
            </w:r>
            <w:proofErr w:type="spellEnd"/>
          </w:p>
        </w:tc>
        <w:tc>
          <w:tcPr>
            <w:tcW w:w="127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 reportable remuneration</w:t>
            </w:r>
          </w:p>
        </w:tc>
      </w:tr>
      <w:tr w:rsidR="00361797" w:rsidTr="00B50E5D">
        <w:trPr>
          <w:trHeight w:val="255"/>
        </w:trPr>
        <w:tc>
          <w:tcPr>
            <w:tcW w:w="6176"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No.</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25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27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617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Total reportable remuneration (including part-time arrangements)</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Less than $195,000</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30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91,699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14,815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106,514</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$195,000 to $224,999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37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179,836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31,239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211,075</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$225,000 to $254,999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41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201,107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35,799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236,906</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$255,000 to $284,999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11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229,353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40,011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269,364</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$285,000 to $314,999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13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255,928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41,466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297,394</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$315,000 to $344,999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273,458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50,986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324,444</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$345,000 to $374,999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305,840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52,861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358,701</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$375,000 to $404,999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324,389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58,406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382,795</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$405,000 to $434,999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378,324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32,955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411,279</w:t>
            </w:r>
          </w:p>
        </w:tc>
      </w:tr>
      <w:tr w:rsidR="00361797" w:rsidTr="00B50E5D">
        <w:trPr>
          <w:trHeight w:val="255"/>
        </w:trPr>
        <w:tc>
          <w:tcPr>
            <w:tcW w:w="6176"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$645,000 to $674,999</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574,526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94,093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1,800 </w:t>
            </w:r>
          </w:p>
        </w:tc>
        <w:tc>
          <w:tcPr>
            <w:tcW w:w="125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7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670,419</w:t>
            </w:r>
          </w:p>
        </w:tc>
      </w:tr>
      <w:tr w:rsidR="00361797" w:rsidTr="00B50E5D">
        <w:trPr>
          <w:trHeight w:val="255"/>
        </w:trPr>
        <w:tc>
          <w:tcPr>
            <w:tcW w:w="6176"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number of substantive senior executives</w:t>
            </w:r>
          </w:p>
        </w:tc>
        <w:tc>
          <w:tcPr>
            <w:tcW w:w="1256"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147</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bl>
    <w:p w:rsidR="00361797" w:rsidRDefault="00361797" w:rsidP="00361797">
      <w:bookmarkStart w:id="211" w:name="RANGE!D28:J43"/>
      <w:bookmarkStart w:id="212" w:name="RANGE!D30:J44"/>
      <w:bookmarkStart w:id="213" w:name="RANGE!D30:J46"/>
      <w:bookmarkStart w:id="214" w:name="RANGE!D24:J34"/>
      <w:bookmarkEnd w:id="211"/>
      <w:bookmarkEnd w:id="212"/>
      <w:bookmarkEnd w:id="213"/>
      <w:bookmarkEnd w:id="214"/>
    </w:p>
    <w:p w:rsidR="00361797" w:rsidRDefault="00361797" w:rsidP="00361797">
      <w:pPr>
        <w:pStyle w:val="ReferenceText"/>
      </w:pPr>
      <w:r>
        <w:t>Notes:</w:t>
      </w:r>
    </w:p>
    <w:p w:rsidR="00361797" w:rsidRDefault="00361797" w:rsidP="00361797">
      <w:pPr>
        <w:pStyle w:val="ReferenceText"/>
      </w:pPr>
      <w:r w:rsidRPr="005B1BB0">
        <w:rPr>
          <w:vertAlign w:val="superscript"/>
        </w:rPr>
        <w:t>1</w:t>
      </w:r>
      <w:r>
        <w:t xml:space="preserve"> This table reports substantive senior executives who received remuneration during the reporting period. Each row is an averaged figure based on headcount for individuals in the band.</w:t>
      </w:r>
    </w:p>
    <w:p w:rsidR="00361797" w:rsidRDefault="00361797" w:rsidP="00361797">
      <w:pPr>
        <w:pStyle w:val="ReferenceText"/>
      </w:pPr>
      <w:r w:rsidRPr="005B1BB0">
        <w:rPr>
          <w:vertAlign w:val="superscript"/>
        </w:rPr>
        <w:t>2</w:t>
      </w:r>
      <w:r>
        <w:t xml:space="preserve"> 'Reportable salary' includes the following: </w:t>
      </w:r>
    </w:p>
    <w:p w:rsidR="00361797" w:rsidRDefault="00361797" w:rsidP="00361797">
      <w:pPr>
        <w:pStyle w:val="ReferenceText"/>
      </w:pPr>
      <w:r>
        <w:t xml:space="preserve">a) </w:t>
      </w:r>
      <w:proofErr w:type="gramStart"/>
      <w:r>
        <w:t>gross</w:t>
      </w:r>
      <w:proofErr w:type="gramEnd"/>
      <w:r>
        <w:t xml:space="preserve"> payments (less any bonuses paid, which are separated out and disclosed in the 'bonus paid' column)</w:t>
      </w:r>
    </w:p>
    <w:p w:rsidR="00361797" w:rsidRDefault="00361797" w:rsidP="00361797">
      <w:pPr>
        <w:pStyle w:val="ReferenceText"/>
      </w:pPr>
      <w:r>
        <w:lastRenderedPageBreak/>
        <w:t xml:space="preserve">b) </w:t>
      </w:r>
      <w:proofErr w:type="gramStart"/>
      <w:r>
        <w:t>reportable</w:t>
      </w:r>
      <w:proofErr w:type="gramEnd"/>
      <w:r>
        <w:t xml:space="preserve"> fringe benefits (at the net amount prior to 'grossing up' for tax purposes)</w:t>
      </w:r>
    </w:p>
    <w:p w:rsidR="00361797" w:rsidRDefault="00361797" w:rsidP="00361797">
      <w:pPr>
        <w:pStyle w:val="ReferenceText"/>
      </w:pPr>
      <w:r>
        <w:t xml:space="preserve">c) </w:t>
      </w:r>
      <w:proofErr w:type="gramStart"/>
      <w:r>
        <w:t>reportable</w:t>
      </w:r>
      <w:proofErr w:type="gramEnd"/>
      <w:r>
        <w:t xml:space="preserve"> employer superannuation contributions</w:t>
      </w:r>
    </w:p>
    <w:p w:rsidR="00361797" w:rsidRDefault="00361797" w:rsidP="00361797">
      <w:pPr>
        <w:pStyle w:val="ReferenceText"/>
      </w:pPr>
      <w:r>
        <w:t xml:space="preserve">d) </w:t>
      </w:r>
      <w:proofErr w:type="gramStart"/>
      <w:r>
        <w:t>exempt</w:t>
      </w:r>
      <w:proofErr w:type="gramEnd"/>
      <w:r>
        <w:t xml:space="preserve"> foreign employment income.</w:t>
      </w:r>
    </w:p>
    <w:p w:rsidR="00361797" w:rsidRDefault="00361797" w:rsidP="00361797">
      <w:pPr>
        <w:pStyle w:val="ReferenceText"/>
      </w:pPr>
      <w:r w:rsidRPr="005B1BB0">
        <w:rPr>
          <w:vertAlign w:val="superscript"/>
        </w:rPr>
        <w:t>3</w:t>
      </w:r>
      <w:r>
        <w:t xml:space="preserve"> The 'contributed superannuation' amount is the average cost to the department for the provision of superannuation benefits to substantive senior executives in that reportable remuneration band during the reporting period.</w:t>
      </w:r>
    </w:p>
    <w:p w:rsidR="00361797" w:rsidRDefault="00361797" w:rsidP="00361797">
      <w:pPr>
        <w:pStyle w:val="ReferenceText"/>
      </w:pPr>
      <w:r w:rsidRPr="005B1BB0">
        <w:rPr>
          <w:vertAlign w:val="superscript"/>
        </w:rPr>
        <w:t>4</w:t>
      </w:r>
      <w:r>
        <w:t xml:space="preserve"> 'Reportable allowances' are the average actual allowances paid as per the 'total allowances' line on individuals' payment summaries.</w:t>
      </w:r>
    </w:p>
    <w:p w:rsidR="00361797" w:rsidRDefault="00361797" w:rsidP="00361797">
      <w:pPr>
        <w:pStyle w:val="ReferenceText"/>
      </w:pPr>
      <w:r w:rsidRPr="005B1BB0">
        <w:rPr>
          <w:vertAlign w:val="superscript"/>
        </w:rPr>
        <w:t>5</w:t>
      </w:r>
      <w:r>
        <w:t xml:space="preserve"> 'Bonus paid' represents average actual bonuses paid during the reporting period in that reportable remuneration band. Existing remuneration arrangements for senior executives do not provide for the payment of performance bonuses.</w:t>
      </w:r>
      <w:r>
        <w:br w:type="page"/>
      </w:r>
    </w:p>
    <w:tbl>
      <w:tblPr>
        <w:tblW w:w="13991" w:type="dxa"/>
        <w:tblInd w:w="80" w:type="dxa"/>
        <w:tblLayout w:type="fixed"/>
        <w:tblLook w:val="04A0" w:firstRow="1" w:lastRow="0" w:firstColumn="1" w:lastColumn="0" w:noHBand="0" w:noVBand="1"/>
      </w:tblPr>
      <w:tblGrid>
        <w:gridCol w:w="5056"/>
        <w:gridCol w:w="1453"/>
        <w:gridCol w:w="1453"/>
        <w:gridCol w:w="1672"/>
        <w:gridCol w:w="1453"/>
        <w:gridCol w:w="1452"/>
        <w:gridCol w:w="1452"/>
      </w:tblGrid>
      <w:tr w:rsidR="00361797" w:rsidTr="00B50E5D">
        <w:trPr>
          <w:trHeight w:val="240"/>
        </w:trPr>
        <w:tc>
          <w:tcPr>
            <w:tcW w:w="9561" w:type="dxa"/>
            <w:gridSpan w:val="4"/>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15" w:name="Note_HPSTABLE1" w:colFirst="0" w:colLast="0"/>
            <w:r>
              <w:rPr>
                <w:rFonts w:cs="Calibri"/>
                <w:b/>
                <w:bCs/>
                <w:szCs w:val="18"/>
                <w:u w:val="single"/>
              </w:rPr>
              <w:lastRenderedPageBreak/>
              <w:t xml:space="preserve">Note </w:t>
            </w:r>
            <w:proofErr w:type="spellStart"/>
            <w:r>
              <w:rPr>
                <w:rFonts w:cs="Calibri"/>
                <w:b/>
                <w:bCs/>
                <w:szCs w:val="18"/>
                <w:u w:val="single"/>
              </w:rPr>
              <w:t>13C</w:t>
            </w:r>
            <w:proofErr w:type="spellEnd"/>
            <w:r>
              <w:rPr>
                <w:rFonts w:cs="Calibri"/>
                <w:b/>
                <w:bCs/>
                <w:szCs w:val="18"/>
                <w:u w:val="single"/>
              </w:rPr>
              <w:t>: Average annual reportable remuneration paid to other highly paid staff during the reporting period</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4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4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215"/>
      <w:tr w:rsidR="00361797" w:rsidTr="00B50E5D">
        <w:trPr>
          <w:trHeight w:val="240"/>
        </w:trPr>
        <w:tc>
          <w:tcPr>
            <w:tcW w:w="501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8867" w:type="dxa"/>
            <w:gridSpan w:val="6"/>
            <w:tcBorders>
              <w:top w:val="nil"/>
              <w:left w:val="nil"/>
              <w:bottom w:val="single" w:sz="4" w:space="0" w:color="auto"/>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2013-14</w:t>
            </w:r>
          </w:p>
        </w:tc>
      </w:tr>
      <w:tr w:rsidR="00361797" w:rsidTr="00B50E5D">
        <w:trPr>
          <w:trHeight w:val="510"/>
        </w:trPr>
        <w:tc>
          <w:tcPr>
            <w:tcW w:w="5018" w:type="dxa"/>
            <w:tcBorders>
              <w:top w:val="single" w:sz="4" w:space="0" w:color="auto"/>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Average annual reportable </w:t>
            </w:r>
            <w:proofErr w:type="spellStart"/>
            <w:r>
              <w:rPr>
                <w:rFonts w:cs="Calibri"/>
                <w:b/>
                <w:bCs/>
                <w:szCs w:val="18"/>
              </w:rPr>
              <w:t>remuneration</w:t>
            </w:r>
            <w:r>
              <w:rPr>
                <w:rFonts w:cs="Calibri"/>
                <w:b/>
                <w:bCs/>
                <w:szCs w:val="18"/>
                <w:vertAlign w:val="superscript"/>
              </w:rPr>
              <w:t>1</w:t>
            </w:r>
            <w:proofErr w:type="spellEnd"/>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Other highly paid staff</w:t>
            </w:r>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Reportable </w:t>
            </w:r>
            <w:proofErr w:type="spellStart"/>
            <w:r>
              <w:rPr>
                <w:rFonts w:cs="Calibri"/>
                <w:b/>
                <w:bCs/>
                <w:szCs w:val="18"/>
              </w:rPr>
              <w:t>salary</w:t>
            </w:r>
            <w:r>
              <w:rPr>
                <w:rFonts w:ascii="Arial" w:hAnsi="Arial" w:cs="Arial"/>
                <w:b/>
                <w:bCs/>
                <w:szCs w:val="18"/>
                <w:vertAlign w:val="superscript"/>
              </w:rPr>
              <w:t>2</w:t>
            </w:r>
            <w:proofErr w:type="spellEnd"/>
          </w:p>
        </w:tc>
        <w:tc>
          <w:tcPr>
            <w:tcW w:w="1659"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Contributed </w:t>
            </w:r>
            <w:proofErr w:type="spellStart"/>
            <w:r>
              <w:rPr>
                <w:rFonts w:cs="Calibri"/>
                <w:b/>
                <w:bCs/>
                <w:szCs w:val="18"/>
              </w:rPr>
              <w:t>superannuation</w:t>
            </w:r>
            <w:r>
              <w:rPr>
                <w:rFonts w:ascii="Arial" w:hAnsi="Arial" w:cs="Arial"/>
                <w:b/>
                <w:bCs/>
                <w:szCs w:val="18"/>
                <w:vertAlign w:val="superscript"/>
              </w:rPr>
              <w:t>3</w:t>
            </w:r>
            <w:proofErr w:type="spellEnd"/>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Reportable </w:t>
            </w:r>
            <w:proofErr w:type="spellStart"/>
            <w:r>
              <w:rPr>
                <w:rFonts w:cs="Calibri"/>
                <w:b/>
                <w:bCs/>
                <w:szCs w:val="18"/>
              </w:rPr>
              <w:t>allowances</w:t>
            </w:r>
            <w:r>
              <w:rPr>
                <w:rFonts w:ascii="Arial" w:hAnsi="Arial" w:cs="Arial"/>
                <w:b/>
                <w:bCs/>
                <w:szCs w:val="18"/>
                <w:vertAlign w:val="superscript"/>
              </w:rPr>
              <w:t>4</w:t>
            </w:r>
            <w:proofErr w:type="spellEnd"/>
          </w:p>
        </w:tc>
        <w:tc>
          <w:tcPr>
            <w:tcW w:w="1441"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Bonus </w:t>
            </w:r>
            <w:proofErr w:type="spellStart"/>
            <w:r>
              <w:rPr>
                <w:rFonts w:cs="Calibri"/>
                <w:b/>
                <w:bCs/>
                <w:szCs w:val="18"/>
              </w:rPr>
              <w:t>paid</w:t>
            </w:r>
            <w:r>
              <w:rPr>
                <w:rFonts w:ascii="Arial" w:hAnsi="Arial" w:cs="Arial"/>
                <w:b/>
                <w:bCs/>
                <w:szCs w:val="18"/>
                <w:vertAlign w:val="superscript"/>
              </w:rPr>
              <w:t>5</w:t>
            </w:r>
            <w:proofErr w:type="spellEnd"/>
          </w:p>
        </w:tc>
        <w:tc>
          <w:tcPr>
            <w:tcW w:w="1441"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 reportable remuneration</w:t>
            </w:r>
          </w:p>
        </w:tc>
      </w:tr>
      <w:tr w:rsidR="00361797" w:rsidTr="00B50E5D">
        <w:trPr>
          <w:trHeight w:val="255"/>
        </w:trPr>
        <w:tc>
          <w:tcPr>
            <w:tcW w:w="5018"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No.</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659"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441"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1441"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r>
      <w:tr w:rsidR="00361797" w:rsidTr="00B50E5D">
        <w:trPr>
          <w:trHeight w:val="240"/>
        </w:trPr>
        <w:tc>
          <w:tcPr>
            <w:tcW w:w="501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reportable remuneration (including part time arrangements):</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659"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r>
      <w:tr w:rsidR="00361797" w:rsidTr="00B50E5D">
        <w:trPr>
          <w:trHeight w:val="240"/>
        </w:trPr>
        <w:tc>
          <w:tcPr>
            <w:tcW w:w="501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$195,000 to $224,999</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659"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41"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41"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40"/>
        </w:trPr>
        <w:tc>
          <w:tcPr>
            <w:tcW w:w="5018"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number of other highly paid staff</w:t>
            </w:r>
          </w:p>
        </w:tc>
        <w:tc>
          <w:tcPr>
            <w:tcW w:w="1442"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442"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659"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442"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441"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441"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bl>
    <w:p w:rsidR="00361797" w:rsidRDefault="00361797" w:rsidP="00361797">
      <w:bookmarkStart w:id="216" w:name="RANGE!D7:J14"/>
      <w:bookmarkStart w:id="217" w:name="RANGE!D7:J15"/>
      <w:bookmarkStart w:id="218" w:name="RANGE!D6:J15"/>
      <w:bookmarkStart w:id="219" w:name="RANGE!D6:J6"/>
      <w:bookmarkStart w:id="220" w:name="RANGE!D6:J16"/>
      <w:bookmarkEnd w:id="216"/>
      <w:bookmarkEnd w:id="217"/>
      <w:bookmarkEnd w:id="218"/>
      <w:bookmarkEnd w:id="219"/>
      <w:bookmarkEnd w:id="220"/>
    </w:p>
    <w:tbl>
      <w:tblPr>
        <w:tblW w:w="13991" w:type="dxa"/>
        <w:tblInd w:w="80" w:type="dxa"/>
        <w:tblLayout w:type="fixed"/>
        <w:tblLook w:val="04A0" w:firstRow="1" w:lastRow="0" w:firstColumn="1" w:lastColumn="0" w:noHBand="0" w:noVBand="1"/>
      </w:tblPr>
      <w:tblGrid>
        <w:gridCol w:w="5056"/>
        <w:gridCol w:w="1453"/>
        <w:gridCol w:w="1453"/>
        <w:gridCol w:w="1672"/>
        <w:gridCol w:w="1453"/>
        <w:gridCol w:w="1452"/>
        <w:gridCol w:w="1452"/>
      </w:tblGrid>
      <w:tr w:rsidR="00361797" w:rsidTr="00B50E5D">
        <w:trPr>
          <w:trHeight w:val="240"/>
        </w:trPr>
        <w:tc>
          <w:tcPr>
            <w:tcW w:w="501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bookmarkStart w:id="221" w:name="RANGE!D20:D25"/>
            <w:bookmarkStart w:id="222" w:name="Note_HPSTABLE2" w:colFirst="0" w:colLast="0"/>
            <w:r>
              <w:rPr>
                <w:rFonts w:ascii="Arial" w:hAnsi="Arial" w:cs="Arial"/>
                <w:b/>
                <w:bCs/>
                <w:szCs w:val="18"/>
              </w:rPr>
              <w:t> </w:t>
            </w:r>
            <w:bookmarkEnd w:id="221"/>
          </w:p>
        </w:tc>
        <w:tc>
          <w:tcPr>
            <w:tcW w:w="8867" w:type="dxa"/>
            <w:gridSpan w:val="6"/>
            <w:tcBorders>
              <w:top w:val="nil"/>
              <w:left w:val="nil"/>
              <w:bottom w:val="single" w:sz="4" w:space="0" w:color="auto"/>
              <w:right w:val="nil"/>
            </w:tcBorders>
            <w:shd w:val="clear" w:color="FFFFFF" w:fill="FFFFFF"/>
            <w:vAlign w:val="bottom"/>
            <w:hideMark/>
          </w:tcPr>
          <w:p w:rsidR="00361797" w:rsidRDefault="00361797" w:rsidP="00B50E5D">
            <w:pPr>
              <w:jc w:val="center"/>
              <w:rPr>
                <w:rFonts w:cs="Calibri"/>
                <w:szCs w:val="18"/>
              </w:rPr>
            </w:pPr>
            <w:r>
              <w:rPr>
                <w:rFonts w:cs="Calibri"/>
                <w:szCs w:val="18"/>
              </w:rPr>
              <w:t>2012-13</w:t>
            </w:r>
          </w:p>
        </w:tc>
      </w:tr>
      <w:bookmarkEnd w:id="222"/>
      <w:tr w:rsidR="00361797" w:rsidTr="00B50E5D">
        <w:trPr>
          <w:trHeight w:val="720"/>
        </w:trPr>
        <w:tc>
          <w:tcPr>
            <w:tcW w:w="5018" w:type="dxa"/>
            <w:tcBorders>
              <w:top w:val="single" w:sz="4" w:space="0" w:color="auto"/>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xml:space="preserve">Average annual reportable </w:t>
            </w:r>
            <w:proofErr w:type="spellStart"/>
            <w:r>
              <w:rPr>
                <w:rFonts w:cs="Calibri"/>
                <w:b/>
                <w:bCs/>
                <w:szCs w:val="18"/>
              </w:rPr>
              <w:t>remuneration</w:t>
            </w:r>
            <w:r>
              <w:rPr>
                <w:rFonts w:cs="Calibri"/>
                <w:b/>
                <w:bCs/>
                <w:szCs w:val="18"/>
                <w:vertAlign w:val="superscript"/>
              </w:rPr>
              <w:t>1</w:t>
            </w:r>
            <w:proofErr w:type="spellEnd"/>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Other highly paid staff</w:t>
            </w:r>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Reportable </w:t>
            </w:r>
            <w:proofErr w:type="spellStart"/>
            <w:r>
              <w:rPr>
                <w:rFonts w:cs="Calibri"/>
                <w:szCs w:val="18"/>
              </w:rPr>
              <w:t>salary</w:t>
            </w:r>
            <w:r>
              <w:rPr>
                <w:rFonts w:ascii="Arial" w:hAnsi="Arial" w:cs="Arial"/>
                <w:szCs w:val="18"/>
                <w:vertAlign w:val="superscript"/>
              </w:rPr>
              <w:t>2</w:t>
            </w:r>
            <w:proofErr w:type="spellEnd"/>
          </w:p>
        </w:tc>
        <w:tc>
          <w:tcPr>
            <w:tcW w:w="1659"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Contributed </w:t>
            </w:r>
            <w:proofErr w:type="spellStart"/>
            <w:r>
              <w:rPr>
                <w:rFonts w:cs="Calibri"/>
                <w:szCs w:val="18"/>
              </w:rPr>
              <w:t>superannuation</w:t>
            </w:r>
            <w:r>
              <w:rPr>
                <w:rFonts w:ascii="Arial" w:hAnsi="Arial" w:cs="Arial"/>
                <w:szCs w:val="18"/>
                <w:vertAlign w:val="superscript"/>
              </w:rPr>
              <w:t>3</w:t>
            </w:r>
            <w:proofErr w:type="spellEnd"/>
          </w:p>
        </w:tc>
        <w:tc>
          <w:tcPr>
            <w:tcW w:w="1442"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Reportable </w:t>
            </w:r>
            <w:proofErr w:type="spellStart"/>
            <w:r>
              <w:rPr>
                <w:rFonts w:cs="Calibri"/>
                <w:szCs w:val="18"/>
              </w:rPr>
              <w:t>allowances</w:t>
            </w:r>
            <w:r>
              <w:rPr>
                <w:rFonts w:ascii="Arial" w:hAnsi="Arial" w:cs="Arial"/>
                <w:szCs w:val="18"/>
                <w:vertAlign w:val="superscript"/>
              </w:rPr>
              <w:t>4</w:t>
            </w:r>
            <w:proofErr w:type="spellEnd"/>
          </w:p>
        </w:tc>
        <w:tc>
          <w:tcPr>
            <w:tcW w:w="1441"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Bonus </w:t>
            </w:r>
            <w:proofErr w:type="spellStart"/>
            <w:r>
              <w:rPr>
                <w:rFonts w:cs="Calibri"/>
                <w:szCs w:val="18"/>
              </w:rPr>
              <w:t>paid</w:t>
            </w:r>
            <w:r>
              <w:rPr>
                <w:rFonts w:ascii="Arial" w:hAnsi="Arial" w:cs="Arial"/>
                <w:szCs w:val="18"/>
                <w:vertAlign w:val="superscript"/>
              </w:rPr>
              <w:t>5</w:t>
            </w:r>
            <w:proofErr w:type="spellEnd"/>
          </w:p>
        </w:tc>
        <w:tc>
          <w:tcPr>
            <w:tcW w:w="1441"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 reportable remuneration</w:t>
            </w:r>
          </w:p>
        </w:tc>
      </w:tr>
      <w:tr w:rsidR="00361797" w:rsidTr="00B50E5D">
        <w:trPr>
          <w:trHeight w:val="255"/>
        </w:trPr>
        <w:tc>
          <w:tcPr>
            <w:tcW w:w="5018"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No.</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659"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442"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441"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c>
          <w:tcPr>
            <w:tcW w:w="1441"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r>
      <w:tr w:rsidR="00361797" w:rsidTr="00B50E5D">
        <w:trPr>
          <w:trHeight w:val="240"/>
        </w:trPr>
        <w:tc>
          <w:tcPr>
            <w:tcW w:w="501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reportable remuneration (including part time arrangements):</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659"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44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r>
      <w:tr w:rsidR="00361797" w:rsidTr="00B50E5D">
        <w:trPr>
          <w:trHeight w:val="240"/>
        </w:trPr>
        <w:tc>
          <w:tcPr>
            <w:tcW w:w="501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$195,000 to $224,999</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183,834 </w:t>
            </w:r>
          </w:p>
        </w:tc>
        <w:tc>
          <w:tcPr>
            <w:tcW w:w="1659"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25,443 </w:t>
            </w:r>
          </w:p>
        </w:tc>
        <w:tc>
          <w:tcPr>
            <w:tcW w:w="144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41"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441"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209,277 </w:t>
            </w:r>
          </w:p>
        </w:tc>
      </w:tr>
      <w:tr w:rsidR="00361797" w:rsidTr="00B50E5D">
        <w:trPr>
          <w:trHeight w:val="240"/>
        </w:trPr>
        <w:tc>
          <w:tcPr>
            <w:tcW w:w="5018"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number of other highly paid staff</w:t>
            </w:r>
          </w:p>
        </w:tc>
        <w:tc>
          <w:tcPr>
            <w:tcW w:w="1442"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w:t>
            </w:r>
          </w:p>
        </w:tc>
        <w:tc>
          <w:tcPr>
            <w:tcW w:w="1442"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659"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442"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441"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441" w:type="dxa"/>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bl>
    <w:p w:rsidR="00361797" w:rsidRDefault="00361797" w:rsidP="00361797">
      <w:pPr>
        <w:pStyle w:val="ReferenceText"/>
      </w:pPr>
      <w:bookmarkStart w:id="223" w:name="RANGE!D20:J25"/>
      <w:bookmarkStart w:id="224" w:name="RANGE!D20:J26"/>
      <w:bookmarkStart w:id="225" w:name="RANGE!D21:J28"/>
      <w:bookmarkStart w:id="226" w:name="RANGE!D24:J29"/>
      <w:bookmarkStart w:id="227" w:name="RANGE!D25:J30"/>
      <w:bookmarkStart w:id="228" w:name="RANGE!D25:J33"/>
      <w:bookmarkStart w:id="229" w:name="RANGE!D24:J32"/>
      <w:bookmarkEnd w:id="223"/>
      <w:bookmarkEnd w:id="224"/>
      <w:bookmarkEnd w:id="225"/>
      <w:bookmarkEnd w:id="226"/>
      <w:bookmarkEnd w:id="227"/>
      <w:bookmarkEnd w:id="228"/>
      <w:bookmarkEnd w:id="229"/>
      <w:r>
        <w:t>Notes:</w:t>
      </w:r>
    </w:p>
    <w:p w:rsidR="00361797" w:rsidRDefault="00361797" w:rsidP="00361797">
      <w:pPr>
        <w:pStyle w:val="ReferenceText"/>
      </w:pPr>
      <w:r w:rsidRPr="00103CE8">
        <w:rPr>
          <w:vertAlign w:val="superscript"/>
        </w:rPr>
        <w:t>1</w:t>
      </w:r>
      <w:r>
        <w:t xml:space="preserve"> This table reports staff: </w:t>
      </w:r>
    </w:p>
    <w:p w:rsidR="00361797" w:rsidRDefault="00361797" w:rsidP="00361797">
      <w:pPr>
        <w:pStyle w:val="ReferenceText"/>
      </w:pPr>
      <w:r>
        <w:t xml:space="preserve">a) </w:t>
      </w:r>
      <w:proofErr w:type="gramStart"/>
      <w:r>
        <w:t>who</w:t>
      </w:r>
      <w:proofErr w:type="gramEnd"/>
      <w:r>
        <w:t xml:space="preserve"> were employed by the department during the reporting period</w:t>
      </w:r>
    </w:p>
    <w:p w:rsidR="00361797" w:rsidRDefault="00361797" w:rsidP="00361797">
      <w:pPr>
        <w:pStyle w:val="ReferenceText"/>
      </w:pPr>
      <w:r>
        <w:t xml:space="preserve">b) </w:t>
      </w:r>
      <w:proofErr w:type="gramStart"/>
      <w:r>
        <w:t>whose</w:t>
      </w:r>
      <w:proofErr w:type="gramEnd"/>
      <w:r>
        <w:t xml:space="preserve"> reportable remuneration was $195,000 or more for the reporting period </w:t>
      </w:r>
    </w:p>
    <w:p w:rsidR="00361797" w:rsidRDefault="00361797" w:rsidP="00361797">
      <w:pPr>
        <w:pStyle w:val="ReferenceText"/>
      </w:pPr>
      <w:r>
        <w:t xml:space="preserve">c) </w:t>
      </w:r>
      <w:proofErr w:type="gramStart"/>
      <w:r>
        <w:t>were</w:t>
      </w:r>
      <w:proofErr w:type="gramEnd"/>
      <w:r>
        <w:t xml:space="preserve"> not required to be disclosed in Tables A or B.</w:t>
      </w:r>
    </w:p>
    <w:p w:rsidR="00361797" w:rsidRDefault="00361797" w:rsidP="00361797">
      <w:pPr>
        <w:pStyle w:val="ReferenceText"/>
      </w:pPr>
      <w:r>
        <w:t>Each row is an averaged figure based on headcount for individuals in the band.</w:t>
      </w:r>
    </w:p>
    <w:p w:rsidR="00361797" w:rsidRDefault="00361797" w:rsidP="00361797">
      <w:pPr>
        <w:pStyle w:val="ReferenceText"/>
      </w:pPr>
      <w:r w:rsidRPr="00103CE8">
        <w:rPr>
          <w:vertAlign w:val="superscript"/>
        </w:rPr>
        <w:t>2</w:t>
      </w:r>
      <w:r>
        <w:t xml:space="preserve"> 'Reportable salary' includes the following: </w:t>
      </w:r>
    </w:p>
    <w:p w:rsidR="00361797" w:rsidRDefault="00361797" w:rsidP="00361797">
      <w:pPr>
        <w:pStyle w:val="ReferenceText"/>
      </w:pPr>
      <w:r>
        <w:t xml:space="preserve">a) </w:t>
      </w:r>
      <w:proofErr w:type="gramStart"/>
      <w:r>
        <w:t>gross</w:t>
      </w:r>
      <w:proofErr w:type="gramEnd"/>
      <w:r>
        <w:t xml:space="preserve"> payments (less any bonuses paid, which are separated out and disclosed in the 'bonus paid' column)</w:t>
      </w:r>
    </w:p>
    <w:p w:rsidR="00361797" w:rsidRDefault="00361797" w:rsidP="00361797">
      <w:pPr>
        <w:pStyle w:val="ReferenceText"/>
      </w:pPr>
      <w:r>
        <w:t xml:space="preserve">b) </w:t>
      </w:r>
      <w:proofErr w:type="gramStart"/>
      <w:r>
        <w:t>reportable</w:t>
      </w:r>
      <w:proofErr w:type="gramEnd"/>
      <w:r>
        <w:t xml:space="preserve"> fringe benefits (at the net amount prior to 'grossing up' for tax purposes)</w:t>
      </w:r>
    </w:p>
    <w:p w:rsidR="00361797" w:rsidRDefault="00361797" w:rsidP="00361797">
      <w:pPr>
        <w:pStyle w:val="ReferenceText"/>
      </w:pPr>
      <w:r>
        <w:t xml:space="preserve">c) </w:t>
      </w:r>
      <w:proofErr w:type="gramStart"/>
      <w:r>
        <w:t>reportable</w:t>
      </w:r>
      <w:proofErr w:type="gramEnd"/>
      <w:r>
        <w:t xml:space="preserve"> employer superannuation contribution</w:t>
      </w:r>
    </w:p>
    <w:p w:rsidR="00361797" w:rsidRDefault="00361797" w:rsidP="00361797">
      <w:pPr>
        <w:pStyle w:val="ReferenceText"/>
      </w:pPr>
      <w:r>
        <w:t xml:space="preserve">d) </w:t>
      </w:r>
      <w:proofErr w:type="gramStart"/>
      <w:r>
        <w:t>exempt</w:t>
      </w:r>
      <w:proofErr w:type="gramEnd"/>
      <w:r>
        <w:t xml:space="preserve"> foreign employment income.</w:t>
      </w:r>
    </w:p>
    <w:p w:rsidR="00361797" w:rsidRDefault="00361797" w:rsidP="00361797">
      <w:pPr>
        <w:pStyle w:val="ReferenceText"/>
      </w:pPr>
      <w:r w:rsidRPr="00103CE8">
        <w:rPr>
          <w:vertAlign w:val="superscript"/>
        </w:rPr>
        <w:t>3</w:t>
      </w:r>
      <w:r>
        <w:t xml:space="preserve"> The 'contributed superannuation' amount is the average cost to the department for the provision of superannuation benefits to other highly paid staff in that reportable remuneration band during the reporting period.</w:t>
      </w:r>
    </w:p>
    <w:p w:rsidR="00361797" w:rsidRDefault="00361797" w:rsidP="00361797">
      <w:pPr>
        <w:pStyle w:val="ReferenceText"/>
      </w:pPr>
      <w:r w:rsidRPr="00103CE8">
        <w:rPr>
          <w:vertAlign w:val="superscript"/>
        </w:rPr>
        <w:t>4</w:t>
      </w:r>
      <w:r>
        <w:t xml:space="preserve"> 'Reportable allowances' are the average actual allowances paid as per the 'total allowances' line on individuals' payment summaries.</w:t>
      </w:r>
    </w:p>
    <w:p w:rsidR="00361797" w:rsidRDefault="00361797" w:rsidP="00361797">
      <w:pPr>
        <w:pStyle w:val="ReferenceText"/>
      </w:pPr>
      <w:r w:rsidRPr="00103CE8">
        <w:rPr>
          <w:vertAlign w:val="superscript"/>
        </w:rPr>
        <w:t>5</w:t>
      </w:r>
      <w:r>
        <w:t xml:space="preserve"> 'Bonus paid' are existing remuneration arrangements for </w:t>
      </w:r>
      <w:proofErr w:type="spellStart"/>
      <w:r>
        <w:t>non senior</w:t>
      </w:r>
      <w:proofErr w:type="spellEnd"/>
      <w:r>
        <w:t xml:space="preserve"> executive staff that do not provide for the payment of bonuses. </w:t>
      </w:r>
    </w:p>
    <w:p w:rsidR="00361797" w:rsidRDefault="00361797" w:rsidP="00361797">
      <w:pPr>
        <w:spacing w:line="240" w:lineRule="auto"/>
        <w:sectPr w:rsidR="00361797">
          <w:type w:val="continuous"/>
          <w:pgSz w:w="16838" w:h="11906" w:orient="landscape"/>
          <w:pgMar w:top="1134" w:right="1134" w:bottom="1134" w:left="1134" w:header="958" w:footer="737" w:gutter="0"/>
          <w:cols w:space="720"/>
        </w:sectPr>
      </w:pPr>
    </w:p>
    <w:p w:rsidR="00361797" w:rsidRDefault="00361797" w:rsidP="00361797"/>
    <w:p w:rsidR="00361797" w:rsidRDefault="00361797" w:rsidP="00361797">
      <w:pPr>
        <w:pStyle w:val="NotesHeading-Level1"/>
        <w:numPr>
          <w:ilvl w:val="0"/>
          <w:numId w:val="14"/>
        </w:numPr>
        <w:rPr>
          <w:rFonts w:cstheme="minorHAnsi"/>
        </w:rPr>
      </w:pPr>
      <w:bookmarkStart w:id="230" w:name="_Toc388962633"/>
      <w:r>
        <w:rPr>
          <w:rFonts w:cstheme="minorHAnsi"/>
        </w:rPr>
        <w:t>Remuneration of Auditors</w:t>
      </w:r>
      <w:bookmarkEnd w:id="230"/>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bookmarkStart w:id="231" w:name="Note_REATABLE1" w:colFirst="0" w:colLast="0"/>
            <w:r>
              <w:rPr>
                <w:rFonts w:ascii="Arial" w:hAnsi="Arial" w:cs="Arial"/>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231"/>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480"/>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xml:space="preserve">Financial statement audit services were provided free of charge to the department by the Australian National Audit Office.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r>
      <w:tr w:rsidR="00361797" w:rsidTr="00B50E5D">
        <w:trPr>
          <w:trHeight w:val="480"/>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The fair value of the services provided for financial statement audit services was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504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1,610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fair value of services received</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504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1,610</w:t>
            </w:r>
          </w:p>
        </w:tc>
      </w:tr>
    </w:tbl>
    <w:p w:rsidR="00361797" w:rsidRDefault="00361797" w:rsidP="00361797"/>
    <w:p w:rsidR="00361797" w:rsidRPr="00103CE8" w:rsidRDefault="00361797" w:rsidP="00361797">
      <w:pPr>
        <w:rPr>
          <w:rFonts w:cs="Calibri"/>
          <w:szCs w:val="18"/>
        </w:rPr>
      </w:pPr>
      <w:r w:rsidRPr="00103CE8">
        <w:rPr>
          <w:rFonts w:cs="Calibri"/>
          <w:szCs w:val="18"/>
        </w:rPr>
        <w:t xml:space="preserve">No other services were provided by the auditors of the financial statements. </w:t>
      </w:r>
    </w:p>
    <w:p w:rsidR="00361797" w:rsidRDefault="00361797" w:rsidP="00361797"/>
    <w:p w:rsidR="00361797" w:rsidRDefault="00361797" w:rsidP="00361797">
      <w:pPr>
        <w:pStyle w:val="NotesHeading-Level1"/>
        <w:numPr>
          <w:ilvl w:val="0"/>
          <w:numId w:val="14"/>
        </w:numPr>
        <w:rPr>
          <w:rFonts w:cstheme="minorHAnsi"/>
        </w:rPr>
      </w:pPr>
      <w:bookmarkStart w:id="232" w:name="_Toc388962634"/>
      <w:r>
        <w:rPr>
          <w:rFonts w:cstheme="minorHAnsi"/>
        </w:rPr>
        <w:t>Financial Instruments</w:t>
      </w:r>
      <w:bookmarkEnd w:id="232"/>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33" w:name="Note_FIATABLE1" w:colFirst="0" w:colLast="0"/>
            <w:r>
              <w:rPr>
                <w:rFonts w:cs="Calibri"/>
                <w:b/>
                <w:bCs/>
                <w:szCs w:val="18"/>
                <w:u w:val="single"/>
              </w:rPr>
              <w:t xml:space="preserve">Note </w:t>
            </w:r>
            <w:proofErr w:type="spellStart"/>
            <w:r>
              <w:rPr>
                <w:rFonts w:cs="Calibri"/>
                <w:b/>
                <w:bCs/>
                <w:szCs w:val="18"/>
                <w:u w:val="single"/>
              </w:rPr>
              <w:t>15A</w:t>
            </w:r>
            <w:proofErr w:type="spellEnd"/>
            <w:r>
              <w:rPr>
                <w:rFonts w:cs="Calibri"/>
                <w:b/>
                <w:bCs/>
                <w:szCs w:val="18"/>
                <w:u w:val="single"/>
              </w:rPr>
              <w:t>: Categories of financial instruments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233"/>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Financial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Loans and receivables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4,613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xml:space="preserve">Goods and services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14,818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6,211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revenue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6,343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14,326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25,774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42,106</w:t>
            </w:r>
          </w:p>
        </w:tc>
      </w:tr>
      <w:tr w:rsidR="00361797" w:rsidTr="00B50E5D">
        <w:trPr>
          <w:trHeight w:val="270"/>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Financial Liabilities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At amortised cost</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3,467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28,140 </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expenses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4,132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9,738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financial liabilities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7,599</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37,878</w:t>
            </w:r>
          </w:p>
        </w:tc>
      </w:tr>
    </w:tbl>
    <w:p w:rsidR="00361797" w:rsidRDefault="00361797" w:rsidP="00361797">
      <w:bookmarkStart w:id="234" w:name="RANGE!D7:G20"/>
      <w:bookmarkStart w:id="235" w:name="RANGE!D7:G22"/>
      <w:bookmarkStart w:id="236" w:name="RANGE!D6:G44"/>
      <w:bookmarkStart w:id="237" w:name="RANGE!D6:D46"/>
      <w:bookmarkStart w:id="238" w:name="RANGE!D6:G46"/>
      <w:bookmarkEnd w:id="234"/>
      <w:bookmarkEnd w:id="235"/>
      <w:bookmarkEnd w:id="236"/>
      <w:bookmarkEnd w:id="237"/>
      <w:bookmarkEnd w:id="238"/>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39" w:name="RANGE!D7:D15"/>
            <w:bookmarkStart w:id="240" w:name="Note_FIBTABLE1" w:colFirst="0" w:colLast="0"/>
            <w:r>
              <w:rPr>
                <w:rFonts w:cs="Calibri"/>
                <w:b/>
                <w:bCs/>
                <w:szCs w:val="18"/>
                <w:u w:val="single"/>
              </w:rPr>
              <w:t xml:space="preserve">Note </w:t>
            </w:r>
            <w:proofErr w:type="spellStart"/>
            <w:r>
              <w:rPr>
                <w:rFonts w:cs="Calibri"/>
                <w:b/>
                <w:bCs/>
                <w:szCs w:val="18"/>
                <w:u w:val="single"/>
              </w:rPr>
              <w:t>15B</w:t>
            </w:r>
            <w:proofErr w:type="spellEnd"/>
            <w:r>
              <w:rPr>
                <w:rFonts w:cs="Calibri"/>
                <w:b/>
                <w:bCs/>
                <w:szCs w:val="18"/>
                <w:u w:val="single"/>
              </w:rPr>
              <w:t>: Net gains or losses on financial assets</w:t>
            </w:r>
            <w:bookmarkEnd w:id="239"/>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240"/>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Loans and receivables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Write off impairment - goods and services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Reversal of impairment - goods and services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 </w:t>
            </w:r>
          </w:p>
        </w:tc>
      </w:tr>
      <w:tr w:rsidR="00361797" w:rsidTr="00B50E5D">
        <w:trPr>
          <w:trHeight w:val="255"/>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Net gains (losses) on loans and receivables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w:t>
            </w:r>
          </w:p>
        </w:tc>
      </w:tr>
      <w:tr w:rsidR="00361797" w:rsidTr="00B50E5D">
        <w:trPr>
          <w:trHeight w:val="255"/>
        </w:trPr>
        <w:tc>
          <w:tcPr>
            <w:tcW w:w="627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70"/>
        </w:trPr>
        <w:tc>
          <w:tcPr>
            <w:tcW w:w="6272"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Net gains (losses) on 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w:t>
            </w:r>
          </w:p>
        </w:tc>
      </w:tr>
    </w:tbl>
    <w:p w:rsidR="00361797" w:rsidRDefault="00361797" w:rsidP="00361797">
      <w:bookmarkStart w:id="241" w:name="RANGE!D6:G49"/>
      <w:bookmarkStart w:id="242" w:name="RANGE!D6:D50"/>
      <w:bookmarkStart w:id="243" w:name="RANGE!D6:G50"/>
      <w:bookmarkEnd w:id="241"/>
      <w:bookmarkEnd w:id="242"/>
      <w:bookmarkEnd w:id="243"/>
    </w:p>
    <w:p w:rsidR="00361797" w:rsidRDefault="00361797" w:rsidP="00361797">
      <w:r>
        <w:t xml:space="preserve">The net income/expense from financial assets not at fair value through profit or loss is nil [2013: $13,000]. </w:t>
      </w:r>
    </w:p>
    <w:p w:rsidR="00361797" w:rsidRDefault="00361797" w:rsidP="00361797"/>
    <w:p w:rsidR="00361797" w:rsidRDefault="00361797" w:rsidP="00361797">
      <w:r>
        <w:rPr>
          <w:b/>
        </w:rPr>
        <w:br w:type="page"/>
      </w:r>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44" w:name="Note_FIETABLE1" w:colFirst="0" w:colLast="0"/>
            <w:r>
              <w:rPr>
                <w:rFonts w:cs="Calibri"/>
                <w:b/>
                <w:bCs/>
                <w:szCs w:val="18"/>
                <w:u w:val="single"/>
              </w:rPr>
              <w:lastRenderedPageBreak/>
              <w:t xml:space="preserve">Note </w:t>
            </w:r>
            <w:proofErr w:type="spellStart"/>
            <w:r>
              <w:rPr>
                <w:rFonts w:cs="Calibri"/>
                <w:b/>
                <w:bCs/>
                <w:szCs w:val="18"/>
                <w:u w:val="single"/>
              </w:rPr>
              <w:t>15C</w:t>
            </w:r>
            <w:proofErr w:type="spellEnd"/>
            <w:r>
              <w:rPr>
                <w:rFonts w:cs="Calibri"/>
                <w:b/>
                <w:bCs/>
                <w:szCs w:val="18"/>
                <w:u w:val="single"/>
              </w:rPr>
              <w:t>: Fair value of financial instruments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color w:val="FF0000"/>
                <w:szCs w:val="18"/>
              </w:rPr>
            </w:pPr>
            <w:r>
              <w:rPr>
                <w:rFonts w:ascii="Arial" w:hAnsi="Arial" w:cs="Arial"/>
                <w:color w:val="FF0000"/>
                <w:szCs w:val="18"/>
              </w:rPr>
              <w:t> </w:t>
            </w:r>
          </w:p>
        </w:tc>
      </w:tr>
      <w:bookmarkEnd w:id="244"/>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color w:val="FF0000"/>
                <w:szCs w:val="18"/>
              </w:rPr>
            </w:pPr>
            <w:r>
              <w:rPr>
                <w:rFonts w:ascii="Arial" w:hAnsi="Arial" w:cs="Arial"/>
                <w:color w:val="FF0000"/>
                <w:szCs w:val="18"/>
              </w:rPr>
              <w:t> </w:t>
            </w:r>
          </w:p>
        </w:tc>
      </w:tr>
      <w:tr w:rsidR="00361797" w:rsidTr="00B50E5D">
        <w:trPr>
          <w:trHeight w:val="255"/>
        </w:trPr>
        <w:tc>
          <w:tcPr>
            <w:tcW w:w="4028"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Carrying</w:t>
            </w:r>
          </w:p>
        </w:tc>
        <w:tc>
          <w:tcPr>
            <w:tcW w:w="123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Fair</w:t>
            </w:r>
          </w:p>
        </w:tc>
        <w:tc>
          <w:tcPr>
            <w:tcW w:w="123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Carrying</w:t>
            </w:r>
          </w:p>
        </w:tc>
        <w:tc>
          <w:tcPr>
            <w:tcW w:w="123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Fair</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amount</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value</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amount</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value</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23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028"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Financial Assets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4,613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4,613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Goods and services receivable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14,818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14,818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6,211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6,211 </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revenue</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6,343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6,343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14,326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14,326 </w:t>
            </w:r>
          </w:p>
        </w:tc>
      </w:tr>
      <w:tr w:rsidR="00361797" w:rsidTr="00B50E5D">
        <w:trPr>
          <w:trHeight w:val="255"/>
        </w:trPr>
        <w:tc>
          <w:tcPr>
            <w:tcW w:w="4028"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 financial assets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25,774</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25,774</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42,106</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42,106</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Financial Liabilities</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02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At amortised cost</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3,467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3,467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28,140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28,140 </w:t>
            </w:r>
          </w:p>
        </w:tc>
      </w:tr>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expenses</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4,132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4,132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9,738 </w:t>
            </w:r>
          </w:p>
        </w:tc>
        <w:tc>
          <w:tcPr>
            <w:tcW w:w="123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9,738 </w:t>
            </w:r>
          </w:p>
        </w:tc>
      </w:tr>
      <w:tr w:rsidR="00361797" w:rsidTr="00B50E5D">
        <w:trPr>
          <w:trHeight w:val="255"/>
        </w:trPr>
        <w:tc>
          <w:tcPr>
            <w:tcW w:w="4028"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 financial liabilities</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7,599</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7,599</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37,878</w:t>
            </w:r>
          </w:p>
        </w:tc>
        <w:tc>
          <w:tcPr>
            <w:tcW w:w="123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37,878</w:t>
            </w:r>
          </w:p>
        </w:tc>
      </w:tr>
    </w:tbl>
    <w:p w:rsidR="00361797" w:rsidRDefault="00361797" w:rsidP="00361797">
      <w:bookmarkStart w:id="245" w:name="RANGE!D7:H23"/>
      <w:bookmarkStart w:id="246" w:name="RANGE!D6:H23"/>
      <w:bookmarkStart w:id="247" w:name="RANGE!D6:G28"/>
      <w:bookmarkStart w:id="248" w:name="RANGE!D6:D29"/>
      <w:bookmarkStart w:id="249" w:name="RANGE!D6:G29"/>
      <w:bookmarkStart w:id="250" w:name="RANGE!D6:H18"/>
      <w:bookmarkStart w:id="251" w:name="RANGE!D6:H19"/>
      <w:bookmarkEnd w:id="245"/>
      <w:bookmarkEnd w:id="246"/>
      <w:bookmarkEnd w:id="247"/>
      <w:bookmarkEnd w:id="248"/>
      <w:bookmarkEnd w:id="249"/>
      <w:bookmarkEnd w:id="250"/>
      <w:bookmarkEnd w:id="251"/>
    </w:p>
    <w:tbl>
      <w:tblPr>
        <w:tblW w:w="9087" w:type="dxa"/>
        <w:tblInd w:w="80" w:type="dxa"/>
        <w:tblLayout w:type="fixed"/>
        <w:tblLook w:val="04A0" w:firstRow="1" w:lastRow="0" w:firstColumn="1" w:lastColumn="0" w:noHBand="0" w:noVBand="1"/>
      </w:tblPr>
      <w:tblGrid>
        <w:gridCol w:w="2838"/>
        <w:gridCol w:w="1251"/>
        <w:gridCol w:w="1250"/>
        <w:gridCol w:w="1250"/>
        <w:gridCol w:w="1249"/>
        <w:gridCol w:w="1249"/>
      </w:tblGrid>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52" w:name="Note_FIHTABLE1" w:colFirst="0" w:colLast="0"/>
            <w:r>
              <w:rPr>
                <w:rFonts w:cs="Calibri"/>
                <w:b/>
                <w:bCs/>
                <w:szCs w:val="18"/>
                <w:u w:val="single"/>
              </w:rPr>
              <w:t xml:space="preserve">Note </w:t>
            </w:r>
            <w:proofErr w:type="spellStart"/>
            <w:r>
              <w:rPr>
                <w:rFonts w:cs="Calibri"/>
                <w:b/>
                <w:bCs/>
                <w:szCs w:val="18"/>
                <w:u w:val="single"/>
              </w:rPr>
              <w:t>15D</w:t>
            </w:r>
            <w:proofErr w:type="spellEnd"/>
            <w:r>
              <w:rPr>
                <w:rFonts w:cs="Calibri"/>
                <w:b/>
                <w:bCs/>
                <w:szCs w:val="18"/>
                <w:u w:val="single"/>
              </w:rPr>
              <w:t>: Credit risk</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252"/>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1140"/>
        </w:trPr>
        <w:tc>
          <w:tcPr>
            <w:tcW w:w="8982" w:type="dxa"/>
            <w:gridSpan w:val="6"/>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The department is exposed to minimal credit risk as loans and receivables are cash, cash on deposit and trade receivables. The maximum exposure to credit risk is the risk that arises from potential default of a debtor. This amount is equal to the total amount of trade receivables in 2014: $14,818,000 (2013:  $6,211,000). The department has assessed the risk of the default on payment and has allocated nil in 2014 (2013: nil) to an impairment allowance for doubtful debts.</w:t>
            </w:r>
          </w:p>
        </w:tc>
      </w:tr>
      <w:tr w:rsidR="00361797" w:rsidTr="00B50E5D">
        <w:trPr>
          <w:trHeight w:val="540"/>
        </w:trPr>
        <w:tc>
          <w:tcPr>
            <w:tcW w:w="8982" w:type="dxa"/>
            <w:gridSpan w:val="6"/>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The department has no liabilities in 2014 (2013: Nil) carried at amounts not best representing maximum exposure to credit risk.</w:t>
            </w:r>
          </w:p>
        </w:tc>
      </w:tr>
      <w:tr w:rsidR="00361797" w:rsidTr="00B50E5D">
        <w:trPr>
          <w:trHeight w:val="495"/>
        </w:trPr>
        <w:tc>
          <w:tcPr>
            <w:tcW w:w="8982" w:type="dxa"/>
            <w:gridSpan w:val="6"/>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The department has no significant exposures to any concentrations of credit risk. All figures for credit risk referred to do not take into account the value of any collateral of other security.</w:t>
            </w:r>
          </w:p>
        </w:tc>
      </w:tr>
      <w:tr w:rsidR="00361797" w:rsidTr="00B50E5D">
        <w:trPr>
          <w:trHeight w:val="255"/>
        </w:trPr>
        <w:tc>
          <w:tcPr>
            <w:tcW w:w="8982" w:type="dxa"/>
            <w:gridSpan w:val="6"/>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Maximum exposure to credit risk (excluding any collateral or credit enhancements)</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7747" w:type="dxa"/>
            <w:gridSpan w:val="5"/>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Financial assets carried at amount not best representing maximum exposure to credit risk</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4,613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14,818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6,211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revenue</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6,343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14,326 </w:t>
            </w:r>
          </w:p>
        </w:tc>
      </w:tr>
      <w:tr w:rsidR="00361797" w:rsidTr="00B50E5D">
        <w:trPr>
          <w:trHeight w:val="570"/>
        </w:trPr>
        <w:tc>
          <w:tcPr>
            <w:tcW w:w="5276" w:type="dxa"/>
            <w:gridSpan w:val="3"/>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 financial assets carried at amount not best representing maximum exposure to credit risk</w:t>
            </w:r>
          </w:p>
        </w:tc>
        <w:tc>
          <w:tcPr>
            <w:tcW w:w="123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25,774</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42,106</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705"/>
        </w:trPr>
        <w:tc>
          <w:tcPr>
            <w:tcW w:w="8982" w:type="dxa"/>
            <w:gridSpan w:val="6"/>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In relation to the department’s gross credit risk and the financial effect in respect of the amount that best represents the maximum exposure to credit risk, there is no collateral held.  However in 2014: 51 (2013: 50) limited indemnities were given in respect of venue hire between the Commonwealth and third parties.</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512" w:type="dxa"/>
            <w:gridSpan w:val="4"/>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Credit quality of financial assets not past due or individually determined as impaired</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480"/>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Not past due nor impaired</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Not past due nor impaired</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Past due or impaired</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Past due or impaired</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4,613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21,569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8,088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5,357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6,730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854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revenue</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6,343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14,326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280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w:t>
            </w:r>
          </w:p>
        </w:tc>
        <w:tc>
          <w:tcPr>
            <w:tcW w:w="1236"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19,044</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41,252</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6,730</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854</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lastRenderedPageBreak/>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512" w:type="dxa"/>
            <w:gridSpan w:val="4"/>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Ageing of financial assets that were past due but not impaired for 2014</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0 to 30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31 to 60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61 to 90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90+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days</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days</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4,087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1,996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225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422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6,730 </w:t>
            </w:r>
          </w:p>
        </w:tc>
      </w:tr>
      <w:tr w:rsidR="00361797" w:rsidTr="00B50E5D">
        <w:trPr>
          <w:trHeight w:val="255"/>
        </w:trPr>
        <w:tc>
          <w:tcPr>
            <w:tcW w:w="280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4,087</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1,996</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225</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422</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6,730</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512" w:type="dxa"/>
            <w:gridSpan w:val="4"/>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Ageing of financial assets that were past due but not impaired for 2013</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xml:space="preserve">0 to 30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31 to 60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61 to 90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90+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days</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days</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days</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days</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280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152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81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53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568 </w:t>
            </w:r>
          </w:p>
        </w:tc>
        <w:tc>
          <w:tcPr>
            <w:tcW w:w="1235"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854 </w:t>
            </w:r>
          </w:p>
        </w:tc>
      </w:tr>
      <w:tr w:rsidR="00361797" w:rsidTr="00B50E5D">
        <w:trPr>
          <w:trHeight w:val="255"/>
        </w:trPr>
        <w:tc>
          <w:tcPr>
            <w:tcW w:w="2804"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Total</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152</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81</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53</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568</w:t>
            </w:r>
          </w:p>
        </w:tc>
        <w:tc>
          <w:tcPr>
            <w:tcW w:w="1235"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854</w:t>
            </w:r>
          </w:p>
        </w:tc>
      </w:tr>
    </w:tbl>
    <w:p w:rsidR="00361797" w:rsidRDefault="00361797" w:rsidP="00361797">
      <w:pPr>
        <w:rPr>
          <w:rFonts w:asciiTheme="minorHAnsi" w:hAnsiTheme="minorHAnsi" w:cstheme="minorHAnsi"/>
          <w:b/>
          <w:szCs w:val="18"/>
          <w:lang w:eastAsia="en-AU"/>
        </w:rPr>
      </w:pPr>
      <w:bookmarkStart w:id="253" w:name="RANGE!D7:I46"/>
      <w:bookmarkStart w:id="254" w:name="RANGE!D7:I45"/>
      <w:bookmarkStart w:id="255" w:name="RANGE!D7:I44"/>
      <w:bookmarkStart w:id="256" w:name="RANGE!D7:I42"/>
      <w:bookmarkEnd w:id="253"/>
      <w:bookmarkEnd w:id="254"/>
      <w:bookmarkEnd w:id="255"/>
      <w:bookmarkEnd w:id="256"/>
    </w:p>
    <w:p w:rsidR="00361797" w:rsidRDefault="00361797" w:rsidP="00361797">
      <w:pPr>
        <w:rPr>
          <w:b/>
          <w:lang w:eastAsia="en-AU"/>
        </w:rPr>
      </w:pPr>
      <w:bookmarkStart w:id="257" w:name="RANGE!D6:I42"/>
      <w:bookmarkStart w:id="258" w:name="RANGE!D6:I47"/>
      <w:bookmarkStart w:id="259" w:name="RANGE!D21:H37"/>
      <w:bookmarkStart w:id="260" w:name="RANGE!D22:H38"/>
      <w:bookmarkStart w:id="261" w:name="RANGE!D40:H88"/>
      <w:bookmarkStart w:id="262" w:name="RANGE!D41:H89"/>
      <w:bookmarkStart w:id="263" w:name="RANGE!D6:G30"/>
      <w:bookmarkStart w:id="264" w:name="RANGE!D6:D31"/>
      <w:bookmarkStart w:id="265" w:name="RANGE!D6:G31"/>
      <w:bookmarkStart w:id="266" w:name="RANGE!D6:F17"/>
      <w:bookmarkStart w:id="267" w:name="RANGE!D6:I46"/>
      <w:bookmarkStart w:id="268" w:name="RANGE!D6:I44"/>
      <w:bookmarkStart w:id="269" w:name="RANGE!D6:D45"/>
      <w:bookmarkStart w:id="270" w:name="RANGE!D6:I45"/>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b/>
          <w:lang w:eastAsia="en-AU"/>
        </w:rPr>
        <w:t>The following asset has been individually assessed as impaired</w:t>
      </w:r>
    </w:p>
    <w:p w:rsidR="00361797" w:rsidRDefault="00361797" w:rsidP="00361797">
      <w:pPr>
        <w:rPr>
          <w:lang w:eastAsia="en-AU"/>
        </w:rPr>
      </w:pPr>
      <w:r>
        <w:rPr>
          <w:lang w:eastAsia="en-AU"/>
        </w:rPr>
        <w:t xml:space="preserve">Trade receivables have been individually assessed for impairment including an assessment made on an historical basis. </w:t>
      </w:r>
    </w:p>
    <w:p w:rsidR="00361797" w:rsidRDefault="00361797" w:rsidP="00361797">
      <w:pPr>
        <w:spacing w:line="240" w:lineRule="auto"/>
        <w:rPr>
          <w:rFonts w:asciiTheme="minorHAnsi" w:hAnsiTheme="minorHAnsi" w:cstheme="minorHAnsi"/>
          <w:szCs w:val="18"/>
          <w:lang w:eastAsia="en-AU"/>
        </w:rPr>
      </w:pPr>
    </w:p>
    <w:tbl>
      <w:tblPr>
        <w:tblW w:w="9087" w:type="dxa"/>
        <w:tblInd w:w="80" w:type="dxa"/>
        <w:tblLayout w:type="fixed"/>
        <w:tblLook w:val="04A0" w:firstRow="1" w:lastRow="0" w:firstColumn="1" w:lastColumn="0" w:noHBand="0" w:noVBand="1"/>
      </w:tblPr>
      <w:tblGrid>
        <w:gridCol w:w="2247"/>
        <w:gridCol w:w="1140"/>
        <w:gridCol w:w="1140"/>
        <w:gridCol w:w="1140"/>
        <w:gridCol w:w="1140"/>
        <w:gridCol w:w="1140"/>
        <w:gridCol w:w="1140"/>
      </w:tblGrid>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71" w:name="Note_FIITABLE1" w:colFirst="0" w:colLast="0"/>
            <w:r>
              <w:rPr>
                <w:rFonts w:cs="Calibri"/>
                <w:b/>
                <w:bCs/>
                <w:szCs w:val="18"/>
                <w:u w:val="single"/>
              </w:rPr>
              <w:t xml:space="preserve">Note </w:t>
            </w:r>
            <w:proofErr w:type="spellStart"/>
            <w:r>
              <w:rPr>
                <w:rFonts w:cs="Calibri"/>
                <w:b/>
                <w:bCs/>
                <w:szCs w:val="18"/>
                <w:u w:val="single"/>
              </w:rPr>
              <w:t>15E</w:t>
            </w:r>
            <w:proofErr w:type="spellEnd"/>
            <w:r>
              <w:rPr>
                <w:rFonts w:cs="Calibri"/>
                <w:b/>
                <w:bCs/>
                <w:szCs w:val="18"/>
                <w:u w:val="single"/>
              </w:rPr>
              <w:t>: Liquidity risk</w:t>
            </w:r>
          </w:p>
        </w:tc>
        <w:tc>
          <w:tcPr>
            <w:tcW w:w="11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271"/>
      <w:tr w:rsidR="00361797" w:rsidTr="00B50E5D">
        <w:trPr>
          <w:trHeight w:val="750"/>
        </w:trPr>
        <w:tc>
          <w:tcPr>
            <w:tcW w:w="8986" w:type="dxa"/>
            <w:gridSpan w:val="7"/>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The department is appropriated funding from the Australian Government.  The department manages its budgeted funds to ensure it has adequate funds to meet payments as they fall due. In addition, the department has policies in place to ensure timely payments are made when due and has no past experience of default.</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478" w:type="dxa"/>
            <w:gridSpan w:val="3"/>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Maturities for non-derivative financial liabilities 2014</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480"/>
        </w:trPr>
        <w:tc>
          <w:tcPr>
            <w:tcW w:w="2223"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On</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xml:space="preserve">Within 1 </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Between 1 to 2</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Between 2 to 5</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More than 5</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demand</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year</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years</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years</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years</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2223"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12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12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3,467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3,467 </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expenses</w:t>
            </w:r>
          </w:p>
        </w:tc>
        <w:tc>
          <w:tcPr>
            <w:tcW w:w="112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4,132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4,132 </w:t>
            </w:r>
          </w:p>
        </w:tc>
      </w:tr>
      <w:tr w:rsidR="00361797" w:rsidTr="00B50E5D">
        <w:trPr>
          <w:trHeight w:val="255"/>
        </w:trPr>
        <w:tc>
          <w:tcPr>
            <w:tcW w:w="2223"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w:t>
            </w:r>
          </w:p>
        </w:tc>
        <w:tc>
          <w:tcPr>
            <w:tcW w:w="112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7,599</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7,599</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478" w:type="dxa"/>
            <w:gridSpan w:val="3"/>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Maturities for non-derivative financial liabilities 2013</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480"/>
        </w:trPr>
        <w:tc>
          <w:tcPr>
            <w:tcW w:w="2223" w:type="dxa"/>
            <w:tcBorders>
              <w:top w:val="single" w:sz="4" w:space="0" w:color="auto"/>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On</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Within 1</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Between 1 to 2</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Between 2 to 5</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More than 5</w:t>
            </w:r>
          </w:p>
        </w:tc>
        <w:tc>
          <w:tcPr>
            <w:tcW w:w="1127"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demand</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year</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years</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years</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years</w:t>
            </w:r>
          </w:p>
        </w:tc>
        <w:tc>
          <w:tcPr>
            <w:tcW w:w="1127"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2223" w:type="dxa"/>
            <w:tcBorders>
              <w:top w:val="nil"/>
              <w:left w:val="nil"/>
              <w:bottom w:val="single" w:sz="4" w:space="0" w:color="auto"/>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2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27"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12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28,140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28,140 </w:t>
            </w:r>
          </w:p>
        </w:tc>
      </w:tr>
      <w:tr w:rsidR="00361797" w:rsidTr="00B50E5D">
        <w:trPr>
          <w:trHeight w:val="255"/>
        </w:trPr>
        <w:tc>
          <w:tcPr>
            <w:tcW w:w="2223"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Accrued expenses</w:t>
            </w:r>
          </w:p>
        </w:tc>
        <w:tc>
          <w:tcPr>
            <w:tcW w:w="1128"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9,738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27"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9,738 </w:t>
            </w:r>
          </w:p>
        </w:tc>
      </w:tr>
      <w:tr w:rsidR="00361797" w:rsidTr="00B50E5D">
        <w:trPr>
          <w:trHeight w:val="255"/>
        </w:trPr>
        <w:tc>
          <w:tcPr>
            <w:tcW w:w="2223" w:type="dxa"/>
            <w:tcBorders>
              <w:top w:val="single" w:sz="4" w:space="0" w:color="auto"/>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Total</w:t>
            </w:r>
          </w:p>
        </w:tc>
        <w:tc>
          <w:tcPr>
            <w:tcW w:w="1128"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37,878</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127"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37,878</w:t>
            </w:r>
          </w:p>
        </w:tc>
      </w:tr>
    </w:tbl>
    <w:p w:rsidR="00361797" w:rsidRDefault="00361797" w:rsidP="00361797">
      <w:pPr>
        <w:spacing w:line="240" w:lineRule="auto"/>
      </w:pPr>
      <w:bookmarkStart w:id="272" w:name="RANGE!D7:J24"/>
      <w:bookmarkStart w:id="273" w:name="RANGE!D6:J23"/>
      <w:bookmarkStart w:id="274" w:name="RANGE!D6:J29"/>
      <w:bookmarkStart w:id="275" w:name="RANGE!D6:D30"/>
      <w:bookmarkStart w:id="276" w:name="RANGE!D6:J30"/>
      <w:bookmarkEnd w:id="272"/>
      <w:bookmarkEnd w:id="273"/>
      <w:bookmarkEnd w:id="274"/>
      <w:bookmarkEnd w:id="275"/>
      <w:bookmarkEnd w:id="276"/>
    </w:p>
    <w:tbl>
      <w:tblPr>
        <w:tblW w:w="9087" w:type="dxa"/>
        <w:tblInd w:w="80" w:type="dxa"/>
        <w:tblLayout w:type="fixed"/>
        <w:tblLook w:val="04A0" w:firstRow="1" w:lastRow="0" w:firstColumn="1" w:lastColumn="0" w:noHBand="0" w:noVBand="1"/>
      </w:tblPr>
      <w:tblGrid>
        <w:gridCol w:w="5322"/>
        <w:gridCol w:w="1255"/>
        <w:gridCol w:w="1255"/>
        <w:gridCol w:w="1255"/>
      </w:tblGrid>
      <w:tr w:rsidR="00361797" w:rsidTr="00B50E5D">
        <w:trPr>
          <w:trHeight w:val="255"/>
        </w:trPr>
        <w:tc>
          <w:tcPr>
            <w:tcW w:w="5260"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277" w:name="Note_FIJTABLE1" w:colFirst="0" w:colLast="0"/>
            <w:r>
              <w:rPr>
                <w:rFonts w:cs="Calibri"/>
                <w:b/>
                <w:bCs/>
                <w:szCs w:val="18"/>
                <w:u w:val="single"/>
              </w:rPr>
              <w:t xml:space="preserve">Note </w:t>
            </w:r>
            <w:proofErr w:type="spellStart"/>
            <w:r>
              <w:rPr>
                <w:rFonts w:cs="Calibri"/>
                <w:b/>
                <w:bCs/>
                <w:szCs w:val="18"/>
                <w:u w:val="single"/>
              </w:rPr>
              <w:t>15F</w:t>
            </w:r>
            <w:proofErr w:type="spellEnd"/>
            <w:r>
              <w:rPr>
                <w:rFonts w:cs="Calibri"/>
                <w:b/>
                <w:bCs/>
                <w:szCs w:val="18"/>
                <w:u w:val="single"/>
              </w:rPr>
              <w:t>: Market risk</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bookmarkEnd w:id="277"/>
      <w:tr w:rsidR="00361797" w:rsidTr="00B50E5D">
        <w:trPr>
          <w:trHeight w:val="255"/>
        </w:trPr>
        <w:tc>
          <w:tcPr>
            <w:tcW w:w="526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8980" w:type="dxa"/>
            <w:gridSpan w:val="4"/>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The department holds basic financial instruments that do not expose the department to market risks.</w:t>
            </w:r>
          </w:p>
        </w:tc>
      </w:tr>
    </w:tbl>
    <w:p w:rsidR="00361797" w:rsidRDefault="00361797" w:rsidP="00361797">
      <w:bookmarkStart w:id="278" w:name="RANGE!D7:G9"/>
      <w:bookmarkEnd w:id="278"/>
    </w:p>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Pr>
        <w:spacing w:line="240" w:lineRule="auto"/>
        <w:rPr>
          <w:rFonts w:asciiTheme="minorHAnsi" w:hAnsiTheme="minorHAnsi" w:cstheme="minorHAnsi"/>
          <w:b/>
          <w:sz w:val="20"/>
        </w:rPr>
      </w:pPr>
      <w:bookmarkStart w:id="279" w:name="RANGE!D6:G32"/>
      <w:bookmarkStart w:id="280" w:name="RANGE!D6:D33"/>
      <w:bookmarkStart w:id="281" w:name="RANGE!D6:G33"/>
      <w:bookmarkStart w:id="282" w:name="_Toc388962635"/>
      <w:bookmarkEnd w:id="279"/>
      <w:bookmarkEnd w:id="280"/>
      <w:bookmarkEnd w:id="281"/>
      <w:r>
        <w:rPr>
          <w:rFonts w:cstheme="minorHAnsi"/>
        </w:rPr>
        <w:br w:type="page"/>
      </w:r>
    </w:p>
    <w:p w:rsidR="00361797" w:rsidRDefault="00361797" w:rsidP="00361797">
      <w:pPr>
        <w:pStyle w:val="NotesHeading-Level1"/>
        <w:numPr>
          <w:ilvl w:val="0"/>
          <w:numId w:val="14"/>
        </w:numPr>
        <w:rPr>
          <w:rFonts w:cstheme="minorHAnsi"/>
        </w:rPr>
      </w:pPr>
      <w:r>
        <w:rPr>
          <w:rFonts w:cstheme="minorHAnsi"/>
        </w:rPr>
        <w:lastRenderedPageBreak/>
        <w:t>Financial Assets Reconciliation</w:t>
      </w:r>
      <w:bookmarkEnd w:id="282"/>
    </w:p>
    <w:tbl>
      <w:tblPr>
        <w:tblW w:w="9087" w:type="dxa"/>
        <w:tblInd w:w="80" w:type="dxa"/>
        <w:tblLayout w:type="fixed"/>
        <w:tblLook w:val="04A0" w:firstRow="1" w:lastRow="0" w:firstColumn="1" w:lastColumn="0" w:noHBand="0" w:noVBand="1"/>
      </w:tblPr>
      <w:tblGrid>
        <w:gridCol w:w="5103"/>
        <w:gridCol w:w="1247"/>
        <w:gridCol w:w="1251"/>
        <w:gridCol w:w="239"/>
        <w:gridCol w:w="1247"/>
      </w:tblGrid>
      <w:tr w:rsidR="00361797" w:rsidTr="00B50E5D">
        <w:trPr>
          <w:trHeight w:val="240"/>
        </w:trPr>
        <w:tc>
          <w:tcPr>
            <w:tcW w:w="504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bookmarkStart w:id="283" w:name="Note_FARTABLE1" w:colFirst="0" w:colLast="0"/>
            <w:r>
              <w:rPr>
                <w:rFonts w:ascii="Arial" w:hAnsi="Arial" w:cs="Arial"/>
                <w:szCs w:val="18"/>
              </w:rPr>
              <w:t> </w:t>
            </w:r>
          </w:p>
        </w:tc>
        <w:tc>
          <w:tcPr>
            <w:tcW w:w="123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2"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283"/>
      <w:tr w:rsidR="00361797" w:rsidTr="00B50E5D">
        <w:trPr>
          <w:trHeight w:val="240"/>
        </w:trPr>
        <w:tc>
          <w:tcPr>
            <w:tcW w:w="5044"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3"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2"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40"/>
        </w:trPr>
        <w:tc>
          <w:tcPr>
            <w:tcW w:w="5044"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p>
        </w:tc>
        <w:tc>
          <w:tcPr>
            <w:tcW w:w="1233" w:type="dxa"/>
            <w:tcBorders>
              <w:top w:val="nil"/>
              <w:left w:val="nil"/>
              <w:bottom w:val="nil"/>
              <w:right w:val="nil"/>
            </w:tcBorders>
            <w:shd w:val="clear" w:color="FFFFFF" w:fill="FFFFFF"/>
            <w:vAlign w:val="bottom"/>
            <w:hideMark/>
          </w:tcPr>
          <w:p w:rsidR="00361797" w:rsidRDefault="00361797" w:rsidP="00B50E5D">
            <w:pPr>
              <w:jc w:val="center"/>
              <w:rPr>
                <w:rFonts w:cs="Calibri"/>
                <w:b/>
                <w:bCs/>
                <w:szCs w:val="18"/>
              </w:rPr>
            </w:pPr>
            <w:r>
              <w:rPr>
                <w:rFonts w:cs="Calibri"/>
                <w:b/>
                <w:bCs/>
                <w:szCs w:val="18"/>
              </w:rPr>
              <w:t>Notes</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40"/>
        </w:trPr>
        <w:tc>
          <w:tcPr>
            <w:tcW w:w="5044"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2"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40"/>
        </w:trPr>
        <w:tc>
          <w:tcPr>
            <w:tcW w:w="5044"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financial assets as per statement of financial position</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363,560</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130,241</w:t>
            </w:r>
          </w:p>
        </w:tc>
      </w:tr>
      <w:tr w:rsidR="00361797" w:rsidTr="00B50E5D">
        <w:trPr>
          <w:trHeight w:val="240"/>
        </w:trPr>
        <w:tc>
          <w:tcPr>
            <w:tcW w:w="5044"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Less: non-financial instrument components</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2" w:type="dxa"/>
            <w:tcBorders>
              <w:top w:val="nil"/>
              <w:left w:val="nil"/>
              <w:bottom w:val="nil"/>
              <w:right w:val="nil"/>
            </w:tcBorders>
            <w:shd w:val="clear" w:color="FFFFFF" w:fill="FFFFFF"/>
            <w:noWrap/>
            <w:vAlign w:val="bottom"/>
            <w:hideMark/>
          </w:tcPr>
          <w:p w:rsidR="00361797" w:rsidRDefault="00361797" w:rsidP="00B50E5D">
            <w:pPr>
              <w:jc w:val="right"/>
              <w:rPr>
                <w:rFonts w:ascii="Arial" w:hAnsi="Arial" w:cs="Arial"/>
                <w:b/>
                <w:bCs/>
                <w:szCs w:val="18"/>
              </w:rPr>
            </w:pPr>
            <w:r>
              <w:rPr>
                <w:rFonts w:ascii="Arial" w:hAnsi="Arial" w:cs="Arial"/>
                <w:b/>
                <w:bCs/>
                <w:szCs w:val="18"/>
              </w:rPr>
              <w:t> </w:t>
            </w:r>
          </w:p>
        </w:tc>
      </w:tr>
      <w:tr w:rsidR="00361797" w:rsidTr="00B50E5D">
        <w:trPr>
          <w:trHeight w:val="240"/>
        </w:trPr>
        <w:tc>
          <w:tcPr>
            <w:tcW w:w="504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Appropriation receivable</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337,416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84,337 </w:t>
            </w:r>
          </w:p>
        </w:tc>
      </w:tr>
      <w:tr w:rsidR="00361797" w:rsidTr="00B50E5D">
        <w:trPr>
          <w:trHeight w:val="240"/>
        </w:trPr>
        <w:tc>
          <w:tcPr>
            <w:tcW w:w="5044" w:type="dxa"/>
            <w:tcBorders>
              <w:top w:val="nil"/>
              <w:left w:val="nil"/>
              <w:bottom w:val="nil"/>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GST receivable from the Australian Taxation Office</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370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232"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3,798 </w:t>
            </w:r>
          </w:p>
        </w:tc>
      </w:tr>
      <w:tr w:rsidR="00361797" w:rsidTr="00B50E5D">
        <w:trPr>
          <w:trHeight w:val="240"/>
        </w:trPr>
        <w:tc>
          <w:tcPr>
            <w:tcW w:w="5044"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Total non-financial instrument components</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337,786</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32"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88,135</w:t>
            </w:r>
          </w:p>
        </w:tc>
      </w:tr>
      <w:tr w:rsidR="00361797" w:rsidTr="00B50E5D">
        <w:trPr>
          <w:trHeight w:val="240"/>
        </w:trPr>
        <w:tc>
          <w:tcPr>
            <w:tcW w:w="5044"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financial assets as per financial instruments note</w:t>
            </w:r>
          </w:p>
        </w:tc>
        <w:tc>
          <w:tcPr>
            <w:tcW w:w="1233" w:type="dxa"/>
            <w:tcBorders>
              <w:top w:val="nil"/>
              <w:left w:val="nil"/>
              <w:bottom w:val="nil"/>
              <w:right w:val="nil"/>
            </w:tcBorders>
            <w:shd w:val="clear" w:color="FFFFFF" w:fill="FFFFFF"/>
            <w:noWrap/>
            <w:vAlign w:val="bottom"/>
            <w:hideMark/>
          </w:tcPr>
          <w:p w:rsidR="00361797" w:rsidRDefault="00361797" w:rsidP="00B50E5D">
            <w:pPr>
              <w:jc w:val="center"/>
              <w:rPr>
                <w:rFonts w:cs="Calibri"/>
                <w:szCs w:val="18"/>
              </w:rPr>
            </w:pPr>
            <w:proofErr w:type="spellStart"/>
            <w:r>
              <w:rPr>
                <w:rFonts w:cs="Calibri"/>
                <w:szCs w:val="18"/>
              </w:rPr>
              <w:t>15A</w:t>
            </w:r>
            <w:proofErr w:type="spellEnd"/>
          </w:p>
        </w:tc>
        <w:tc>
          <w:tcPr>
            <w:tcW w:w="1236"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25,774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32" w:type="dxa"/>
            <w:tcBorders>
              <w:top w:val="nil"/>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42,106</w:t>
            </w:r>
          </w:p>
        </w:tc>
      </w:tr>
    </w:tbl>
    <w:p w:rsidR="00361797" w:rsidRDefault="00361797" w:rsidP="00361797">
      <w:bookmarkStart w:id="284" w:name="RANGE!D7:D16"/>
      <w:bookmarkStart w:id="285" w:name="RANGE!D7:H16"/>
      <w:bookmarkEnd w:id="284"/>
      <w:bookmarkEnd w:id="285"/>
      <w:r>
        <w:br w:type="page"/>
      </w:r>
      <w:bookmarkStart w:id="286" w:name="RANGE!D7:D17"/>
      <w:bookmarkStart w:id="287" w:name="RANGE!D7:H17"/>
      <w:bookmarkStart w:id="288" w:name="RANGE!D6:H15"/>
      <w:bookmarkEnd w:id="286"/>
      <w:bookmarkEnd w:id="287"/>
      <w:bookmarkEnd w:id="288"/>
    </w:p>
    <w:p w:rsidR="00361797" w:rsidRDefault="00361797" w:rsidP="00361797">
      <w:pPr>
        <w:pStyle w:val="NotesHeading-Level1GreyShade"/>
        <w:numPr>
          <w:ilvl w:val="0"/>
          <w:numId w:val="14"/>
        </w:numPr>
      </w:pPr>
      <w:bookmarkStart w:id="289" w:name="_Toc388962636"/>
      <w:r>
        <w:lastRenderedPageBreak/>
        <w:t>Administered Expenses</w:t>
      </w:r>
      <w:bookmarkEnd w:id="289"/>
    </w:p>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290" w:name="Note_ASXTABLE1" w:colFirst="0" w:colLast="0"/>
            <w:r>
              <w:rPr>
                <w:rFonts w:cs="Calibri"/>
                <w:b/>
                <w:bCs/>
                <w:szCs w:val="18"/>
                <w:u w:val="single"/>
              </w:rPr>
              <w:t xml:space="preserve">Note </w:t>
            </w:r>
            <w:proofErr w:type="spellStart"/>
            <w:r>
              <w:rPr>
                <w:rFonts w:cs="Calibri"/>
                <w:b/>
                <w:bCs/>
                <w:szCs w:val="18"/>
                <w:u w:val="single"/>
              </w:rPr>
              <w:t>17A</w:t>
            </w:r>
            <w:proofErr w:type="spellEnd"/>
            <w:r>
              <w:rPr>
                <w:rFonts w:cs="Calibri"/>
                <w:b/>
                <w:bCs/>
                <w:szCs w:val="18"/>
                <w:u w:val="single"/>
              </w:rPr>
              <w:t>: Suppliers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290"/>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Goods and services supplied or rendered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Labour market assistance to job seekers and industry</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276,668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1,299,526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Assistance to people with disabilities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157,668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777,765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School education - specific funding</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32,728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190,560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Other</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1,961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63,957 </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goods and services supplied or rendered</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469,025</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2,331,808</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Goods and services are made up of</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Rendering of services – related parties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32,183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172,576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Rendering of services - external parties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436,842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2,159,232 </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goods and services</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469,025</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2,331,808</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supplier expenses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469,025</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2,331,808</w:t>
            </w:r>
          </w:p>
        </w:tc>
      </w:tr>
    </w:tbl>
    <w:p w:rsidR="00361797" w:rsidRDefault="00361797" w:rsidP="00361797">
      <w:pPr>
        <w:pStyle w:val="GreyShadeTableBreak"/>
      </w:pPr>
      <w:bookmarkStart w:id="291" w:name="RANGE!D7:G21"/>
      <w:bookmarkEnd w:id="291"/>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292" w:name="Note_ASUTABLE1" w:colFirst="0" w:colLast="0"/>
            <w:r>
              <w:rPr>
                <w:rFonts w:cs="Calibri"/>
                <w:b/>
                <w:bCs/>
                <w:szCs w:val="18"/>
                <w:u w:val="single"/>
              </w:rPr>
              <w:t xml:space="preserve">Note </w:t>
            </w:r>
            <w:proofErr w:type="spellStart"/>
            <w:r>
              <w:rPr>
                <w:rFonts w:cs="Calibri"/>
                <w:b/>
                <w:bCs/>
                <w:szCs w:val="18"/>
                <w:u w:val="single"/>
              </w:rPr>
              <w:t>17B</w:t>
            </w:r>
            <w:proofErr w:type="spellEnd"/>
            <w:r>
              <w:rPr>
                <w:rFonts w:cs="Calibri"/>
                <w:b/>
                <w:bCs/>
                <w:szCs w:val="18"/>
                <w:u w:val="single"/>
              </w:rPr>
              <w:t>: Subsidies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bookmarkEnd w:id="292"/>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Payable to related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Industrial relations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21,040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172,567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Payable to external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Labour market assistance to job seekers and industry</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7,910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45,031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School education - specific funding</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5,107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Assistance to people with disabilities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458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17,522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subsidies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29,408</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240,227</w:t>
            </w:r>
          </w:p>
        </w:tc>
      </w:tr>
    </w:tbl>
    <w:p w:rsidR="00361797" w:rsidRDefault="00361797" w:rsidP="00361797">
      <w:pPr>
        <w:pStyle w:val="GreyShadeTableBreak"/>
      </w:pPr>
    </w:p>
    <w:p w:rsidR="00361797" w:rsidRDefault="00361797" w:rsidP="00361797">
      <w:pPr>
        <w:spacing w:line="240" w:lineRule="auto"/>
      </w:pPr>
    </w:p>
    <w:p w:rsidR="00361797" w:rsidRDefault="00361797" w:rsidP="00361797">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293" w:name="Note_APBTABLE1" w:colFirst="0" w:colLast="0"/>
            <w:r>
              <w:rPr>
                <w:rFonts w:ascii="Arial" w:hAnsi="Arial" w:cs="Arial"/>
                <w:sz w:val="16"/>
                <w:szCs w:val="16"/>
              </w:rPr>
              <w:lastRenderedPageBreak/>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293"/>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17C</w:t>
            </w:r>
            <w:proofErr w:type="spellEnd"/>
            <w:r>
              <w:rPr>
                <w:rFonts w:cs="Calibri"/>
                <w:b/>
                <w:bCs/>
                <w:szCs w:val="18"/>
                <w:u w:val="single"/>
              </w:rPr>
              <w:t>: Personal benefits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8" w:space="0" w:color="D9D9D9"/>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Direct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assistance</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65,098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263,405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Assistance to families with children</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1,522,765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7,287,552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Assistance to the aged</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103,261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514,722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Assistance to people with disabilities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34,460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144,695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Assistance to the unemployed</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2,094,763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8,517,849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Labour market assistance to job seekers and industry</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13,454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66,790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School education - specific funding</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1,036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Indirect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Assistance to families with children</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910,016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3,200,527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assistance</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24,903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Industrial relations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40,801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261,645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personal benefits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4,784,618</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20,283,124</w:t>
            </w:r>
          </w:p>
        </w:tc>
      </w:tr>
    </w:tbl>
    <w:p w:rsidR="00361797" w:rsidRDefault="00361797" w:rsidP="00361797">
      <w:pPr>
        <w:pStyle w:val="GreyShadeTableBreak"/>
      </w:pPr>
      <w:bookmarkStart w:id="294" w:name="RANGE!D7:G25"/>
      <w:bookmarkEnd w:id="294"/>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295" w:name="Note_AGRTABLE1" w:colFirst="0" w:colLast="0"/>
            <w:r>
              <w:rPr>
                <w:rFonts w:cs="Calibri"/>
                <w:b/>
                <w:bCs/>
                <w:szCs w:val="18"/>
                <w:u w:val="single"/>
              </w:rPr>
              <w:t xml:space="preserve">Note </w:t>
            </w:r>
            <w:proofErr w:type="spellStart"/>
            <w:r>
              <w:rPr>
                <w:rFonts w:cs="Calibri"/>
                <w:b/>
                <w:bCs/>
                <w:szCs w:val="18"/>
                <w:u w:val="single"/>
              </w:rPr>
              <w:t>17D</w:t>
            </w:r>
            <w:proofErr w:type="spellEnd"/>
            <w:r>
              <w:rPr>
                <w:rFonts w:cs="Calibri"/>
                <w:b/>
                <w:bCs/>
                <w:szCs w:val="18"/>
                <w:u w:val="single"/>
              </w:rPr>
              <w:t>: Grants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295"/>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Public sector</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Australian Government entities (related entities)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28,003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468,760</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State and territory governments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1,951,577</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8,149,954</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Private sector</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Non-profit organisations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131,468</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493,261</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Other</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161,920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93,478</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2,272,968</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9,205,453</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296" w:name="Note_AFNTABLE1" w:colFirst="0" w:colLast="0"/>
            <w:r>
              <w:rPr>
                <w:rFonts w:cs="Calibri"/>
                <w:b/>
                <w:bCs/>
                <w:szCs w:val="18"/>
                <w:u w:val="single"/>
              </w:rPr>
              <w:t xml:space="preserve">Note </w:t>
            </w:r>
            <w:proofErr w:type="spellStart"/>
            <w:r>
              <w:rPr>
                <w:rFonts w:cs="Calibri"/>
                <w:b/>
                <w:bCs/>
                <w:szCs w:val="18"/>
                <w:u w:val="single"/>
              </w:rPr>
              <w:t>17E</w:t>
            </w:r>
            <w:proofErr w:type="spellEnd"/>
            <w:r>
              <w:rPr>
                <w:rFonts w:cs="Calibri"/>
                <w:b/>
                <w:bCs/>
                <w:szCs w:val="18"/>
                <w:u w:val="single"/>
              </w:rPr>
              <w:t>: Finance costs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296"/>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Other interest payments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34</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Unwinding of discount (concessional loans)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finance costs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47</w:t>
            </w:r>
          </w:p>
        </w:tc>
      </w:tr>
    </w:tbl>
    <w:p w:rsidR="00361797" w:rsidRDefault="00361797" w:rsidP="00361797">
      <w:pPr>
        <w:pStyle w:val="GreyShadeTableBreak"/>
      </w:pPr>
      <w:bookmarkStart w:id="297" w:name="RANGE!D7:G11"/>
      <w:bookmarkEnd w:id="297"/>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298" w:name="Note_AWDTABLE1" w:colFirst="0" w:colLast="0"/>
            <w:r>
              <w:rPr>
                <w:rFonts w:cs="Calibri"/>
                <w:b/>
                <w:bCs/>
                <w:szCs w:val="18"/>
                <w:u w:val="single"/>
              </w:rPr>
              <w:t xml:space="preserve">Note </w:t>
            </w:r>
            <w:proofErr w:type="spellStart"/>
            <w:r>
              <w:rPr>
                <w:rFonts w:cs="Calibri"/>
                <w:b/>
                <w:bCs/>
                <w:szCs w:val="18"/>
                <w:u w:val="single"/>
              </w:rPr>
              <w:t>17F</w:t>
            </w:r>
            <w:proofErr w:type="spellEnd"/>
            <w:r>
              <w:rPr>
                <w:rFonts w:cs="Calibri"/>
                <w:b/>
                <w:bCs/>
                <w:szCs w:val="18"/>
                <w:u w:val="single"/>
              </w:rPr>
              <w:t>: Write-down and impairment of assets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298"/>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Impairment of personal benefits receivable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2,202</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838</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Write-down of other receivables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19,020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2,979</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write-down and impairment of assets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21,222</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3,817</w:t>
            </w:r>
          </w:p>
        </w:tc>
      </w:tr>
    </w:tbl>
    <w:p w:rsidR="00361797" w:rsidRDefault="00361797" w:rsidP="00361797">
      <w:pPr>
        <w:pStyle w:val="AdminBlankGreyShade"/>
        <w:jc w:val="both"/>
        <w:rPr>
          <w:shd w:val="clear" w:color="auto" w:fill="D9D9D9" w:themeFill="background1" w:themeFillShade="D9"/>
        </w:rPr>
      </w:pPr>
      <w:r>
        <w:rPr>
          <w:shd w:val="clear" w:color="auto" w:fill="D9D9D9" w:themeFill="background1" w:themeFillShade="D9"/>
        </w:rP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299" w:name="Note_ACBTABLE1" w:colFirst="0" w:colLast="0"/>
            <w:r>
              <w:rPr>
                <w:rFonts w:ascii="Arial" w:hAnsi="Arial" w:cs="Arial"/>
                <w:sz w:val="16"/>
                <w:szCs w:val="16"/>
              </w:rPr>
              <w:lastRenderedPageBreak/>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299"/>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17G</w:t>
            </w:r>
            <w:proofErr w:type="spellEnd"/>
            <w:r>
              <w:rPr>
                <w:rFonts w:cs="Calibri"/>
                <w:b/>
                <w:bCs/>
                <w:szCs w:val="18"/>
                <w:u w:val="single"/>
              </w:rPr>
              <w:t>: Payments to CAC Act bodies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proofErr w:type="spellStart"/>
            <w:r>
              <w:rPr>
                <w:rFonts w:cs="Calibri"/>
                <w:szCs w:val="18"/>
              </w:rPr>
              <w:t>Comcare</w:t>
            </w:r>
            <w:proofErr w:type="spellEnd"/>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6,291</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6,280</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payments to CAC Act  bodies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6,291</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6,280</w:t>
            </w:r>
          </w:p>
        </w:tc>
      </w:tr>
    </w:tbl>
    <w:p w:rsidR="00361797" w:rsidRDefault="00361797" w:rsidP="00361797">
      <w:pPr>
        <w:pStyle w:val="GreyShadeTableBreak"/>
      </w:pPr>
      <w:bookmarkStart w:id="300" w:name="RANGE!D6:G9"/>
      <w:bookmarkEnd w:id="300"/>
    </w:p>
    <w:p w:rsidR="00361797" w:rsidRDefault="00361797" w:rsidP="00361797">
      <w:bookmarkStart w:id="301" w:name="RANGE!D7:D12"/>
      <w:bookmarkEnd w:id="301"/>
    </w:p>
    <w:p w:rsidR="00361797" w:rsidRDefault="00361797" w:rsidP="00361797">
      <w:pPr>
        <w:spacing w:line="240" w:lineRule="auto"/>
      </w:pPr>
      <w:r>
        <w:br w:type="page"/>
      </w:r>
    </w:p>
    <w:p w:rsidR="00361797" w:rsidRDefault="00361797" w:rsidP="00361797">
      <w:pPr>
        <w:pStyle w:val="NotesHeading-Level1GreyShade"/>
        <w:numPr>
          <w:ilvl w:val="0"/>
          <w:numId w:val="14"/>
        </w:numPr>
      </w:pPr>
      <w:bookmarkStart w:id="302" w:name="_Toc388962637"/>
      <w:r>
        <w:lastRenderedPageBreak/>
        <w:t>Administered Income</w:t>
      </w:r>
      <w:bookmarkEnd w:id="302"/>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03" w:name="RANGE!D7:D14"/>
            <w:bookmarkStart w:id="304" w:name="Note_AOTTABLE1" w:colFirst="0" w:colLast="0"/>
            <w:r>
              <w:rPr>
                <w:rFonts w:ascii="Arial" w:hAnsi="Arial" w:cs="Arial"/>
                <w:sz w:val="16"/>
                <w:szCs w:val="16"/>
              </w:rPr>
              <w:t> </w:t>
            </w:r>
            <w:bookmarkEnd w:id="303"/>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04"/>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Taxation revenue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18A</w:t>
            </w:r>
            <w:proofErr w:type="spellEnd"/>
            <w:r>
              <w:rPr>
                <w:rFonts w:cs="Calibri"/>
                <w:b/>
                <w:bCs/>
                <w:szCs w:val="18"/>
                <w:u w:val="single"/>
              </w:rPr>
              <w:t>: Other taxes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Levies (other than agricultural)</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21,039</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172,567</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taxes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21,039</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172,567</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bookmarkStart w:id="305" w:name="Note_AINTABLE1" w:colFirst="0" w:colLast="0"/>
            <w:r>
              <w:rPr>
                <w:rFonts w:cs="Calibri"/>
                <w:b/>
                <w:bCs/>
                <w:szCs w:val="18"/>
              </w:rPr>
              <w:t>Non-taxation revenue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05"/>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18B</w:t>
            </w:r>
            <w:proofErr w:type="spellEnd"/>
            <w:r>
              <w:rPr>
                <w:rFonts w:cs="Calibri"/>
                <w:b/>
                <w:bCs/>
                <w:szCs w:val="18"/>
                <w:u w:val="single"/>
              </w:rPr>
              <w:t>: Interest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Other sources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14</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Loans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692</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1,513</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interest</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695</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1,527</w:t>
            </w:r>
          </w:p>
        </w:tc>
      </w:tr>
    </w:tbl>
    <w:p w:rsidR="00361797" w:rsidRDefault="00361797" w:rsidP="00361797">
      <w:pPr>
        <w:pStyle w:val="GreyShadeTableBreak"/>
      </w:pPr>
      <w:bookmarkStart w:id="306" w:name="RANGE!D7:G13"/>
      <w:bookmarkStart w:id="307" w:name="RANGE!D6:G11"/>
      <w:bookmarkEnd w:id="306"/>
      <w:bookmarkEnd w:id="307"/>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08" w:name="Note_CARTABLE1" w:colFirst="0" w:colLast="0"/>
            <w:r>
              <w:rPr>
                <w:rFonts w:cs="Calibri"/>
                <w:b/>
                <w:bCs/>
                <w:szCs w:val="18"/>
                <w:u w:val="single"/>
              </w:rPr>
              <w:t xml:space="preserve">Note </w:t>
            </w:r>
            <w:proofErr w:type="spellStart"/>
            <w:r>
              <w:rPr>
                <w:rFonts w:cs="Calibri"/>
                <w:b/>
                <w:bCs/>
                <w:szCs w:val="18"/>
                <w:u w:val="single"/>
              </w:rPr>
              <w:t>18C</w:t>
            </w:r>
            <w:proofErr w:type="spellEnd"/>
            <w:r>
              <w:rPr>
                <w:rFonts w:cs="Calibri"/>
                <w:b/>
                <w:bCs/>
                <w:szCs w:val="18"/>
                <w:u w:val="single"/>
              </w:rPr>
              <w:t>: Commonwealth asset recoveries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bookmarkEnd w:id="308"/>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48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General Employee Entitlements and Redundancy Scheme (GEERS) and Fair Entitlement Guarantee (</w:t>
            </w:r>
            <w:proofErr w:type="spellStart"/>
            <w:r>
              <w:rPr>
                <w:rFonts w:cs="Calibri"/>
                <w:szCs w:val="18"/>
              </w:rPr>
              <w:t>FEG</w:t>
            </w:r>
            <w:proofErr w:type="spellEnd"/>
            <w:r>
              <w:rPr>
                <w:rFonts w:cs="Calibri"/>
                <w:szCs w:val="18"/>
              </w:rPr>
              <w:t>) recoveries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2,309</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37,230</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Commonwealth asset recoveries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2,309</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37,230</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160"/>
        <w:gridCol w:w="1326"/>
        <w:gridCol w:w="275"/>
        <w:gridCol w:w="1326"/>
      </w:tblGrid>
      <w:tr w:rsidR="00361797" w:rsidTr="00B50E5D">
        <w:trPr>
          <w:trHeight w:val="255"/>
        </w:trPr>
        <w:tc>
          <w:tcPr>
            <w:tcW w:w="583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09" w:name="Note_AORTABLE1" w:colFirst="0" w:colLast="0"/>
            <w:r>
              <w:rPr>
                <w:rFonts w:cs="Calibri"/>
                <w:b/>
                <w:bCs/>
                <w:szCs w:val="18"/>
                <w:u w:val="single"/>
              </w:rPr>
              <w:t xml:space="preserve">Note </w:t>
            </w:r>
            <w:proofErr w:type="spellStart"/>
            <w:r>
              <w:rPr>
                <w:rFonts w:cs="Calibri"/>
                <w:b/>
                <w:bCs/>
                <w:szCs w:val="18"/>
                <w:u w:val="single"/>
              </w:rPr>
              <w:t>18D</w:t>
            </w:r>
            <w:proofErr w:type="spellEnd"/>
            <w:r>
              <w:rPr>
                <w:rFonts w:cs="Calibri"/>
                <w:b/>
                <w:bCs/>
                <w:szCs w:val="18"/>
                <w:u w:val="single"/>
              </w:rPr>
              <w:t>: Other revenue</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09"/>
      <w:tr w:rsidR="00361797" w:rsidTr="00B50E5D">
        <w:trPr>
          <w:trHeight w:val="255"/>
        </w:trPr>
        <w:tc>
          <w:tcPr>
            <w:tcW w:w="58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8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Other</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146,660</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29,022</w:t>
            </w:r>
          </w:p>
        </w:tc>
      </w:tr>
      <w:tr w:rsidR="00361797" w:rsidTr="00B50E5D">
        <w:trPr>
          <w:trHeight w:val="270"/>
        </w:trPr>
        <w:tc>
          <w:tcPr>
            <w:tcW w:w="58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revenue</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146,660</w:t>
            </w:r>
          </w:p>
        </w:tc>
        <w:tc>
          <w:tcPr>
            <w:tcW w:w="261"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29,022</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bookmarkStart w:id="310" w:name="Note_AFVTABLE1" w:colFirst="0" w:colLast="0"/>
            <w:r>
              <w:rPr>
                <w:rFonts w:cs="Calibri"/>
                <w:b/>
                <w:bCs/>
                <w:szCs w:val="18"/>
              </w:rPr>
              <w:t>Gains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bookmarkEnd w:id="310"/>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18E</w:t>
            </w:r>
            <w:proofErr w:type="spellEnd"/>
            <w:r>
              <w:rPr>
                <w:rFonts w:cs="Calibri"/>
                <w:b/>
                <w:bCs/>
                <w:szCs w:val="18"/>
                <w:u w:val="single"/>
              </w:rPr>
              <w:t>: Fair value gains from financial instruments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4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Actuarial gain on Student Financial Supplement Scheme (</w:t>
            </w:r>
            <w:proofErr w:type="spellStart"/>
            <w:r>
              <w:rPr>
                <w:rFonts w:cs="Calibri"/>
                <w:szCs w:val="18"/>
              </w:rPr>
              <w:t>ABSTUDY</w:t>
            </w:r>
            <w:proofErr w:type="spellEnd"/>
            <w:r>
              <w:rPr>
                <w:rFonts w:cs="Calibri"/>
                <w:szCs w:val="18"/>
              </w:rPr>
              <w: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29,134</w:t>
            </w:r>
          </w:p>
        </w:tc>
      </w:tr>
      <w:tr w:rsidR="00361797" w:rsidTr="00B50E5D">
        <w:trPr>
          <w:trHeight w:val="24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fair value gains from financial instruments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29,134</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11" w:name="Note_ARPTABLE1" w:colFirst="0" w:colLast="0"/>
            <w:r>
              <w:rPr>
                <w:rFonts w:cs="Calibri"/>
                <w:b/>
                <w:bCs/>
                <w:szCs w:val="18"/>
                <w:u w:val="single"/>
              </w:rPr>
              <w:t xml:space="preserve">Note </w:t>
            </w:r>
            <w:proofErr w:type="spellStart"/>
            <w:r>
              <w:rPr>
                <w:rFonts w:cs="Calibri"/>
                <w:b/>
                <w:bCs/>
                <w:szCs w:val="18"/>
                <w:u w:val="single"/>
              </w:rPr>
              <w:t>18F</w:t>
            </w:r>
            <w:proofErr w:type="spellEnd"/>
            <w:r>
              <w:rPr>
                <w:rFonts w:cs="Calibri"/>
                <w:b/>
                <w:bCs/>
                <w:szCs w:val="18"/>
                <w:u w:val="single"/>
              </w:rPr>
              <w:t>: Reversals of previous asset write-downs and impairments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11"/>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Reversals of impairment losses for goods and services receivables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1,941</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Reversal of impairment losses for personal benefits receivables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17,264</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reversals of previous asset write-downs and impairments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19,205</w:t>
            </w:r>
          </w:p>
        </w:tc>
      </w:tr>
    </w:tbl>
    <w:p w:rsidR="00361797" w:rsidRDefault="00361797" w:rsidP="00361797">
      <w:pPr>
        <w:pStyle w:val="GreyShadeTableBreak"/>
      </w:pPr>
      <w:r>
        <w:br w:type="page"/>
      </w:r>
    </w:p>
    <w:p w:rsidR="00361797" w:rsidRDefault="00361797" w:rsidP="00361797">
      <w:pPr>
        <w:pStyle w:val="NotesHeading-Level1GreyShade"/>
        <w:numPr>
          <w:ilvl w:val="0"/>
          <w:numId w:val="14"/>
        </w:numPr>
      </w:pPr>
      <w:bookmarkStart w:id="312" w:name="_Toc388962638"/>
      <w:r>
        <w:lastRenderedPageBreak/>
        <w:t>Administered Fair Value Measurement</w:t>
      </w:r>
      <w:bookmarkEnd w:id="312"/>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361797" w:rsidTr="00B50E5D">
        <w:trPr>
          <w:trHeight w:val="240"/>
        </w:trPr>
        <w:tc>
          <w:tcPr>
            <w:tcW w:w="8980" w:type="dxa"/>
            <w:gridSpan w:val="5"/>
            <w:tcBorders>
              <w:top w:val="nil"/>
              <w:left w:val="nil"/>
              <w:bottom w:val="nil"/>
              <w:right w:val="nil"/>
            </w:tcBorders>
            <w:shd w:val="clear" w:color="000000" w:fill="D9D9D9"/>
            <w:vAlign w:val="bottom"/>
            <w:hideMark/>
          </w:tcPr>
          <w:p w:rsidR="00361797" w:rsidRDefault="00361797" w:rsidP="00B50E5D">
            <w:pPr>
              <w:rPr>
                <w:rFonts w:cs="Calibri"/>
                <w:szCs w:val="18"/>
              </w:rPr>
            </w:pPr>
            <w:bookmarkStart w:id="313" w:name="Note_AVATABLE1" w:colFirst="0" w:colLast="0"/>
            <w:r>
              <w:rPr>
                <w:rFonts w:cs="Calibri"/>
                <w:szCs w:val="18"/>
              </w:rPr>
              <w:t>The following tables provide an analysis of assets and liabilities that are measured at fair value.</w:t>
            </w:r>
          </w:p>
        </w:tc>
      </w:tr>
      <w:bookmarkEnd w:id="313"/>
      <w:tr w:rsidR="00361797" w:rsidTr="00B50E5D">
        <w:trPr>
          <w:trHeight w:val="240"/>
        </w:trPr>
        <w:tc>
          <w:tcPr>
            <w:tcW w:w="8980" w:type="dxa"/>
            <w:gridSpan w:val="5"/>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The different levels of the fair value hierarchy are defined below.</w:t>
            </w:r>
          </w:p>
        </w:tc>
      </w:tr>
      <w:tr w:rsidR="00361797" w:rsidTr="00B50E5D">
        <w:trPr>
          <w:trHeight w:val="240"/>
        </w:trPr>
        <w:tc>
          <w:tcPr>
            <w:tcW w:w="40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8980" w:type="dxa"/>
            <w:gridSpan w:val="5"/>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Level 1: Quoted prices (unadjusted) in active markets for identical assets or liabilities that the entity can access at measurement date.</w:t>
            </w:r>
          </w:p>
        </w:tc>
      </w:tr>
      <w:tr w:rsidR="00361797" w:rsidTr="00B50E5D">
        <w:trPr>
          <w:trHeight w:val="240"/>
        </w:trPr>
        <w:tc>
          <w:tcPr>
            <w:tcW w:w="8980" w:type="dxa"/>
            <w:gridSpan w:val="5"/>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Level 2: Inputs other than quoted prices included within Level 1 that are observable for the asset or liability, either directly or indirectly.</w:t>
            </w:r>
          </w:p>
        </w:tc>
      </w:tr>
      <w:tr w:rsidR="00361797" w:rsidTr="00B50E5D">
        <w:trPr>
          <w:trHeight w:val="240"/>
        </w:trPr>
        <w:tc>
          <w:tcPr>
            <w:tcW w:w="8980" w:type="dxa"/>
            <w:gridSpan w:val="5"/>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Level 3: Unobservable inputs for the asset or liability.</w:t>
            </w:r>
          </w:p>
        </w:tc>
      </w:tr>
      <w:tr w:rsidR="00361797" w:rsidTr="00B50E5D">
        <w:trPr>
          <w:trHeight w:val="240"/>
        </w:trPr>
        <w:tc>
          <w:tcPr>
            <w:tcW w:w="4028" w:type="dxa"/>
            <w:tcBorders>
              <w:top w:val="nil"/>
              <w:left w:val="nil"/>
              <w:bottom w:val="nil"/>
              <w:right w:val="nil"/>
            </w:tcBorders>
            <w:shd w:val="clear" w:color="000000" w:fill="D9D9D9"/>
            <w:noWrap/>
            <w:vAlign w:val="bottom"/>
            <w:hideMark/>
          </w:tcPr>
          <w:p w:rsidR="00361797" w:rsidRDefault="00361797" w:rsidP="00B50E5D">
            <w:pPr>
              <w:rPr>
                <w:rFonts w:cs="Calibri"/>
                <w:b/>
                <w:bCs/>
                <w:szCs w:val="18"/>
                <w:u w:val="single"/>
              </w:rPr>
            </w:pP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4028" w:type="dxa"/>
            <w:tcBorders>
              <w:top w:val="nil"/>
              <w:left w:val="nil"/>
              <w:bottom w:val="nil"/>
              <w:right w:val="nil"/>
            </w:tcBorders>
            <w:shd w:val="clear" w:color="000000" w:fill="D9D9D9"/>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19A</w:t>
            </w:r>
            <w:proofErr w:type="spellEnd"/>
            <w:r>
              <w:rPr>
                <w:rFonts w:cs="Calibri"/>
                <w:b/>
                <w:bCs/>
                <w:szCs w:val="18"/>
                <w:u w:val="single"/>
              </w:rPr>
              <w:t>: Fair value measurements</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402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40"/>
        </w:trPr>
        <w:tc>
          <w:tcPr>
            <w:tcW w:w="4028"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Fair value measurements at 18 September 2013 by hierarchy for assets and liabilities</w:t>
            </w:r>
          </w:p>
        </w:tc>
        <w:tc>
          <w:tcPr>
            <w:tcW w:w="1238"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495"/>
        </w:trPr>
        <w:tc>
          <w:tcPr>
            <w:tcW w:w="4028" w:type="dxa"/>
            <w:tcBorders>
              <w:top w:val="single" w:sz="4" w:space="0" w:color="auto"/>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single" w:sz="4" w:space="0" w:color="auto"/>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3714" w:type="dxa"/>
            <w:gridSpan w:val="3"/>
            <w:tcBorders>
              <w:top w:val="single" w:sz="4" w:space="0" w:color="auto"/>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Fair value measurements at the end of the reporting period using</w:t>
            </w:r>
          </w:p>
        </w:tc>
      </w:tr>
      <w:tr w:rsidR="00361797" w:rsidTr="00B50E5D">
        <w:trPr>
          <w:trHeight w:val="240"/>
        </w:trPr>
        <w:tc>
          <w:tcPr>
            <w:tcW w:w="40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Fair value</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Level 1 inputs</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Level 2 inputs</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Level 3 inputs</w:t>
            </w:r>
          </w:p>
        </w:tc>
      </w:tr>
      <w:tr w:rsidR="00361797" w:rsidTr="00B50E5D">
        <w:trPr>
          <w:trHeight w:val="240"/>
        </w:trPr>
        <w:tc>
          <w:tcPr>
            <w:tcW w:w="4028" w:type="dxa"/>
            <w:tcBorders>
              <w:top w:val="nil"/>
              <w:left w:val="nil"/>
              <w:bottom w:val="single" w:sz="4" w:space="0" w:color="auto"/>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40"/>
        </w:trPr>
        <w:tc>
          <w:tcPr>
            <w:tcW w:w="4028"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40"/>
        </w:trPr>
        <w:tc>
          <w:tcPr>
            <w:tcW w:w="4028"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Concessional loans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62,738 </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62,738 </w:t>
            </w:r>
          </w:p>
        </w:tc>
      </w:tr>
      <w:tr w:rsidR="00361797" w:rsidTr="00B50E5D">
        <w:trPr>
          <w:trHeight w:val="240"/>
        </w:trPr>
        <w:tc>
          <w:tcPr>
            <w:tcW w:w="4028"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Administered investments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r>
      <w:tr w:rsidR="00361797" w:rsidTr="00B50E5D">
        <w:trPr>
          <w:trHeight w:val="240"/>
        </w:trPr>
        <w:tc>
          <w:tcPr>
            <w:tcW w:w="4028"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financial assets</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186,450</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186,450</w:t>
            </w:r>
          </w:p>
        </w:tc>
      </w:tr>
      <w:tr w:rsidR="00361797" w:rsidTr="00B50E5D">
        <w:trPr>
          <w:trHeight w:val="240"/>
        </w:trPr>
        <w:tc>
          <w:tcPr>
            <w:tcW w:w="4028"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fair value measurements</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186,450</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186,450</w:t>
            </w:r>
          </w:p>
        </w:tc>
      </w:tr>
    </w:tbl>
    <w:p w:rsidR="00361797" w:rsidRDefault="00361797" w:rsidP="00361797">
      <w:pPr>
        <w:pStyle w:val="NotesHeading-Level1GreyShade"/>
        <w:numPr>
          <w:ilvl w:val="0"/>
          <w:numId w:val="0"/>
        </w:numPr>
      </w:pPr>
      <w:bookmarkStart w:id="314" w:name="RANGE!D7:H27"/>
      <w:bookmarkStart w:id="315" w:name="RANGE!D7:D26"/>
      <w:bookmarkEnd w:id="314"/>
      <w:bookmarkEnd w:id="315"/>
    </w:p>
    <w:p w:rsidR="00361797" w:rsidRDefault="00361797" w:rsidP="00361797">
      <w:pPr>
        <w:pStyle w:val="GreyShadeTableBreak"/>
      </w:pPr>
      <w:r w:rsidRPr="00B71488">
        <w:t>There are a number of Administered assets and liabilities n</w:t>
      </w:r>
      <w:r>
        <w:t xml:space="preserve">ot measured at fair value in cost of services or other </w:t>
      </w:r>
      <w:r w:rsidRPr="00B71488">
        <w:t xml:space="preserve">comprehensive income. </w:t>
      </w:r>
      <w:r>
        <w:t xml:space="preserve"> </w:t>
      </w:r>
      <w:r w:rsidRPr="00B71488">
        <w:t>The carrying amounts of these assets and liabilities are considered to be a reasonable approximation of their fair value.</w:t>
      </w:r>
    </w:p>
    <w:p w:rsidR="00361797" w:rsidRDefault="00361797" w:rsidP="00361797">
      <w:pPr>
        <w:pStyle w:val="NotesHeading-Level1GreyShade"/>
        <w:numPr>
          <w:ilvl w:val="0"/>
          <w:numId w:val="0"/>
        </w:numPr>
      </w:pPr>
    </w:p>
    <w:tbl>
      <w:tblPr>
        <w:tblW w:w="9087" w:type="dxa"/>
        <w:tblInd w:w="80" w:type="dxa"/>
        <w:tblLayout w:type="fixed"/>
        <w:tblLook w:val="04A0" w:firstRow="1" w:lastRow="0" w:firstColumn="1" w:lastColumn="0" w:noHBand="0" w:noVBand="1"/>
      </w:tblPr>
      <w:tblGrid>
        <w:gridCol w:w="4988"/>
        <w:gridCol w:w="932"/>
        <w:gridCol w:w="932"/>
        <w:gridCol w:w="1303"/>
        <w:gridCol w:w="932"/>
      </w:tblGrid>
      <w:tr w:rsidR="00361797" w:rsidTr="00B50E5D">
        <w:trPr>
          <w:trHeight w:val="240"/>
        </w:trPr>
        <w:tc>
          <w:tcPr>
            <w:tcW w:w="4929" w:type="dxa"/>
            <w:tcBorders>
              <w:top w:val="nil"/>
              <w:left w:val="nil"/>
              <w:bottom w:val="nil"/>
              <w:right w:val="nil"/>
            </w:tcBorders>
            <w:shd w:val="clear" w:color="000000" w:fill="D9D9D9"/>
            <w:noWrap/>
            <w:vAlign w:val="bottom"/>
            <w:hideMark/>
          </w:tcPr>
          <w:p w:rsidR="00361797" w:rsidRDefault="00361797" w:rsidP="00B50E5D">
            <w:pPr>
              <w:rPr>
                <w:rFonts w:cs="Calibri"/>
                <w:b/>
                <w:bCs/>
                <w:szCs w:val="18"/>
                <w:u w:val="single"/>
              </w:rPr>
            </w:pPr>
            <w:bookmarkStart w:id="316" w:name="RANGE!D7:H8"/>
            <w:bookmarkStart w:id="317" w:name="Note_AVCTABLE1" w:colFirst="0" w:colLast="0"/>
            <w:r>
              <w:rPr>
                <w:rFonts w:cs="Calibri"/>
                <w:b/>
                <w:bCs/>
                <w:szCs w:val="18"/>
                <w:u w:val="single"/>
              </w:rPr>
              <w:t xml:space="preserve">Note </w:t>
            </w:r>
            <w:proofErr w:type="spellStart"/>
            <w:r>
              <w:rPr>
                <w:rFonts w:cs="Calibri"/>
                <w:b/>
                <w:bCs/>
                <w:szCs w:val="18"/>
                <w:u w:val="single"/>
              </w:rPr>
              <w:t>19B</w:t>
            </w:r>
            <w:proofErr w:type="spellEnd"/>
            <w:r>
              <w:rPr>
                <w:rFonts w:cs="Calibri"/>
                <w:b/>
                <w:bCs/>
                <w:szCs w:val="18"/>
                <w:u w:val="single"/>
              </w:rPr>
              <w:t>: Valuation technique and inputs for Level 2 and Level 3 fair value measurements</w:t>
            </w:r>
            <w:bookmarkEnd w:id="316"/>
          </w:p>
        </w:tc>
        <w:tc>
          <w:tcPr>
            <w:tcW w:w="92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92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8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21"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bookmarkEnd w:id="317"/>
      <w:tr w:rsidR="00361797" w:rsidTr="00B50E5D">
        <w:trPr>
          <w:trHeight w:val="240"/>
        </w:trPr>
        <w:tc>
          <w:tcPr>
            <w:tcW w:w="4929"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21"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921"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88"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2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720"/>
        </w:trPr>
        <w:tc>
          <w:tcPr>
            <w:tcW w:w="4929" w:type="dxa"/>
            <w:tcBorders>
              <w:top w:val="single" w:sz="4" w:space="0" w:color="auto"/>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21" w:type="dxa"/>
            <w:tcBorders>
              <w:top w:val="single" w:sz="4" w:space="0" w:color="auto"/>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Category (Level 2 or Level 3)</w:t>
            </w:r>
          </w:p>
        </w:tc>
        <w:tc>
          <w:tcPr>
            <w:tcW w:w="921" w:type="dxa"/>
            <w:tcBorders>
              <w:top w:val="single" w:sz="4" w:space="0" w:color="auto"/>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Fair value</w:t>
            </w:r>
          </w:p>
        </w:tc>
        <w:tc>
          <w:tcPr>
            <w:tcW w:w="1288" w:type="dxa"/>
            <w:tcBorders>
              <w:top w:val="single" w:sz="4" w:space="0" w:color="auto"/>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Valuation technique(s)</w:t>
            </w:r>
          </w:p>
        </w:tc>
        <w:tc>
          <w:tcPr>
            <w:tcW w:w="921" w:type="dxa"/>
            <w:tcBorders>
              <w:top w:val="single" w:sz="4" w:space="0" w:color="auto"/>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Inputs used</w:t>
            </w:r>
          </w:p>
        </w:tc>
      </w:tr>
      <w:tr w:rsidR="00361797" w:rsidTr="00B50E5D">
        <w:trPr>
          <w:trHeight w:val="240"/>
        </w:trPr>
        <w:tc>
          <w:tcPr>
            <w:tcW w:w="4929"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21"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921"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28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921"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40"/>
        </w:trPr>
        <w:tc>
          <w:tcPr>
            <w:tcW w:w="4929"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w:t>
            </w:r>
          </w:p>
        </w:tc>
        <w:tc>
          <w:tcPr>
            <w:tcW w:w="92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92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8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21"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435"/>
        </w:trPr>
        <w:tc>
          <w:tcPr>
            <w:tcW w:w="4929"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Concessional loans</w:t>
            </w:r>
          </w:p>
        </w:tc>
        <w:tc>
          <w:tcPr>
            <w:tcW w:w="92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 </w:t>
            </w:r>
          </w:p>
        </w:tc>
        <w:tc>
          <w:tcPr>
            <w:tcW w:w="92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62,738 </w:t>
            </w:r>
          </w:p>
        </w:tc>
        <w:tc>
          <w:tcPr>
            <w:tcW w:w="128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Loan conditions</w:t>
            </w:r>
          </w:p>
        </w:tc>
        <w:tc>
          <w:tcPr>
            <w:tcW w:w="92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Principal due</w:t>
            </w:r>
          </w:p>
        </w:tc>
      </w:tr>
      <w:tr w:rsidR="00361797" w:rsidTr="00B50E5D">
        <w:trPr>
          <w:trHeight w:val="810"/>
        </w:trPr>
        <w:tc>
          <w:tcPr>
            <w:tcW w:w="4929" w:type="dxa"/>
            <w:tcBorders>
              <w:top w:val="nil"/>
              <w:left w:val="nil"/>
              <w:bottom w:val="single" w:sz="4" w:space="0" w:color="auto"/>
              <w:right w:val="nil"/>
            </w:tcBorders>
            <w:shd w:val="clear" w:color="000000" w:fill="D9D9D9"/>
            <w:vAlign w:val="bottom"/>
            <w:hideMark/>
          </w:tcPr>
          <w:p w:rsidR="00361797" w:rsidRDefault="00361797" w:rsidP="00B50E5D">
            <w:pPr>
              <w:rPr>
                <w:rFonts w:cs="Calibri"/>
                <w:szCs w:val="18"/>
              </w:rPr>
            </w:pPr>
            <w:r>
              <w:rPr>
                <w:rFonts w:cs="Calibri"/>
                <w:szCs w:val="18"/>
              </w:rPr>
              <w:t>Administered investments</w:t>
            </w:r>
          </w:p>
        </w:tc>
        <w:tc>
          <w:tcPr>
            <w:tcW w:w="921"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 </w:t>
            </w:r>
          </w:p>
        </w:tc>
        <w:tc>
          <w:tcPr>
            <w:tcW w:w="921"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128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Depreciated replacement cost </w:t>
            </w:r>
          </w:p>
        </w:tc>
        <w:tc>
          <w:tcPr>
            <w:tcW w:w="921"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Net assets of the entity</w:t>
            </w:r>
          </w:p>
        </w:tc>
      </w:tr>
    </w:tbl>
    <w:p w:rsidR="00361797" w:rsidRDefault="00361797" w:rsidP="00361797">
      <w:pPr>
        <w:pStyle w:val="GreyShadeTableBreak"/>
      </w:pPr>
      <w:bookmarkStart w:id="318" w:name="RANGE!D7:D13"/>
      <w:bookmarkStart w:id="319" w:name="RANGE!D7:H13"/>
      <w:bookmarkEnd w:id="318"/>
      <w:bookmarkEnd w:id="319"/>
    </w:p>
    <w:p w:rsidR="00361797" w:rsidRDefault="00361797" w:rsidP="00361797">
      <w:pPr>
        <w:pStyle w:val="GreyShadeTableBreak"/>
        <w:rPr>
          <w:rFonts w:cs="Calibri"/>
          <w:szCs w:val="18"/>
        </w:rPr>
      </w:pPr>
      <w:r>
        <w:t xml:space="preserve">The methods and valuation techniques used for the purpose of measuring fair value of assets and liabilities </w:t>
      </w:r>
      <w:r w:rsidRPr="00B71488">
        <w:rPr>
          <w:rFonts w:cs="Calibri"/>
          <w:szCs w:val="18"/>
        </w:rPr>
        <w:t>in 2014 are unchanged from</w:t>
      </w:r>
      <w:r>
        <w:rPr>
          <w:rFonts w:cs="Calibri"/>
          <w:szCs w:val="18"/>
        </w:rPr>
        <w:t xml:space="preserve"> the previous reporting period.</w:t>
      </w:r>
    </w:p>
    <w:p w:rsidR="00361797" w:rsidRPr="00B71488" w:rsidRDefault="00361797" w:rsidP="00361797">
      <w:pPr>
        <w:pStyle w:val="GreyShadeTableBreak"/>
        <w:rPr>
          <w:rFonts w:cs="Calibri"/>
          <w:szCs w:val="18"/>
        </w:rPr>
      </w:pPr>
      <w:r w:rsidRPr="00B71488">
        <w:rPr>
          <w:rFonts w:cs="Calibri"/>
          <w:szCs w:val="18"/>
        </w:rPr>
        <w:tab/>
      </w:r>
      <w:r w:rsidRPr="00B71488">
        <w:rPr>
          <w:rFonts w:cs="Calibri"/>
          <w:szCs w:val="18"/>
        </w:rPr>
        <w:tab/>
      </w:r>
    </w:p>
    <w:p w:rsidR="00361797" w:rsidRPr="00B71488" w:rsidRDefault="00361797" w:rsidP="00361797">
      <w:pPr>
        <w:pStyle w:val="GreyShadeTableBreak"/>
        <w:rPr>
          <w:rFonts w:cs="Calibri"/>
          <w:szCs w:val="18"/>
        </w:rPr>
      </w:pPr>
      <w:r w:rsidRPr="00B71488">
        <w:rPr>
          <w:rFonts w:cs="Calibri"/>
          <w:szCs w:val="18"/>
        </w:rPr>
        <w:t xml:space="preserve">Changing inputs to the </w:t>
      </w:r>
      <w:r>
        <w:rPr>
          <w:rFonts w:cs="Calibri"/>
          <w:szCs w:val="18"/>
        </w:rPr>
        <w:t>L</w:t>
      </w:r>
      <w:r w:rsidRPr="00B71488">
        <w:rPr>
          <w:rFonts w:cs="Calibri"/>
          <w:szCs w:val="18"/>
        </w:rPr>
        <w:t>evel 3 hierarchy valuations to reasonably possible alternate assumptions would not significantly change amounts recognised in net cost of service</w:t>
      </w:r>
      <w:r>
        <w:rPr>
          <w:rFonts w:cs="Calibri"/>
          <w:szCs w:val="18"/>
        </w:rPr>
        <w:t>s</w:t>
      </w:r>
      <w:r w:rsidRPr="00B71488">
        <w:rPr>
          <w:rFonts w:cs="Calibri"/>
          <w:szCs w:val="18"/>
        </w:rPr>
        <w:t xml:space="preserve"> or other comprehensive income.</w:t>
      </w:r>
      <w:r w:rsidRPr="00B71488">
        <w:rPr>
          <w:rFonts w:cs="Calibri"/>
          <w:szCs w:val="18"/>
        </w:rPr>
        <w:tab/>
      </w:r>
      <w:r w:rsidRPr="00B71488">
        <w:rPr>
          <w:rFonts w:cs="Calibri"/>
          <w:szCs w:val="18"/>
        </w:rPr>
        <w:tab/>
      </w:r>
    </w:p>
    <w:p w:rsidR="00361797" w:rsidRDefault="00361797" w:rsidP="00361797">
      <w:pPr>
        <w:spacing w:line="240" w:lineRule="auto"/>
      </w:pPr>
      <w:r>
        <w:br w:type="page"/>
      </w:r>
    </w:p>
    <w:tbl>
      <w:tblPr>
        <w:tblW w:w="9087" w:type="dxa"/>
        <w:tblInd w:w="80" w:type="dxa"/>
        <w:tblLayout w:type="fixed"/>
        <w:tblLook w:val="04A0" w:firstRow="1" w:lastRow="0" w:firstColumn="1" w:lastColumn="0" w:noHBand="0" w:noVBand="1"/>
      </w:tblPr>
      <w:tblGrid>
        <w:gridCol w:w="5182"/>
        <w:gridCol w:w="1462"/>
        <w:gridCol w:w="1305"/>
        <w:gridCol w:w="1138"/>
      </w:tblGrid>
      <w:tr w:rsidR="00361797" w:rsidTr="00B50E5D">
        <w:trPr>
          <w:trHeight w:val="240"/>
        </w:trPr>
        <w:tc>
          <w:tcPr>
            <w:tcW w:w="5128" w:type="dxa"/>
            <w:tcBorders>
              <w:top w:val="nil"/>
              <w:left w:val="nil"/>
              <w:bottom w:val="nil"/>
              <w:right w:val="nil"/>
            </w:tcBorders>
            <w:shd w:val="clear" w:color="000000" w:fill="D9D9D9"/>
            <w:noWrap/>
            <w:vAlign w:val="bottom"/>
            <w:hideMark/>
          </w:tcPr>
          <w:p w:rsidR="00361797" w:rsidRDefault="00361797" w:rsidP="00B50E5D">
            <w:pPr>
              <w:rPr>
                <w:rFonts w:cs="Calibri"/>
                <w:b/>
                <w:bCs/>
                <w:szCs w:val="18"/>
                <w:u w:val="single"/>
              </w:rPr>
            </w:pPr>
            <w:bookmarkStart w:id="320" w:name="Note_AVDTABLE1" w:colFirst="0" w:colLast="0"/>
            <w:r>
              <w:rPr>
                <w:rFonts w:cs="Calibri"/>
                <w:b/>
                <w:bCs/>
                <w:szCs w:val="18"/>
                <w:u w:val="single"/>
              </w:rPr>
              <w:lastRenderedPageBreak/>
              <w:t xml:space="preserve">Note </w:t>
            </w:r>
            <w:proofErr w:type="spellStart"/>
            <w:r>
              <w:rPr>
                <w:rFonts w:cs="Calibri"/>
                <w:b/>
                <w:bCs/>
                <w:szCs w:val="18"/>
                <w:u w:val="single"/>
              </w:rPr>
              <w:t>19C</w:t>
            </w:r>
            <w:proofErr w:type="spellEnd"/>
            <w:r>
              <w:rPr>
                <w:rFonts w:cs="Calibri"/>
                <w:b/>
                <w:bCs/>
                <w:szCs w:val="18"/>
                <w:u w:val="single"/>
              </w:rPr>
              <w:t>: Reconciliation for recurring Level 3 fair value measurements</w:t>
            </w:r>
          </w:p>
        </w:tc>
        <w:tc>
          <w:tcPr>
            <w:tcW w:w="1447"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9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12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bookmarkEnd w:id="320"/>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447"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9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12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There have been no transfer between levels during the period</w:t>
            </w:r>
          </w:p>
        </w:tc>
        <w:tc>
          <w:tcPr>
            <w:tcW w:w="1447"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9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12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447"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9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12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Recurring Level 3 fair value measurements - reconciliation for assets</w:t>
            </w:r>
          </w:p>
        </w:tc>
        <w:tc>
          <w:tcPr>
            <w:tcW w:w="1447"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91"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12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40"/>
        </w:trPr>
        <w:tc>
          <w:tcPr>
            <w:tcW w:w="5128" w:type="dxa"/>
            <w:tcBorders>
              <w:top w:val="single" w:sz="4" w:space="0" w:color="auto"/>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3864" w:type="dxa"/>
            <w:gridSpan w:val="3"/>
            <w:tcBorders>
              <w:top w:val="single" w:sz="4" w:space="0" w:color="auto"/>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Financial assets</w:t>
            </w:r>
          </w:p>
        </w:tc>
      </w:tr>
      <w:tr w:rsidR="00361797" w:rsidTr="00B50E5D">
        <w:trPr>
          <w:trHeight w:val="495"/>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447"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Administered investments</w:t>
            </w:r>
          </w:p>
        </w:tc>
        <w:tc>
          <w:tcPr>
            <w:tcW w:w="129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Concessional Loans</w:t>
            </w:r>
          </w:p>
        </w:tc>
        <w:tc>
          <w:tcPr>
            <w:tcW w:w="112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447"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291"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12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r>
      <w:tr w:rsidR="00361797" w:rsidTr="00B50E5D">
        <w:trPr>
          <w:trHeight w:val="240"/>
        </w:trPr>
        <w:tc>
          <w:tcPr>
            <w:tcW w:w="5128" w:type="dxa"/>
            <w:tcBorders>
              <w:top w:val="nil"/>
              <w:left w:val="nil"/>
              <w:bottom w:val="single" w:sz="4" w:space="0" w:color="auto"/>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447"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291"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12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Opening balance</w:t>
            </w:r>
          </w:p>
        </w:tc>
        <w:tc>
          <w:tcPr>
            <w:tcW w:w="1447"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6,987 </w:t>
            </w:r>
          </w:p>
        </w:tc>
        <w:tc>
          <w:tcPr>
            <w:tcW w:w="129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68,139 </w:t>
            </w:r>
          </w:p>
        </w:tc>
        <w:tc>
          <w:tcPr>
            <w:tcW w:w="112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75,126 </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Total gains/(losses) recognised in net cost of services</w:t>
            </w:r>
          </w:p>
        </w:tc>
        <w:tc>
          <w:tcPr>
            <w:tcW w:w="1447"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12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Total gains/(losses) recognised in Administered Equity</w:t>
            </w:r>
          </w:p>
        </w:tc>
        <w:tc>
          <w:tcPr>
            <w:tcW w:w="1447"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116,725 </w:t>
            </w:r>
          </w:p>
        </w:tc>
        <w:tc>
          <w:tcPr>
            <w:tcW w:w="129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12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116,725 </w:t>
            </w:r>
          </w:p>
        </w:tc>
      </w:tr>
      <w:tr w:rsidR="00361797" w:rsidTr="00B50E5D">
        <w:trPr>
          <w:trHeight w:val="240"/>
        </w:trPr>
        <w:tc>
          <w:tcPr>
            <w:tcW w:w="5128"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Settlements</w:t>
            </w:r>
          </w:p>
        </w:tc>
        <w:tc>
          <w:tcPr>
            <w:tcW w:w="1447"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9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(5,401)</w:t>
            </w:r>
          </w:p>
        </w:tc>
        <w:tc>
          <w:tcPr>
            <w:tcW w:w="112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(5,401)</w:t>
            </w:r>
          </w:p>
        </w:tc>
      </w:tr>
      <w:tr w:rsidR="00361797" w:rsidTr="00B50E5D">
        <w:trPr>
          <w:trHeight w:val="240"/>
        </w:trPr>
        <w:tc>
          <w:tcPr>
            <w:tcW w:w="5128"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Closing balance</w:t>
            </w:r>
          </w:p>
        </w:tc>
        <w:tc>
          <w:tcPr>
            <w:tcW w:w="1447"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 123,712 </w:t>
            </w:r>
          </w:p>
        </w:tc>
        <w:tc>
          <w:tcPr>
            <w:tcW w:w="1291"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 62,738 </w:t>
            </w:r>
          </w:p>
        </w:tc>
        <w:tc>
          <w:tcPr>
            <w:tcW w:w="112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 186,450 </w:t>
            </w:r>
          </w:p>
        </w:tc>
      </w:tr>
    </w:tbl>
    <w:p w:rsidR="00361797" w:rsidRDefault="00361797" w:rsidP="00361797">
      <w:pPr>
        <w:pStyle w:val="NotesHeading-Level1GreyShade"/>
        <w:numPr>
          <w:ilvl w:val="0"/>
          <w:numId w:val="0"/>
        </w:numPr>
      </w:pPr>
      <w:bookmarkStart w:id="321" w:name="RANGE!D7:F26"/>
      <w:bookmarkEnd w:id="321"/>
    </w:p>
    <w:p w:rsidR="00361797" w:rsidRDefault="00361797" w:rsidP="00361797">
      <w:pPr>
        <w:spacing w:line="240" w:lineRule="auto"/>
        <w:rPr>
          <w:rFonts w:asciiTheme="minorHAnsi" w:hAnsiTheme="minorHAnsi" w:cstheme="minorHAnsi"/>
          <w:b/>
          <w:sz w:val="20"/>
        </w:rPr>
      </w:pPr>
      <w:r>
        <w:br w:type="page"/>
      </w:r>
    </w:p>
    <w:p w:rsidR="00361797" w:rsidRDefault="00361797" w:rsidP="00361797">
      <w:pPr>
        <w:pStyle w:val="NotesHeading-Level1GreyShade"/>
        <w:numPr>
          <w:ilvl w:val="0"/>
          <w:numId w:val="14"/>
        </w:numPr>
      </w:pPr>
      <w:bookmarkStart w:id="322" w:name="_Toc388962639"/>
      <w:r>
        <w:lastRenderedPageBreak/>
        <w:t>Administered Financial Assets</w:t>
      </w:r>
      <w:bookmarkEnd w:id="322"/>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23" w:name="Note_ACS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23"/>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20A</w:t>
            </w:r>
            <w:proofErr w:type="spellEnd"/>
            <w:r>
              <w:rPr>
                <w:rFonts w:cs="Calibri"/>
                <w:b/>
                <w:bCs/>
                <w:szCs w:val="18"/>
                <w:u w:val="single"/>
              </w:rPr>
              <w:t>: Cash and cash equivalents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Cash on hand or on deposit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558</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58</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Special accounts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138,937</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2,060</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cash and cash equivalents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139,495</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2,118</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24" w:name="Note_ARETABLE1" w:colFirst="0" w:colLast="0"/>
            <w:r>
              <w:rPr>
                <w:rFonts w:cs="Calibri"/>
                <w:b/>
                <w:bCs/>
                <w:szCs w:val="18"/>
                <w:u w:val="single"/>
              </w:rPr>
              <w:t xml:space="preserve">Note </w:t>
            </w:r>
            <w:proofErr w:type="spellStart"/>
            <w:r>
              <w:rPr>
                <w:rFonts w:cs="Calibri"/>
                <w:b/>
                <w:bCs/>
                <w:szCs w:val="18"/>
                <w:u w:val="single"/>
              </w:rPr>
              <w:t>20B</w:t>
            </w:r>
            <w:proofErr w:type="spellEnd"/>
            <w:r>
              <w:rPr>
                <w:rFonts w:cs="Calibri"/>
                <w:b/>
                <w:bCs/>
                <w:szCs w:val="18"/>
                <w:u w:val="single"/>
              </w:rPr>
              <w:t>: Receivables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24"/>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Taxation receivables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Levies receivable from related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7,250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28,427</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taxation receivables</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7,250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28,427</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Good and services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 related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 external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27,610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37,393</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receivables for goods and services</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27,610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37,393</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Advances and loans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Financial Supplement Scheme (</w:t>
            </w:r>
            <w:proofErr w:type="spellStart"/>
            <w:r>
              <w:rPr>
                <w:rFonts w:cs="Calibri"/>
                <w:szCs w:val="18"/>
              </w:rPr>
              <w:t>ABSTUDY</w:t>
            </w:r>
            <w:proofErr w:type="spellEnd"/>
            <w:r>
              <w:rPr>
                <w:rFonts w:cs="Calibri"/>
                <w:szCs w:val="18"/>
              </w:rPr>
              <w: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50,853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54,200</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 advances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47,402</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91,363</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loans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11,885</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13,939</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advances and loans</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110,140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159,502</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Other receivables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GST receivable from  Australian Taxation Office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13,308</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37,781</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benefits receivable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1,391,866</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1,397,564</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other receivables</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1,405,174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1,435,345</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trade and other receivables (gross)</w:t>
            </w:r>
          </w:p>
        </w:tc>
        <w:tc>
          <w:tcPr>
            <w:tcW w:w="1238"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1,550,174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1,660,667</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Less impairment allowance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(20,304)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(2,605)</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(314,490)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(312,289)</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Total impairment allowance </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(334,794)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(314,894)</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trade and other receivables (net)</w:t>
            </w:r>
          </w:p>
        </w:tc>
        <w:tc>
          <w:tcPr>
            <w:tcW w:w="1238"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1,215,380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1,345,773</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Receivables (net) expected to be recovered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442,592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559,689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772,788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786,084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trade and other receivables (net)</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1,215,380</w:t>
            </w:r>
          </w:p>
        </w:tc>
        <w:tc>
          <w:tcPr>
            <w:tcW w:w="236" w:type="dxa"/>
            <w:tcBorders>
              <w:top w:val="single" w:sz="4" w:space="0" w:color="D9D9D9"/>
              <w:left w:val="nil"/>
              <w:bottom w:val="single" w:sz="24" w:space="0" w:color="D8D8D8"/>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1,345,773</w:t>
            </w:r>
          </w:p>
        </w:tc>
      </w:tr>
    </w:tbl>
    <w:p w:rsidR="00361797" w:rsidRDefault="00361797" w:rsidP="00361797">
      <w:bookmarkStart w:id="325" w:name="RANGE!D7:G53"/>
      <w:bookmarkStart w:id="326" w:name="RANGE!D6:G52"/>
      <w:bookmarkEnd w:id="325"/>
      <w:bookmarkEnd w:id="326"/>
    </w:p>
    <w:p w:rsidR="00361797" w:rsidRDefault="00361797" w:rsidP="00361797">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27" w:name="Note_ARETABLE2" w:colFirst="0" w:colLast="0"/>
            <w:r>
              <w:rPr>
                <w:rFonts w:ascii="Arial" w:hAnsi="Arial" w:cs="Arial"/>
                <w:sz w:val="16"/>
                <w:szCs w:val="16"/>
              </w:rPr>
              <w:lastRenderedPageBreak/>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27"/>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4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Receivables (gross) aged as follows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427,498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543,309 </w:t>
            </w:r>
          </w:p>
        </w:tc>
      </w:tr>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Overdue by</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0 to 30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1,634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2,660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31 to 60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13,405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2,065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61 to 90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338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2,123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More than 90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1,107,298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1,110,510 </w:t>
            </w:r>
          </w:p>
        </w:tc>
      </w:tr>
      <w:tr w:rsidR="00361797" w:rsidTr="00B50E5D">
        <w:trPr>
          <w:trHeight w:val="24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receivables (gross)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1,550,173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1,660,667</w:t>
            </w:r>
          </w:p>
        </w:tc>
      </w:tr>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The impairment allowance aged as follows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(173)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(544)</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Overdue by</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0 to 30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(139)</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(518)</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31 to 60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(413)</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61 to 90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(13,117)</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(374)</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More than 90 days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(321,272)</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(313,045)</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xml:space="preserve">Total impairment allowance </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(334,794)</w:t>
            </w:r>
          </w:p>
        </w:tc>
        <w:tc>
          <w:tcPr>
            <w:tcW w:w="23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(314,894)</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r>
      <w:tr w:rsidR="00361797" w:rsidTr="00B50E5D">
        <w:trPr>
          <w:trHeight w:val="480"/>
        </w:trPr>
        <w:tc>
          <w:tcPr>
            <w:tcW w:w="8982" w:type="dxa"/>
            <w:gridSpan w:val="4"/>
            <w:tcBorders>
              <w:top w:val="single" w:sz="4" w:space="0" w:color="D9D9D9"/>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Goods and services receivables are with entities external to the Australian Government.  Credit terms are within 30 days (2013: 30 days).</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Reconciliation of the Impairment Allowance Account:</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Movements in relation to 2014</w:t>
            </w:r>
          </w:p>
        </w:tc>
        <w:tc>
          <w:tcPr>
            <w:tcW w:w="1238"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Receivables</w:t>
            </w:r>
          </w:p>
        </w:tc>
        <w:tc>
          <w:tcPr>
            <w:tcW w:w="23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3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Opening balance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(314,894)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(314,894)</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Amounts written off</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(19,020)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(19,020)</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Amounts recovered and reversed</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19,020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19,020</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Increase (decrease) recognised in net cost of services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(19,900)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(19,900)</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Closing balance</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(334,794)</w:t>
            </w:r>
          </w:p>
        </w:tc>
        <w:tc>
          <w:tcPr>
            <w:tcW w:w="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(334,794)</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Movements in relation to 2013</w:t>
            </w:r>
          </w:p>
        </w:tc>
        <w:tc>
          <w:tcPr>
            <w:tcW w:w="1238"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Receivables</w:t>
            </w:r>
          </w:p>
        </w:tc>
        <w:tc>
          <w:tcPr>
            <w:tcW w:w="236"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 </w:t>
            </w:r>
          </w:p>
        </w:tc>
        <w:tc>
          <w:tcPr>
            <w:tcW w:w="1236"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$'000</w:t>
            </w:r>
          </w:p>
        </w:tc>
        <w:tc>
          <w:tcPr>
            <w:tcW w:w="236"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 </w:t>
            </w:r>
          </w:p>
        </w:tc>
        <w:tc>
          <w:tcPr>
            <w:tcW w:w="1236"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Opening balance</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(333,261)</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(333,261)</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Amounts written off</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(2,979)</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(2,979)</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Amounts recovered and reversed</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2,979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2,979</w:t>
            </w:r>
          </w:p>
        </w:tc>
      </w:tr>
      <w:tr w:rsidR="00361797" w:rsidTr="00B50E5D">
        <w:trPr>
          <w:trHeight w:val="255"/>
        </w:trPr>
        <w:tc>
          <w:tcPr>
            <w:tcW w:w="6272"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Increase (decrease) recognised in net cost of services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18,367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18,367</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Closing balance</w:t>
            </w:r>
          </w:p>
        </w:tc>
        <w:tc>
          <w:tcPr>
            <w:tcW w:w="1238"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(314,894)</w:t>
            </w:r>
          </w:p>
        </w:tc>
        <w:tc>
          <w:tcPr>
            <w:tcW w:w="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(314,894)</w:t>
            </w:r>
          </w:p>
        </w:tc>
      </w:tr>
    </w:tbl>
    <w:p w:rsidR="00361797" w:rsidRDefault="00361797" w:rsidP="00361797">
      <w:bookmarkStart w:id="328" w:name="RANGE!D43:G83"/>
      <w:bookmarkEnd w:id="328"/>
    </w:p>
    <w:p w:rsidR="00361797" w:rsidRDefault="00361797" w:rsidP="00361797">
      <w:pPr>
        <w:spacing w:line="240" w:lineRule="auto"/>
      </w:pPr>
      <w:r>
        <w:br w:type="page"/>
      </w:r>
      <w:bookmarkStart w:id="329" w:name="RANGE!D42:G82"/>
      <w:bookmarkStart w:id="330" w:name="RANGE!D45:G85"/>
      <w:bookmarkStart w:id="331" w:name="RANGE!D44:G84"/>
      <w:bookmarkEnd w:id="329"/>
      <w:bookmarkEnd w:id="330"/>
      <w:bookmarkEnd w:id="331"/>
    </w:p>
    <w:p w:rsidR="00361797" w:rsidRDefault="00361797" w:rsidP="00361797"/>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32" w:name="Note_AOV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32"/>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20C</w:t>
            </w:r>
            <w:proofErr w:type="spellEnd"/>
            <w:r>
              <w:rPr>
                <w:rFonts w:cs="Calibri"/>
                <w:b/>
                <w:bCs/>
                <w:szCs w:val="18"/>
                <w:u w:val="single"/>
              </w:rPr>
              <w:t>: Other investments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Other Investments: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8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proofErr w:type="spellStart"/>
            <w:r>
              <w:rPr>
                <w:rFonts w:cs="Calibri"/>
                <w:szCs w:val="18"/>
              </w:rPr>
              <w:t>Comcare</w:t>
            </w:r>
            <w:r>
              <w:rPr>
                <w:rFonts w:cs="Calibri"/>
                <w:szCs w:val="18"/>
                <w:vertAlign w:val="superscript"/>
              </w:rPr>
              <w:t>1</w:t>
            </w:r>
            <w:proofErr w:type="spellEnd"/>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8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xml:space="preserve">Australian Institute for Teaching and School </w:t>
            </w:r>
            <w:proofErr w:type="spellStart"/>
            <w:r>
              <w:rPr>
                <w:rFonts w:cs="Calibri"/>
                <w:szCs w:val="18"/>
              </w:rPr>
              <w:t>Leadership</w:t>
            </w:r>
            <w:r>
              <w:rPr>
                <w:rFonts w:cs="Calibri"/>
                <w:szCs w:val="18"/>
                <w:vertAlign w:val="superscript"/>
              </w:rPr>
              <w:t>2</w:t>
            </w:r>
            <w:proofErr w:type="spellEnd"/>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4,802</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4,802</w:t>
            </w:r>
          </w:p>
        </w:tc>
      </w:tr>
      <w:tr w:rsidR="00361797" w:rsidTr="00B50E5D">
        <w:trPr>
          <w:trHeight w:val="28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xml:space="preserve">Australian Curriculum, Assessment and Reporting </w:t>
            </w:r>
            <w:proofErr w:type="spellStart"/>
            <w:r>
              <w:rPr>
                <w:rFonts w:cs="Calibri"/>
                <w:szCs w:val="18"/>
              </w:rPr>
              <w:t>Authority</w:t>
            </w:r>
            <w:r>
              <w:rPr>
                <w:rFonts w:cs="Calibri"/>
                <w:szCs w:val="18"/>
                <w:vertAlign w:val="superscript"/>
              </w:rPr>
              <w:t>3</w:t>
            </w:r>
            <w:proofErr w:type="spellEnd"/>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2,185</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2,185</w:t>
            </w:r>
          </w:p>
        </w:tc>
      </w:tr>
      <w:tr w:rsidR="00361797" w:rsidTr="00B50E5D">
        <w:trPr>
          <w:trHeight w:val="28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xml:space="preserve">Coal Mining Industry </w:t>
            </w:r>
            <w:proofErr w:type="spellStart"/>
            <w:r>
              <w:rPr>
                <w:rFonts w:cs="Calibri"/>
                <w:szCs w:val="18"/>
              </w:rPr>
              <w:t>Corporation</w:t>
            </w:r>
            <w:r>
              <w:rPr>
                <w:rFonts w:cs="Calibri"/>
                <w:szCs w:val="18"/>
                <w:vertAlign w:val="superscript"/>
              </w:rPr>
              <w:t>4</w:t>
            </w:r>
            <w:proofErr w:type="spellEnd"/>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116,725</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investments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123,712</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6,987</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Other investments expected to be recovered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6,987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investments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123,712</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6,987</w:t>
            </w:r>
          </w:p>
        </w:tc>
      </w:tr>
    </w:tbl>
    <w:p w:rsidR="00361797" w:rsidRDefault="00361797" w:rsidP="00361797">
      <w:pPr>
        <w:pStyle w:val="GreyShadeTableBreak"/>
      </w:pPr>
      <w:bookmarkStart w:id="333" w:name="RANGE!D7:H25"/>
      <w:bookmarkStart w:id="334" w:name="RANGE!D6:G48"/>
      <w:bookmarkStart w:id="335" w:name="RANGE!D6:H54"/>
      <w:bookmarkEnd w:id="333"/>
      <w:bookmarkEnd w:id="334"/>
      <w:bookmarkEnd w:id="335"/>
    </w:p>
    <w:tbl>
      <w:tblPr>
        <w:tblW w:w="9090" w:type="dxa"/>
        <w:tblInd w:w="28" w:type="dxa"/>
        <w:shd w:val="clear" w:color="auto" w:fill="D9D9D9" w:themeFill="background1" w:themeFillShade="D9"/>
        <w:tblLayout w:type="fixed"/>
        <w:tblCellMar>
          <w:left w:w="57" w:type="dxa"/>
          <w:right w:w="57" w:type="dxa"/>
        </w:tblCellMar>
        <w:tblLook w:val="01E0" w:firstRow="1" w:lastRow="1" w:firstColumn="1" w:lastColumn="1" w:noHBand="0" w:noVBand="0"/>
      </w:tblPr>
      <w:tblGrid>
        <w:gridCol w:w="9090"/>
      </w:tblGrid>
      <w:tr w:rsidR="00361797" w:rsidTr="00B50E5D">
        <w:trPr>
          <w:trHeight w:val="255"/>
        </w:trPr>
        <w:tc>
          <w:tcPr>
            <w:tcW w:w="9088" w:type="dxa"/>
            <w:shd w:val="clear" w:color="auto" w:fill="D9D9D9" w:themeFill="background1" w:themeFillShade="D9"/>
            <w:vAlign w:val="bottom"/>
            <w:hideMark/>
          </w:tcPr>
          <w:p w:rsidR="00361797" w:rsidRDefault="00361797" w:rsidP="00B50E5D">
            <w:pPr>
              <w:pStyle w:val="NotesText0"/>
            </w:pPr>
            <w:r>
              <w:rPr>
                <w:sz w:val="22"/>
              </w:rPr>
              <w:br w:type="page"/>
            </w:r>
            <w:r>
              <w:t>The department retains 100 per cent ownership of each of the listed investments.  The principle activity of the department’s administered investments is as follows:</w:t>
            </w:r>
          </w:p>
          <w:p w:rsidR="00361797" w:rsidRDefault="00361797" w:rsidP="00B50E5D">
            <w:pPr>
              <w:pStyle w:val="NotesText0"/>
              <w:rPr>
                <w:i/>
              </w:rPr>
            </w:pPr>
            <w:r>
              <w:rPr>
                <w:vertAlign w:val="superscript"/>
              </w:rPr>
              <w:t>1</w:t>
            </w:r>
            <w:r>
              <w:rPr>
                <w:i/>
              </w:rPr>
              <w:t xml:space="preserve"> </w:t>
            </w:r>
            <w:proofErr w:type="spellStart"/>
            <w:r>
              <w:rPr>
                <w:i/>
              </w:rPr>
              <w:t>Comcare</w:t>
            </w:r>
            <w:proofErr w:type="spellEnd"/>
            <w:r>
              <w:t xml:space="preserve"> – the minimisation of human and financial costs in relation to workplace injury in Commonwealth employment.</w:t>
            </w:r>
          </w:p>
          <w:p w:rsidR="00361797" w:rsidRDefault="00361797" w:rsidP="00B50E5D">
            <w:pPr>
              <w:pStyle w:val="NotesText0"/>
            </w:pPr>
            <w:r>
              <w:rPr>
                <w:vertAlign w:val="superscript"/>
              </w:rPr>
              <w:t>2</w:t>
            </w:r>
            <w:r>
              <w:rPr>
                <w:i/>
              </w:rPr>
              <w:t xml:space="preserve"> Australian Institute for Teaching and School Leadership </w:t>
            </w:r>
            <w:r>
              <w:t>– supports and enhances the teaching profession for the benefit of all Australians.</w:t>
            </w:r>
          </w:p>
          <w:p w:rsidR="00361797" w:rsidRDefault="00361797" w:rsidP="00B50E5D">
            <w:pPr>
              <w:pStyle w:val="NotesText0"/>
            </w:pPr>
            <w:r>
              <w:rPr>
                <w:vertAlign w:val="superscript"/>
              </w:rPr>
              <w:t>3</w:t>
            </w:r>
            <w:r>
              <w:t xml:space="preserve"> </w:t>
            </w:r>
            <w:r>
              <w:rPr>
                <w:i/>
              </w:rPr>
              <w:t>Australian Curriculum, Assessment and Reporting Authority</w:t>
            </w:r>
            <w:r>
              <w:t xml:space="preserve"> – executes the policy directions that are determined by the Ministerial Council for Education, Early Childhood Development and Youth Affairs regarding curriculum, assessment, data collection and reporting at a national level.</w:t>
            </w:r>
          </w:p>
          <w:p w:rsidR="00361797" w:rsidRDefault="00361797" w:rsidP="00B50E5D">
            <w:pPr>
              <w:pStyle w:val="NotesText0"/>
            </w:pPr>
            <w:r>
              <w:rPr>
                <w:vertAlign w:val="superscript"/>
              </w:rPr>
              <w:t xml:space="preserve">4 </w:t>
            </w:r>
            <w:r>
              <w:rPr>
                <w:i/>
              </w:rPr>
              <w:t>Coal Mining Industry Corporation</w:t>
            </w:r>
            <w:r>
              <w:t xml:space="preserve"> – is responsible for the administration of the Coal Mining Industry Long Service Leave Fund. The Fund has operated since 1949 to provide reimbursement payments to employers paying long service leave to persons employed in the black coal industry in New South Wales, Queensland, Western Australia and Tasmania on the basis of industry employment service. </w:t>
            </w:r>
          </w:p>
        </w:tc>
      </w:tr>
    </w:tbl>
    <w:p w:rsidR="00361797" w:rsidRDefault="00361797" w:rsidP="00361797">
      <w:pPr>
        <w:spacing w:line="240" w:lineRule="auto"/>
      </w:pPr>
    </w:p>
    <w:p w:rsidR="00361797" w:rsidRDefault="00361797" w:rsidP="00361797">
      <w:pPr>
        <w:spacing w:line="240" w:lineRule="auto"/>
      </w:pPr>
    </w:p>
    <w:p w:rsidR="00361797" w:rsidRDefault="00361797" w:rsidP="00361797">
      <w:pPr>
        <w:spacing w:line="240" w:lineRule="auto"/>
      </w:pPr>
    </w:p>
    <w:p w:rsidR="00361797" w:rsidRDefault="00361797" w:rsidP="00361797">
      <w:pPr>
        <w:spacing w:line="240" w:lineRule="auto"/>
      </w:pPr>
    </w:p>
    <w:p w:rsidR="00361797" w:rsidRDefault="00361797" w:rsidP="00361797">
      <w:pPr>
        <w:spacing w:line="240" w:lineRule="auto"/>
      </w:pPr>
      <w:r>
        <w:br w:type="page"/>
      </w:r>
    </w:p>
    <w:p w:rsidR="00361797" w:rsidRDefault="00361797" w:rsidP="00361797">
      <w:pPr>
        <w:pStyle w:val="NotesHeading-Level1GreyShade"/>
        <w:numPr>
          <w:ilvl w:val="0"/>
          <w:numId w:val="14"/>
        </w:numPr>
      </w:pPr>
      <w:bookmarkStart w:id="336" w:name="RANGE!D6:H27"/>
      <w:bookmarkStart w:id="337" w:name="_Toc388962640"/>
      <w:bookmarkEnd w:id="336"/>
      <w:r>
        <w:lastRenderedPageBreak/>
        <w:t>Administered Non-Financial Assets</w:t>
      </w:r>
      <w:bookmarkEnd w:id="337"/>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38" w:name="Note_ANF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38"/>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21A</w:t>
            </w:r>
            <w:proofErr w:type="spellEnd"/>
            <w:r>
              <w:rPr>
                <w:rFonts w:cs="Calibri"/>
                <w:b/>
                <w:bCs/>
                <w:szCs w:val="18"/>
                <w:u w:val="single"/>
              </w:rPr>
              <w:t>: Other non-financial assets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Prepayments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68,173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3,493</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68,173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3,493</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Other non-financial assets expected to be recovered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68,173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3,493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68,173</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3,493</w:t>
            </w:r>
          </w:p>
        </w:tc>
      </w:tr>
    </w:tbl>
    <w:p w:rsidR="00361797" w:rsidRDefault="00361797" w:rsidP="00361797">
      <w:pPr>
        <w:pStyle w:val="GreyShadeTableBreak"/>
      </w:pPr>
      <w:r>
        <w:t>No indicators of impairment were found for other non-financial assets.</w:t>
      </w:r>
    </w:p>
    <w:p w:rsidR="00361797" w:rsidRDefault="00361797" w:rsidP="00361797">
      <w:pPr>
        <w:pStyle w:val="GreyShadeTableBreak"/>
      </w:pPr>
    </w:p>
    <w:p w:rsidR="00361797" w:rsidRDefault="00361797" w:rsidP="00361797">
      <w:pPr>
        <w:pStyle w:val="NotesHeading-Level1GreyShade"/>
        <w:numPr>
          <w:ilvl w:val="0"/>
          <w:numId w:val="14"/>
        </w:numPr>
      </w:pPr>
      <w:bookmarkStart w:id="339" w:name="_Toc388962641"/>
      <w:r>
        <w:t>Administered Payables</w:t>
      </w:r>
      <w:bookmarkEnd w:id="339"/>
    </w:p>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40" w:name="Note_ASPTABLE1" w:colFirst="0" w:colLast="0"/>
            <w:r>
              <w:rPr>
                <w:rFonts w:cs="Calibri"/>
                <w:b/>
                <w:bCs/>
                <w:szCs w:val="18"/>
                <w:u w:val="single"/>
              </w:rPr>
              <w:t xml:space="preserve">Note </w:t>
            </w:r>
            <w:proofErr w:type="spellStart"/>
            <w:r>
              <w:rPr>
                <w:rFonts w:cs="Calibri"/>
                <w:b/>
                <w:bCs/>
                <w:szCs w:val="18"/>
                <w:u w:val="single"/>
              </w:rPr>
              <w:t>22A</w:t>
            </w:r>
            <w:proofErr w:type="spellEnd"/>
            <w:r>
              <w:rPr>
                <w:rFonts w:cs="Calibri"/>
                <w:b/>
                <w:bCs/>
                <w:szCs w:val="18"/>
                <w:u w:val="single"/>
              </w:rPr>
              <w:t>: Suppliers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40"/>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Trade creditors and accruals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59,478</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145,279</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suppliers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59,478</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145,279</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Suppliers expected to be settled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Related parties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2,337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1,083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External parties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57,141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144,196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suppliers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59,478</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145,279</w:t>
            </w:r>
          </w:p>
        </w:tc>
      </w:tr>
    </w:tbl>
    <w:p w:rsidR="00361797" w:rsidRDefault="00361797" w:rsidP="00361797">
      <w:pPr>
        <w:pStyle w:val="GreyShadeTableBreak"/>
      </w:pPr>
    </w:p>
    <w:tbl>
      <w:tblPr>
        <w:tblW w:w="9090" w:type="dxa"/>
        <w:tblInd w:w="80" w:type="dxa"/>
        <w:tblLayout w:type="fixed"/>
        <w:tblLook w:val="04A0" w:firstRow="1" w:lastRow="0" w:firstColumn="1" w:lastColumn="0" w:noHBand="0" w:noVBand="1"/>
      </w:tblPr>
      <w:tblGrid>
        <w:gridCol w:w="9090"/>
      </w:tblGrid>
      <w:tr w:rsidR="00361797" w:rsidTr="00B50E5D">
        <w:trPr>
          <w:trHeight w:val="270"/>
        </w:trPr>
        <w:tc>
          <w:tcPr>
            <w:tcW w:w="9092" w:type="dxa"/>
            <w:tcBorders>
              <w:top w:val="single" w:sz="4" w:space="0" w:color="D8D8D8"/>
              <w:left w:val="nil"/>
              <w:bottom w:val="single" w:sz="24" w:space="0" w:color="D8D8D8"/>
              <w:right w:val="nil"/>
            </w:tcBorders>
            <w:shd w:val="clear" w:color="auto" w:fill="D8D8D8"/>
            <w:vAlign w:val="bottom"/>
            <w:hideMark/>
          </w:tcPr>
          <w:p w:rsidR="00361797" w:rsidRDefault="00361797" w:rsidP="00B50E5D">
            <w:pPr>
              <w:pStyle w:val="AdminBlankGreyShade"/>
            </w:pPr>
            <w:r>
              <w:t>Settlement was usually made within 30 days.</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41" w:name="Note_AUPTABLE1" w:colFirst="0" w:colLast="0"/>
            <w:r>
              <w:rPr>
                <w:rFonts w:cs="Calibri"/>
                <w:b/>
                <w:bCs/>
                <w:szCs w:val="18"/>
                <w:u w:val="single"/>
              </w:rPr>
              <w:t xml:space="preserve">Note </w:t>
            </w:r>
            <w:proofErr w:type="spellStart"/>
            <w:r>
              <w:rPr>
                <w:rFonts w:cs="Calibri"/>
                <w:b/>
                <w:bCs/>
                <w:szCs w:val="18"/>
                <w:u w:val="single"/>
              </w:rPr>
              <w:t>22B</w:t>
            </w:r>
            <w:proofErr w:type="spellEnd"/>
            <w:r>
              <w:rPr>
                <w:rFonts w:cs="Calibri"/>
                <w:b/>
                <w:bCs/>
                <w:szCs w:val="18"/>
                <w:u w:val="single"/>
              </w:rPr>
              <w:t>: Subsidies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41"/>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Payable to related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8,024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28,427</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Payable to external parties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3,922</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subsidies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8,024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32,349</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nil"/>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Subsidies expected to be settled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8,024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32,349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subsidies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8,024</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32,349</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42" w:name="Note_APPTABLE1" w:colFirst="0" w:colLast="0"/>
            <w:r>
              <w:rPr>
                <w:rFonts w:cs="Calibri"/>
                <w:b/>
                <w:bCs/>
                <w:szCs w:val="18"/>
                <w:u w:val="single"/>
              </w:rPr>
              <w:t xml:space="preserve">Note </w:t>
            </w:r>
            <w:proofErr w:type="spellStart"/>
            <w:r>
              <w:rPr>
                <w:rFonts w:cs="Calibri"/>
                <w:b/>
                <w:bCs/>
                <w:szCs w:val="18"/>
                <w:u w:val="single"/>
              </w:rPr>
              <w:t>22C</w:t>
            </w:r>
            <w:proofErr w:type="spellEnd"/>
            <w:r>
              <w:rPr>
                <w:rFonts w:cs="Calibri"/>
                <w:b/>
                <w:bCs/>
                <w:szCs w:val="18"/>
                <w:u w:val="single"/>
              </w:rPr>
              <w:t>: Personal benefits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bookmarkEnd w:id="342"/>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Direct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422,216</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381,621</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Indirect</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104,830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96,735</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personal benefits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527,046</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478,356</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Personal benefits expected to be settled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527,046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478,356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personal benefits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527,046</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478,356</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43" w:name="Note_AGP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43"/>
      <w:tr w:rsidR="00361797" w:rsidTr="00B50E5D">
        <w:trPr>
          <w:trHeight w:val="240"/>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22D</w:t>
            </w:r>
            <w:proofErr w:type="spellEnd"/>
            <w:r>
              <w:rPr>
                <w:rFonts w:cs="Calibri"/>
                <w:b/>
                <w:bCs/>
                <w:szCs w:val="18"/>
                <w:u w:val="single"/>
              </w:rPr>
              <w:t>: Grants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Public sector</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Local Governments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16</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Private sector</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Non-profit organisations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1,107</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9,075</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12,676</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34,009</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13,799</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43,084</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Grants expected to be settled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13,799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43,084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13,799</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43,084</w:t>
            </w:r>
          </w:p>
        </w:tc>
      </w:tr>
    </w:tbl>
    <w:p w:rsidR="00361797" w:rsidRDefault="00361797" w:rsidP="00361797">
      <w:pPr>
        <w:pStyle w:val="GreyShadeTableBreak"/>
      </w:pPr>
    </w:p>
    <w:tbl>
      <w:tblPr>
        <w:tblW w:w="9090" w:type="dxa"/>
        <w:tblInd w:w="80" w:type="dxa"/>
        <w:tblLayout w:type="fixed"/>
        <w:tblLook w:val="04A0" w:firstRow="1" w:lastRow="0" w:firstColumn="1" w:lastColumn="0" w:noHBand="0" w:noVBand="1"/>
      </w:tblPr>
      <w:tblGrid>
        <w:gridCol w:w="9090"/>
      </w:tblGrid>
      <w:tr w:rsidR="00361797" w:rsidTr="00B50E5D">
        <w:trPr>
          <w:trHeight w:val="270"/>
        </w:trPr>
        <w:tc>
          <w:tcPr>
            <w:tcW w:w="9092" w:type="dxa"/>
            <w:tcBorders>
              <w:top w:val="single" w:sz="4" w:space="0" w:color="D8D8D8"/>
              <w:left w:val="nil"/>
              <w:bottom w:val="single" w:sz="24" w:space="0" w:color="D8D8D8"/>
              <w:right w:val="nil"/>
            </w:tcBorders>
            <w:shd w:val="clear" w:color="auto" w:fill="D8D8D8"/>
            <w:vAlign w:val="bottom"/>
            <w:hideMark/>
          </w:tcPr>
          <w:p w:rsidR="00361797" w:rsidRDefault="00361797" w:rsidP="00B50E5D">
            <w:pPr>
              <w:pStyle w:val="AdminBlankGreyShade"/>
            </w:pPr>
            <w:r>
              <w:t>Settlement is usually made according to the terms and conditions of each grant.  This is usually within 30 days of performance or eligibility.</w:t>
            </w:r>
          </w:p>
        </w:tc>
      </w:tr>
    </w:tbl>
    <w:p w:rsidR="00361797" w:rsidRDefault="00361797" w:rsidP="00361797">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44" w:name="Note_AOPTABLE1" w:colFirst="0" w:colLast="0"/>
            <w:r>
              <w:rPr>
                <w:rFonts w:cs="Calibri"/>
                <w:b/>
                <w:bCs/>
                <w:szCs w:val="18"/>
                <w:u w:val="single"/>
              </w:rPr>
              <w:t xml:space="preserve">Note </w:t>
            </w:r>
            <w:proofErr w:type="spellStart"/>
            <w:r>
              <w:rPr>
                <w:rFonts w:cs="Calibri"/>
                <w:b/>
                <w:bCs/>
                <w:szCs w:val="18"/>
                <w:u w:val="single"/>
              </w:rPr>
              <w:t>22E</w:t>
            </w:r>
            <w:proofErr w:type="spellEnd"/>
            <w:r>
              <w:rPr>
                <w:rFonts w:cs="Calibri"/>
                <w:b/>
                <w:bCs/>
                <w:szCs w:val="18"/>
                <w:u w:val="single"/>
              </w:rPr>
              <w:t>: Other payables</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44"/>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8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proofErr w:type="spellStart"/>
            <w:r>
              <w:rPr>
                <w:rFonts w:cs="Calibri"/>
                <w:szCs w:val="18"/>
              </w:rPr>
              <w:t>Comcare</w:t>
            </w:r>
            <w:proofErr w:type="spellEnd"/>
            <w:r>
              <w:rPr>
                <w:rFonts w:cs="Calibri"/>
                <w:szCs w:val="18"/>
              </w:rPr>
              <w:t xml:space="preserve"> </w:t>
            </w:r>
            <w:proofErr w:type="spellStart"/>
            <w:r>
              <w:rPr>
                <w:rFonts w:cs="Calibri"/>
                <w:szCs w:val="18"/>
              </w:rPr>
              <w:t>payable</w:t>
            </w:r>
            <w:r>
              <w:rPr>
                <w:rFonts w:cs="Calibri"/>
                <w:szCs w:val="18"/>
                <w:vertAlign w:val="superscript"/>
              </w:rPr>
              <w:t>1</w:t>
            </w:r>
            <w:proofErr w:type="spellEnd"/>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2,788,163</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2,788,163</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GST payable</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19,078</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39,677</w:t>
            </w:r>
          </w:p>
        </w:tc>
      </w:tr>
      <w:tr w:rsidR="00361797" w:rsidTr="00B50E5D">
        <w:trPr>
          <w:trHeight w:val="270"/>
        </w:trPr>
        <w:tc>
          <w:tcPr>
            <w:tcW w:w="6272"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payables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2,807,241</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2,827,840</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Other payables expected to be settled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171,654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192,253 </w:t>
            </w:r>
          </w:p>
        </w:tc>
      </w:tr>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2,635,587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2,635,587 </w:t>
            </w:r>
          </w:p>
        </w:tc>
      </w:tr>
      <w:tr w:rsidR="00361797" w:rsidTr="00B50E5D">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payables</w:t>
            </w:r>
          </w:p>
        </w:tc>
        <w:tc>
          <w:tcPr>
            <w:tcW w:w="1238"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2,807,241</w:t>
            </w:r>
          </w:p>
        </w:tc>
        <w:tc>
          <w:tcPr>
            <w:tcW w:w="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2,827,840</w:t>
            </w:r>
          </w:p>
        </w:tc>
      </w:tr>
    </w:tbl>
    <w:p w:rsidR="00361797" w:rsidRDefault="00361797" w:rsidP="00361797">
      <w:pPr>
        <w:pStyle w:val="GreyShadeTableBreak"/>
      </w:pPr>
    </w:p>
    <w:tbl>
      <w:tblPr>
        <w:tblW w:w="9090" w:type="dxa"/>
        <w:tblInd w:w="28" w:type="dxa"/>
        <w:tblLayout w:type="fixed"/>
        <w:tblCellMar>
          <w:left w:w="57" w:type="dxa"/>
          <w:right w:w="57" w:type="dxa"/>
        </w:tblCellMar>
        <w:tblLook w:val="01E0" w:firstRow="1" w:lastRow="1" w:firstColumn="1" w:lastColumn="1" w:noHBand="0" w:noVBand="0"/>
      </w:tblPr>
      <w:tblGrid>
        <w:gridCol w:w="9090"/>
      </w:tblGrid>
      <w:tr w:rsidR="00361797" w:rsidTr="00B50E5D">
        <w:trPr>
          <w:trHeight w:val="255"/>
        </w:trPr>
        <w:tc>
          <w:tcPr>
            <w:tcW w:w="9089" w:type="dxa"/>
            <w:shd w:val="clear" w:color="auto" w:fill="D9D9D9" w:themeFill="background1" w:themeFillShade="D9"/>
            <w:hideMark/>
          </w:tcPr>
          <w:p w:rsidR="00361797" w:rsidRDefault="00361797" w:rsidP="00B50E5D">
            <w:pPr>
              <w:pStyle w:val="ReferenceText"/>
            </w:pPr>
            <w:r>
              <w:rPr>
                <w:szCs w:val="18"/>
                <w:vertAlign w:val="superscript"/>
              </w:rPr>
              <w:t>1</w:t>
            </w:r>
            <w:r>
              <w:t xml:space="preserve"> The amount payable to </w:t>
            </w:r>
            <w:proofErr w:type="spellStart"/>
            <w:r>
              <w:t>Comcare</w:t>
            </w:r>
            <w:proofErr w:type="spellEnd"/>
            <w:r>
              <w:t xml:space="preserve"> represents amounts payable by the Commonwealth for:</w:t>
            </w:r>
          </w:p>
          <w:p w:rsidR="00361797" w:rsidRDefault="00361797" w:rsidP="00361797">
            <w:pPr>
              <w:pStyle w:val="ReferenceText"/>
              <w:numPr>
                <w:ilvl w:val="0"/>
                <w:numId w:val="19"/>
              </w:numPr>
            </w:pPr>
            <w:r>
              <w:t>workers compensation claims resulting from injuries that occurred prior to 1 July 1989, referred to as ‘pre-premium’ claims</w:t>
            </w:r>
          </w:p>
          <w:p w:rsidR="00361797" w:rsidRDefault="00361797" w:rsidP="00361797">
            <w:pPr>
              <w:pStyle w:val="ReferenceText"/>
              <w:numPr>
                <w:ilvl w:val="0"/>
                <w:numId w:val="19"/>
              </w:numPr>
            </w:pPr>
            <w:r>
              <w:t>workers compensation claims resulting from injuries that have occurred since 1 July 1989, referred to as ‘premium’ claims</w:t>
            </w:r>
          </w:p>
          <w:p w:rsidR="00361797" w:rsidRDefault="00361797" w:rsidP="00361797">
            <w:pPr>
              <w:pStyle w:val="ReferenceText"/>
              <w:numPr>
                <w:ilvl w:val="0"/>
                <w:numId w:val="19"/>
              </w:numPr>
            </w:pPr>
            <w:proofErr w:type="gramStart"/>
            <w:r>
              <w:t>the</w:t>
            </w:r>
            <w:proofErr w:type="gramEnd"/>
            <w:r>
              <w:t xml:space="preserve"> management of asbestos related personal injury common law disease claims against the Commonwealth.</w:t>
            </w:r>
          </w:p>
          <w:p w:rsidR="00361797" w:rsidRDefault="00361797" w:rsidP="00B50E5D">
            <w:pPr>
              <w:pStyle w:val="ReferenceText"/>
            </w:pPr>
            <w:r>
              <w:t xml:space="preserve">Full details of the amounts payable may be found in the </w:t>
            </w:r>
            <w:proofErr w:type="spellStart"/>
            <w:r>
              <w:t>Comcare</w:t>
            </w:r>
            <w:proofErr w:type="spellEnd"/>
            <w:r>
              <w:t xml:space="preserve"> annual report.</w:t>
            </w:r>
          </w:p>
        </w:tc>
      </w:tr>
    </w:tbl>
    <w:p w:rsidR="00361797" w:rsidRDefault="00361797" w:rsidP="00361797">
      <w:pPr>
        <w:pStyle w:val="NotesHeading-Level1GreyShade"/>
        <w:numPr>
          <w:ilvl w:val="0"/>
          <w:numId w:val="0"/>
        </w:numPr>
        <w:tabs>
          <w:tab w:val="left" w:pos="8959"/>
        </w:tabs>
        <w:ind w:left="360" w:hanging="360"/>
      </w:pPr>
    </w:p>
    <w:p w:rsidR="00361797" w:rsidRDefault="00361797" w:rsidP="00361797">
      <w:pPr>
        <w:pStyle w:val="NotesHeading-Level1GreyShade"/>
        <w:numPr>
          <w:ilvl w:val="0"/>
          <w:numId w:val="14"/>
        </w:numPr>
      </w:pPr>
      <w:bookmarkStart w:id="345" w:name="_Toc388962642"/>
      <w:r>
        <w:t>Administered Provisions</w:t>
      </w:r>
      <w:bookmarkEnd w:id="345"/>
    </w:p>
    <w:p w:rsidR="00361797" w:rsidRDefault="00361797" w:rsidP="00361797">
      <w:pPr>
        <w:pStyle w:val="NotesHeading-Level1GreyShade"/>
        <w:numPr>
          <w:ilvl w:val="0"/>
          <w:numId w:val="0"/>
        </w:numPr>
        <w:tabs>
          <w:tab w:val="left" w:pos="8959"/>
        </w:tabs>
      </w:pPr>
    </w:p>
    <w:tbl>
      <w:tblPr>
        <w:tblW w:w="9087" w:type="dxa"/>
        <w:tblInd w:w="80" w:type="dxa"/>
        <w:tblLayout w:type="fixed"/>
        <w:tblLook w:val="04A0" w:firstRow="1" w:lastRow="0" w:firstColumn="1" w:lastColumn="0" w:noHBand="0" w:noVBand="1"/>
      </w:tblPr>
      <w:tblGrid>
        <w:gridCol w:w="6473"/>
        <w:gridCol w:w="1161"/>
        <w:gridCol w:w="292"/>
        <w:gridCol w:w="1161"/>
      </w:tblGrid>
      <w:tr w:rsidR="00361797" w:rsidTr="00B50E5D">
        <w:trPr>
          <w:trHeight w:val="255"/>
        </w:trPr>
        <w:tc>
          <w:tcPr>
            <w:tcW w:w="577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46" w:name="Note_APRTABLE1" w:colFirst="0" w:colLast="0"/>
            <w:r>
              <w:rPr>
                <w:rFonts w:cs="Calibri"/>
                <w:b/>
                <w:bCs/>
                <w:szCs w:val="18"/>
                <w:u w:val="single"/>
              </w:rPr>
              <w:t xml:space="preserve">Note </w:t>
            </w:r>
            <w:proofErr w:type="spellStart"/>
            <w:r>
              <w:rPr>
                <w:rFonts w:cs="Calibri"/>
                <w:b/>
                <w:bCs/>
                <w:szCs w:val="18"/>
                <w:u w:val="single"/>
              </w:rPr>
              <w:t>23A</w:t>
            </w:r>
            <w:proofErr w:type="spellEnd"/>
            <w:r>
              <w:rPr>
                <w:rFonts w:cs="Calibri"/>
                <w:b/>
                <w:bCs/>
                <w:szCs w:val="18"/>
                <w:u w:val="single"/>
              </w:rPr>
              <w:t>: Other Provisions</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46"/>
      <w:tr w:rsidR="00361797" w:rsidTr="00B50E5D">
        <w:trPr>
          <w:trHeight w:val="255"/>
        </w:trPr>
        <w:tc>
          <w:tcPr>
            <w:tcW w:w="57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Provisions for personal benefits</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624,484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742,404</w:t>
            </w:r>
          </w:p>
        </w:tc>
      </w:tr>
      <w:tr w:rsidR="00361797" w:rsidTr="00B50E5D">
        <w:trPr>
          <w:trHeight w:val="255"/>
        </w:trPr>
        <w:tc>
          <w:tcPr>
            <w:tcW w:w="57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other provisions</w:t>
            </w:r>
          </w:p>
        </w:tc>
        <w:tc>
          <w:tcPr>
            <w:tcW w:w="10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624,484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742,404</w:t>
            </w:r>
          </w:p>
        </w:tc>
      </w:tr>
      <w:tr w:rsidR="00361797" w:rsidTr="00B50E5D">
        <w:trPr>
          <w:trHeight w:val="255"/>
        </w:trPr>
        <w:tc>
          <w:tcPr>
            <w:tcW w:w="57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7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Other provisions expected to be settled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77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 more than 12 months</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624,484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742,404 </w:t>
            </w:r>
          </w:p>
        </w:tc>
      </w:tr>
      <w:tr w:rsidR="00361797" w:rsidTr="00B50E5D">
        <w:trPr>
          <w:trHeight w:val="255"/>
        </w:trPr>
        <w:tc>
          <w:tcPr>
            <w:tcW w:w="577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More than 12 months</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70"/>
        </w:trPr>
        <w:tc>
          <w:tcPr>
            <w:tcW w:w="577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other provisions</w:t>
            </w:r>
          </w:p>
        </w:tc>
        <w:tc>
          <w:tcPr>
            <w:tcW w:w="10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624,484</w:t>
            </w:r>
          </w:p>
        </w:tc>
        <w:tc>
          <w:tcPr>
            <w:tcW w:w="261"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742,404</w:t>
            </w:r>
          </w:p>
        </w:tc>
      </w:tr>
    </w:tbl>
    <w:p w:rsidR="00361797" w:rsidRDefault="00361797" w:rsidP="00361797">
      <w:pPr>
        <w:pStyle w:val="NotesHeading-Level1GreyShade"/>
        <w:numPr>
          <w:ilvl w:val="0"/>
          <w:numId w:val="0"/>
        </w:numPr>
        <w:tabs>
          <w:tab w:val="left" w:pos="8959"/>
        </w:tabs>
      </w:pPr>
      <w:bookmarkStart w:id="347" w:name="RANGE!D7:H14"/>
      <w:bookmarkStart w:id="348" w:name="RANGE!D7:H15"/>
      <w:bookmarkEnd w:id="347"/>
      <w:bookmarkEnd w:id="348"/>
    </w:p>
    <w:p w:rsidR="00361797" w:rsidRDefault="00361797" w:rsidP="00361797">
      <w:pPr>
        <w:pStyle w:val="NotesHeading-Level1GreyShade"/>
        <w:numPr>
          <w:ilvl w:val="0"/>
          <w:numId w:val="0"/>
        </w:numPr>
        <w:tabs>
          <w:tab w:val="left" w:pos="8959"/>
        </w:tabs>
      </w:pPr>
    </w:p>
    <w:tbl>
      <w:tblPr>
        <w:tblW w:w="9087" w:type="dxa"/>
        <w:tblInd w:w="80" w:type="dxa"/>
        <w:tblLayout w:type="fixed"/>
        <w:tblLook w:val="04A0" w:firstRow="1" w:lastRow="0" w:firstColumn="1" w:lastColumn="0" w:noHBand="0" w:noVBand="1"/>
      </w:tblPr>
      <w:tblGrid>
        <w:gridCol w:w="5035"/>
        <w:gridCol w:w="1134"/>
        <w:gridCol w:w="1459"/>
        <w:gridCol w:w="1459"/>
      </w:tblGrid>
      <w:tr w:rsidR="00361797" w:rsidTr="00B50E5D">
        <w:trPr>
          <w:trHeight w:val="255"/>
        </w:trPr>
        <w:tc>
          <w:tcPr>
            <w:tcW w:w="43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bookmarkStart w:id="349" w:name="Note_APTTABLE1" w:colFirst="0" w:colLast="0"/>
            <w:r>
              <w:rPr>
                <w:rFonts w:cs="Calibri"/>
                <w:b/>
                <w:bCs/>
                <w:szCs w:val="18"/>
              </w:rPr>
              <w:t>Reconciliation of movements in other provisions</w:t>
            </w:r>
          </w:p>
        </w:tc>
        <w:tc>
          <w:tcPr>
            <w:tcW w:w="97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bookmarkEnd w:id="349"/>
      <w:tr w:rsidR="00361797" w:rsidTr="00B50E5D">
        <w:trPr>
          <w:trHeight w:val="720"/>
        </w:trPr>
        <w:tc>
          <w:tcPr>
            <w:tcW w:w="4336" w:type="dxa"/>
            <w:tcBorders>
              <w:top w:val="single" w:sz="4" w:space="0" w:color="auto"/>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7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Provisions for personal benefits</w:t>
            </w:r>
          </w:p>
        </w:tc>
        <w:tc>
          <w:tcPr>
            <w:tcW w:w="125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433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97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43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As at 1 July 2013</w:t>
            </w:r>
          </w:p>
        </w:tc>
        <w:tc>
          <w:tcPr>
            <w:tcW w:w="97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742,404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742,404 </w:t>
            </w:r>
          </w:p>
        </w:tc>
      </w:tr>
      <w:tr w:rsidR="00361797" w:rsidTr="00B50E5D">
        <w:trPr>
          <w:trHeight w:val="255"/>
        </w:trPr>
        <w:tc>
          <w:tcPr>
            <w:tcW w:w="43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Additional provisions made</w:t>
            </w:r>
          </w:p>
        </w:tc>
        <w:tc>
          <w:tcPr>
            <w:tcW w:w="97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624,484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624,484 </w:t>
            </w:r>
          </w:p>
        </w:tc>
      </w:tr>
      <w:tr w:rsidR="00361797" w:rsidTr="00B50E5D">
        <w:trPr>
          <w:trHeight w:val="255"/>
        </w:trPr>
        <w:tc>
          <w:tcPr>
            <w:tcW w:w="43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Amounts used</w:t>
            </w:r>
          </w:p>
        </w:tc>
        <w:tc>
          <w:tcPr>
            <w:tcW w:w="97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(742,404)</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(742,404)</w:t>
            </w:r>
          </w:p>
        </w:tc>
      </w:tr>
      <w:tr w:rsidR="00361797" w:rsidTr="00B50E5D">
        <w:trPr>
          <w:trHeight w:val="255"/>
        </w:trPr>
        <w:tc>
          <w:tcPr>
            <w:tcW w:w="43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Amounts reversed</w:t>
            </w:r>
          </w:p>
        </w:tc>
        <w:tc>
          <w:tcPr>
            <w:tcW w:w="97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55"/>
        </w:trPr>
        <w:tc>
          <w:tcPr>
            <w:tcW w:w="43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Unwinding of discount or change in discount rate</w:t>
            </w:r>
          </w:p>
        </w:tc>
        <w:tc>
          <w:tcPr>
            <w:tcW w:w="97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r>
      <w:tr w:rsidR="00361797" w:rsidTr="00B50E5D">
        <w:trPr>
          <w:trHeight w:val="255"/>
        </w:trPr>
        <w:tc>
          <w:tcPr>
            <w:tcW w:w="433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Total as at 18 September 2013</w:t>
            </w:r>
          </w:p>
        </w:tc>
        <w:tc>
          <w:tcPr>
            <w:tcW w:w="97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624,484</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624,484</w:t>
            </w:r>
          </w:p>
        </w:tc>
      </w:tr>
    </w:tbl>
    <w:p w:rsidR="00361797" w:rsidRDefault="00361797" w:rsidP="00361797"/>
    <w:p w:rsidR="00361797" w:rsidRDefault="00361797" w:rsidP="00361797"/>
    <w:p w:rsidR="00361797" w:rsidRDefault="00361797" w:rsidP="00361797"/>
    <w:p w:rsidR="00361797" w:rsidRDefault="00361797" w:rsidP="00361797">
      <w:pPr>
        <w:spacing w:line="240" w:lineRule="auto"/>
      </w:pPr>
      <w:r>
        <w:br w:type="page"/>
      </w:r>
    </w:p>
    <w:p w:rsidR="00361797" w:rsidRDefault="00361797" w:rsidP="00361797">
      <w:pPr>
        <w:spacing w:line="240" w:lineRule="auto"/>
        <w:sectPr w:rsidR="00361797">
          <w:pgSz w:w="11906" w:h="16838"/>
          <w:pgMar w:top="1134" w:right="1134" w:bottom="1134" w:left="1134" w:header="958" w:footer="737" w:gutter="0"/>
          <w:cols w:space="720"/>
        </w:sectPr>
      </w:pPr>
    </w:p>
    <w:p w:rsidR="00361797" w:rsidRDefault="00361797" w:rsidP="00361797">
      <w:pPr>
        <w:pStyle w:val="NotesHeading-Level1GreyShade"/>
        <w:numPr>
          <w:ilvl w:val="0"/>
          <w:numId w:val="14"/>
        </w:numPr>
      </w:pPr>
      <w:bookmarkStart w:id="350" w:name="_Toc388962643"/>
      <w:r>
        <w:lastRenderedPageBreak/>
        <w:t>Administered Cash Flow Reconciliation</w:t>
      </w:r>
      <w:bookmarkEnd w:id="350"/>
      <w:r>
        <w:t xml:space="preserve"> </w:t>
      </w:r>
    </w:p>
    <w:tbl>
      <w:tblPr>
        <w:tblW w:w="9087" w:type="dxa"/>
        <w:tblInd w:w="80" w:type="dxa"/>
        <w:tblLayout w:type="fixed"/>
        <w:tblLook w:val="04A0" w:firstRow="1" w:lastRow="0" w:firstColumn="1" w:lastColumn="0" w:noHBand="0" w:noVBand="1"/>
      </w:tblPr>
      <w:tblGrid>
        <w:gridCol w:w="6127"/>
        <w:gridCol w:w="1287"/>
        <w:gridCol w:w="263"/>
        <w:gridCol w:w="1410"/>
      </w:tblGrid>
      <w:tr w:rsidR="00361797"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51" w:name="RANGE!E7:E36"/>
            <w:bookmarkStart w:id="352" w:name="Note_AFRTABLE1" w:colFirst="0" w:colLast="0"/>
            <w:r>
              <w:rPr>
                <w:rFonts w:ascii="Arial" w:hAnsi="Arial" w:cs="Arial"/>
                <w:sz w:val="16"/>
                <w:szCs w:val="16"/>
              </w:rPr>
              <w:t> </w:t>
            </w:r>
            <w:bookmarkEnd w:id="351"/>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52"/>
      <w:tr w:rsidR="00361797"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480"/>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Reconciliation of cash and cash equivalents as per administered schedule of assets and liabilities to administered cash flow statement</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Cash and cash equivalents as per</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Schedule of administered cash flows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Schedule of administered assets and liabilities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r>
      <w:tr w:rsidR="00361797" w:rsidTr="00B50E5D">
        <w:trPr>
          <w:trHeight w:val="270"/>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proofErr w:type="spellStart"/>
            <w:r>
              <w:rPr>
                <w:rFonts w:cs="Calibri"/>
                <w:b/>
                <w:bCs/>
                <w:szCs w:val="18"/>
              </w:rPr>
              <w:t>Discepancy</w:t>
            </w:r>
            <w:proofErr w:type="spellEnd"/>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70"/>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7232" w:type="dxa"/>
            <w:gridSpan w:val="2"/>
            <w:tcBorders>
              <w:top w:val="single" w:sz="4" w:space="0" w:color="D9D9D9"/>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Reconciliation of net cost of services to net cash from (used by) operating activities</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Net (cost of) contribution by services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(7,412,829)</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(31,782,071)</w:t>
            </w:r>
          </w:p>
        </w:tc>
      </w:tr>
      <w:tr w:rsidR="00361797"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Adjustments for non-cash items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Net write down of non-financial assets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21,222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3,817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Expenses not requiring cash - restructure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Other expenses not requiring cash</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323,318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Other revenues not providing cash</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(767)</w:t>
            </w:r>
          </w:p>
        </w:tc>
      </w:tr>
      <w:tr w:rsidR="00361797" w:rsidTr="00B50E5D">
        <w:trPr>
          <w:trHeight w:val="255"/>
        </w:trPr>
        <w:tc>
          <w:tcPr>
            <w:tcW w:w="59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Movements in assets and liabilities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Assets</w:t>
            </w:r>
          </w:p>
        </w:tc>
        <w:tc>
          <w:tcPr>
            <w:tcW w:w="125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net receivables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326,403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69,026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other non-financial assets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(64,680)</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3,895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Liabilities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supplier payables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(262,220)</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(172,327)</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subsidies payable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(24,325)</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321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personal benefits payable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48,690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86,842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personal benefits provisions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(117,920)</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145,835 </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grants payable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(29,285)</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(46,504)</w:t>
            </w:r>
          </w:p>
        </w:tc>
      </w:tr>
      <w:tr w:rsidR="00361797" w:rsidTr="00B50E5D">
        <w:trPr>
          <w:trHeight w:val="255"/>
        </w:trPr>
        <w:tc>
          <w:tcPr>
            <w:tcW w:w="59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Increase / (decrease) in other payables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57"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3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(4,400)</w:t>
            </w:r>
          </w:p>
        </w:tc>
      </w:tr>
      <w:tr w:rsidR="00361797" w:rsidTr="00B50E5D">
        <w:trPr>
          <w:trHeight w:val="270"/>
        </w:trPr>
        <w:tc>
          <w:tcPr>
            <w:tcW w:w="597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Net cash from (used by) operating activities</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(7,514,947)</w:t>
            </w:r>
          </w:p>
        </w:tc>
        <w:tc>
          <w:tcPr>
            <w:tcW w:w="257"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37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(31,373,015)</w:t>
            </w:r>
          </w:p>
        </w:tc>
      </w:tr>
    </w:tbl>
    <w:p w:rsidR="00361797" w:rsidRDefault="00361797" w:rsidP="00361797">
      <w:pPr>
        <w:spacing w:line="240" w:lineRule="auto"/>
        <w:sectPr w:rsidR="00361797">
          <w:pgSz w:w="11906" w:h="16838"/>
          <w:pgMar w:top="1134" w:right="1134" w:bottom="1134" w:left="1134" w:header="958" w:footer="737" w:gutter="0"/>
          <w:cols w:space="720"/>
        </w:sectPr>
      </w:pPr>
      <w:bookmarkStart w:id="353" w:name="RANGE!E7:H36"/>
      <w:bookmarkEnd w:id="353"/>
    </w:p>
    <w:p w:rsidR="00361797" w:rsidRDefault="00361797" w:rsidP="00361797">
      <w:pPr>
        <w:pStyle w:val="NotesHeading-Level1GreyShade"/>
        <w:numPr>
          <w:ilvl w:val="0"/>
          <w:numId w:val="14"/>
        </w:numPr>
        <w:ind w:right="635"/>
      </w:pPr>
      <w:bookmarkStart w:id="354" w:name="RANGE!E7:H34"/>
      <w:bookmarkStart w:id="355" w:name="RANGE!E7:H33"/>
      <w:bookmarkStart w:id="356" w:name="RANGE!E7:H32"/>
      <w:bookmarkStart w:id="357" w:name="RANGE!E6:H31"/>
      <w:bookmarkStart w:id="358" w:name="RANGE!E6:H36"/>
      <w:bookmarkStart w:id="359" w:name="RANGE!E6:H37"/>
      <w:bookmarkStart w:id="360" w:name="_Ref317489659"/>
      <w:bookmarkStart w:id="361" w:name="_Toc388962644"/>
      <w:bookmarkEnd w:id="354"/>
      <w:bookmarkEnd w:id="355"/>
      <w:bookmarkEnd w:id="356"/>
      <w:bookmarkEnd w:id="357"/>
      <w:bookmarkEnd w:id="358"/>
      <w:bookmarkEnd w:id="359"/>
      <w:r>
        <w:lastRenderedPageBreak/>
        <w:t>Administered Contingent Assets and Liabilities</w:t>
      </w:r>
      <w:bookmarkEnd w:id="360"/>
      <w:bookmarkEnd w:id="361"/>
    </w:p>
    <w:tbl>
      <w:tblPr>
        <w:tblW w:w="13991" w:type="dxa"/>
        <w:tblInd w:w="80" w:type="dxa"/>
        <w:tblLayout w:type="fixed"/>
        <w:tblLook w:val="04A0" w:firstRow="1" w:lastRow="0" w:firstColumn="1" w:lastColumn="0" w:noHBand="0" w:noVBand="1"/>
      </w:tblPr>
      <w:tblGrid>
        <w:gridCol w:w="3362"/>
        <w:gridCol w:w="677"/>
        <w:gridCol w:w="1244"/>
        <w:gridCol w:w="1244"/>
        <w:gridCol w:w="1244"/>
        <w:gridCol w:w="1244"/>
        <w:gridCol w:w="1244"/>
        <w:gridCol w:w="1244"/>
        <w:gridCol w:w="1244"/>
        <w:gridCol w:w="1244"/>
      </w:tblGrid>
      <w:tr w:rsidR="00361797" w:rsidTr="00B50E5D">
        <w:trPr>
          <w:trHeight w:val="255"/>
        </w:trPr>
        <w:tc>
          <w:tcPr>
            <w:tcW w:w="28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62" w:name="Note_ACLTABLE1" w:colFirst="0" w:colLast="0"/>
            <w:r>
              <w:rPr>
                <w:rFonts w:ascii="Arial" w:hAnsi="Arial" w:cs="Arial"/>
                <w:sz w:val="16"/>
                <w:szCs w:val="16"/>
              </w:rPr>
              <w:t> </w:t>
            </w:r>
          </w:p>
        </w:tc>
        <w:tc>
          <w:tcPr>
            <w:tcW w:w="5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112" w:type="dxa"/>
            <w:gridSpan w:val="2"/>
            <w:tcBorders>
              <w:top w:val="nil"/>
              <w:left w:val="nil"/>
              <w:bottom w:val="nil"/>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Indemnities</w:t>
            </w:r>
          </w:p>
        </w:tc>
        <w:tc>
          <w:tcPr>
            <w:tcW w:w="2112" w:type="dxa"/>
            <w:gridSpan w:val="2"/>
            <w:tcBorders>
              <w:top w:val="nil"/>
              <w:left w:val="nil"/>
              <w:bottom w:val="nil"/>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Claims for damages or costs</w:t>
            </w:r>
          </w:p>
        </w:tc>
        <w:tc>
          <w:tcPr>
            <w:tcW w:w="2112" w:type="dxa"/>
            <w:gridSpan w:val="2"/>
            <w:tcBorders>
              <w:top w:val="nil"/>
              <w:left w:val="nil"/>
              <w:bottom w:val="nil"/>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Other</w:t>
            </w:r>
          </w:p>
        </w:tc>
        <w:tc>
          <w:tcPr>
            <w:tcW w:w="2112" w:type="dxa"/>
            <w:gridSpan w:val="2"/>
            <w:tcBorders>
              <w:top w:val="nil"/>
              <w:left w:val="nil"/>
              <w:bottom w:val="nil"/>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Total</w:t>
            </w:r>
          </w:p>
        </w:tc>
      </w:tr>
      <w:bookmarkEnd w:id="362"/>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56"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285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Contingent assets</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Balance from previous period</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19,928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15,302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19,928</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15,302</w:t>
            </w:r>
          </w:p>
        </w:tc>
      </w:tr>
      <w:tr w:rsidR="00361797" w:rsidTr="00B50E5D">
        <w:trPr>
          <w:trHeight w:val="255"/>
        </w:trPr>
        <w:tc>
          <w:tcPr>
            <w:tcW w:w="3432" w:type="dxa"/>
            <w:gridSpan w:val="2"/>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New contingent assets recognised</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Re-measurement</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(72)</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41,868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(72)</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41,868</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Assets realised</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(2,295)</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(37,242)</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(2,295)</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(37,242)</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Rights expired</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285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 contingent assets</w:t>
            </w:r>
          </w:p>
        </w:tc>
        <w:tc>
          <w:tcPr>
            <w:tcW w:w="576" w:type="dxa"/>
            <w:tcBorders>
              <w:top w:val="nil"/>
              <w:left w:val="nil"/>
              <w:bottom w:val="nil"/>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17,561</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19,928</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17,561</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19,928</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285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Contingent liabilities</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Balance from previous period</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74,174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66,862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74,174</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66,862</w:t>
            </w:r>
          </w:p>
        </w:tc>
      </w:tr>
      <w:tr w:rsidR="00361797" w:rsidTr="00B50E5D">
        <w:trPr>
          <w:trHeight w:val="255"/>
        </w:trPr>
        <w:tc>
          <w:tcPr>
            <w:tcW w:w="3432" w:type="dxa"/>
            <w:gridSpan w:val="2"/>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New contingent liabilities recognised</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Re-measurement</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15,953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7,312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15,953</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7,312</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Liabilities realised</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28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Obligations expired</w:t>
            </w:r>
          </w:p>
        </w:tc>
        <w:tc>
          <w:tcPr>
            <w:tcW w:w="5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285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 contingent liabilities</w:t>
            </w:r>
          </w:p>
        </w:tc>
        <w:tc>
          <w:tcPr>
            <w:tcW w:w="576" w:type="dxa"/>
            <w:tcBorders>
              <w:top w:val="nil"/>
              <w:left w:val="nil"/>
              <w:bottom w:val="nil"/>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90,127</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74,174</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90,127</w:t>
            </w:r>
          </w:p>
        </w:tc>
        <w:tc>
          <w:tcPr>
            <w:tcW w:w="10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74,174</w:t>
            </w:r>
          </w:p>
        </w:tc>
      </w:tr>
      <w:tr w:rsidR="00361797" w:rsidTr="00B50E5D">
        <w:trPr>
          <w:trHeight w:val="255"/>
        </w:trPr>
        <w:tc>
          <w:tcPr>
            <w:tcW w:w="285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Net contingent assets (liabilities)</w:t>
            </w:r>
          </w:p>
        </w:tc>
        <w:tc>
          <w:tcPr>
            <w:tcW w:w="576" w:type="dxa"/>
            <w:tcBorders>
              <w:top w:val="nil"/>
              <w:left w:val="nil"/>
              <w:bottom w:val="nil"/>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(72,566)</w:t>
            </w:r>
          </w:p>
        </w:tc>
        <w:tc>
          <w:tcPr>
            <w:tcW w:w="105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(54,246)</w:t>
            </w:r>
          </w:p>
        </w:tc>
      </w:tr>
    </w:tbl>
    <w:p w:rsidR="00361797" w:rsidRDefault="00361797" w:rsidP="00361797">
      <w:bookmarkStart w:id="363" w:name="RANGE!D7:M25"/>
      <w:bookmarkStart w:id="364" w:name="RANGE!D6:M24"/>
      <w:bookmarkStart w:id="365" w:name="RANGE!D6:M23"/>
      <w:bookmarkStart w:id="366" w:name="RANGE!D6:K23"/>
      <w:bookmarkEnd w:id="363"/>
      <w:bookmarkEnd w:id="364"/>
      <w:bookmarkEnd w:id="365"/>
      <w:bookmarkEnd w:id="366"/>
    </w:p>
    <w:p w:rsidR="00361797" w:rsidRDefault="00361797" w:rsidP="00361797"/>
    <w:p w:rsidR="00361797" w:rsidRDefault="00361797" w:rsidP="00361797">
      <w:pPr>
        <w:spacing w:line="240" w:lineRule="auto"/>
        <w:sectPr w:rsidR="00361797">
          <w:pgSz w:w="16838" w:h="11906" w:orient="landscape"/>
          <w:pgMar w:top="1134" w:right="1134" w:bottom="1134" w:left="1134" w:header="958" w:footer="737" w:gutter="0"/>
          <w:cols w:space="720"/>
        </w:sectPr>
      </w:pPr>
    </w:p>
    <w:tbl>
      <w:tblPr>
        <w:tblW w:w="9088" w:type="dxa"/>
        <w:tblLook w:val="01E0" w:firstRow="1" w:lastRow="1" w:firstColumn="1" w:lastColumn="1" w:noHBand="0" w:noVBand="0"/>
      </w:tblPr>
      <w:tblGrid>
        <w:gridCol w:w="9088"/>
      </w:tblGrid>
      <w:tr w:rsidR="00361797" w:rsidTr="00B50E5D">
        <w:tc>
          <w:tcPr>
            <w:tcW w:w="9088" w:type="dxa"/>
            <w:shd w:val="clear" w:color="auto" w:fill="CCCCCC"/>
            <w:hideMark/>
          </w:tcPr>
          <w:p w:rsidR="00361797" w:rsidRDefault="00361797" w:rsidP="00B50E5D">
            <w:pPr>
              <w:pStyle w:val="StyleNotesTextItalic1"/>
            </w:pPr>
            <w:r>
              <w:lastRenderedPageBreak/>
              <w:t xml:space="preserve">Quantifiable Contingencies </w:t>
            </w:r>
          </w:p>
          <w:p w:rsidR="00361797" w:rsidRDefault="00361797" w:rsidP="00B50E5D">
            <w:pPr>
              <w:pStyle w:val="StyleNotesTextPatternClearGray-20"/>
            </w:pPr>
            <w:r>
              <w:t>The schedule of administered contingencies reports contingent assets and liabilities in respect of estimated payments and recoveries in relation to the Early Childhood Programmes, dividends for General Employee Entitlements and Redundancy Scheme and proceedings in the Dust Disease Tribunal as a result of the department’s administration in prior years.  The estimated contingent liability is $77.395 million (2013: $74.174 million).  The estimated contingent asset is $17.561 million (2013: $19.928 million).</w:t>
            </w:r>
          </w:p>
          <w:p w:rsidR="00361797" w:rsidRDefault="00361797" w:rsidP="00B50E5D">
            <w:pPr>
              <w:pStyle w:val="StyleNotesTextItalic1"/>
            </w:pPr>
            <w:r>
              <w:t xml:space="preserve">Unquantifiable Contingencies </w:t>
            </w:r>
          </w:p>
          <w:p w:rsidR="00361797" w:rsidRDefault="00361797" w:rsidP="00B50E5D">
            <w:pPr>
              <w:pStyle w:val="StyleNotesTextPatternClearGray-20"/>
            </w:pPr>
            <w:r>
              <w:t>At 18 September 2013, the department had a number of legal claims against it. The department has denied liability and is defending the claims. It is not possible to estimate the amounts of any eventual payment</w:t>
            </w:r>
            <w:r>
              <w:rPr>
                <w:color w:val="0000FF"/>
              </w:rPr>
              <w:t xml:space="preserve"> </w:t>
            </w:r>
            <w:r>
              <w:t>that may be required in relation to these claims.</w:t>
            </w:r>
          </w:p>
          <w:p w:rsidR="00361797" w:rsidRDefault="00361797" w:rsidP="00B50E5D">
            <w:pPr>
              <w:pStyle w:val="StyleNotesTextPatternClearGray-20"/>
            </w:pPr>
            <w:r>
              <w:t>In addition, there are currently a number of cases before both the Administrative Appeals Tribunal (AAT) and the Social Security Appeals Tribunal for which the outcomes are not yet known or able to be quantified.</w:t>
            </w:r>
          </w:p>
          <w:p w:rsidR="00361797" w:rsidRDefault="00361797" w:rsidP="00B50E5D">
            <w:pPr>
              <w:pStyle w:val="StyleNotesTextPatternClearGray-20"/>
            </w:pPr>
            <w:r>
              <w:t>Relating to the General Employee Entitlements and Redundancy Scheme and the Fair Entitlements Guarantee, it is known that there are employers with large outstanding employee entitlements that have been placed into liquidation. The amounts are unable to be quantified as no claim forms have been received.</w:t>
            </w:r>
          </w:p>
          <w:p w:rsidR="00361797" w:rsidRDefault="00361797" w:rsidP="00B50E5D">
            <w:pPr>
              <w:pStyle w:val="StyleNotesTextItalic1"/>
            </w:pPr>
            <w:r>
              <w:t>Significant Remote Contingencies</w:t>
            </w:r>
          </w:p>
          <w:p w:rsidR="00361797" w:rsidRDefault="00361797" w:rsidP="00B50E5D">
            <w:pPr>
              <w:pStyle w:val="StyleNotesTextPatternClearGray-20"/>
            </w:pPr>
            <w:r>
              <w:t>The value of contingent assets where the likelihood of receipt is remote is nil (2013: nil). The value of contingent liabilities where the likelihood of payment is remote is $460.315 million (2013: $460.315 million).  The majority of the contingent liability represents residual credits from the Job Services – Employment Pathway Fund.  These are not included in the schedule of administered contingencies.</w:t>
            </w:r>
          </w:p>
        </w:tc>
      </w:tr>
    </w:tbl>
    <w:p w:rsidR="00361797" w:rsidRDefault="00361797" w:rsidP="00361797"/>
    <w:p w:rsidR="00361797" w:rsidRDefault="00361797" w:rsidP="00361797"/>
    <w:p w:rsidR="00361797" w:rsidRDefault="00361797" w:rsidP="00361797">
      <w:r>
        <w:br w:type="page"/>
      </w:r>
    </w:p>
    <w:p w:rsidR="00361797" w:rsidRDefault="00361797" w:rsidP="00361797">
      <w:pPr>
        <w:pStyle w:val="NotesHeading-Level1GreyShade"/>
        <w:numPr>
          <w:ilvl w:val="0"/>
          <w:numId w:val="14"/>
        </w:numPr>
      </w:pPr>
      <w:bookmarkStart w:id="367" w:name="_Toc388962645"/>
      <w:r>
        <w:lastRenderedPageBreak/>
        <w:t>Administered Financial Instruments</w:t>
      </w:r>
      <w:bookmarkEnd w:id="367"/>
    </w:p>
    <w:tbl>
      <w:tblPr>
        <w:tblW w:w="9087" w:type="dxa"/>
        <w:tblInd w:w="80" w:type="dxa"/>
        <w:tblLayout w:type="fixed"/>
        <w:tblLook w:val="04A0" w:firstRow="1" w:lastRow="0" w:firstColumn="1" w:lastColumn="0" w:noHBand="0" w:noVBand="1"/>
      </w:tblPr>
      <w:tblGrid>
        <w:gridCol w:w="5868"/>
        <w:gridCol w:w="1458"/>
        <w:gridCol w:w="303"/>
        <w:gridCol w:w="1458"/>
      </w:tblGrid>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368" w:name="Note_AFATABLE1" w:colFirst="0" w:colLast="0"/>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368"/>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505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26A</w:t>
            </w:r>
            <w:proofErr w:type="spellEnd"/>
            <w:r>
              <w:rPr>
                <w:rFonts w:cs="Calibri"/>
                <w:b/>
                <w:bCs/>
                <w:szCs w:val="18"/>
                <w:u w:val="single"/>
              </w:rPr>
              <w:t>: Categories of financial instruments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Available-for-sale financial assets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Investments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6,987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available-for-sale financial assets</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123,712</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6,987</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Loans and receivables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Cash and cash equivalents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Taxation receivables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7,250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28,427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receivable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7,306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34,788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loans and receivables</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15,114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63,273</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 at fair value through profit or loss (designated)</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Financial Supplement Scheme (</w:t>
            </w:r>
            <w:proofErr w:type="spellStart"/>
            <w:r>
              <w:rPr>
                <w:rFonts w:cs="Calibri"/>
                <w:szCs w:val="18"/>
              </w:rPr>
              <w:t>ABSTUDY</w:t>
            </w:r>
            <w:proofErr w:type="spellEnd"/>
            <w:r>
              <w:rPr>
                <w:rFonts w:cs="Calibri"/>
                <w:szCs w:val="18"/>
              </w:rPr>
              <w: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50,853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54,200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loans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11,885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13,939 </w:t>
            </w:r>
          </w:p>
        </w:tc>
      </w:tr>
      <w:tr w:rsidR="00361797" w:rsidTr="00B50E5D">
        <w:trPr>
          <w:trHeight w:val="480"/>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financial assets at fair value through profit or loss (designated)</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62,738</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68,139</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70"/>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financial assets</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201,564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138,399</w:t>
            </w:r>
          </w:p>
        </w:tc>
      </w:tr>
      <w:tr w:rsidR="00361797" w:rsidTr="00B50E5D">
        <w:trPr>
          <w:trHeight w:val="270"/>
        </w:trPr>
        <w:tc>
          <w:tcPr>
            <w:tcW w:w="5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Liabilities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liabilities measured at amortised cost</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59,478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145,279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Subsidies payable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8,024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32,349 </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Grants payable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13,799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43,084 </w:t>
            </w:r>
          </w:p>
        </w:tc>
      </w:tr>
      <w:tr w:rsidR="00361797" w:rsidTr="00B50E5D">
        <w:trPr>
          <w:trHeight w:val="255"/>
        </w:trPr>
        <w:tc>
          <w:tcPr>
            <w:tcW w:w="50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financial liabilities measured at amortised cost</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81,301</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220,712</w:t>
            </w:r>
          </w:p>
        </w:tc>
      </w:tr>
      <w:tr w:rsidR="00361797" w:rsidTr="00B50E5D">
        <w:trPr>
          <w:trHeight w:val="255"/>
        </w:trPr>
        <w:tc>
          <w:tcPr>
            <w:tcW w:w="50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70"/>
        </w:trPr>
        <w:tc>
          <w:tcPr>
            <w:tcW w:w="505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szCs w:val="18"/>
              </w:rPr>
            </w:pPr>
            <w:r>
              <w:rPr>
                <w:rFonts w:cs="Calibri"/>
                <w:b/>
                <w:bCs/>
                <w:szCs w:val="18"/>
              </w:rPr>
              <w:t>Total financial liabilities</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81,301</w:t>
            </w:r>
          </w:p>
        </w:tc>
        <w:tc>
          <w:tcPr>
            <w:tcW w:w="261" w:type="dxa"/>
            <w:tcBorders>
              <w:top w:val="single" w:sz="4" w:space="0" w:color="D9D9D9"/>
              <w:left w:val="nil"/>
              <w:bottom w:val="single" w:sz="24" w:space="0" w:color="D8D8D8"/>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220,712</w:t>
            </w:r>
          </w:p>
        </w:tc>
      </w:tr>
    </w:tbl>
    <w:p w:rsidR="00361797" w:rsidRDefault="00361797" w:rsidP="00361797">
      <w:pPr>
        <w:spacing w:line="240" w:lineRule="auto"/>
      </w:pPr>
      <w:r>
        <w:br w:type="page"/>
      </w:r>
      <w:bookmarkStart w:id="369" w:name="RANGE!D7:G37"/>
      <w:bookmarkStart w:id="370" w:name="RANGE!D6:G36"/>
      <w:bookmarkStart w:id="371" w:name="RANGE!D6:G45"/>
      <w:bookmarkEnd w:id="369"/>
      <w:bookmarkEnd w:id="370"/>
      <w:bookmarkEnd w:id="371"/>
    </w:p>
    <w:tbl>
      <w:tblPr>
        <w:tblW w:w="9087" w:type="dxa"/>
        <w:tblInd w:w="80" w:type="dxa"/>
        <w:tblLayout w:type="fixed"/>
        <w:tblLook w:val="04A0" w:firstRow="1" w:lastRow="0" w:firstColumn="1" w:lastColumn="0" w:noHBand="0" w:noVBand="1"/>
      </w:tblPr>
      <w:tblGrid>
        <w:gridCol w:w="5901"/>
        <w:gridCol w:w="1443"/>
        <w:gridCol w:w="300"/>
        <w:gridCol w:w="1443"/>
      </w:tblGrid>
      <w:tr w:rsidR="00361797" w:rsidTr="00B50E5D">
        <w:trPr>
          <w:trHeight w:val="255"/>
        </w:trPr>
        <w:tc>
          <w:tcPr>
            <w:tcW w:w="513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72" w:name="RANGE!D7:D28"/>
            <w:bookmarkStart w:id="373" w:name="Note_AFBTABLE1" w:colFirst="0" w:colLast="0"/>
            <w:r>
              <w:rPr>
                <w:rFonts w:cs="Calibri"/>
                <w:b/>
                <w:bCs/>
                <w:szCs w:val="18"/>
                <w:u w:val="single"/>
              </w:rPr>
              <w:lastRenderedPageBreak/>
              <w:t xml:space="preserve">Note </w:t>
            </w:r>
            <w:proofErr w:type="spellStart"/>
            <w:r>
              <w:rPr>
                <w:rFonts w:cs="Calibri"/>
                <w:b/>
                <w:bCs/>
                <w:szCs w:val="18"/>
                <w:u w:val="single"/>
              </w:rPr>
              <w:t>26B</w:t>
            </w:r>
            <w:proofErr w:type="spellEnd"/>
            <w:r>
              <w:rPr>
                <w:rFonts w:cs="Calibri"/>
                <w:b/>
                <w:bCs/>
                <w:szCs w:val="18"/>
                <w:u w:val="single"/>
              </w:rPr>
              <w:t>: Net gains or losses on financial assets</w:t>
            </w:r>
            <w:bookmarkEnd w:id="372"/>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73"/>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Available-for-sale financial assets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Gain/loss recognised in equity</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116,725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(37,572)</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Net gains/(losses) from available-for-sale financial assets</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116,725</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(37,572)</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Loans and receivables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Interest revenue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Reversal of impairment - goods and services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1,941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Write-down and impairment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(19,020)</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(2,979)</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Net gains/(losses) from loans and receivables</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(19,017)</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(1,024)</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 at fair value through profit or loss (designated)</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Interest revenue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692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1,513 </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Interest expense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Unwinding of discount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Fair value gains/(losses)</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29,134 </w:t>
            </w:r>
          </w:p>
        </w:tc>
      </w:tr>
      <w:tr w:rsidR="00361797" w:rsidTr="00B50E5D">
        <w:trPr>
          <w:trHeight w:val="480"/>
        </w:trPr>
        <w:tc>
          <w:tcPr>
            <w:tcW w:w="5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Net gains/(losses) on financial assets at fair value through profit or loss (designated)</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692</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30,634</w:t>
            </w:r>
          </w:p>
        </w:tc>
      </w:tr>
      <w:tr w:rsidR="00361797" w:rsidTr="00B50E5D">
        <w:trPr>
          <w:trHeight w:val="255"/>
        </w:trPr>
        <w:tc>
          <w:tcPr>
            <w:tcW w:w="5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70"/>
        </w:trPr>
        <w:tc>
          <w:tcPr>
            <w:tcW w:w="51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szCs w:val="18"/>
              </w:rPr>
            </w:pPr>
            <w:r>
              <w:rPr>
                <w:rFonts w:cs="Calibri"/>
                <w:b/>
                <w:bCs/>
                <w:szCs w:val="18"/>
              </w:rPr>
              <w:t>Net gains/(losses) on financial assets</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98,400</w:t>
            </w:r>
          </w:p>
        </w:tc>
        <w:tc>
          <w:tcPr>
            <w:tcW w:w="261" w:type="dxa"/>
            <w:tcBorders>
              <w:top w:val="single" w:sz="4" w:space="0" w:color="D9D9D9"/>
              <w:left w:val="nil"/>
              <w:bottom w:val="single" w:sz="24" w:space="0" w:color="D8D8D8"/>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(7,962)</w:t>
            </w:r>
          </w:p>
        </w:tc>
      </w:tr>
    </w:tbl>
    <w:p w:rsidR="00361797" w:rsidRDefault="00361797" w:rsidP="00361797">
      <w:pPr>
        <w:spacing w:line="240" w:lineRule="auto"/>
        <w:sectPr w:rsidR="00361797">
          <w:pgSz w:w="11906" w:h="16838"/>
          <w:pgMar w:top="1134" w:right="1134" w:bottom="1134" w:left="1134" w:header="958" w:footer="737" w:gutter="0"/>
          <w:cols w:space="720"/>
        </w:sectPr>
      </w:pPr>
      <w:bookmarkStart w:id="374" w:name="RANGE!D7:G28"/>
      <w:bookmarkEnd w:id="374"/>
    </w:p>
    <w:tbl>
      <w:tblPr>
        <w:tblW w:w="13991" w:type="dxa"/>
        <w:tblInd w:w="80" w:type="dxa"/>
        <w:tblLayout w:type="fixed"/>
        <w:tblLook w:val="04A0" w:firstRow="1" w:lastRow="0" w:firstColumn="1" w:lastColumn="0" w:noHBand="0" w:noVBand="1"/>
      </w:tblPr>
      <w:tblGrid>
        <w:gridCol w:w="4789"/>
        <w:gridCol w:w="1084"/>
        <w:gridCol w:w="1084"/>
        <w:gridCol w:w="1014"/>
        <w:gridCol w:w="1176"/>
        <w:gridCol w:w="1199"/>
        <w:gridCol w:w="1269"/>
        <w:gridCol w:w="1107"/>
        <w:gridCol w:w="1269"/>
      </w:tblGrid>
      <w:tr w:rsidR="00361797" w:rsidTr="00B50E5D">
        <w:trPr>
          <w:trHeight w:val="255"/>
        </w:trPr>
        <w:tc>
          <w:tcPr>
            <w:tcW w:w="413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75" w:name="RANGE!D7:D30"/>
            <w:bookmarkStart w:id="376" w:name="Note_AFGTABLE1" w:colFirst="0" w:colLast="0"/>
            <w:r>
              <w:rPr>
                <w:rFonts w:cs="Calibri"/>
                <w:b/>
                <w:bCs/>
                <w:szCs w:val="18"/>
                <w:u w:val="single"/>
              </w:rPr>
              <w:lastRenderedPageBreak/>
              <w:t xml:space="preserve">Note </w:t>
            </w:r>
            <w:proofErr w:type="spellStart"/>
            <w:r>
              <w:rPr>
                <w:rFonts w:cs="Calibri"/>
                <w:b/>
                <w:bCs/>
                <w:szCs w:val="18"/>
                <w:u w:val="single"/>
              </w:rPr>
              <w:t>26C</w:t>
            </w:r>
            <w:proofErr w:type="spellEnd"/>
            <w:r>
              <w:rPr>
                <w:rFonts w:cs="Calibri"/>
                <w:b/>
                <w:bCs/>
                <w:szCs w:val="18"/>
                <w:u w:val="single"/>
              </w:rPr>
              <w:t>: Fair value of financial instruments</w:t>
            </w:r>
            <w:bookmarkEnd w:id="375"/>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76"/>
      <w:tr w:rsidR="00361797" w:rsidTr="00B50E5D">
        <w:trPr>
          <w:trHeight w:val="255"/>
        </w:trPr>
        <w:tc>
          <w:tcPr>
            <w:tcW w:w="41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Carrying</w:t>
            </w:r>
          </w:p>
        </w:tc>
        <w:tc>
          <w:tcPr>
            <w:tcW w:w="109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Fair</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Carrying</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Fair</w:t>
            </w:r>
          </w:p>
        </w:tc>
      </w:tr>
      <w:tr w:rsidR="00361797" w:rsidTr="00B50E5D">
        <w:trPr>
          <w:trHeight w:val="255"/>
        </w:trPr>
        <w:tc>
          <w:tcPr>
            <w:tcW w:w="4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amount</w:t>
            </w:r>
          </w:p>
        </w:tc>
        <w:tc>
          <w:tcPr>
            <w:tcW w:w="109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value</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amount</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value</w:t>
            </w:r>
          </w:p>
        </w:tc>
      </w:tr>
      <w:tr w:rsidR="00361797" w:rsidTr="00B50E5D">
        <w:trPr>
          <w:trHeight w:val="255"/>
        </w:trPr>
        <w:tc>
          <w:tcPr>
            <w:tcW w:w="41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9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1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9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95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9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w:t>
            </w:r>
          </w:p>
        </w:tc>
        <w:tc>
          <w:tcPr>
            <w:tcW w:w="9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9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87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01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Available-for-sale</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Investments</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6,987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6,987 </w:t>
            </w:r>
          </w:p>
        </w:tc>
      </w:tr>
      <w:tr w:rsidR="00361797" w:rsidTr="00B50E5D">
        <w:trPr>
          <w:trHeight w:val="255"/>
        </w:trPr>
        <w:tc>
          <w:tcPr>
            <w:tcW w:w="4136"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xml:space="preserve">Loans and receivables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Cash at bank and on hand</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Taxation receivables</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7,250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7,250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28,427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28,427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Receivables for goods and services</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7,306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7,306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34,788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34,788 </w:t>
            </w:r>
          </w:p>
        </w:tc>
      </w:tr>
      <w:tr w:rsidR="00361797" w:rsidTr="00B50E5D">
        <w:trPr>
          <w:trHeight w:val="255"/>
        </w:trPr>
        <w:tc>
          <w:tcPr>
            <w:tcW w:w="4136"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Fair value through profit or loss (designated)</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5072" w:type="dxa"/>
            <w:gridSpan w:val="2"/>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Financial Supplement Scheme (</w:t>
            </w:r>
            <w:proofErr w:type="spellStart"/>
            <w:r>
              <w:rPr>
                <w:rFonts w:cs="Calibri"/>
                <w:szCs w:val="18"/>
              </w:rPr>
              <w:t>ABSTUDY</w:t>
            </w:r>
            <w:proofErr w:type="spellEnd"/>
            <w:r>
              <w:rPr>
                <w:rFonts w:cs="Calibri"/>
                <w:szCs w:val="18"/>
              </w:rPr>
              <w:t>)</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50,853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50,853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54,200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54,200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loans</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11,885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11,885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13,939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13,939 </w:t>
            </w:r>
          </w:p>
        </w:tc>
      </w:tr>
      <w:tr w:rsidR="00361797" w:rsidTr="00B50E5D">
        <w:trPr>
          <w:trHeight w:val="270"/>
        </w:trPr>
        <w:tc>
          <w:tcPr>
            <w:tcW w:w="413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financial assets</w:t>
            </w:r>
          </w:p>
        </w:tc>
        <w:tc>
          <w:tcPr>
            <w:tcW w:w="9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9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87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01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0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201,564</w:t>
            </w:r>
          </w:p>
        </w:tc>
        <w:tc>
          <w:tcPr>
            <w:tcW w:w="109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201,564</w:t>
            </w:r>
          </w:p>
        </w:tc>
        <w:tc>
          <w:tcPr>
            <w:tcW w:w="9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138,399</w:t>
            </w:r>
          </w:p>
        </w:tc>
        <w:tc>
          <w:tcPr>
            <w:tcW w:w="109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138,399</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3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87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1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Liabilities</w:t>
            </w:r>
          </w:p>
        </w:tc>
        <w:tc>
          <w:tcPr>
            <w:tcW w:w="9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93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87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01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b/>
                <w:bCs/>
                <w:sz w:val="16"/>
                <w:szCs w:val="16"/>
              </w:rPr>
            </w:pPr>
            <w:r>
              <w:rPr>
                <w:rFonts w:ascii="Arial" w:hAnsi="Arial" w:cs="Arial"/>
                <w:b/>
                <w:bCs/>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Measured at amortised cost</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9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59,478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59,478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145,279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145,279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Subsidies payable</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8,024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8,024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32,349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32,349 </w:t>
            </w:r>
          </w:p>
        </w:tc>
      </w:tr>
      <w:tr w:rsidR="00361797" w:rsidTr="00B50E5D">
        <w:trPr>
          <w:trHeight w:val="255"/>
        </w:trPr>
        <w:tc>
          <w:tcPr>
            <w:tcW w:w="41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Grants payable</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93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87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1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13,799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13,799 </w:t>
            </w:r>
          </w:p>
        </w:tc>
        <w:tc>
          <w:tcPr>
            <w:tcW w:w="9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43,084 </w:t>
            </w:r>
          </w:p>
        </w:tc>
        <w:tc>
          <w:tcPr>
            <w:tcW w:w="109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43,084 </w:t>
            </w:r>
          </w:p>
        </w:tc>
      </w:tr>
      <w:tr w:rsidR="00361797" w:rsidTr="00B50E5D">
        <w:trPr>
          <w:trHeight w:val="270"/>
        </w:trPr>
        <w:tc>
          <w:tcPr>
            <w:tcW w:w="413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Financial liabilities</w:t>
            </w:r>
          </w:p>
        </w:tc>
        <w:tc>
          <w:tcPr>
            <w:tcW w:w="93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93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87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1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3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81,301</w:t>
            </w:r>
          </w:p>
        </w:tc>
        <w:tc>
          <w:tcPr>
            <w:tcW w:w="109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81,301</w:t>
            </w:r>
          </w:p>
        </w:tc>
        <w:tc>
          <w:tcPr>
            <w:tcW w:w="9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220,712</w:t>
            </w:r>
          </w:p>
        </w:tc>
        <w:tc>
          <w:tcPr>
            <w:tcW w:w="109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220,712</w:t>
            </w:r>
          </w:p>
        </w:tc>
      </w:tr>
    </w:tbl>
    <w:p w:rsidR="00361797" w:rsidRDefault="00361797" w:rsidP="00361797">
      <w:pPr>
        <w:pStyle w:val="GreyShadeTableBreak"/>
      </w:pPr>
      <w:bookmarkStart w:id="377" w:name="RANGE!D7:G27"/>
      <w:bookmarkStart w:id="378" w:name="RANGE!D7:L30"/>
      <w:bookmarkStart w:id="379" w:name="RANGE!D7:L31"/>
      <w:bookmarkStart w:id="380" w:name="RANGE!D7:L32"/>
      <w:bookmarkStart w:id="381" w:name="RANGE!D6:L31"/>
      <w:bookmarkStart w:id="382" w:name="RANGE!D6:L30"/>
      <w:bookmarkStart w:id="383" w:name="RANGE!D56:L79"/>
      <w:bookmarkStart w:id="384" w:name="RANGE!D57:L80"/>
      <w:bookmarkEnd w:id="377"/>
      <w:bookmarkEnd w:id="378"/>
      <w:bookmarkEnd w:id="379"/>
      <w:bookmarkEnd w:id="380"/>
      <w:bookmarkEnd w:id="381"/>
      <w:bookmarkEnd w:id="382"/>
      <w:bookmarkEnd w:id="383"/>
      <w:bookmarkEnd w:id="384"/>
    </w:p>
    <w:p w:rsidR="00361797" w:rsidRDefault="00361797" w:rsidP="00361797">
      <w:pPr>
        <w:spacing w:line="240" w:lineRule="auto"/>
        <w:sectPr w:rsidR="00361797">
          <w:pgSz w:w="16838" w:h="11906" w:orient="landscape"/>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3901"/>
        <w:gridCol w:w="1038"/>
        <w:gridCol w:w="1037"/>
        <w:gridCol w:w="1037"/>
        <w:gridCol w:w="1037"/>
        <w:gridCol w:w="1037"/>
      </w:tblGrid>
      <w:tr w:rsidR="00361797" w:rsidTr="00B50E5D">
        <w:trPr>
          <w:trHeight w:val="255"/>
        </w:trPr>
        <w:tc>
          <w:tcPr>
            <w:tcW w:w="3854"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85" w:name="Note_AFJTABLE1" w:colFirst="0" w:colLast="0"/>
            <w:r>
              <w:rPr>
                <w:rFonts w:cs="Calibri"/>
                <w:b/>
                <w:bCs/>
                <w:szCs w:val="18"/>
                <w:u w:val="single"/>
              </w:rPr>
              <w:lastRenderedPageBreak/>
              <w:t xml:space="preserve">Note </w:t>
            </w:r>
            <w:proofErr w:type="spellStart"/>
            <w:r>
              <w:rPr>
                <w:rFonts w:cs="Calibri"/>
                <w:b/>
                <w:bCs/>
                <w:szCs w:val="18"/>
                <w:u w:val="single"/>
              </w:rPr>
              <w:t>26D</w:t>
            </w:r>
            <w:proofErr w:type="spellEnd"/>
            <w:r>
              <w:rPr>
                <w:rFonts w:cs="Calibri"/>
                <w:b/>
                <w:bCs/>
                <w:szCs w:val="18"/>
                <w:u w:val="single"/>
              </w:rPr>
              <w:t>: Credit risk</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85"/>
      <w:tr w:rsidR="00361797" w:rsidTr="00B50E5D">
        <w:trPr>
          <w:trHeight w:val="255"/>
        </w:trPr>
        <w:tc>
          <w:tcPr>
            <w:tcW w:w="3854"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1185"/>
        </w:trPr>
        <w:tc>
          <w:tcPr>
            <w:tcW w:w="8980" w:type="dxa"/>
            <w:gridSpan w:val="6"/>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The administered loans and receivables of the department are not exposed to a high level of credit risk as the majority of financial assets are cash or cash equivalents, trade receivables or advances and loans to state, territory and local governments.  The department manages its credit risk by undertaking background and credit checks prior to allowing a debtor relationship.  In addition the department has policies and procedures that guide employees’ debt recovery techniques that are to be applied.</w:t>
            </w:r>
          </w:p>
        </w:tc>
      </w:tr>
      <w:tr w:rsidR="00361797" w:rsidTr="00B50E5D">
        <w:trPr>
          <w:trHeight w:val="1050"/>
        </w:trPr>
        <w:tc>
          <w:tcPr>
            <w:tcW w:w="8980" w:type="dxa"/>
            <w:gridSpan w:val="6"/>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The recoverability and credit quality of the fair value through profit and loss (designated) amounts are factored into the actuarial assessment each year.  No separate account is maintained of the write offs in the department’s accounts rather just the movement in the assessment as a gain or loss in the Schedule of Administered Items.  This accounting treatment is consistent with the basis for accounting for these instruments.</w:t>
            </w:r>
          </w:p>
        </w:tc>
      </w:tr>
      <w:tr w:rsidR="00361797" w:rsidTr="00B50E5D">
        <w:trPr>
          <w:trHeight w:val="255"/>
        </w:trPr>
        <w:tc>
          <w:tcPr>
            <w:tcW w:w="3854"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6"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5"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5"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5"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5"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8980" w:type="dxa"/>
            <w:gridSpan w:val="6"/>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Maximum exposure to credit risk (excluding any collateral or credit enhancements)</w:t>
            </w:r>
          </w:p>
        </w:tc>
      </w:tr>
      <w:tr w:rsidR="00361797" w:rsidTr="00B50E5D">
        <w:trPr>
          <w:trHeight w:val="255"/>
        </w:trPr>
        <w:tc>
          <w:tcPr>
            <w:tcW w:w="3854"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3854"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510"/>
        </w:trPr>
        <w:tc>
          <w:tcPr>
            <w:tcW w:w="3854"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assets carried at amount not best representing maximum exposure to credit risk</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854"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Available-for-sale</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3854"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Investments</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6,987 </w:t>
            </w:r>
          </w:p>
        </w:tc>
      </w:tr>
      <w:tr w:rsidR="00361797" w:rsidTr="00B50E5D">
        <w:trPr>
          <w:trHeight w:val="255"/>
        </w:trPr>
        <w:tc>
          <w:tcPr>
            <w:tcW w:w="3854"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Loan and receivables financial assets</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3854"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Cash at bank and on hand</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r>
      <w:tr w:rsidR="00361797" w:rsidTr="00B50E5D">
        <w:trPr>
          <w:trHeight w:val="255"/>
        </w:trPr>
        <w:tc>
          <w:tcPr>
            <w:tcW w:w="3854"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Taxation receivables</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7,250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28,427 </w:t>
            </w:r>
          </w:p>
        </w:tc>
      </w:tr>
      <w:tr w:rsidR="00361797" w:rsidTr="00B50E5D">
        <w:trPr>
          <w:trHeight w:val="255"/>
        </w:trPr>
        <w:tc>
          <w:tcPr>
            <w:tcW w:w="3854"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receivables</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27,610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37,393 </w:t>
            </w:r>
          </w:p>
        </w:tc>
      </w:tr>
      <w:tr w:rsidR="00361797" w:rsidTr="00B50E5D">
        <w:trPr>
          <w:trHeight w:val="255"/>
        </w:trPr>
        <w:tc>
          <w:tcPr>
            <w:tcW w:w="3854"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Fair value through profit or loss (designated)</w:t>
            </w:r>
          </w:p>
        </w:tc>
        <w:tc>
          <w:tcPr>
            <w:tcW w:w="102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4880" w:type="dxa"/>
            <w:gridSpan w:val="2"/>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Financial Supplement Scheme (</w:t>
            </w:r>
            <w:proofErr w:type="spellStart"/>
            <w:r>
              <w:rPr>
                <w:rFonts w:cs="Calibri"/>
                <w:szCs w:val="18"/>
              </w:rPr>
              <w:t>ABSTUDY</w:t>
            </w:r>
            <w:proofErr w:type="spellEnd"/>
            <w:r>
              <w:rPr>
                <w:rFonts w:cs="Calibri"/>
                <w:szCs w:val="18"/>
              </w:rPr>
              <w:t>)</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50,853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54,200 </w:t>
            </w:r>
          </w:p>
        </w:tc>
      </w:tr>
      <w:tr w:rsidR="00361797" w:rsidTr="00B50E5D">
        <w:trPr>
          <w:trHeight w:val="255"/>
        </w:trPr>
        <w:tc>
          <w:tcPr>
            <w:tcW w:w="3854"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loans</w:t>
            </w:r>
          </w:p>
        </w:tc>
        <w:tc>
          <w:tcPr>
            <w:tcW w:w="1026"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11,885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13,939 </w:t>
            </w:r>
          </w:p>
        </w:tc>
      </w:tr>
      <w:tr w:rsidR="00361797" w:rsidTr="00B50E5D">
        <w:trPr>
          <w:trHeight w:val="495"/>
        </w:trPr>
        <w:tc>
          <w:tcPr>
            <w:tcW w:w="3854"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financial assets carried at amount not best representing maximum exposure to credit risk</w:t>
            </w:r>
          </w:p>
        </w:tc>
        <w:tc>
          <w:tcPr>
            <w:tcW w:w="1026"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25"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25"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 </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221,868</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141,004</w:t>
            </w:r>
          </w:p>
        </w:tc>
      </w:tr>
    </w:tbl>
    <w:p w:rsidR="00361797" w:rsidRDefault="00361797" w:rsidP="00361797">
      <w:pPr>
        <w:pStyle w:val="GreyShadeTableBreak"/>
      </w:pPr>
      <w:bookmarkStart w:id="386" w:name="RANGE!D7:I25"/>
      <w:bookmarkStart w:id="387" w:name="RANGE!D7:I26"/>
      <w:bookmarkStart w:id="388" w:name="RANGE!D6:I24"/>
      <w:bookmarkStart w:id="389" w:name="RANGE!D6:I25"/>
      <w:bookmarkStart w:id="390" w:name="RANGE!D6:I27"/>
      <w:bookmarkStart w:id="391" w:name="RANGE!D6:I58"/>
      <w:bookmarkEnd w:id="386"/>
      <w:bookmarkEnd w:id="387"/>
      <w:bookmarkEnd w:id="388"/>
      <w:bookmarkEnd w:id="389"/>
      <w:bookmarkEnd w:id="390"/>
      <w:bookmarkEnd w:id="391"/>
    </w:p>
    <w:tbl>
      <w:tblPr>
        <w:tblW w:w="9090" w:type="dxa"/>
        <w:tblInd w:w="80" w:type="dxa"/>
        <w:tblLayout w:type="fixed"/>
        <w:tblLook w:val="04A0" w:firstRow="1" w:lastRow="0" w:firstColumn="1" w:lastColumn="0" w:noHBand="0" w:noVBand="1"/>
      </w:tblPr>
      <w:tblGrid>
        <w:gridCol w:w="9090"/>
      </w:tblGrid>
      <w:tr w:rsidR="00361797" w:rsidTr="00B50E5D">
        <w:trPr>
          <w:trHeight w:val="270"/>
        </w:trPr>
        <w:tc>
          <w:tcPr>
            <w:tcW w:w="9092" w:type="dxa"/>
            <w:tcBorders>
              <w:top w:val="single" w:sz="4" w:space="0" w:color="D8D8D8"/>
              <w:left w:val="nil"/>
              <w:bottom w:val="single" w:sz="24" w:space="0" w:color="D8D8D8"/>
              <w:right w:val="nil"/>
            </w:tcBorders>
            <w:shd w:val="clear" w:color="auto" w:fill="D8D8D8"/>
            <w:vAlign w:val="bottom"/>
          </w:tcPr>
          <w:p w:rsidR="00361797" w:rsidRDefault="00361797" w:rsidP="00B50E5D">
            <w:pPr>
              <w:pStyle w:val="AdminBlankGreyShade"/>
            </w:pPr>
            <w:r>
              <w:t>The department has assessed the risk of the default on payment and has allocated the following to an impairment allowance for doubtful debts:</w:t>
            </w:r>
          </w:p>
          <w:p w:rsidR="00361797" w:rsidRDefault="00361797" w:rsidP="00B50E5D">
            <w:pPr>
              <w:pStyle w:val="AdminBlankGreyShade"/>
            </w:pPr>
          </w:p>
          <w:p w:rsidR="00361797" w:rsidRDefault="00361797" w:rsidP="00B50E5D">
            <w:pPr>
              <w:pStyle w:val="AdminBlankGreyShade"/>
            </w:pPr>
            <w:r>
              <w:t>Goods and services receivables $20.304 million in 2014 (2013: $2.605 million).</w:t>
            </w:r>
          </w:p>
          <w:p w:rsidR="00361797" w:rsidRDefault="00361797" w:rsidP="00B50E5D">
            <w:pPr>
              <w:pStyle w:val="AdminBlankGreyShade"/>
            </w:pPr>
          </w:p>
          <w:p w:rsidR="00361797" w:rsidRDefault="00361797" w:rsidP="00B50E5D">
            <w:pPr>
              <w:pStyle w:val="AdminBlankGreyShade"/>
            </w:pPr>
            <w:r>
              <w:t xml:space="preserve">In relation to the </w:t>
            </w:r>
            <w:proofErr w:type="gramStart"/>
            <w:r>
              <w:t>entity's</w:t>
            </w:r>
            <w:proofErr w:type="gramEnd"/>
            <w:r>
              <w:t xml:space="preserve"> gross credit risk no collateral is held by the department.</w:t>
            </w:r>
          </w:p>
        </w:tc>
      </w:tr>
    </w:tbl>
    <w:p w:rsidR="00361797" w:rsidRDefault="00361797" w:rsidP="00361797">
      <w:pPr>
        <w:pStyle w:val="GreyShadeTableBreak"/>
      </w:pPr>
    </w:p>
    <w:p w:rsidR="00361797" w:rsidRDefault="00361797" w:rsidP="00361797">
      <w:pPr>
        <w:spacing w:line="240" w:lineRule="auto"/>
      </w:pPr>
    </w:p>
    <w:p w:rsidR="00361797" w:rsidRDefault="00361797" w:rsidP="00361797">
      <w:pPr>
        <w:spacing w:line="240" w:lineRule="auto"/>
      </w:pPr>
      <w:r>
        <w:br w:type="page"/>
      </w:r>
    </w:p>
    <w:tbl>
      <w:tblPr>
        <w:tblW w:w="9087" w:type="dxa"/>
        <w:tblInd w:w="80" w:type="dxa"/>
        <w:tblLayout w:type="fixed"/>
        <w:tblLook w:val="04A0" w:firstRow="1" w:lastRow="0" w:firstColumn="1" w:lastColumn="0" w:noHBand="0" w:noVBand="1"/>
      </w:tblPr>
      <w:tblGrid>
        <w:gridCol w:w="3900"/>
        <w:gridCol w:w="1039"/>
        <w:gridCol w:w="1037"/>
        <w:gridCol w:w="1037"/>
        <w:gridCol w:w="1037"/>
        <w:gridCol w:w="1037"/>
      </w:tblGrid>
      <w:tr w:rsidR="00361797" w:rsidTr="00B50E5D">
        <w:trPr>
          <w:trHeight w:val="255"/>
        </w:trPr>
        <w:tc>
          <w:tcPr>
            <w:tcW w:w="8980" w:type="dxa"/>
            <w:gridSpan w:val="6"/>
            <w:tcBorders>
              <w:top w:val="nil"/>
              <w:left w:val="nil"/>
              <w:bottom w:val="nil"/>
              <w:right w:val="nil"/>
            </w:tcBorders>
            <w:shd w:val="clear" w:color="000000" w:fill="D9D9D9"/>
            <w:vAlign w:val="bottom"/>
            <w:hideMark/>
          </w:tcPr>
          <w:p w:rsidR="00361797" w:rsidRDefault="00361797" w:rsidP="00B50E5D">
            <w:pPr>
              <w:rPr>
                <w:rFonts w:cs="Calibri"/>
                <w:b/>
                <w:bCs/>
                <w:szCs w:val="18"/>
              </w:rPr>
            </w:pPr>
            <w:bookmarkStart w:id="392" w:name="RANGE!D30:I57"/>
            <w:bookmarkStart w:id="393" w:name="Note_AFJTABLE2" w:colFirst="0" w:colLast="0"/>
            <w:r>
              <w:rPr>
                <w:rFonts w:cs="Calibri"/>
                <w:b/>
                <w:bCs/>
                <w:szCs w:val="18"/>
              </w:rPr>
              <w:lastRenderedPageBreak/>
              <w:t>Credit quality of financial assets not past due or individually determined as impaired</w:t>
            </w:r>
            <w:bookmarkEnd w:id="392"/>
          </w:p>
        </w:tc>
      </w:tr>
      <w:tr w:rsidR="00361797" w:rsidTr="00B50E5D">
        <w:trPr>
          <w:trHeight w:val="720"/>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bookmarkStart w:id="394" w:name="RANGE!D31:D43"/>
            <w:bookmarkEnd w:id="393"/>
            <w:r>
              <w:rPr>
                <w:rFonts w:ascii="Arial" w:hAnsi="Arial" w:cs="Arial"/>
                <w:sz w:val="16"/>
                <w:szCs w:val="16"/>
              </w:rPr>
              <w:t> </w:t>
            </w:r>
            <w:bookmarkEnd w:id="394"/>
          </w:p>
        </w:tc>
        <w:tc>
          <w:tcPr>
            <w:tcW w:w="1027"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Not past due nor impaired</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Not past due nor impaired</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Past due or impaired</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Past due or impaired</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2014</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3853"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Available-for-sale</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Investments</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123,712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6,987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3853"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Loans and receivables </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Cash at bank and on hand</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558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Taxation receivables</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7,250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28,427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receivables</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1,643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20,913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25,967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16,480 </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Fair value through profit or loss (designated)</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4880" w:type="dxa"/>
            <w:gridSpan w:val="2"/>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Student Financial Supplement Scheme (</w:t>
            </w:r>
            <w:proofErr w:type="spellStart"/>
            <w:r>
              <w:rPr>
                <w:rFonts w:cs="Calibri"/>
                <w:szCs w:val="18"/>
              </w:rPr>
              <w:t>ABSTUDY</w:t>
            </w:r>
            <w:proofErr w:type="spellEnd"/>
            <w:r>
              <w:rPr>
                <w:rFonts w:cs="Calibri"/>
                <w:szCs w:val="18"/>
              </w:rPr>
              <w:t>)</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50,853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54,200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loans</w:t>
            </w:r>
          </w:p>
        </w:tc>
        <w:tc>
          <w:tcPr>
            <w:tcW w:w="1027"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11,885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13,939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3853"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w:t>
            </w:r>
          </w:p>
        </w:tc>
        <w:tc>
          <w:tcPr>
            <w:tcW w:w="1027" w:type="dxa"/>
            <w:tcBorders>
              <w:top w:val="nil"/>
              <w:left w:val="nil"/>
              <w:bottom w:val="nil"/>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195,901</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124,524</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25,967</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16,480</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8980" w:type="dxa"/>
            <w:gridSpan w:val="6"/>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Ageing of financial assets that were past due but not impaired for 2014</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0 to 30 </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31 to 60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61 to 90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90+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days</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days</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days</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days</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5"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and other receivables</w:t>
            </w:r>
          </w:p>
        </w:tc>
        <w:tc>
          <w:tcPr>
            <w:tcW w:w="1027"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3,643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234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1,786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5,663 </w:t>
            </w:r>
          </w:p>
        </w:tc>
      </w:tr>
      <w:tr w:rsidR="00361797" w:rsidTr="00B50E5D">
        <w:trPr>
          <w:trHeight w:val="255"/>
        </w:trPr>
        <w:tc>
          <w:tcPr>
            <w:tcW w:w="3853"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w:t>
            </w:r>
          </w:p>
        </w:tc>
        <w:tc>
          <w:tcPr>
            <w:tcW w:w="1027"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3,643</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234</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1,786</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5,663</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5"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8980" w:type="dxa"/>
            <w:gridSpan w:val="6"/>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Ageing of financial assets that were past due but not impaired for 2013</w:t>
            </w:r>
          </w:p>
        </w:tc>
      </w:tr>
      <w:tr w:rsidR="00361797" w:rsidTr="00B50E5D">
        <w:trPr>
          <w:trHeight w:val="255"/>
        </w:trPr>
        <w:tc>
          <w:tcPr>
            <w:tcW w:w="385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0 to 30 </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31 to 60</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61 to 90</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90+</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days</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days</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days</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days</w:t>
            </w:r>
          </w:p>
        </w:tc>
        <w:tc>
          <w:tcPr>
            <w:tcW w:w="1025"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7"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3853"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Goods and services and other receivables</w:t>
            </w:r>
          </w:p>
        </w:tc>
        <w:tc>
          <w:tcPr>
            <w:tcW w:w="1027"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357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320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507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12,691 </w:t>
            </w:r>
          </w:p>
        </w:tc>
        <w:tc>
          <w:tcPr>
            <w:tcW w:w="1025"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13,875 </w:t>
            </w:r>
          </w:p>
        </w:tc>
      </w:tr>
      <w:tr w:rsidR="00361797" w:rsidTr="00B50E5D">
        <w:trPr>
          <w:trHeight w:val="255"/>
        </w:trPr>
        <w:tc>
          <w:tcPr>
            <w:tcW w:w="3853"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w:t>
            </w:r>
          </w:p>
        </w:tc>
        <w:tc>
          <w:tcPr>
            <w:tcW w:w="1027"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357</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320</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507</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12,691</w:t>
            </w:r>
          </w:p>
        </w:tc>
        <w:tc>
          <w:tcPr>
            <w:tcW w:w="1025"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13,875</w:t>
            </w:r>
          </w:p>
        </w:tc>
      </w:tr>
    </w:tbl>
    <w:p w:rsidR="00361797" w:rsidRDefault="00361797" w:rsidP="00361797">
      <w:pPr>
        <w:spacing w:line="240" w:lineRule="auto"/>
      </w:pPr>
      <w:r>
        <w:br w:type="page"/>
      </w:r>
    </w:p>
    <w:tbl>
      <w:tblPr>
        <w:tblW w:w="9087" w:type="dxa"/>
        <w:tblInd w:w="80" w:type="dxa"/>
        <w:tblLayout w:type="fixed"/>
        <w:tblLook w:val="04A0" w:firstRow="1" w:lastRow="0" w:firstColumn="1" w:lastColumn="0" w:noHBand="0" w:noVBand="1"/>
      </w:tblPr>
      <w:tblGrid>
        <w:gridCol w:w="2875"/>
        <w:gridCol w:w="1037"/>
        <w:gridCol w:w="1035"/>
        <w:gridCol w:w="1035"/>
        <w:gridCol w:w="1035"/>
        <w:gridCol w:w="1035"/>
        <w:gridCol w:w="1035"/>
      </w:tblGrid>
      <w:tr w:rsidR="00361797" w:rsidTr="00B50E5D">
        <w:trPr>
          <w:trHeight w:val="255"/>
        </w:trPr>
        <w:tc>
          <w:tcPr>
            <w:tcW w:w="2840"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95" w:name="Note_AFLTABLE1" w:colFirst="0" w:colLast="0"/>
            <w:r>
              <w:rPr>
                <w:rFonts w:cs="Calibri"/>
                <w:b/>
                <w:bCs/>
                <w:szCs w:val="18"/>
                <w:u w:val="single"/>
              </w:rPr>
              <w:lastRenderedPageBreak/>
              <w:t xml:space="preserve">Note </w:t>
            </w:r>
            <w:proofErr w:type="spellStart"/>
            <w:r>
              <w:rPr>
                <w:rFonts w:cs="Calibri"/>
                <w:b/>
                <w:bCs/>
                <w:szCs w:val="18"/>
                <w:u w:val="single"/>
              </w:rPr>
              <w:t>26E</w:t>
            </w:r>
            <w:proofErr w:type="spellEnd"/>
            <w:r>
              <w:rPr>
                <w:rFonts w:cs="Calibri"/>
                <w:b/>
                <w:bCs/>
                <w:szCs w:val="18"/>
                <w:u w:val="single"/>
              </w:rPr>
              <w:t>: Liquidity risk</w:t>
            </w:r>
          </w:p>
        </w:tc>
        <w:tc>
          <w:tcPr>
            <w:tcW w:w="1024"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95"/>
      <w:tr w:rsidR="00361797" w:rsidTr="00B50E5D">
        <w:trPr>
          <w:trHeight w:val="270"/>
        </w:trPr>
        <w:tc>
          <w:tcPr>
            <w:tcW w:w="28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975"/>
        </w:trPr>
        <w:tc>
          <w:tcPr>
            <w:tcW w:w="8979" w:type="dxa"/>
            <w:gridSpan w:val="7"/>
            <w:tcBorders>
              <w:top w:val="single" w:sz="4" w:space="0" w:color="D9D9D9"/>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The department is exposed to minimal liquidity risk and is appropriated funding from the Australian Government.  The department manages its budgeted funds to ensure it has adequate funds to meet payments as they fall due. In addition, the department has policies in place to ensure timely payments are made when due and has no past experience of default.</w:t>
            </w:r>
          </w:p>
        </w:tc>
      </w:tr>
      <w:tr w:rsidR="00361797" w:rsidTr="00B50E5D">
        <w:trPr>
          <w:trHeight w:val="255"/>
        </w:trPr>
        <w:tc>
          <w:tcPr>
            <w:tcW w:w="28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8979" w:type="dxa"/>
            <w:gridSpan w:val="7"/>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Maturities for non-derivative financial liabilities 2014</w:t>
            </w:r>
          </w:p>
        </w:tc>
      </w:tr>
      <w:tr w:rsidR="00361797" w:rsidTr="00B50E5D">
        <w:trPr>
          <w:trHeight w:val="480"/>
        </w:trPr>
        <w:tc>
          <w:tcPr>
            <w:tcW w:w="2840"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On</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Within 1 </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Between </w:t>
            </w:r>
            <w:r>
              <w:rPr>
                <w:rFonts w:cs="Calibri"/>
                <w:b/>
                <w:bCs/>
                <w:szCs w:val="18"/>
              </w:rPr>
              <w:br/>
              <w:t>1 to 2</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Between</w:t>
            </w:r>
            <w:r>
              <w:rPr>
                <w:rFonts w:cs="Calibri"/>
                <w:b/>
                <w:bCs/>
                <w:szCs w:val="18"/>
              </w:rPr>
              <w:br/>
              <w:t xml:space="preserve"> 2 to 5</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More than 5</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demand</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year</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years</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years</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years</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Total</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2840"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Liabilities</w:t>
            </w:r>
          </w:p>
        </w:tc>
        <w:tc>
          <w:tcPr>
            <w:tcW w:w="1024"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2840"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Measured at amortised cost</w:t>
            </w:r>
          </w:p>
        </w:tc>
        <w:tc>
          <w:tcPr>
            <w:tcW w:w="1024"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2840"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59,478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59,478 </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Subsidies</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8,024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8,024 </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Grants payable</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13,799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13,799 </w:t>
            </w:r>
          </w:p>
        </w:tc>
      </w:tr>
      <w:tr w:rsidR="00361797" w:rsidTr="00B50E5D">
        <w:trPr>
          <w:trHeight w:val="255"/>
        </w:trPr>
        <w:tc>
          <w:tcPr>
            <w:tcW w:w="2840"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Total</w:t>
            </w:r>
          </w:p>
        </w:tc>
        <w:tc>
          <w:tcPr>
            <w:tcW w:w="1024"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81,301</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81,301</w:t>
            </w:r>
          </w:p>
        </w:tc>
      </w:tr>
      <w:tr w:rsidR="00361797" w:rsidTr="00B50E5D">
        <w:trPr>
          <w:trHeight w:val="255"/>
        </w:trPr>
        <w:tc>
          <w:tcPr>
            <w:tcW w:w="28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8979" w:type="dxa"/>
            <w:gridSpan w:val="7"/>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Maturities for non-derivative financial liabilities 2013</w:t>
            </w:r>
          </w:p>
        </w:tc>
      </w:tr>
      <w:tr w:rsidR="00361797" w:rsidTr="00B50E5D">
        <w:trPr>
          <w:trHeight w:val="480"/>
        </w:trPr>
        <w:tc>
          <w:tcPr>
            <w:tcW w:w="2840"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On</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Within 1</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Between</w:t>
            </w:r>
            <w:r>
              <w:rPr>
                <w:rFonts w:cs="Calibri"/>
                <w:szCs w:val="18"/>
              </w:rPr>
              <w:br/>
              <w:t>1 to 2</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Between</w:t>
            </w:r>
            <w:r>
              <w:rPr>
                <w:rFonts w:cs="Calibri"/>
                <w:szCs w:val="18"/>
              </w:rPr>
              <w:br/>
              <w:t>2 to 5</w:t>
            </w:r>
          </w:p>
        </w:tc>
        <w:tc>
          <w:tcPr>
            <w:tcW w:w="1023" w:type="dxa"/>
            <w:tcBorders>
              <w:top w:val="nil"/>
              <w:left w:val="nil"/>
              <w:bottom w:val="nil"/>
              <w:right w:val="nil"/>
            </w:tcBorders>
            <w:shd w:val="clear" w:color="000000" w:fill="D9D9D9"/>
            <w:vAlign w:val="bottom"/>
            <w:hideMark/>
          </w:tcPr>
          <w:p w:rsidR="00361797" w:rsidRDefault="00361797" w:rsidP="00B50E5D">
            <w:pPr>
              <w:jc w:val="right"/>
              <w:rPr>
                <w:rFonts w:cs="Calibri"/>
                <w:szCs w:val="18"/>
              </w:rPr>
            </w:pPr>
            <w:r>
              <w:rPr>
                <w:rFonts w:cs="Calibri"/>
                <w:szCs w:val="18"/>
              </w:rPr>
              <w:t>More than</w:t>
            </w:r>
            <w:r>
              <w:rPr>
                <w:rFonts w:cs="Calibri"/>
                <w:szCs w:val="18"/>
              </w:rPr>
              <w:br/>
              <w:t xml:space="preserve"> 5</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demand</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year</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years</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years</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years</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Total</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2840"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Financial Liabilities</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2840"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Measured at amortised cost</w:t>
            </w:r>
          </w:p>
        </w:tc>
        <w:tc>
          <w:tcPr>
            <w:tcW w:w="1024"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23"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2840"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Trade creditors</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145,279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145,279 </w:t>
            </w:r>
          </w:p>
        </w:tc>
      </w:tr>
      <w:tr w:rsidR="00361797" w:rsidTr="00B50E5D">
        <w:trPr>
          <w:trHeight w:val="255"/>
        </w:trPr>
        <w:tc>
          <w:tcPr>
            <w:tcW w:w="2840"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Subsidies</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32,349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32,349 </w:t>
            </w:r>
          </w:p>
        </w:tc>
      </w:tr>
      <w:tr w:rsidR="00361797" w:rsidTr="00B50E5D">
        <w:trPr>
          <w:trHeight w:val="255"/>
        </w:trPr>
        <w:tc>
          <w:tcPr>
            <w:tcW w:w="2840"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Grants payable</w:t>
            </w:r>
          </w:p>
        </w:tc>
        <w:tc>
          <w:tcPr>
            <w:tcW w:w="1024"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43,084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023"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43,084 </w:t>
            </w:r>
          </w:p>
        </w:tc>
      </w:tr>
      <w:tr w:rsidR="00361797" w:rsidTr="00B50E5D">
        <w:trPr>
          <w:trHeight w:val="270"/>
        </w:trPr>
        <w:tc>
          <w:tcPr>
            <w:tcW w:w="2840" w:type="dxa"/>
            <w:tcBorders>
              <w:top w:val="nil"/>
              <w:left w:val="nil"/>
              <w:bottom w:val="single" w:sz="8"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w:t>
            </w:r>
          </w:p>
        </w:tc>
        <w:tc>
          <w:tcPr>
            <w:tcW w:w="1024"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220,712</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w:t>
            </w:r>
          </w:p>
        </w:tc>
        <w:tc>
          <w:tcPr>
            <w:tcW w:w="1023"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220,712</w:t>
            </w:r>
          </w:p>
        </w:tc>
      </w:tr>
      <w:tr w:rsidR="00361797" w:rsidTr="00B50E5D">
        <w:trPr>
          <w:trHeight w:val="255"/>
        </w:trPr>
        <w:tc>
          <w:tcPr>
            <w:tcW w:w="8979" w:type="dxa"/>
            <w:gridSpan w:val="7"/>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The department has no derivative financial liabilities in both current and prior year.</w:t>
            </w:r>
          </w:p>
        </w:tc>
      </w:tr>
      <w:tr w:rsidR="00361797" w:rsidTr="00B50E5D">
        <w:trPr>
          <w:trHeight w:val="255"/>
        </w:trPr>
        <w:tc>
          <w:tcPr>
            <w:tcW w:w="28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bl>
    <w:p w:rsidR="00361797" w:rsidRDefault="00361797" w:rsidP="00361797">
      <w:pPr>
        <w:pStyle w:val="GreyShadeTableBreak"/>
      </w:pPr>
      <w:bookmarkStart w:id="396" w:name="RANGE!D7:J33"/>
      <w:bookmarkStart w:id="397" w:name="RANGE!D6:J32"/>
      <w:bookmarkEnd w:id="396"/>
      <w:bookmarkEnd w:id="397"/>
    </w:p>
    <w:tbl>
      <w:tblPr>
        <w:tblW w:w="9087" w:type="dxa"/>
        <w:tblInd w:w="80" w:type="dxa"/>
        <w:tblLayout w:type="fixed"/>
        <w:tblLook w:val="04A0" w:firstRow="1" w:lastRow="0" w:firstColumn="1" w:lastColumn="0" w:noHBand="0" w:noVBand="1"/>
      </w:tblPr>
      <w:tblGrid>
        <w:gridCol w:w="5637"/>
        <w:gridCol w:w="1150"/>
        <w:gridCol w:w="1150"/>
        <w:gridCol w:w="1150"/>
      </w:tblGrid>
      <w:tr w:rsidR="00361797" w:rsidTr="00B50E5D">
        <w:trPr>
          <w:trHeight w:val="255"/>
        </w:trPr>
        <w:tc>
          <w:tcPr>
            <w:tcW w:w="507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398" w:name="RANGE!D7:D9"/>
            <w:bookmarkStart w:id="399" w:name="Note_AFKTABLE1" w:colFirst="0" w:colLast="0"/>
            <w:r>
              <w:rPr>
                <w:rFonts w:cs="Calibri"/>
                <w:b/>
                <w:bCs/>
                <w:szCs w:val="18"/>
                <w:u w:val="single"/>
              </w:rPr>
              <w:t xml:space="preserve">Note </w:t>
            </w:r>
            <w:proofErr w:type="spellStart"/>
            <w:r>
              <w:rPr>
                <w:rFonts w:cs="Calibri"/>
                <w:b/>
                <w:bCs/>
                <w:szCs w:val="18"/>
                <w:u w:val="single"/>
              </w:rPr>
              <w:t>26F</w:t>
            </w:r>
            <w:proofErr w:type="spellEnd"/>
            <w:r>
              <w:rPr>
                <w:rFonts w:cs="Calibri"/>
                <w:b/>
                <w:bCs/>
                <w:szCs w:val="18"/>
                <w:u w:val="single"/>
              </w:rPr>
              <w:t>: Market risk</w:t>
            </w:r>
            <w:bookmarkEnd w:id="398"/>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399"/>
      <w:tr w:rsidR="00361797" w:rsidTr="00B50E5D">
        <w:trPr>
          <w:trHeight w:val="255"/>
        </w:trPr>
        <w:tc>
          <w:tcPr>
            <w:tcW w:w="50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480"/>
        </w:trPr>
        <w:tc>
          <w:tcPr>
            <w:tcW w:w="8184" w:type="dxa"/>
            <w:gridSpan w:val="4"/>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The department holds basic financial instruments that do not expose it to certain market risks including to ‘currency risk’ and ‘other price risks’.  </w:t>
            </w:r>
          </w:p>
        </w:tc>
      </w:tr>
    </w:tbl>
    <w:p w:rsidR="00361797" w:rsidRDefault="00361797" w:rsidP="00361797">
      <w:pPr>
        <w:pStyle w:val="GreyShadeTableBreak"/>
      </w:pPr>
      <w:bookmarkStart w:id="400" w:name="RANGE!D6:J27"/>
      <w:bookmarkEnd w:id="400"/>
    </w:p>
    <w:p w:rsidR="00361797" w:rsidRDefault="00361797" w:rsidP="00361797">
      <w:pPr>
        <w:pStyle w:val="GreyShadeTableBreak"/>
      </w:pPr>
      <w:bookmarkStart w:id="401" w:name="RANGE!D7:G24"/>
      <w:bookmarkEnd w:id="401"/>
    </w:p>
    <w:p w:rsidR="00361797" w:rsidRDefault="00361797" w:rsidP="00361797">
      <w:pPr>
        <w:spacing w:line="240" w:lineRule="auto"/>
        <w:sectPr w:rsidR="00361797">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5471"/>
        <w:gridCol w:w="1638"/>
        <w:gridCol w:w="340"/>
        <w:gridCol w:w="1638"/>
      </w:tblGrid>
      <w:tr w:rsidR="00361797" w:rsidTr="00B50E5D">
        <w:trPr>
          <w:trHeight w:val="255"/>
        </w:trPr>
        <w:tc>
          <w:tcPr>
            <w:tcW w:w="4196" w:type="dxa"/>
            <w:tcBorders>
              <w:top w:val="nil"/>
              <w:left w:val="nil"/>
              <w:bottom w:val="nil"/>
              <w:right w:val="nil"/>
            </w:tcBorders>
            <w:shd w:val="clear" w:color="000000" w:fill="D9D9D9"/>
            <w:noWrap/>
            <w:hideMark/>
          </w:tcPr>
          <w:p w:rsidR="00361797" w:rsidRDefault="00361797" w:rsidP="00B50E5D">
            <w:pPr>
              <w:rPr>
                <w:rFonts w:cs="Calibri"/>
                <w:b/>
                <w:bCs/>
                <w:szCs w:val="18"/>
                <w:u w:val="single"/>
              </w:rPr>
            </w:pPr>
            <w:bookmarkStart w:id="402" w:name="RANGE!D7:D20"/>
            <w:bookmarkStart w:id="403" w:name="Note_AFOTABLE1" w:colFirst="0" w:colLast="0"/>
            <w:r>
              <w:rPr>
                <w:rFonts w:cs="Calibri"/>
                <w:b/>
                <w:bCs/>
                <w:szCs w:val="18"/>
                <w:u w:val="single"/>
              </w:rPr>
              <w:lastRenderedPageBreak/>
              <w:t xml:space="preserve">Note </w:t>
            </w:r>
            <w:proofErr w:type="spellStart"/>
            <w:r>
              <w:rPr>
                <w:rFonts w:cs="Calibri"/>
                <w:b/>
                <w:bCs/>
                <w:szCs w:val="18"/>
                <w:u w:val="single"/>
              </w:rPr>
              <w:t>26G</w:t>
            </w:r>
            <w:proofErr w:type="spellEnd"/>
            <w:r>
              <w:rPr>
                <w:rFonts w:cs="Calibri"/>
                <w:b/>
                <w:bCs/>
                <w:szCs w:val="18"/>
                <w:u w:val="single"/>
              </w:rPr>
              <w:t>: Concessional loans</w:t>
            </w:r>
            <w:bookmarkEnd w:id="402"/>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bookmarkEnd w:id="403"/>
      <w:tr w:rsidR="00361797" w:rsidTr="00B50E5D">
        <w:trPr>
          <w:trHeight w:val="255"/>
        </w:trPr>
        <w:tc>
          <w:tcPr>
            <w:tcW w:w="41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1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$'000</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19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Student Financial Supplement Scheme (</w:t>
            </w:r>
            <w:proofErr w:type="spellStart"/>
            <w:r>
              <w:rPr>
                <w:rFonts w:cs="Calibri"/>
                <w:b/>
                <w:bCs/>
                <w:szCs w:val="18"/>
              </w:rPr>
              <w:t>ABSTUDY</w:t>
            </w:r>
            <w:proofErr w:type="spellEnd"/>
            <w:r>
              <w:rPr>
                <w:rFonts w:cs="Calibri"/>
                <w:b/>
                <w:bCs/>
                <w:szCs w:val="18"/>
              </w:rPr>
              <w:t>)</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403,047 </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403,047 </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Less: Unexpired discount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(13,194)</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(9,847)</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Impairment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(339,000)</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(339,000)</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50,853</w:t>
            </w:r>
          </w:p>
        </w:tc>
        <w:tc>
          <w:tcPr>
            <w:tcW w:w="261"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54,200</w:t>
            </w:r>
          </w:p>
        </w:tc>
      </w:tr>
      <w:tr w:rsidR="00361797" w:rsidTr="00B50E5D">
        <w:trPr>
          <w:trHeight w:val="255"/>
        </w:trPr>
        <w:tc>
          <w:tcPr>
            <w:tcW w:w="4196" w:type="dxa"/>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Child Care loans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11,885 </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13,939 </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Less: Unexpired discount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196" w:type="dxa"/>
            <w:tcBorders>
              <w:top w:val="nil"/>
              <w:left w:val="nil"/>
              <w:bottom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Impairment</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196" w:type="dxa"/>
            <w:tcBorders>
              <w:top w:val="nil"/>
              <w:left w:val="nil"/>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11,885</w:t>
            </w:r>
          </w:p>
        </w:tc>
        <w:tc>
          <w:tcPr>
            <w:tcW w:w="261"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13,939</w:t>
            </w:r>
          </w:p>
        </w:tc>
      </w:tr>
      <w:tr w:rsidR="00361797" w:rsidTr="00B50E5D">
        <w:trPr>
          <w:trHeight w:val="270"/>
        </w:trPr>
        <w:tc>
          <w:tcPr>
            <w:tcW w:w="4196" w:type="dxa"/>
            <w:tcBorders>
              <w:top w:val="nil"/>
              <w:left w:val="nil"/>
              <w:bottom w:val="single" w:sz="24" w:space="0" w:color="D8D8D8"/>
              <w:right w:val="nil"/>
            </w:tcBorders>
            <w:shd w:val="clear" w:color="000000" w:fill="D9D9D9"/>
            <w:noWrap/>
            <w:vAlign w:val="bottom"/>
            <w:hideMark/>
          </w:tcPr>
          <w:p w:rsidR="00361797" w:rsidRDefault="00361797" w:rsidP="00B50E5D">
            <w:pPr>
              <w:rPr>
                <w:rFonts w:cs="Calibri"/>
                <w:b/>
                <w:bCs/>
                <w:i/>
                <w:iCs/>
                <w:szCs w:val="18"/>
              </w:rPr>
            </w:pPr>
            <w:r>
              <w:rPr>
                <w:rFonts w:cs="Calibri"/>
                <w:b/>
                <w:bCs/>
                <w:i/>
                <w:iCs/>
                <w:szCs w:val="18"/>
              </w:rPr>
              <w:t>Total concessional loans</w:t>
            </w:r>
          </w:p>
        </w:tc>
        <w:tc>
          <w:tcPr>
            <w:tcW w:w="1256"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62,738</w:t>
            </w:r>
          </w:p>
        </w:tc>
        <w:tc>
          <w:tcPr>
            <w:tcW w:w="261" w:type="dxa"/>
            <w:tcBorders>
              <w:top w:val="single" w:sz="4" w:space="0" w:color="auto"/>
              <w:left w:val="nil"/>
              <w:bottom w:val="single" w:sz="24" w:space="0" w:color="D8D8D8"/>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56"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68,139</w:t>
            </w:r>
          </w:p>
        </w:tc>
      </w:tr>
    </w:tbl>
    <w:p w:rsidR="00361797" w:rsidRDefault="00361797" w:rsidP="00361797">
      <w:pPr>
        <w:pStyle w:val="GreyShadeTableBreak"/>
      </w:pPr>
      <w:bookmarkStart w:id="404" w:name="RANGE!D6:F24"/>
      <w:bookmarkStart w:id="405" w:name="RANGE!D6:F25"/>
      <w:bookmarkStart w:id="406" w:name="RANGE!D6:F22"/>
      <w:bookmarkStart w:id="407" w:name="RANGE!D6:F23"/>
      <w:bookmarkEnd w:id="404"/>
      <w:bookmarkEnd w:id="405"/>
      <w:bookmarkEnd w:id="406"/>
      <w:bookmarkEnd w:id="407"/>
    </w:p>
    <w:p w:rsidR="00361797" w:rsidRDefault="00361797" w:rsidP="00361797">
      <w:pPr>
        <w:pStyle w:val="NotesHeading-Level1GreyShade"/>
        <w:numPr>
          <w:ilvl w:val="0"/>
          <w:numId w:val="14"/>
        </w:numPr>
        <w:ind w:left="0" w:right="595" w:firstLine="0"/>
      </w:pPr>
      <w:bookmarkStart w:id="408" w:name="_Toc388962646"/>
      <w:r>
        <w:t>Administered Financial Assets Reconciliation</w:t>
      </w:r>
      <w:bookmarkEnd w:id="408"/>
      <w:r>
        <w:t xml:space="preserve"> </w:t>
      </w:r>
    </w:p>
    <w:tbl>
      <w:tblPr>
        <w:tblW w:w="9087" w:type="dxa"/>
        <w:tblInd w:w="80" w:type="dxa"/>
        <w:tblLayout w:type="fixed"/>
        <w:tblLook w:val="04A0" w:firstRow="1" w:lastRow="0" w:firstColumn="1" w:lastColumn="0" w:noHBand="0" w:noVBand="1"/>
      </w:tblPr>
      <w:tblGrid>
        <w:gridCol w:w="4936"/>
        <w:gridCol w:w="764"/>
        <w:gridCol w:w="1463"/>
        <w:gridCol w:w="461"/>
        <w:gridCol w:w="1463"/>
      </w:tblGrid>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bookmarkStart w:id="409" w:name="Note_AARTABLE1" w:colFirst="0" w:colLast="0"/>
            <w:r>
              <w:rPr>
                <w:rFonts w:ascii="Arial" w:hAnsi="Arial" w:cs="Arial"/>
                <w:sz w:val="16"/>
                <w:szCs w:val="16"/>
              </w:rPr>
              <w:t> </w:t>
            </w:r>
          </w:p>
        </w:tc>
        <w:tc>
          <w:tcPr>
            <w:tcW w:w="6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409"/>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6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40"/>
        </w:trPr>
        <w:tc>
          <w:tcPr>
            <w:tcW w:w="4236" w:type="dxa"/>
            <w:tcBorders>
              <w:top w:val="nil"/>
              <w:left w:val="nil"/>
              <w:bottom w:val="nil"/>
              <w:right w:val="nil"/>
            </w:tcBorders>
            <w:shd w:val="clear" w:color="000000" w:fill="D9D9D9"/>
            <w:noWrap/>
          </w:tcPr>
          <w:p w:rsidR="00361797" w:rsidRDefault="00361797" w:rsidP="00B50E5D">
            <w:pPr>
              <w:rPr>
                <w:rFonts w:cs="Calibri"/>
                <w:b/>
                <w:bCs/>
                <w:szCs w:val="18"/>
                <w:u w:val="single"/>
              </w:rPr>
            </w:pPr>
          </w:p>
        </w:tc>
        <w:tc>
          <w:tcPr>
            <w:tcW w:w="656" w:type="dxa"/>
            <w:tcBorders>
              <w:top w:val="nil"/>
              <w:left w:val="nil"/>
              <w:bottom w:val="nil"/>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Notes</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6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510"/>
        </w:trPr>
        <w:tc>
          <w:tcPr>
            <w:tcW w:w="4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Total financial assets as per administered schedule of assets and liabilities</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1,478,587</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1,354,878</w:t>
            </w:r>
          </w:p>
        </w:tc>
      </w:tr>
      <w:tr w:rsidR="00361797" w:rsidTr="00B50E5D">
        <w:trPr>
          <w:trHeight w:val="240"/>
        </w:trPr>
        <w:tc>
          <w:tcPr>
            <w:tcW w:w="4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Less: non-financial instrument components</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GST receivable from Australian Taxation Office</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13,308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37,781 </w:t>
            </w:r>
          </w:p>
        </w:tc>
      </w:tr>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benefits receivable (net)</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1,077,376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1,085,275 </w:t>
            </w:r>
          </w:p>
        </w:tc>
      </w:tr>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Personal benefits advances</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47,402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91,363 </w:t>
            </w:r>
          </w:p>
        </w:tc>
      </w:tr>
      <w:tr w:rsidR="00361797" w:rsidTr="00B50E5D">
        <w:trPr>
          <w:trHeight w:val="240"/>
        </w:trPr>
        <w:tc>
          <w:tcPr>
            <w:tcW w:w="423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Special account appropriations</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138,937 </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2,060 </w:t>
            </w:r>
          </w:p>
        </w:tc>
      </w:tr>
      <w:tr w:rsidR="00361797" w:rsidTr="00B50E5D">
        <w:trPr>
          <w:trHeight w:val="240"/>
        </w:trPr>
        <w:tc>
          <w:tcPr>
            <w:tcW w:w="423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Total non-financial instrument components</w:t>
            </w:r>
          </w:p>
        </w:tc>
        <w:tc>
          <w:tcPr>
            <w:tcW w:w="6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1,277,023</w:t>
            </w:r>
          </w:p>
        </w:tc>
        <w:tc>
          <w:tcPr>
            <w:tcW w:w="39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1,216,479</w:t>
            </w:r>
          </w:p>
        </w:tc>
      </w:tr>
      <w:tr w:rsidR="00361797" w:rsidTr="00B50E5D">
        <w:trPr>
          <w:trHeight w:val="540"/>
        </w:trPr>
        <w:tc>
          <w:tcPr>
            <w:tcW w:w="423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szCs w:val="18"/>
              </w:rPr>
            </w:pPr>
            <w:r>
              <w:rPr>
                <w:rFonts w:cs="Calibri"/>
                <w:b/>
                <w:bCs/>
                <w:szCs w:val="18"/>
              </w:rPr>
              <w:t>Total financial assets as per administered financial instruments note</w:t>
            </w:r>
          </w:p>
        </w:tc>
        <w:tc>
          <w:tcPr>
            <w:tcW w:w="65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szCs w:val="18"/>
              </w:rPr>
            </w:pPr>
            <w:proofErr w:type="spellStart"/>
            <w:r>
              <w:rPr>
                <w:rFonts w:cs="Calibri"/>
                <w:b/>
                <w:bCs/>
                <w:szCs w:val="18"/>
              </w:rPr>
              <w:t>26A</w:t>
            </w:r>
            <w:proofErr w:type="spellEnd"/>
          </w:p>
        </w:tc>
        <w:tc>
          <w:tcPr>
            <w:tcW w:w="1256" w:type="dxa"/>
            <w:tcBorders>
              <w:top w:val="nil"/>
              <w:left w:val="nil"/>
              <w:bottom w:val="double" w:sz="6"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201,564</w:t>
            </w:r>
          </w:p>
        </w:tc>
        <w:tc>
          <w:tcPr>
            <w:tcW w:w="396" w:type="dxa"/>
            <w:tcBorders>
              <w:top w:val="single" w:sz="4" w:space="0" w:color="D9D9D9"/>
              <w:left w:val="nil"/>
              <w:bottom w:val="single" w:sz="24" w:space="0" w:color="D8D8D8"/>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138,399</w:t>
            </w:r>
          </w:p>
        </w:tc>
      </w:tr>
    </w:tbl>
    <w:p w:rsidR="00361797" w:rsidRDefault="00361797" w:rsidP="00361797">
      <w:pPr>
        <w:spacing w:line="240" w:lineRule="auto"/>
        <w:sectPr w:rsidR="00361797">
          <w:pgSz w:w="11906" w:h="16838"/>
          <w:pgMar w:top="1134" w:right="1134" w:bottom="1134" w:left="1134" w:header="958" w:footer="737" w:gutter="0"/>
          <w:cols w:space="720"/>
        </w:sectPr>
      </w:pPr>
    </w:p>
    <w:p w:rsidR="00361797" w:rsidRDefault="00361797" w:rsidP="00361797">
      <w:pPr>
        <w:pStyle w:val="NotesHeading-Level1"/>
        <w:numPr>
          <w:ilvl w:val="0"/>
          <w:numId w:val="14"/>
        </w:numPr>
        <w:rPr>
          <w:rFonts w:cstheme="minorHAnsi"/>
        </w:rPr>
      </w:pPr>
      <w:bookmarkStart w:id="410" w:name="RANGE!D7:D18"/>
      <w:bookmarkStart w:id="411" w:name="RANGE!D7:H18"/>
      <w:bookmarkStart w:id="412" w:name="RANGE!D6:H17"/>
      <w:bookmarkStart w:id="413" w:name="_Toc388962647"/>
      <w:bookmarkEnd w:id="410"/>
      <w:bookmarkEnd w:id="411"/>
      <w:bookmarkEnd w:id="412"/>
      <w:r>
        <w:rPr>
          <w:rFonts w:cstheme="minorHAnsi"/>
        </w:rPr>
        <w:lastRenderedPageBreak/>
        <w:t>Appropriations</w:t>
      </w:r>
      <w:bookmarkEnd w:id="413"/>
    </w:p>
    <w:tbl>
      <w:tblPr>
        <w:tblW w:w="13991" w:type="dxa"/>
        <w:tblInd w:w="80" w:type="dxa"/>
        <w:tblLayout w:type="fixed"/>
        <w:tblLook w:val="04A0" w:firstRow="1" w:lastRow="0" w:firstColumn="1" w:lastColumn="0" w:noHBand="0" w:noVBand="1"/>
      </w:tblPr>
      <w:tblGrid>
        <w:gridCol w:w="3043"/>
        <w:gridCol w:w="1376"/>
        <w:gridCol w:w="1376"/>
        <w:gridCol w:w="1119"/>
        <w:gridCol w:w="1118"/>
        <w:gridCol w:w="1119"/>
        <w:gridCol w:w="1117"/>
        <w:gridCol w:w="1301"/>
        <w:gridCol w:w="1305"/>
        <w:gridCol w:w="1117"/>
      </w:tblGrid>
      <w:tr w:rsidR="00361797" w:rsidTr="00B50E5D">
        <w:trPr>
          <w:trHeight w:val="255"/>
        </w:trPr>
        <w:tc>
          <w:tcPr>
            <w:tcW w:w="5753" w:type="dxa"/>
            <w:gridSpan w:val="3"/>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14" w:name="Note_DAPTABLE1" w:colFirst="0" w:colLast="0"/>
            <w:r>
              <w:rPr>
                <w:rFonts w:cs="Calibri"/>
                <w:b/>
                <w:bCs/>
                <w:szCs w:val="18"/>
                <w:u w:val="single"/>
              </w:rPr>
              <w:t xml:space="preserve">Note </w:t>
            </w:r>
            <w:proofErr w:type="spellStart"/>
            <w:r>
              <w:rPr>
                <w:rFonts w:cs="Calibri"/>
                <w:b/>
                <w:bCs/>
                <w:szCs w:val="18"/>
                <w:u w:val="single"/>
              </w:rPr>
              <w:t>28A</w:t>
            </w:r>
            <w:proofErr w:type="spellEnd"/>
            <w:r>
              <w:rPr>
                <w:rFonts w:cs="Calibri"/>
                <w:b/>
                <w:bCs/>
                <w:szCs w:val="18"/>
                <w:u w:val="single"/>
              </w:rPr>
              <w:t>: Annual Appropriations (Recoverable GST exclusive)</w:t>
            </w:r>
          </w:p>
        </w:tc>
        <w:tc>
          <w:tcPr>
            <w:tcW w:w="1111"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1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11"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9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414"/>
      <w:tr w:rsidR="00361797" w:rsidTr="00B50E5D">
        <w:trPr>
          <w:trHeight w:val="255"/>
        </w:trPr>
        <w:tc>
          <w:tcPr>
            <w:tcW w:w="3021"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6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6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11"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10"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11"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92"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2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3021" w:type="dxa"/>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8465" w:type="dxa"/>
            <w:gridSpan w:val="7"/>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 w:val="16"/>
                <w:szCs w:val="16"/>
              </w:rPr>
            </w:pPr>
            <w:r>
              <w:rPr>
                <w:rFonts w:cs="Calibri"/>
                <w:b/>
                <w:bCs/>
                <w:sz w:val="16"/>
                <w:szCs w:val="16"/>
              </w:rPr>
              <w:t>2014 Appropriations</w:t>
            </w:r>
          </w:p>
        </w:tc>
        <w:tc>
          <w:tcPr>
            <w:tcW w:w="1296" w:type="dxa"/>
            <w:vMerge w:val="restart"/>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Appropriation applied in 2014 (current and prior years)</w:t>
            </w:r>
          </w:p>
        </w:tc>
        <w:tc>
          <w:tcPr>
            <w:tcW w:w="1109" w:type="dxa"/>
            <w:tcBorders>
              <w:top w:val="single" w:sz="4" w:space="0" w:color="auto"/>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3843" w:type="dxa"/>
            <w:gridSpan w:val="3"/>
            <w:tcBorders>
              <w:top w:val="single" w:sz="4" w:space="0" w:color="auto"/>
              <w:left w:val="nil"/>
              <w:bottom w:val="single" w:sz="4" w:space="0" w:color="auto"/>
              <w:right w:val="nil"/>
            </w:tcBorders>
            <w:shd w:val="clear" w:color="FFFFFF" w:fill="FFFFFF"/>
            <w:vAlign w:val="bottom"/>
            <w:hideMark/>
          </w:tcPr>
          <w:p w:rsidR="00361797" w:rsidRDefault="00361797" w:rsidP="00B50E5D">
            <w:pPr>
              <w:jc w:val="center"/>
              <w:rPr>
                <w:rFonts w:cs="Calibri"/>
                <w:b/>
                <w:bCs/>
                <w:i/>
                <w:iCs/>
                <w:color w:val="000000"/>
                <w:sz w:val="16"/>
                <w:szCs w:val="16"/>
              </w:rPr>
            </w:pPr>
            <w:r>
              <w:rPr>
                <w:rFonts w:cs="Calibri"/>
                <w:b/>
                <w:bCs/>
                <w:i/>
                <w:iCs/>
                <w:color w:val="000000"/>
                <w:sz w:val="16"/>
                <w:szCs w:val="16"/>
              </w:rPr>
              <w:t>Appropriation Act</w:t>
            </w:r>
          </w:p>
        </w:tc>
        <w:tc>
          <w:tcPr>
            <w:tcW w:w="3330" w:type="dxa"/>
            <w:gridSpan w:val="3"/>
            <w:tcBorders>
              <w:top w:val="single" w:sz="4" w:space="0" w:color="auto"/>
              <w:left w:val="single" w:sz="4" w:space="0" w:color="auto"/>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i/>
                <w:iCs/>
                <w:color w:val="000000"/>
                <w:sz w:val="16"/>
                <w:szCs w:val="16"/>
              </w:rPr>
            </w:pPr>
            <w:proofErr w:type="spellStart"/>
            <w:r>
              <w:rPr>
                <w:rFonts w:cs="Calibri"/>
                <w:b/>
                <w:bCs/>
                <w:i/>
                <w:iCs/>
                <w:color w:val="000000"/>
                <w:sz w:val="16"/>
                <w:szCs w:val="16"/>
              </w:rPr>
              <w:t>FMA</w:t>
            </w:r>
            <w:proofErr w:type="spellEnd"/>
            <w:r>
              <w:rPr>
                <w:rFonts w:cs="Calibri"/>
                <w:b/>
                <w:bCs/>
                <w:i/>
                <w:iCs/>
                <w:color w:val="000000"/>
                <w:sz w:val="16"/>
                <w:szCs w:val="16"/>
              </w:rPr>
              <w:t xml:space="preserve"> Act</w:t>
            </w:r>
          </w:p>
        </w:tc>
        <w:tc>
          <w:tcPr>
            <w:tcW w:w="1292"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Total appropriation</w:t>
            </w:r>
          </w:p>
        </w:tc>
        <w:tc>
          <w:tcPr>
            <w:tcW w:w="1296"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w:t>
            </w:r>
          </w:p>
        </w:tc>
      </w:tr>
      <w:tr w:rsidR="00361797" w:rsidTr="00B50E5D">
        <w:trPr>
          <w:trHeight w:val="450"/>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66"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Annual Appropriation</w:t>
            </w:r>
          </w:p>
        </w:tc>
        <w:tc>
          <w:tcPr>
            <w:tcW w:w="1366"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xml:space="preserve">Appropriations </w:t>
            </w:r>
            <w:proofErr w:type="spellStart"/>
            <w:r>
              <w:rPr>
                <w:rFonts w:cs="Calibri"/>
                <w:b/>
                <w:bCs/>
                <w:sz w:val="16"/>
                <w:szCs w:val="16"/>
              </w:rPr>
              <w:t>reduced</w:t>
            </w:r>
            <w:r>
              <w:rPr>
                <w:rFonts w:ascii="Arial" w:hAnsi="Arial" w:cs="Arial"/>
                <w:b/>
                <w:bCs/>
                <w:sz w:val="16"/>
                <w:szCs w:val="16"/>
                <w:vertAlign w:val="superscript"/>
              </w:rPr>
              <w:t>1</w:t>
            </w:r>
            <w:proofErr w:type="spellEnd"/>
          </w:p>
        </w:tc>
        <w:tc>
          <w:tcPr>
            <w:tcW w:w="1111"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proofErr w:type="spellStart"/>
            <w:r>
              <w:rPr>
                <w:rFonts w:cs="Calibri"/>
                <w:b/>
                <w:bCs/>
                <w:sz w:val="16"/>
                <w:szCs w:val="16"/>
              </w:rPr>
              <w:t>AFM</w:t>
            </w:r>
            <w:r>
              <w:rPr>
                <w:rFonts w:ascii="Arial" w:hAnsi="Arial" w:cs="Arial"/>
                <w:b/>
                <w:bCs/>
                <w:sz w:val="16"/>
                <w:szCs w:val="16"/>
                <w:vertAlign w:val="superscript"/>
              </w:rPr>
              <w:t>2</w:t>
            </w:r>
            <w:proofErr w:type="spellEnd"/>
          </w:p>
        </w:tc>
        <w:tc>
          <w:tcPr>
            <w:tcW w:w="1110" w:type="dxa"/>
            <w:tcBorders>
              <w:top w:val="nil"/>
              <w:left w:val="single" w:sz="4" w:space="0" w:color="auto"/>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30</w:t>
            </w:r>
          </w:p>
        </w:tc>
        <w:tc>
          <w:tcPr>
            <w:tcW w:w="1111"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31</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32</w:t>
            </w:r>
          </w:p>
        </w:tc>
        <w:tc>
          <w:tcPr>
            <w:tcW w:w="1292"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296"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Variance</w:t>
            </w:r>
          </w:p>
        </w:tc>
      </w:tr>
      <w:tr w:rsidR="00361797" w:rsidTr="00B50E5D">
        <w:trPr>
          <w:trHeight w:val="255"/>
        </w:trPr>
        <w:tc>
          <w:tcPr>
            <w:tcW w:w="3021"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6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6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11"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1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11"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09"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292"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29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09"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DEPARTMENTAL</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Ordinary annual services</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612,484 </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w:t>
            </w:r>
          </w:p>
        </w:tc>
        <w:tc>
          <w:tcPr>
            <w:tcW w:w="1111"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6,771 </w:t>
            </w:r>
          </w:p>
        </w:tc>
        <w:tc>
          <w:tcPr>
            <w:tcW w:w="110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(220,000)</w:t>
            </w:r>
          </w:p>
        </w:tc>
        <w:tc>
          <w:tcPr>
            <w:tcW w:w="1292"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399,255 </w:t>
            </w:r>
          </w:p>
        </w:tc>
        <w:tc>
          <w:tcPr>
            <w:tcW w:w="1296"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168,655 </w:t>
            </w:r>
          </w:p>
        </w:tc>
        <w:tc>
          <w:tcPr>
            <w:tcW w:w="110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230,600 </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Other services</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111" w:type="dxa"/>
            <w:tcBorders>
              <w:top w:val="nil"/>
              <w:left w:val="nil"/>
              <w:bottom w:val="nil"/>
              <w:right w:val="single" w:sz="4" w:space="0" w:color="auto"/>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110" w:type="dxa"/>
            <w:tcBorders>
              <w:top w:val="nil"/>
              <w:left w:val="nil"/>
              <w:bottom w:val="nil"/>
              <w:right w:val="nil"/>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111" w:type="dxa"/>
            <w:tcBorders>
              <w:top w:val="nil"/>
              <w:left w:val="nil"/>
              <w:bottom w:val="nil"/>
              <w:right w:val="nil"/>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109" w:type="dxa"/>
            <w:tcBorders>
              <w:top w:val="nil"/>
              <w:left w:val="nil"/>
              <w:right w:val="single" w:sz="4" w:space="0" w:color="auto"/>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292" w:type="dxa"/>
            <w:tcBorders>
              <w:top w:val="nil"/>
              <w:left w:val="nil"/>
              <w:right w:val="single" w:sz="4" w:space="0" w:color="auto"/>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296" w:type="dxa"/>
            <w:tcBorders>
              <w:top w:val="nil"/>
              <w:left w:val="nil"/>
              <w:right w:val="single" w:sz="4" w:space="0" w:color="auto"/>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c>
          <w:tcPr>
            <w:tcW w:w="1109" w:type="dxa"/>
            <w:tcBorders>
              <w:top w:val="nil"/>
              <w:left w:val="nil"/>
              <w:right w:val="single" w:sz="4" w:space="0" w:color="auto"/>
            </w:tcBorders>
            <w:shd w:val="clear" w:color="FFFFFF" w:fill="FFFFFF"/>
            <w:vAlign w:val="bottom"/>
            <w:hideMark/>
          </w:tcPr>
          <w:p w:rsidR="00361797" w:rsidRDefault="00361797" w:rsidP="00B50E5D">
            <w:pPr>
              <w:rPr>
                <w:rFonts w:cs="Calibri"/>
                <w:b/>
                <w:bCs/>
                <w:sz w:val="16"/>
                <w:szCs w:val="16"/>
              </w:rPr>
            </w:pPr>
            <w:r>
              <w:rPr>
                <w:rFonts w:cs="Calibri"/>
                <w:b/>
                <w:bCs/>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Equity</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2,672 </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09"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292"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2,672 </w:t>
            </w:r>
          </w:p>
        </w:tc>
        <w:tc>
          <w:tcPr>
            <w:tcW w:w="12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09"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2,672 </w:t>
            </w:r>
          </w:p>
        </w:tc>
      </w:tr>
      <w:tr w:rsidR="00361797" w:rsidTr="00B50E5D">
        <w:trPr>
          <w:trHeight w:val="255"/>
        </w:trPr>
        <w:tc>
          <w:tcPr>
            <w:tcW w:w="3021"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Total departmental</w:t>
            </w:r>
          </w:p>
        </w:tc>
        <w:tc>
          <w:tcPr>
            <w:tcW w:w="136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615,156</w:t>
            </w:r>
          </w:p>
        </w:tc>
        <w:tc>
          <w:tcPr>
            <w:tcW w:w="136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w:t>
            </w:r>
          </w:p>
        </w:tc>
        <w:tc>
          <w:tcPr>
            <w:tcW w:w="1111"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w:t>
            </w:r>
          </w:p>
        </w:tc>
        <w:tc>
          <w:tcPr>
            <w:tcW w:w="111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w:t>
            </w:r>
          </w:p>
        </w:tc>
        <w:tc>
          <w:tcPr>
            <w:tcW w:w="1111"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6,771</w:t>
            </w:r>
          </w:p>
        </w:tc>
        <w:tc>
          <w:tcPr>
            <w:tcW w:w="1109"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(220,000)</w:t>
            </w:r>
          </w:p>
        </w:tc>
        <w:tc>
          <w:tcPr>
            <w:tcW w:w="1292"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401,927</w:t>
            </w:r>
          </w:p>
        </w:tc>
        <w:tc>
          <w:tcPr>
            <w:tcW w:w="1296"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168,655</w:t>
            </w:r>
          </w:p>
        </w:tc>
        <w:tc>
          <w:tcPr>
            <w:tcW w:w="1109"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233,272</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rPr>
                <w:rFonts w:cs="Calibri"/>
                <w:b/>
                <w:bCs/>
                <w:sz w:val="16"/>
                <w:szCs w:val="16"/>
              </w:rPr>
            </w:pPr>
            <w:r>
              <w:rPr>
                <w:rFonts w:cs="Calibri"/>
                <w:b/>
                <w:bCs/>
                <w:sz w:val="16"/>
                <w:szCs w:val="16"/>
              </w:rPr>
              <w:t>ADMINISTERED</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100" w:firstLine="161"/>
              <w:rPr>
                <w:rFonts w:cs="Calibri"/>
                <w:b/>
                <w:bCs/>
                <w:sz w:val="16"/>
                <w:szCs w:val="16"/>
              </w:rPr>
            </w:pPr>
            <w:r>
              <w:rPr>
                <w:rFonts w:cs="Calibri"/>
                <w:b/>
                <w:bCs/>
                <w:sz w:val="16"/>
                <w:szCs w:val="16"/>
              </w:rPr>
              <w:t>Ordinary annual services</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Administered items</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3,353,627 </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(869)</w:t>
            </w:r>
          </w:p>
        </w:tc>
        <w:tc>
          <w:tcPr>
            <w:tcW w:w="1111"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7,693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(649,000)</w:t>
            </w:r>
          </w:p>
        </w:tc>
        <w:tc>
          <w:tcPr>
            <w:tcW w:w="1292"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2,711,451 </w:t>
            </w:r>
          </w:p>
        </w:tc>
        <w:tc>
          <w:tcPr>
            <w:tcW w:w="1296"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768,893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1,942,558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Payments to CAC Act bodies</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6,291 </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292"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6,291 </w:t>
            </w:r>
          </w:p>
        </w:tc>
        <w:tc>
          <w:tcPr>
            <w:tcW w:w="1296"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6,291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100" w:firstLine="161"/>
              <w:rPr>
                <w:rFonts w:cs="Calibri"/>
                <w:b/>
                <w:bCs/>
                <w:sz w:val="16"/>
                <w:szCs w:val="16"/>
              </w:rPr>
            </w:pPr>
            <w:r>
              <w:rPr>
                <w:rFonts w:cs="Calibri"/>
                <w:b/>
                <w:bCs/>
                <w:sz w:val="16"/>
                <w:szCs w:val="16"/>
              </w:rPr>
              <w:t>Other services</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States, ACT, NT and Local government</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54,216 </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0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(11,000)</w:t>
            </w:r>
          </w:p>
        </w:tc>
        <w:tc>
          <w:tcPr>
            <w:tcW w:w="1292"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43,216 </w:t>
            </w:r>
          </w:p>
        </w:tc>
        <w:tc>
          <w:tcPr>
            <w:tcW w:w="1296"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9,917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33,299 </w:t>
            </w:r>
          </w:p>
        </w:tc>
      </w:tr>
      <w:tr w:rsidR="00361797" w:rsidTr="00B50E5D">
        <w:trPr>
          <w:trHeight w:val="255"/>
        </w:trPr>
        <w:tc>
          <w:tcPr>
            <w:tcW w:w="3021"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61797" w:rsidRDefault="00361797" w:rsidP="00B50E5D">
            <w:pPr>
              <w:rPr>
                <w:rFonts w:cs="Calibri"/>
                <w:b/>
                <w:bCs/>
                <w:sz w:val="16"/>
                <w:szCs w:val="16"/>
              </w:rPr>
            </w:pPr>
            <w:r>
              <w:rPr>
                <w:rFonts w:cs="Calibri"/>
                <w:b/>
                <w:bCs/>
                <w:sz w:val="16"/>
                <w:szCs w:val="16"/>
              </w:rPr>
              <w:t>Total administered</w:t>
            </w:r>
          </w:p>
        </w:tc>
        <w:tc>
          <w:tcPr>
            <w:tcW w:w="136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3,414,134</w:t>
            </w:r>
          </w:p>
        </w:tc>
        <w:tc>
          <w:tcPr>
            <w:tcW w:w="136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(869)</w:t>
            </w:r>
          </w:p>
        </w:tc>
        <w:tc>
          <w:tcPr>
            <w:tcW w:w="1111"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w:t>
            </w:r>
          </w:p>
        </w:tc>
        <w:tc>
          <w:tcPr>
            <w:tcW w:w="1110"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7,693</w:t>
            </w:r>
          </w:p>
        </w:tc>
        <w:tc>
          <w:tcPr>
            <w:tcW w:w="1111"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w:t>
            </w:r>
          </w:p>
        </w:tc>
        <w:tc>
          <w:tcPr>
            <w:tcW w:w="1109"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(660,000)</w:t>
            </w:r>
          </w:p>
        </w:tc>
        <w:tc>
          <w:tcPr>
            <w:tcW w:w="12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2,760,958</w:t>
            </w:r>
          </w:p>
        </w:tc>
        <w:tc>
          <w:tcPr>
            <w:tcW w:w="1296"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785,101</w:t>
            </w:r>
          </w:p>
        </w:tc>
        <w:tc>
          <w:tcPr>
            <w:tcW w:w="1109"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1,975,857</w:t>
            </w:r>
          </w:p>
        </w:tc>
      </w:tr>
    </w:tbl>
    <w:p w:rsidR="00361797" w:rsidRDefault="00361797" w:rsidP="00361797">
      <w:pPr>
        <w:pStyle w:val="NotesText0"/>
        <w:spacing w:before="0" w:after="0" w:line="260" w:lineRule="atLeast"/>
      </w:pPr>
      <w:bookmarkStart w:id="415" w:name="RANGE!D7:M28"/>
      <w:bookmarkStart w:id="416" w:name="RANGE!D7:M29"/>
      <w:bookmarkEnd w:id="415"/>
      <w:bookmarkEnd w:id="416"/>
      <w:r>
        <w:t>Notes</w:t>
      </w:r>
      <w:proofErr w:type="gramStart"/>
      <w:r>
        <w:t>:</w:t>
      </w:r>
      <w:proofErr w:type="gramEnd"/>
      <w:r>
        <w:br/>
      </w:r>
      <w:r w:rsidRPr="00CA4344">
        <w:rPr>
          <w:vertAlign w:val="superscript"/>
        </w:rPr>
        <w:t>1</w:t>
      </w:r>
      <w:r>
        <w:t xml:space="preserve"> Appropriations reduced under Appropriation Acts (No. 1, 3 &amp; 5) 2013–14: sections 10,11 and 12 and under Appropriation Acts (No. 2, 4 &amp; 6) 2013–14: sections 12, 13 and 14. Departmental appropriations do not lapse at financial year end.  However, the responsible Minister may decide that part or all of a departmental appropriation is not required and request the Finance Minister to reduce that appropriation. The reduction in the appropriation is effected by the Finance Minister’s determination and is disallowable by Parliament. In 2013–14 there was no reduction in non–operating departmental appropriations. </w:t>
      </w:r>
    </w:p>
    <w:p w:rsidR="00361797" w:rsidRDefault="00361797" w:rsidP="00361797">
      <w:pPr>
        <w:pStyle w:val="NotesText0"/>
        <w:spacing w:before="0" w:after="0" w:line="260" w:lineRule="atLeast"/>
      </w:pPr>
      <w:r>
        <w:t xml:space="preserve">As with departmental appropriations, the responsible Minister may decide that part or all of an administered appropriation is not required and request that the Finance Minister reduce that appropriation.  For administered appropriations reduced under section 11 of the Appropriations Acts (Nos 1, 3 &amp; 5) 2013–14 and section 12 of Appropriation Acts (No. 2, 4 &amp; 6) 2013–14, the appropriation is taken to be reduced to the required amount specified in Note </w:t>
      </w:r>
      <w:proofErr w:type="spellStart"/>
      <w:r>
        <w:t>28F</w:t>
      </w:r>
      <w:proofErr w:type="spellEnd"/>
      <w:r>
        <w:t xml:space="preserve"> of this note once the annual report is tabled in Parliament.  All administered appropriations may be adjusted by a Finance Minister’s determination which is disallowable by Parliament.  </w:t>
      </w:r>
    </w:p>
    <w:p w:rsidR="00361797" w:rsidRDefault="00361797" w:rsidP="00361797">
      <w:pPr>
        <w:pStyle w:val="NotesText0"/>
        <w:spacing w:before="0" w:after="0" w:line="260" w:lineRule="atLeast"/>
      </w:pPr>
      <w:r w:rsidRPr="00CA4344">
        <w:rPr>
          <w:vertAlign w:val="superscript"/>
        </w:rPr>
        <w:t>2</w:t>
      </w:r>
      <w:r>
        <w:t xml:space="preserve"> Advance to the Finance Minister (</w:t>
      </w:r>
      <w:proofErr w:type="spellStart"/>
      <w:r>
        <w:t>AFM</w:t>
      </w:r>
      <w:proofErr w:type="spellEnd"/>
      <w:r>
        <w:t>) – Appropriation Acts (No. 1, 3 &amp; 5) 2013-14: section 13 and Appropriation Acts (No. 2, 4 &amp; 6) 2013–14: section 15.</w:t>
      </w:r>
    </w:p>
    <w:p w:rsidR="00361797" w:rsidRDefault="00361797" w:rsidP="00361797">
      <w:pPr>
        <w:pStyle w:val="NotesText0"/>
        <w:spacing w:before="0" w:after="0" w:line="260" w:lineRule="atLeast"/>
      </w:pPr>
      <w:r w:rsidRPr="00CA4344">
        <w:rPr>
          <w:vertAlign w:val="superscript"/>
        </w:rPr>
        <w:t>3</w:t>
      </w:r>
      <w:r>
        <w:t xml:space="preserve"> In 2013–14, there was no adjustment that met the recognition criteria of a formal reduction in revenue (in accordance with </w:t>
      </w:r>
      <w:proofErr w:type="spellStart"/>
      <w:r>
        <w:t>FMO</w:t>
      </w:r>
      <w:proofErr w:type="spellEnd"/>
      <w:r>
        <w:t xml:space="preserve"> </w:t>
      </w:r>
      <w:proofErr w:type="spellStart"/>
      <w:r>
        <w:t>Div</w:t>
      </w:r>
      <w:proofErr w:type="spellEnd"/>
      <w:r>
        <w:t xml:space="preserve"> 101) but at law the appropriations had not been amended before the end of the reporting period.</w:t>
      </w:r>
    </w:p>
    <w:p w:rsidR="00361797" w:rsidRDefault="00361797" w:rsidP="00361797">
      <w:pPr>
        <w:pStyle w:val="NotesText0"/>
        <w:spacing w:before="0" w:after="0" w:line="260" w:lineRule="atLeast"/>
      </w:pPr>
      <w:r w:rsidRPr="00CA4344">
        <w:rPr>
          <w:vertAlign w:val="superscript"/>
        </w:rPr>
        <w:lastRenderedPageBreak/>
        <w:t>4</w:t>
      </w:r>
      <w:r>
        <w:t xml:space="preserve"> Administered and departmental variances represent unspent appropriations that were transferred to those agencies receiving the functions from the department following the Administrative Arrangement Orders and the movement in creditor balances as the 2012–13 liabilities were paid.  </w:t>
      </w:r>
    </w:p>
    <w:p w:rsidR="00361797" w:rsidRDefault="00361797" w:rsidP="00361797">
      <w:pPr>
        <w:pStyle w:val="NotesText0"/>
      </w:pPr>
    </w:p>
    <w:p w:rsidR="00361797" w:rsidRDefault="00361797" w:rsidP="00361797">
      <w:pPr>
        <w:pStyle w:val="NotesText0"/>
      </w:pPr>
    </w:p>
    <w:tbl>
      <w:tblPr>
        <w:tblW w:w="13991" w:type="dxa"/>
        <w:tblInd w:w="80" w:type="dxa"/>
        <w:tblLayout w:type="fixed"/>
        <w:tblLook w:val="04A0" w:firstRow="1" w:lastRow="0" w:firstColumn="1" w:lastColumn="0" w:noHBand="0" w:noVBand="1"/>
      </w:tblPr>
      <w:tblGrid>
        <w:gridCol w:w="3043"/>
        <w:gridCol w:w="1376"/>
        <w:gridCol w:w="1376"/>
        <w:gridCol w:w="1119"/>
        <w:gridCol w:w="1118"/>
        <w:gridCol w:w="1119"/>
        <w:gridCol w:w="1117"/>
        <w:gridCol w:w="1301"/>
        <w:gridCol w:w="1305"/>
        <w:gridCol w:w="1117"/>
      </w:tblGrid>
      <w:tr w:rsidR="00361797" w:rsidTr="00B50E5D">
        <w:trPr>
          <w:trHeight w:val="255"/>
        </w:trPr>
        <w:tc>
          <w:tcPr>
            <w:tcW w:w="3021" w:type="dxa"/>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bookmarkStart w:id="417" w:name="Note_DAPTABLE2" w:colFirst="0" w:colLast="0"/>
            <w:r>
              <w:rPr>
                <w:rFonts w:cs="Calibri"/>
                <w:b/>
                <w:bCs/>
                <w:color w:val="000000"/>
                <w:sz w:val="16"/>
                <w:szCs w:val="16"/>
              </w:rPr>
              <w:t> </w:t>
            </w:r>
          </w:p>
        </w:tc>
        <w:tc>
          <w:tcPr>
            <w:tcW w:w="8465" w:type="dxa"/>
            <w:gridSpan w:val="7"/>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 w:val="16"/>
                <w:szCs w:val="16"/>
              </w:rPr>
            </w:pPr>
            <w:r>
              <w:rPr>
                <w:rFonts w:cs="Calibri"/>
                <w:b/>
                <w:bCs/>
                <w:sz w:val="16"/>
                <w:szCs w:val="16"/>
              </w:rPr>
              <w:t>2013 Appropriations</w:t>
            </w:r>
          </w:p>
        </w:tc>
        <w:tc>
          <w:tcPr>
            <w:tcW w:w="1296" w:type="dxa"/>
            <w:vMerge w:val="restart"/>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Appropriation applied in 2013 (current and prior years)</w:t>
            </w:r>
          </w:p>
        </w:tc>
        <w:tc>
          <w:tcPr>
            <w:tcW w:w="1109" w:type="dxa"/>
            <w:vMerge w:val="restart"/>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Variance</w:t>
            </w:r>
          </w:p>
        </w:tc>
      </w:tr>
      <w:bookmarkEnd w:id="417"/>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3843" w:type="dxa"/>
            <w:gridSpan w:val="3"/>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i/>
                <w:iCs/>
                <w:color w:val="000000"/>
                <w:sz w:val="16"/>
                <w:szCs w:val="16"/>
              </w:rPr>
            </w:pPr>
            <w:r>
              <w:rPr>
                <w:rFonts w:cs="Calibri"/>
                <w:b/>
                <w:bCs/>
                <w:i/>
                <w:iCs/>
                <w:color w:val="000000"/>
                <w:sz w:val="16"/>
                <w:szCs w:val="16"/>
              </w:rPr>
              <w:t>Appropriation Act</w:t>
            </w:r>
          </w:p>
        </w:tc>
        <w:tc>
          <w:tcPr>
            <w:tcW w:w="3330" w:type="dxa"/>
            <w:gridSpan w:val="3"/>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i/>
                <w:iCs/>
                <w:color w:val="000000"/>
                <w:sz w:val="16"/>
                <w:szCs w:val="16"/>
              </w:rPr>
            </w:pPr>
            <w:proofErr w:type="spellStart"/>
            <w:r>
              <w:rPr>
                <w:rFonts w:cs="Calibri"/>
                <w:b/>
                <w:bCs/>
                <w:i/>
                <w:iCs/>
                <w:color w:val="000000"/>
                <w:sz w:val="16"/>
                <w:szCs w:val="16"/>
              </w:rPr>
              <w:t>FMA</w:t>
            </w:r>
            <w:proofErr w:type="spellEnd"/>
            <w:r>
              <w:rPr>
                <w:rFonts w:cs="Calibri"/>
                <w:b/>
                <w:bCs/>
                <w:i/>
                <w:iCs/>
                <w:color w:val="000000"/>
                <w:sz w:val="16"/>
                <w:szCs w:val="16"/>
              </w:rPr>
              <w:t xml:space="preserve"> Act</w:t>
            </w:r>
          </w:p>
        </w:tc>
        <w:tc>
          <w:tcPr>
            <w:tcW w:w="1292"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Total appropriation</w:t>
            </w:r>
          </w:p>
        </w:tc>
        <w:tc>
          <w:tcPr>
            <w:tcW w:w="1296"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09"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r>
      <w:tr w:rsidR="00361797" w:rsidTr="00B50E5D">
        <w:trPr>
          <w:trHeight w:val="61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66"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Annual Appropriation</w:t>
            </w:r>
          </w:p>
        </w:tc>
        <w:tc>
          <w:tcPr>
            <w:tcW w:w="1366"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xml:space="preserve">Appropriations </w:t>
            </w:r>
            <w:proofErr w:type="spellStart"/>
            <w:r>
              <w:rPr>
                <w:rFonts w:cs="Calibri"/>
                <w:b/>
                <w:bCs/>
                <w:sz w:val="16"/>
                <w:szCs w:val="16"/>
              </w:rPr>
              <w:t>reduced</w:t>
            </w:r>
            <w:r>
              <w:rPr>
                <w:rFonts w:ascii="Arial" w:hAnsi="Arial" w:cs="Arial"/>
                <w:b/>
                <w:bCs/>
                <w:sz w:val="16"/>
                <w:szCs w:val="16"/>
                <w:vertAlign w:val="superscript"/>
              </w:rPr>
              <w:t>1</w:t>
            </w:r>
            <w:proofErr w:type="spellEnd"/>
          </w:p>
        </w:tc>
        <w:tc>
          <w:tcPr>
            <w:tcW w:w="1111"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proofErr w:type="spellStart"/>
            <w:r>
              <w:rPr>
                <w:rFonts w:cs="Calibri"/>
                <w:b/>
                <w:bCs/>
                <w:sz w:val="16"/>
                <w:szCs w:val="16"/>
              </w:rPr>
              <w:t>AFM</w:t>
            </w:r>
            <w:r>
              <w:rPr>
                <w:rFonts w:ascii="Arial" w:hAnsi="Arial" w:cs="Arial"/>
                <w:b/>
                <w:bCs/>
                <w:sz w:val="16"/>
                <w:szCs w:val="16"/>
                <w:vertAlign w:val="superscript"/>
              </w:rPr>
              <w:t>2</w:t>
            </w:r>
            <w:proofErr w:type="spellEnd"/>
          </w:p>
        </w:tc>
        <w:tc>
          <w:tcPr>
            <w:tcW w:w="1110" w:type="dxa"/>
            <w:tcBorders>
              <w:top w:val="nil"/>
              <w:left w:val="single" w:sz="4" w:space="0" w:color="auto"/>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30</w:t>
            </w:r>
          </w:p>
        </w:tc>
        <w:tc>
          <w:tcPr>
            <w:tcW w:w="1111"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31</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32</w:t>
            </w:r>
          </w:p>
        </w:tc>
        <w:tc>
          <w:tcPr>
            <w:tcW w:w="1292"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296"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09"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r>
      <w:tr w:rsidR="00361797" w:rsidTr="00B50E5D">
        <w:trPr>
          <w:trHeight w:val="255"/>
        </w:trPr>
        <w:tc>
          <w:tcPr>
            <w:tcW w:w="3021"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6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66"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11"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1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11"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09"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292"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29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09"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DEPARTMENTAL</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nil"/>
              <w:bottom w:val="nil"/>
              <w:right w:val="nil"/>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296"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Ordinary annual services</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616,120 </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(1,263)</w:t>
            </w:r>
          </w:p>
        </w:tc>
        <w:tc>
          <w:tcPr>
            <w:tcW w:w="1111"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0"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1"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33,827 </w:t>
            </w:r>
          </w:p>
        </w:tc>
        <w:tc>
          <w:tcPr>
            <w:tcW w:w="110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(5,882)</w:t>
            </w:r>
          </w:p>
        </w:tc>
        <w:tc>
          <w:tcPr>
            <w:tcW w:w="1292"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642,802 </w:t>
            </w:r>
          </w:p>
        </w:tc>
        <w:tc>
          <w:tcPr>
            <w:tcW w:w="1296"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647,629 </w:t>
            </w:r>
          </w:p>
        </w:tc>
        <w:tc>
          <w:tcPr>
            <w:tcW w:w="110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(4,827)</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Other services</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Equity</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6,520 </w:t>
            </w:r>
          </w:p>
        </w:tc>
        <w:tc>
          <w:tcPr>
            <w:tcW w:w="1366"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1"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0"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1"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0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(913)</w:t>
            </w:r>
          </w:p>
        </w:tc>
        <w:tc>
          <w:tcPr>
            <w:tcW w:w="1292"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5,607 </w:t>
            </w:r>
          </w:p>
        </w:tc>
        <w:tc>
          <w:tcPr>
            <w:tcW w:w="1296"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5,607 </w:t>
            </w:r>
          </w:p>
        </w:tc>
        <w:tc>
          <w:tcPr>
            <w:tcW w:w="110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3021"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Total departmental</w:t>
            </w:r>
          </w:p>
        </w:tc>
        <w:tc>
          <w:tcPr>
            <w:tcW w:w="136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622,640</w:t>
            </w:r>
          </w:p>
        </w:tc>
        <w:tc>
          <w:tcPr>
            <w:tcW w:w="1366"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(1,263)</w:t>
            </w:r>
          </w:p>
        </w:tc>
        <w:tc>
          <w:tcPr>
            <w:tcW w:w="1111"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w:t>
            </w:r>
          </w:p>
        </w:tc>
        <w:tc>
          <w:tcPr>
            <w:tcW w:w="1110"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w:t>
            </w:r>
          </w:p>
        </w:tc>
        <w:tc>
          <w:tcPr>
            <w:tcW w:w="1111" w:type="dxa"/>
            <w:tcBorders>
              <w:top w:val="single" w:sz="4" w:space="0" w:color="auto"/>
              <w:left w:val="nil"/>
              <w:bottom w:val="single" w:sz="4" w:space="0" w:color="auto"/>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33,827</w:t>
            </w:r>
          </w:p>
        </w:tc>
        <w:tc>
          <w:tcPr>
            <w:tcW w:w="1109"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(6,795)</w:t>
            </w:r>
          </w:p>
        </w:tc>
        <w:tc>
          <w:tcPr>
            <w:tcW w:w="1292"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648,409</w:t>
            </w:r>
          </w:p>
        </w:tc>
        <w:tc>
          <w:tcPr>
            <w:tcW w:w="1296"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653,236</w:t>
            </w:r>
          </w:p>
        </w:tc>
        <w:tc>
          <w:tcPr>
            <w:tcW w:w="1109" w:type="dxa"/>
            <w:tcBorders>
              <w:top w:val="single" w:sz="4" w:space="0" w:color="auto"/>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(4,827)</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rPr>
                <w:rFonts w:cs="Calibri"/>
                <w:b/>
                <w:bCs/>
                <w:sz w:val="16"/>
                <w:szCs w:val="16"/>
              </w:rPr>
            </w:pPr>
            <w:r>
              <w:rPr>
                <w:rFonts w:cs="Calibri"/>
                <w:b/>
                <w:bCs/>
                <w:sz w:val="16"/>
                <w:szCs w:val="16"/>
              </w:rPr>
              <w:t>ADMINISTERED</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single" w:sz="4" w:space="0" w:color="auto"/>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100" w:firstLine="161"/>
              <w:rPr>
                <w:rFonts w:cs="Calibri"/>
                <w:b/>
                <w:bCs/>
                <w:sz w:val="16"/>
                <w:szCs w:val="16"/>
              </w:rPr>
            </w:pPr>
            <w:r>
              <w:rPr>
                <w:rFonts w:cs="Calibri"/>
                <w:b/>
                <w:bCs/>
                <w:sz w:val="16"/>
                <w:szCs w:val="16"/>
              </w:rPr>
              <w:t>Ordinary annual services</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single" w:sz="4" w:space="0" w:color="auto"/>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Administered items</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3,862,226 </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(569,093)</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24,117 </w:t>
            </w:r>
          </w:p>
        </w:tc>
        <w:tc>
          <w:tcPr>
            <w:tcW w:w="1110" w:type="dxa"/>
            <w:tcBorders>
              <w:top w:val="nil"/>
              <w:left w:val="single" w:sz="4" w:space="0" w:color="auto"/>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22,805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1,440 </w:t>
            </w:r>
          </w:p>
        </w:tc>
        <w:tc>
          <w:tcPr>
            <w:tcW w:w="1292"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3,341,495 </w:t>
            </w:r>
          </w:p>
        </w:tc>
        <w:tc>
          <w:tcPr>
            <w:tcW w:w="1296"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3,356,372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(14,877)</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Payments to CAC Act bodies</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6,300 </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0" w:type="dxa"/>
            <w:tcBorders>
              <w:top w:val="nil"/>
              <w:left w:val="single" w:sz="4" w:space="0" w:color="auto"/>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292"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6,300 </w:t>
            </w:r>
          </w:p>
        </w:tc>
        <w:tc>
          <w:tcPr>
            <w:tcW w:w="1296"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6,279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21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vAlign w:val="bottom"/>
            <w:hideMark/>
          </w:tcPr>
          <w:p w:rsidR="00361797" w:rsidRDefault="00361797" w:rsidP="00B50E5D">
            <w:pPr>
              <w:ind w:firstLineChars="100" w:firstLine="161"/>
              <w:rPr>
                <w:rFonts w:cs="Calibri"/>
                <w:b/>
                <w:bCs/>
                <w:sz w:val="16"/>
                <w:szCs w:val="16"/>
              </w:rPr>
            </w:pPr>
            <w:r>
              <w:rPr>
                <w:rFonts w:cs="Calibri"/>
                <w:b/>
                <w:bCs/>
                <w:sz w:val="16"/>
                <w:szCs w:val="16"/>
              </w:rPr>
              <w:t>Other services</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366"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0" w:type="dxa"/>
            <w:tcBorders>
              <w:top w:val="nil"/>
              <w:left w:val="single" w:sz="4" w:space="0" w:color="auto"/>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11"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2" w:type="dxa"/>
            <w:tcBorders>
              <w:top w:val="nil"/>
              <w:left w:val="nil"/>
              <w:bottom w:val="nil"/>
              <w:right w:val="nil"/>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296"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021"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States, ACT, NT and Local government</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177,058 </w:t>
            </w:r>
          </w:p>
        </w:tc>
        <w:tc>
          <w:tcPr>
            <w:tcW w:w="1366"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(31,061)</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10" w:type="dxa"/>
            <w:tcBorders>
              <w:top w:val="nil"/>
              <w:left w:val="single" w:sz="4" w:space="0" w:color="auto"/>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3,000 </w:t>
            </w:r>
          </w:p>
        </w:tc>
        <w:tc>
          <w:tcPr>
            <w:tcW w:w="1111"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292"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148,997 </w:t>
            </w:r>
          </w:p>
        </w:tc>
        <w:tc>
          <w:tcPr>
            <w:tcW w:w="1296" w:type="dxa"/>
            <w:tcBorders>
              <w:top w:val="nil"/>
              <w:left w:val="single" w:sz="4" w:space="0" w:color="auto"/>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149,809 </w:t>
            </w:r>
          </w:p>
        </w:tc>
        <w:tc>
          <w:tcPr>
            <w:tcW w:w="1109" w:type="dxa"/>
            <w:tcBorders>
              <w:top w:val="nil"/>
              <w:left w:val="nil"/>
              <w:bottom w:val="nil"/>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(812)</w:t>
            </w:r>
          </w:p>
        </w:tc>
      </w:tr>
      <w:tr w:rsidR="00361797" w:rsidTr="00B50E5D">
        <w:trPr>
          <w:trHeight w:val="255"/>
        </w:trPr>
        <w:tc>
          <w:tcPr>
            <w:tcW w:w="3021" w:type="dxa"/>
            <w:tcBorders>
              <w:top w:val="nil"/>
              <w:left w:val="single" w:sz="4" w:space="0" w:color="auto"/>
              <w:bottom w:val="single" w:sz="4" w:space="0" w:color="auto"/>
              <w:right w:val="nil"/>
            </w:tcBorders>
            <w:shd w:val="clear" w:color="000000" w:fill="D9D9D9"/>
            <w:vAlign w:val="bottom"/>
            <w:hideMark/>
          </w:tcPr>
          <w:p w:rsidR="00361797" w:rsidRDefault="00361797" w:rsidP="00B50E5D">
            <w:pPr>
              <w:rPr>
                <w:rFonts w:cs="Calibri"/>
                <w:b/>
                <w:bCs/>
                <w:sz w:val="16"/>
                <w:szCs w:val="16"/>
              </w:rPr>
            </w:pPr>
            <w:r>
              <w:rPr>
                <w:rFonts w:cs="Calibri"/>
                <w:b/>
                <w:bCs/>
                <w:sz w:val="16"/>
                <w:szCs w:val="16"/>
              </w:rPr>
              <w:t>Total administered</w:t>
            </w:r>
          </w:p>
        </w:tc>
        <w:tc>
          <w:tcPr>
            <w:tcW w:w="1366" w:type="dxa"/>
            <w:tcBorders>
              <w:top w:val="single" w:sz="4" w:space="0" w:color="auto"/>
              <w:left w:val="single" w:sz="4" w:space="0" w:color="auto"/>
              <w:bottom w:val="single" w:sz="4" w:space="0" w:color="auto"/>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4,045,584</w:t>
            </w:r>
          </w:p>
        </w:tc>
        <w:tc>
          <w:tcPr>
            <w:tcW w:w="136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(600,154)</w:t>
            </w:r>
          </w:p>
        </w:tc>
        <w:tc>
          <w:tcPr>
            <w:tcW w:w="1111"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24,117</w:t>
            </w:r>
          </w:p>
        </w:tc>
        <w:tc>
          <w:tcPr>
            <w:tcW w:w="1110"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25,805</w:t>
            </w:r>
          </w:p>
        </w:tc>
        <w:tc>
          <w:tcPr>
            <w:tcW w:w="1111"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w:t>
            </w:r>
          </w:p>
        </w:tc>
        <w:tc>
          <w:tcPr>
            <w:tcW w:w="1109"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1,440</w:t>
            </w:r>
          </w:p>
        </w:tc>
        <w:tc>
          <w:tcPr>
            <w:tcW w:w="1292"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3,496,792</w:t>
            </w:r>
          </w:p>
        </w:tc>
        <w:tc>
          <w:tcPr>
            <w:tcW w:w="1296"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3,512,460</w:t>
            </w:r>
          </w:p>
        </w:tc>
        <w:tc>
          <w:tcPr>
            <w:tcW w:w="1109" w:type="dxa"/>
            <w:tcBorders>
              <w:top w:val="single" w:sz="4" w:space="0" w:color="auto"/>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(15,668)</w:t>
            </w:r>
          </w:p>
        </w:tc>
      </w:tr>
    </w:tbl>
    <w:p w:rsidR="00361797" w:rsidRDefault="00361797" w:rsidP="00361797">
      <w:pPr>
        <w:pStyle w:val="NotesText0"/>
        <w:spacing w:before="0" w:after="0" w:line="260" w:lineRule="atLeast"/>
      </w:pPr>
      <w:bookmarkStart w:id="418" w:name="RANGE!D36:M54"/>
      <w:bookmarkStart w:id="419" w:name="RANGE!D36:M55"/>
      <w:bookmarkStart w:id="420" w:name="RANGE!D37:M56"/>
      <w:bookmarkStart w:id="421" w:name="RANGE!D34:M54"/>
      <w:bookmarkStart w:id="422" w:name="RANGE!D35:M55"/>
      <w:bookmarkStart w:id="423" w:name="RANGE!D39:M59"/>
      <w:bookmarkStart w:id="424" w:name="RANGE!D33:M53"/>
      <w:bookmarkEnd w:id="418"/>
      <w:bookmarkEnd w:id="419"/>
      <w:bookmarkEnd w:id="420"/>
      <w:bookmarkEnd w:id="421"/>
      <w:bookmarkEnd w:id="422"/>
      <w:bookmarkEnd w:id="423"/>
      <w:bookmarkEnd w:id="424"/>
      <w:r>
        <w:t>Notes:</w:t>
      </w:r>
      <w:r>
        <w:br/>
      </w:r>
      <w:r>
        <w:rPr>
          <w:vertAlign w:val="superscript"/>
        </w:rPr>
        <w:t>1</w:t>
      </w:r>
      <w:r>
        <w:t xml:space="preserve"> Appropriations reduced under Appropriation Acts (Nos. 1,3,5) 2012–13: sections 10,11,12 and 15 and under Appropriation Acts (Nos. 2,4,6) 2012–13: sections 12,13,14 and 17.  Departmental appropriations do not lapse at the financial year end.  However, the responsible Minister may decide that part or all of a departmental appropriation is not required and request the Finance Minister to reduce that appropriation.  The reduction in the appropriation is effected by the Finance Minister’s determination and is disallowable by Parliament.  On 5 August 2013, the Finance Minister issued a determination to reduce department appropriation following a request from the Minister for Education.  The amount of the reduction under Appropriation Act (No. 1) 2012–13 was $1,263,000. </w:t>
      </w:r>
    </w:p>
    <w:p w:rsidR="00361797" w:rsidRDefault="00361797" w:rsidP="00361797">
      <w:pPr>
        <w:pStyle w:val="NotesText0"/>
        <w:spacing w:before="0" w:after="0" w:line="260" w:lineRule="atLeast"/>
      </w:pPr>
      <w:r>
        <w:t xml:space="preserve">As with departmental appropriations, the responsible Minister may decide that part or all of an administered appropriation is not required and request that the Finance Minister reduce that appropriation.  For administered appropriations reduced under section 11 of the Appropriations Acts (Nos 1,3, &amp; 5) 2012–13 and section 12 of Appropriation Acts (No. 2,4 &amp; 6) 2012–13, the appropriation is taken to be reduced to the required amount specified in Note </w:t>
      </w:r>
      <w:proofErr w:type="spellStart"/>
      <w:r>
        <w:t>28F</w:t>
      </w:r>
      <w:proofErr w:type="spellEnd"/>
      <w:r>
        <w:t xml:space="preserve"> of this note once the annual report is tabled in Parliament.  All administered appropriations may be adjusted by a Finance Minister’s determination which is disallowable by Parliament. </w:t>
      </w:r>
    </w:p>
    <w:p w:rsidR="00361797" w:rsidRDefault="00361797" w:rsidP="00361797">
      <w:pPr>
        <w:pStyle w:val="NotesText0"/>
        <w:spacing w:before="0" w:after="0" w:line="260" w:lineRule="atLeast"/>
      </w:pPr>
      <w:r w:rsidRPr="00CA4344">
        <w:rPr>
          <w:vertAlign w:val="superscript"/>
        </w:rPr>
        <w:t>2</w:t>
      </w:r>
      <w:r>
        <w:t xml:space="preserve"> Advance to the Finance Minister (</w:t>
      </w:r>
      <w:proofErr w:type="spellStart"/>
      <w:r>
        <w:t>AFM</w:t>
      </w:r>
      <w:proofErr w:type="spellEnd"/>
      <w:r>
        <w:t>) – Appropriation Acts (No. 1</w:t>
      </w:r>
      <w:proofErr w:type="gramStart"/>
      <w:r>
        <w:t>,3,5</w:t>
      </w:r>
      <w:proofErr w:type="gramEnd"/>
      <w:r>
        <w:t xml:space="preserve">) 2012–13: section 13 and Appropriation Acts (No. 2,4,6) 2012–13: section 15. In 2012-13 the </w:t>
      </w:r>
      <w:proofErr w:type="spellStart"/>
      <w:r>
        <w:t>AFM</w:t>
      </w:r>
      <w:proofErr w:type="spellEnd"/>
      <w:r>
        <w:t xml:space="preserve"> Determination (No. 1 of 2012–13) reduced administered items by $24,117,000.</w:t>
      </w:r>
    </w:p>
    <w:p w:rsidR="00361797" w:rsidRDefault="00361797" w:rsidP="00361797">
      <w:pPr>
        <w:pStyle w:val="NotesText0"/>
        <w:spacing w:before="0" w:after="0" w:line="260" w:lineRule="atLeast"/>
      </w:pPr>
      <w:r w:rsidRPr="00CA4344">
        <w:rPr>
          <w:vertAlign w:val="superscript"/>
        </w:rPr>
        <w:lastRenderedPageBreak/>
        <w:t>3</w:t>
      </w:r>
      <w:r>
        <w:t xml:space="preserve"> In 2012–13, there was an adjustment of $1,263,000 that met the recognition criteria of a formal reduction in revenue (in accordance with </w:t>
      </w:r>
      <w:proofErr w:type="spellStart"/>
      <w:r>
        <w:t>FMO</w:t>
      </w:r>
      <w:proofErr w:type="spellEnd"/>
      <w:r>
        <w:t xml:space="preserve"> </w:t>
      </w:r>
      <w:proofErr w:type="spellStart"/>
      <w:r>
        <w:t>Div</w:t>
      </w:r>
      <w:proofErr w:type="spellEnd"/>
      <w:r>
        <w:t xml:space="preserve"> 101) but at law the appropriation had not been amended before the end of the reporting period.  This adjustment has since been made under law by instrument to reduce appropriations (No. 1 of 2013–2014) on 5 August 2013.</w:t>
      </w:r>
    </w:p>
    <w:p w:rsidR="00361797" w:rsidRDefault="00361797" w:rsidP="00361797">
      <w:pPr>
        <w:pStyle w:val="NotesText0"/>
        <w:spacing w:before="0" w:after="0" w:line="260" w:lineRule="atLeast"/>
      </w:pPr>
      <w:r w:rsidRPr="00CA4344">
        <w:rPr>
          <w:vertAlign w:val="superscript"/>
        </w:rPr>
        <w:t>4</w:t>
      </w:r>
      <w:r>
        <w:t xml:space="preserve"> Administered and departmental variances are due to the movement in creditor balances between 2012–13 and 2013–14 less section 32 transfers relating to prior year creditors.</w:t>
      </w:r>
    </w:p>
    <w:tbl>
      <w:tblPr>
        <w:tblW w:w="13991" w:type="dxa"/>
        <w:tblInd w:w="80" w:type="dxa"/>
        <w:tblLayout w:type="fixed"/>
        <w:tblLook w:val="04A0" w:firstRow="1" w:lastRow="0" w:firstColumn="1" w:lastColumn="0" w:noHBand="0" w:noVBand="1"/>
      </w:tblPr>
      <w:tblGrid>
        <w:gridCol w:w="3893"/>
        <w:gridCol w:w="1368"/>
        <w:gridCol w:w="1367"/>
        <w:gridCol w:w="1157"/>
        <w:gridCol w:w="1367"/>
        <w:gridCol w:w="1367"/>
        <w:gridCol w:w="1158"/>
        <w:gridCol w:w="1157"/>
        <w:gridCol w:w="1157"/>
      </w:tblGrid>
      <w:tr w:rsidR="00361797" w:rsidTr="00B50E5D">
        <w:trPr>
          <w:trHeight w:val="240"/>
        </w:trPr>
        <w:tc>
          <w:tcPr>
            <w:tcW w:w="386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425" w:name="Note_DCBTABLE1" w:colFirst="0" w:colLast="0"/>
            <w:r>
              <w:rPr>
                <w:rFonts w:cs="Calibri"/>
                <w:szCs w:val="18"/>
              </w:rPr>
              <w:t> </w:t>
            </w:r>
          </w:p>
        </w:tc>
        <w:tc>
          <w:tcPr>
            <w:tcW w:w="135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425"/>
      <w:tr w:rsidR="00361797" w:rsidTr="00B50E5D">
        <w:trPr>
          <w:trHeight w:val="255"/>
        </w:trPr>
        <w:tc>
          <w:tcPr>
            <w:tcW w:w="6580" w:type="dxa"/>
            <w:gridSpan w:val="3"/>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r>
              <w:rPr>
                <w:rFonts w:cs="Calibri"/>
                <w:b/>
                <w:bCs/>
                <w:szCs w:val="18"/>
                <w:u w:val="single"/>
              </w:rPr>
              <w:t xml:space="preserve">Note </w:t>
            </w:r>
            <w:proofErr w:type="spellStart"/>
            <w:r>
              <w:rPr>
                <w:rFonts w:cs="Calibri"/>
                <w:b/>
                <w:bCs/>
                <w:szCs w:val="18"/>
                <w:u w:val="single"/>
              </w:rPr>
              <w:t>28B</w:t>
            </w:r>
            <w:proofErr w:type="spellEnd"/>
            <w:r>
              <w:rPr>
                <w:rFonts w:cs="Calibri"/>
                <w:b/>
                <w:bCs/>
                <w:szCs w:val="18"/>
                <w:u w:val="single"/>
              </w:rPr>
              <w:t>: Departmental and Administered Capital Budgets (Recoverable GST exclusive)</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386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480"/>
        </w:trPr>
        <w:tc>
          <w:tcPr>
            <w:tcW w:w="3865" w:type="dxa"/>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5220" w:type="dxa"/>
            <w:gridSpan w:val="4"/>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 w:val="16"/>
                <w:szCs w:val="16"/>
              </w:rPr>
            </w:pPr>
            <w:r>
              <w:rPr>
                <w:rFonts w:cs="Calibri"/>
                <w:b/>
                <w:bCs/>
                <w:sz w:val="16"/>
                <w:szCs w:val="16"/>
              </w:rPr>
              <w:t>2014 Capital Budget Appropriations</w:t>
            </w:r>
          </w:p>
        </w:tc>
        <w:tc>
          <w:tcPr>
            <w:tcW w:w="3654" w:type="dxa"/>
            <w:gridSpan w:val="3"/>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 w:val="16"/>
                <w:szCs w:val="16"/>
              </w:rPr>
            </w:pPr>
            <w:r>
              <w:rPr>
                <w:rFonts w:cs="Calibri"/>
                <w:b/>
                <w:bCs/>
                <w:sz w:val="16"/>
                <w:szCs w:val="16"/>
              </w:rPr>
              <w:t>Capital Budget Appropriations applied in 2014 (current and prior years)</w:t>
            </w:r>
          </w:p>
        </w:tc>
        <w:tc>
          <w:tcPr>
            <w:tcW w:w="1148" w:type="dxa"/>
            <w:vMerge w:val="restart"/>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Variance</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2715" w:type="dxa"/>
            <w:gridSpan w:val="2"/>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i/>
                <w:iCs/>
                <w:color w:val="000000"/>
                <w:sz w:val="16"/>
                <w:szCs w:val="16"/>
              </w:rPr>
            </w:pPr>
            <w:r>
              <w:rPr>
                <w:rFonts w:cs="Calibri"/>
                <w:b/>
                <w:bCs/>
                <w:i/>
                <w:iCs/>
                <w:color w:val="000000"/>
                <w:sz w:val="16"/>
                <w:szCs w:val="16"/>
              </w:rPr>
              <w:t>Appropriation Act</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i/>
                <w:iCs/>
                <w:color w:val="000000"/>
                <w:sz w:val="16"/>
                <w:szCs w:val="16"/>
              </w:rPr>
            </w:pPr>
            <w:proofErr w:type="spellStart"/>
            <w:r>
              <w:rPr>
                <w:rFonts w:cs="Calibri"/>
                <w:b/>
                <w:bCs/>
                <w:i/>
                <w:iCs/>
                <w:color w:val="000000"/>
                <w:sz w:val="16"/>
                <w:szCs w:val="16"/>
              </w:rPr>
              <w:t>FMA</w:t>
            </w:r>
            <w:proofErr w:type="spellEnd"/>
            <w:r>
              <w:rPr>
                <w:rFonts w:cs="Calibri"/>
                <w:b/>
                <w:bCs/>
                <w:i/>
                <w:iCs/>
                <w:color w:val="000000"/>
                <w:sz w:val="16"/>
                <w:szCs w:val="16"/>
              </w:rPr>
              <w:t xml:space="preserve"> Act</w:t>
            </w:r>
          </w:p>
        </w:tc>
        <w:tc>
          <w:tcPr>
            <w:tcW w:w="1357"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Total Capital Budget Appropriations</w:t>
            </w:r>
          </w:p>
        </w:tc>
        <w:tc>
          <w:tcPr>
            <w:tcW w:w="1357"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xml:space="preserve">Payments for non-financial </w:t>
            </w:r>
            <w:proofErr w:type="spellStart"/>
            <w:r>
              <w:rPr>
                <w:rFonts w:cs="Calibri"/>
                <w:b/>
                <w:bCs/>
                <w:sz w:val="16"/>
                <w:szCs w:val="16"/>
              </w:rPr>
              <w:t>assets</w:t>
            </w:r>
            <w:r>
              <w:rPr>
                <w:rFonts w:cs="Calibri"/>
                <w:b/>
                <w:bCs/>
                <w:sz w:val="16"/>
                <w:szCs w:val="16"/>
                <w:vertAlign w:val="superscript"/>
              </w:rPr>
              <w:t>3</w:t>
            </w:r>
            <w:proofErr w:type="spellEnd"/>
          </w:p>
        </w:tc>
        <w:tc>
          <w:tcPr>
            <w:tcW w:w="1149"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Payments for other purposes</w:t>
            </w:r>
          </w:p>
        </w:tc>
        <w:tc>
          <w:tcPr>
            <w:tcW w:w="1148"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Total payments</w:t>
            </w:r>
          </w:p>
        </w:tc>
        <w:tc>
          <w:tcPr>
            <w:tcW w:w="1148"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r>
      <w:tr w:rsidR="00361797" w:rsidTr="00B50E5D">
        <w:trPr>
          <w:trHeight w:val="91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58"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Annual Capital Budget</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xml:space="preserve">Appropriations </w:t>
            </w:r>
            <w:proofErr w:type="spellStart"/>
            <w:r>
              <w:rPr>
                <w:rFonts w:cs="Calibri"/>
                <w:b/>
                <w:bCs/>
                <w:sz w:val="16"/>
                <w:szCs w:val="16"/>
              </w:rPr>
              <w:t>reduced</w:t>
            </w:r>
            <w:r>
              <w:rPr>
                <w:rFonts w:cs="Calibri"/>
                <w:b/>
                <w:bCs/>
                <w:sz w:val="16"/>
                <w:szCs w:val="16"/>
                <w:vertAlign w:val="superscript"/>
              </w:rPr>
              <w:t>2</w:t>
            </w:r>
            <w:proofErr w:type="spellEnd"/>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32</w:t>
            </w:r>
          </w:p>
        </w:tc>
        <w:tc>
          <w:tcPr>
            <w:tcW w:w="1357"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357"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49"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48"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48"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r>
      <w:tr w:rsidR="00361797" w:rsidTr="00B50E5D">
        <w:trPr>
          <w:trHeight w:val="255"/>
        </w:trPr>
        <w:tc>
          <w:tcPr>
            <w:tcW w:w="3865"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5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57"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57"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$'001</w:t>
            </w:r>
          </w:p>
        </w:tc>
        <w:tc>
          <w:tcPr>
            <w:tcW w:w="1357"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9"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DEPARTMENTAL</w:t>
            </w:r>
          </w:p>
        </w:tc>
        <w:tc>
          <w:tcPr>
            <w:tcW w:w="1358"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Ordinary annual services</w:t>
            </w:r>
          </w:p>
        </w:tc>
        <w:tc>
          <w:tcPr>
            <w:tcW w:w="1358"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357"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48"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357"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357"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4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48"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48"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r>
      <w:tr w:rsidR="00361797" w:rsidTr="00B50E5D">
        <w:trPr>
          <w:trHeight w:val="255"/>
        </w:trPr>
        <w:tc>
          <w:tcPr>
            <w:tcW w:w="3865"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 xml:space="preserve">Departmental Capital </w:t>
            </w:r>
            <w:proofErr w:type="spellStart"/>
            <w:r>
              <w:rPr>
                <w:rFonts w:cs="Calibri"/>
                <w:color w:val="000000"/>
                <w:sz w:val="16"/>
                <w:szCs w:val="16"/>
              </w:rPr>
              <w:t>Budget</w:t>
            </w:r>
            <w:r>
              <w:rPr>
                <w:rFonts w:cs="Calibri"/>
                <w:color w:val="000000"/>
                <w:sz w:val="16"/>
                <w:szCs w:val="16"/>
                <w:vertAlign w:val="superscript"/>
              </w:rPr>
              <w:t>1</w:t>
            </w:r>
            <w:proofErr w:type="spellEnd"/>
          </w:p>
        </w:tc>
        <w:tc>
          <w:tcPr>
            <w:tcW w:w="135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49,412 </w:t>
            </w:r>
          </w:p>
        </w:tc>
        <w:tc>
          <w:tcPr>
            <w:tcW w:w="1357"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4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357"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49,412 </w:t>
            </w:r>
          </w:p>
        </w:tc>
        <w:tc>
          <w:tcPr>
            <w:tcW w:w="1357"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5,948 </w:t>
            </w:r>
          </w:p>
        </w:tc>
        <w:tc>
          <w:tcPr>
            <w:tcW w:w="1149"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4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5,948 </w:t>
            </w:r>
          </w:p>
        </w:tc>
        <w:tc>
          <w:tcPr>
            <w:tcW w:w="114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43,464 </w:t>
            </w:r>
          </w:p>
        </w:tc>
      </w:tr>
    </w:tbl>
    <w:p w:rsidR="00361797" w:rsidRDefault="00361797" w:rsidP="00361797">
      <w:bookmarkStart w:id="426" w:name="RANGE!D7:L19"/>
      <w:bookmarkEnd w:id="426"/>
    </w:p>
    <w:p w:rsidR="00361797" w:rsidRDefault="00361797" w:rsidP="00361797">
      <w:pPr>
        <w:pStyle w:val="ReferenceText"/>
      </w:pPr>
      <w:r>
        <w:t>Notes:</w:t>
      </w:r>
    </w:p>
    <w:p w:rsidR="00361797" w:rsidRDefault="00361797" w:rsidP="00361797">
      <w:pPr>
        <w:pStyle w:val="ReferenceText"/>
      </w:pPr>
      <w:r w:rsidRPr="00CA4344">
        <w:rPr>
          <w:vertAlign w:val="superscript"/>
        </w:rPr>
        <w:t>1</w:t>
      </w:r>
      <w:r>
        <w:t xml:space="preserve"> Departmental and Administered Capital Budgets are appropriated through Appropriation Acts (Nos. 1, 3 &amp; 5). They form part of ordinary annual services and are not separately identified in the Appropriation Acts. For more information on ordinary annual services appropriation, please see Note </w:t>
      </w:r>
      <w:proofErr w:type="spellStart"/>
      <w:r>
        <w:t>28A</w:t>
      </w:r>
      <w:proofErr w:type="spellEnd"/>
      <w:r>
        <w:t>: Annual appropriations.</w:t>
      </w:r>
    </w:p>
    <w:p w:rsidR="00361797" w:rsidRDefault="00361797" w:rsidP="00361797">
      <w:pPr>
        <w:pStyle w:val="ReferenceText"/>
      </w:pPr>
      <w:r w:rsidRPr="00CA4344">
        <w:rPr>
          <w:vertAlign w:val="superscript"/>
        </w:rPr>
        <w:t>2</w:t>
      </w:r>
      <w:r>
        <w:t xml:space="preserve"> Appropriations reduced under Appropriation Acts (Nos. 1, 3 &amp; 5) 2013–14: sections 10, 11, 12 and 15 or via a determination by the Finance Minister.</w:t>
      </w:r>
    </w:p>
    <w:p w:rsidR="00361797" w:rsidRDefault="00361797" w:rsidP="00361797">
      <w:pPr>
        <w:pStyle w:val="ReferenceText"/>
      </w:pPr>
      <w:r w:rsidRPr="00CA4344">
        <w:rPr>
          <w:vertAlign w:val="superscript"/>
        </w:rPr>
        <w:t>3</w:t>
      </w:r>
      <w:r>
        <w:t xml:space="preserve"> Payments made on non–financial assets include purchase of assets, expenditure on assets which has been capitalised, costs incurred to make good an asset to its original condition, and the capital repayment component of finance leases. </w:t>
      </w:r>
    </w:p>
    <w:p w:rsidR="00361797" w:rsidRDefault="00361797" w:rsidP="00361797"/>
    <w:p w:rsidR="00361797" w:rsidRDefault="00361797" w:rsidP="00361797">
      <w:pPr>
        <w:spacing w:line="240" w:lineRule="auto"/>
      </w:pPr>
      <w:r>
        <w:br w:type="page"/>
      </w:r>
    </w:p>
    <w:tbl>
      <w:tblPr>
        <w:tblW w:w="13991" w:type="dxa"/>
        <w:tblInd w:w="80" w:type="dxa"/>
        <w:tblLayout w:type="fixed"/>
        <w:tblLook w:val="04A0" w:firstRow="1" w:lastRow="0" w:firstColumn="1" w:lastColumn="0" w:noHBand="0" w:noVBand="1"/>
      </w:tblPr>
      <w:tblGrid>
        <w:gridCol w:w="3893"/>
        <w:gridCol w:w="1368"/>
        <w:gridCol w:w="1367"/>
        <w:gridCol w:w="1157"/>
        <w:gridCol w:w="1367"/>
        <w:gridCol w:w="1367"/>
        <w:gridCol w:w="1158"/>
        <w:gridCol w:w="1157"/>
        <w:gridCol w:w="1157"/>
      </w:tblGrid>
      <w:tr w:rsidR="00361797" w:rsidTr="00B50E5D">
        <w:trPr>
          <w:trHeight w:val="240"/>
        </w:trPr>
        <w:tc>
          <w:tcPr>
            <w:tcW w:w="3865"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427" w:name="RANGE!D26:D37"/>
            <w:bookmarkStart w:id="428" w:name="Note_DCBTABLE2" w:colFirst="0" w:colLast="0"/>
            <w:r>
              <w:rPr>
                <w:rFonts w:cs="Calibri"/>
                <w:szCs w:val="18"/>
              </w:rPr>
              <w:lastRenderedPageBreak/>
              <w:t> </w:t>
            </w:r>
            <w:bookmarkEnd w:id="427"/>
          </w:p>
        </w:tc>
        <w:tc>
          <w:tcPr>
            <w:tcW w:w="135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35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4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428"/>
      <w:tr w:rsidR="00361797" w:rsidTr="00B50E5D">
        <w:trPr>
          <w:trHeight w:val="465"/>
        </w:trPr>
        <w:tc>
          <w:tcPr>
            <w:tcW w:w="3865" w:type="dxa"/>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5220" w:type="dxa"/>
            <w:gridSpan w:val="4"/>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 w:val="16"/>
                <w:szCs w:val="16"/>
              </w:rPr>
            </w:pPr>
            <w:r>
              <w:rPr>
                <w:rFonts w:cs="Calibri"/>
                <w:b/>
                <w:bCs/>
                <w:sz w:val="16"/>
                <w:szCs w:val="16"/>
              </w:rPr>
              <w:t>2013 Capital Budget Appropriations</w:t>
            </w:r>
          </w:p>
        </w:tc>
        <w:tc>
          <w:tcPr>
            <w:tcW w:w="3654" w:type="dxa"/>
            <w:gridSpan w:val="3"/>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 w:val="16"/>
                <w:szCs w:val="16"/>
              </w:rPr>
            </w:pPr>
            <w:r>
              <w:rPr>
                <w:rFonts w:cs="Calibri"/>
                <w:b/>
                <w:bCs/>
                <w:sz w:val="16"/>
                <w:szCs w:val="16"/>
              </w:rPr>
              <w:t>Capital Budget Appropriations applied in 2013 (current and prior years)</w:t>
            </w:r>
          </w:p>
        </w:tc>
        <w:tc>
          <w:tcPr>
            <w:tcW w:w="1148" w:type="dxa"/>
            <w:vMerge w:val="restart"/>
            <w:tcBorders>
              <w:top w:val="single" w:sz="4" w:space="0" w:color="auto"/>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Variance</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2715" w:type="dxa"/>
            <w:gridSpan w:val="2"/>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i/>
                <w:iCs/>
                <w:color w:val="000000"/>
                <w:sz w:val="16"/>
                <w:szCs w:val="16"/>
              </w:rPr>
            </w:pPr>
            <w:r>
              <w:rPr>
                <w:rFonts w:cs="Calibri"/>
                <w:b/>
                <w:bCs/>
                <w:i/>
                <w:iCs/>
                <w:color w:val="000000"/>
                <w:sz w:val="16"/>
                <w:szCs w:val="16"/>
              </w:rPr>
              <w:t>Appropriation Act</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i/>
                <w:iCs/>
                <w:color w:val="000000"/>
                <w:sz w:val="16"/>
                <w:szCs w:val="16"/>
              </w:rPr>
            </w:pPr>
            <w:proofErr w:type="spellStart"/>
            <w:r>
              <w:rPr>
                <w:rFonts w:cs="Calibri"/>
                <w:b/>
                <w:bCs/>
                <w:i/>
                <w:iCs/>
                <w:color w:val="000000"/>
                <w:sz w:val="16"/>
                <w:szCs w:val="16"/>
              </w:rPr>
              <w:t>FMA</w:t>
            </w:r>
            <w:proofErr w:type="spellEnd"/>
            <w:r>
              <w:rPr>
                <w:rFonts w:cs="Calibri"/>
                <w:b/>
                <w:bCs/>
                <w:i/>
                <w:iCs/>
                <w:color w:val="000000"/>
                <w:sz w:val="16"/>
                <w:szCs w:val="16"/>
              </w:rPr>
              <w:t xml:space="preserve"> Act</w:t>
            </w:r>
          </w:p>
        </w:tc>
        <w:tc>
          <w:tcPr>
            <w:tcW w:w="1357"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Total Capital Budget Appropriations</w:t>
            </w:r>
          </w:p>
        </w:tc>
        <w:tc>
          <w:tcPr>
            <w:tcW w:w="1357"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xml:space="preserve">Payments for non-financial </w:t>
            </w:r>
            <w:proofErr w:type="spellStart"/>
            <w:r>
              <w:rPr>
                <w:rFonts w:cs="Calibri"/>
                <w:b/>
                <w:bCs/>
                <w:sz w:val="16"/>
                <w:szCs w:val="16"/>
              </w:rPr>
              <w:t>assets</w:t>
            </w:r>
            <w:r>
              <w:rPr>
                <w:rFonts w:cs="Calibri"/>
                <w:b/>
                <w:bCs/>
                <w:sz w:val="16"/>
                <w:szCs w:val="16"/>
                <w:vertAlign w:val="superscript"/>
              </w:rPr>
              <w:t>3</w:t>
            </w:r>
            <w:proofErr w:type="spellEnd"/>
          </w:p>
        </w:tc>
        <w:tc>
          <w:tcPr>
            <w:tcW w:w="1149"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Payments for other purposes</w:t>
            </w:r>
          </w:p>
        </w:tc>
        <w:tc>
          <w:tcPr>
            <w:tcW w:w="1148" w:type="dxa"/>
            <w:vMerge w:val="restart"/>
            <w:tcBorders>
              <w:top w:val="nil"/>
              <w:left w:val="single" w:sz="4" w:space="0" w:color="auto"/>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Total payments</w:t>
            </w:r>
          </w:p>
        </w:tc>
        <w:tc>
          <w:tcPr>
            <w:tcW w:w="1148"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r>
      <w:tr w:rsidR="00361797" w:rsidTr="00B50E5D">
        <w:trPr>
          <w:trHeight w:val="900"/>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58" w:type="dxa"/>
            <w:tcBorders>
              <w:top w:val="nil"/>
              <w:left w:val="nil"/>
              <w:bottom w:val="nil"/>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Annual Capital Budget</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 xml:space="preserve">Appropriations </w:t>
            </w:r>
            <w:proofErr w:type="spellStart"/>
            <w:r>
              <w:rPr>
                <w:rFonts w:cs="Calibri"/>
                <w:b/>
                <w:bCs/>
                <w:sz w:val="16"/>
                <w:szCs w:val="16"/>
              </w:rPr>
              <w:t>reduced</w:t>
            </w:r>
            <w:r>
              <w:rPr>
                <w:rFonts w:cs="Calibri"/>
                <w:b/>
                <w:bCs/>
                <w:sz w:val="16"/>
                <w:szCs w:val="16"/>
                <w:vertAlign w:val="superscript"/>
              </w:rPr>
              <w:t>2</w:t>
            </w:r>
            <w:proofErr w:type="spellEnd"/>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Section 32</w:t>
            </w:r>
          </w:p>
        </w:tc>
        <w:tc>
          <w:tcPr>
            <w:tcW w:w="1357"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357"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49"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48" w:type="dxa"/>
            <w:vMerge/>
            <w:tcBorders>
              <w:top w:val="nil"/>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c>
          <w:tcPr>
            <w:tcW w:w="1148" w:type="dxa"/>
            <w:vMerge/>
            <w:tcBorders>
              <w:top w:val="single" w:sz="4" w:space="0" w:color="auto"/>
              <w:left w:val="single" w:sz="4" w:space="0" w:color="auto"/>
              <w:bottom w:val="nil"/>
              <w:right w:val="single" w:sz="4" w:space="0" w:color="auto"/>
            </w:tcBorders>
            <w:vAlign w:val="center"/>
            <w:hideMark/>
          </w:tcPr>
          <w:p w:rsidR="00361797" w:rsidRDefault="00361797" w:rsidP="00B50E5D">
            <w:pPr>
              <w:rPr>
                <w:rFonts w:cs="Calibri"/>
                <w:b/>
                <w:bCs/>
                <w:sz w:val="16"/>
                <w:szCs w:val="16"/>
              </w:rPr>
            </w:pPr>
          </w:p>
        </w:tc>
      </w:tr>
      <w:tr w:rsidR="00361797" w:rsidTr="00B50E5D">
        <w:trPr>
          <w:trHeight w:val="255"/>
        </w:trPr>
        <w:tc>
          <w:tcPr>
            <w:tcW w:w="3865"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358"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57"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57"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357"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9"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c>
          <w:tcPr>
            <w:tcW w:w="114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 w:val="16"/>
                <w:szCs w:val="16"/>
              </w:rPr>
            </w:pPr>
            <w:r>
              <w:rPr>
                <w:rFonts w:cs="Calibri"/>
                <w:b/>
                <w:bCs/>
                <w:sz w:val="16"/>
                <w:szCs w:val="16"/>
              </w:rPr>
              <w:t>$'000</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DEPARTMENTAL</w:t>
            </w:r>
          </w:p>
        </w:tc>
        <w:tc>
          <w:tcPr>
            <w:tcW w:w="1358"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nil"/>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c>
          <w:tcPr>
            <w:tcW w:w="1148"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rPr>
                <w:rFonts w:cs="Calibri"/>
                <w:b/>
                <w:bCs/>
                <w:color w:val="000000"/>
                <w:sz w:val="16"/>
                <w:szCs w:val="16"/>
              </w:rPr>
            </w:pPr>
            <w:r>
              <w:rPr>
                <w:rFonts w:cs="Calibri"/>
                <w:b/>
                <w:bCs/>
                <w:color w:val="000000"/>
                <w:sz w:val="16"/>
                <w:szCs w:val="16"/>
              </w:rPr>
              <w:t> </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Ordinary annual services</w:t>
            </w:r>
          </w:p>
        </w:tc>
        <w:tc>
          <w:tcPr>
            <w:tcW w:w="1358"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357"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48"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357"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357"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49"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48"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48" w:type="dxa"/>
            <w:tcBorders>
              <w:top w:val="nil"/>
              <w:left w:val="nil"/>
              <w:bottom w:val="nil"/>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3865" w:type="dxa"/>
            <w:tcBorders>
              <w:top w:val="nil"/>
              <w:left w:val="single" w:sz="4" w:space="0" w:color="auto"/>
              <w:bottom w:val="nil"/>
              <w:right w:val="single" w:sz="4" w:space="0" w:color="auto"/>
            </w:tcBorders>
            <w:shd w:val="clear" w:color="FFFFFF" w:fill="FFFFFF"/>
            <w:vAlign w:val="bottom"/>
            <w:hideMark/>
          </w:tcPr>
          <w:p w:rsidR="00361797" w:rsidRDefault="00361797" w:rsidP="00B50E5D">
            <w:pPr>
              <w:ind w:firstLineChars="100" w:firstLine="161"/>
              <w:rPr>
                <w:rFonts w:cs="Calibri"/>
                <w:b/>
                <w:bCs/>
                <w:color w:val="000000"/>
                <w:sz w:val="16"/>
                <w:szCs w:val="16"/>
              </w:rPr>
            </w:pPr>
            <w:r>
              <w:rPr>
                <w:rFonts w:cs="Calibri"/>
                <w:b/>
                <w:bCs/>
                <w:color w:val="000000"/>
                <w:sz w:val="16"/>
                <w:szCs w:val="16"/>
              </w:rPr>
              <w:t>Other services</w:t>
            </w:r>
          </w:p>
        </w:tc>
        <w:tc>
          <w:tcPr>
            <w:tcW w:w="1358" w:type="dxa"/>
            <w:tcBorders>
              <w:top w:val="nil"/>
              <w:left w:val="nil"/>
              <w:bottom w:val="nil"/>
              <w:right w:val="nil"/>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357"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9"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c>
          <w:tcPr>
            <w:tcW w:w="1148" w:type="dxa"/>
            <w:tcBorders>
              <w:top w:val="nil"/>
              <w:left w:val="nil"/>
              <w:bottom w:val="nil"/>
              <w:right w:val="single" w:sz="4" w:space="0" w:color="auto"/>
            </w:tcBorders>
            <w:shd w:val="clear" w:color="FFFFFF" w:fill="FFFFFF"/>
            <w:vAlign w:val="bottom"/>
            <w:hideMark/>
          </w:tcPr>
          <w:p w:rsidR="00361797" w:rsidRDefault="00361797" w:rsidP="00B50E5D">
            <w:pPr>
              <w:rPr>
                <w:rFonts w:cs="Calibri"/>
                <w:sz w:val="16"/>
                <w:szCs w:val="16"/>
              </w:rPr>
            </w:pPr>
            <w:r>
              <w:rPr>
                <w:rFonts w:cs="Calibri"/>
                <w:sz w:val="16"/>
                <w:szCs w:val="16"/>
              </w:rPr>
              <w:t> </w:t>
            </w:r>
          </w:p>
        </w:tc>
      </w:tr>
      <w:tr w:rsidR="00361797" w:rsidTr="00B50E5D">
        <w:trPr>
          <w:trHeight w:val="255"/>
        </w:trPr>
        <w:tc>
          <w:tcPr>
            <w:tcW w:w="3865"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ind w:firstLineChars="200" w:firstLine="320"/>
              <w:rPr>
                <w:rFonts w:cs="Calibri"/>
                <w:color w:val="000000"/>
                <w:sz w:val="16"/>
                <w:szCs w:val="16"/>
              </w:rPr>
            </w:pPr>
            <w:r>
              <w:rPr>
                <w:rFonts w:cs="Calibri"/>
                <w:color w:val="000000"/>
                <w:sz w:val="16"/>
                <w:szCs w:val="16"/>
              </w:rPr>
              <w:t xml:space="preserve">Departmental Capital </w:t>
            </w:r>
            <w:proofErr w:type="spellStart"/>
            <w:r>
              <w:rPr>
                <w:rFonts w:cs="Calibri"/>
                <w:color w:val="000000"/>
                <w:sz w:val="16"/>
                <w:szCs w:val="16"/>
              </w:rPr>
              <w:t>Budget</w:t>
            </w:r>
            <w:r>
              <w:rPr>
                <w:rFonts w:cs="Calibri"/>
                <w:color w:val="000000"/>
                <w:sz w:val="16"/>
                <w:szCs w:val="16"/>
                <w:vertAlign w:val="superscript"/>
              </w:rPr>
              <w:t>1</w:t>
            </w:r>
            <w:proofErr w:type="spellEnd"/>
          </w:p>
        </w:tc>
        <w:tc>
          <w:tcPr>
            <w:tcW w:w="135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45,094 </w:t>
            </w:r>
          </w:p>
        </w:tc>
        <w:tc>
          <w:tcPr>
            <w:tcW w:w="1357"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4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357"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45,904 </w:t>
            </w:r>
          </w:p>
        </w:tc>
        <w:tc>
          <w:tcPr>
            <w:tcW w:w="1357"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39,732 </w:t>
            </w:r>
          </w:p>
        </w:tc>
        <w:tc>
          <w:tcPr>
            <w:tcW w:w="1149"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c>
          <w:tcPr>
            <w:tcW w:w="114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39,732 </w:t>
            </w:r>
          </w:p>
        </w:tc>
        <w:tc>
          <w:tcPr>
            <w:tcW w:w="114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5,362 </w:t>
            </w:r>
          </w:p>
        </w:tc>
      </w:tr>
    </w:tbl>
    <w:p w:rsidR="00361797" w:rsidRDefault="00361797" w:rsidP="00361797">
      <w:bookmarkStart w:id="429" w:name="RANGE!D26:L37"/>
      <w:bookmarkStart w:id="430" w:name="RANGE!D24:L33"/>
      <w:bookmarkStart w:id="431" w:name="RANGE!D24:L34"/>
      <w:bookmarkEnd w:id="429"/>
      <w:bookmarkEnd w:id="430"/>
      <w:bookmarkEnd w:id="431"/>
    </w:p>
    <w:p w:rsidR="00361797" w:rsidRDefault="00361797" w:rsidP="00361797">
      <w:pPr>
        <w:pStyle w:val="ReferenceText"/>
      </w:pPr>
      <w:r>
        <w:t>Notes:</w:t>
      </w:r>
    </w:p>
    <w:p w:rsidR="00361797" w:rsidRDefault="00361797" w:rsidP="00361797">
      <w:pPr>
        <w:pStyle w:val="ReferenceText"/>
      </w:pPr>
      <w:r w:rsidRPr="004E2F07">
        <w:rPr>
          <w:vertAlign w:val="superscript"/>
        </w:rPr>
        <w:t>1</w:t>
      </w:r>
      <w:r>
        <w:t xml:space="preserve"> Departmental and Administered Capital Budgets are appropriated through Appropriation Acts (</w:t>
      </w:r>
      <w:proofErr w:type="spellStart"/>
      <w:r>
        <w:t>No.1</w:t>
      </w:r>
      <w:proofErr w:type="gramStart"/>
      <w:r>
        <w:t>,3</w:t>
      </w:r>
      <w:proofErr w:type="spellEnd"/>
      <w:proofErr w:type="gramEnd"/>
      <w:r>
        <w:t xml:space="preserve"> &amp; 5). They form part of ordinary annual services and are not separately identified in the Appropriation Acts. For more information on ordinary annual services appropriation, please see Note </w:t>
      </w:r>
      <w:proofErr w:type="spellStart"/>
      <w:r>
        <w:t>28A</w:t>
      </w:r>
      <w:proofErr w:type="spellEnd"/>
      <w:r>
        <w:t>: Annual appropriations.</w:t>
      </w:r>
    </w:p>
    <w:p w:rsidR="00361797" w:rsidRDefault="00361797" w:rsidP="00361797">
      <w:pPr>
        <w:pStyle w:val="ReferenceText"/>
      </w:pPr>
      <w:r w:rsidRPr="004E2F07">
        <w:rPr>
          <w:vertAlign w:val="superscript"/>
        </w:rPr>
        <w:t>2</w:t>
      </w:r>
      <w:r>
        <w:t xml:space="preserve"> Appropriations reduced under Appropriation Acts (No. 1, 3 &amp; 5) 2012–13: sections 10, 11, 12 and 15 or via a determination by the Finance Minister.</w:t>
      </w:r>
    </w:p>
    <w:p w:rsidR="00361797" w:rsidRDefault="00361797" w:rsidP="00361797">
      <w:pPr>
        <w:pStyle w:val="ReferenceText"/>
      </w:pPr>
      <w:r w:rsidRPr="004E2F07">
        <w:rPr>
          <w:vertAlign w:val="superscript"/>
        </w:rPr>
        <w:t>3</w:t>
      </w:r>
      <w:r>
        <w:t xml:space="preserve"> Payments made on non-financial assets include purchase of assets, expenditure on assets which has been capitalised, costs incurred to make good an asset to its original condition, and the capital repayment component of finance leases. </w:t>
      </w:r>
    </w:p>
    <w:p w:rsidR="00361797" w:rsidRDefault="00361797" w:rsidP="00361797">
      <w:pPr>
        <w:spacing w:line="240" w:lineRule="auto"/>
        <w:sectPr w:rsidR="00361797">
          <w:pgSz w:w="16838" w:h="11906" w:orient="landscape"/>
          <w:pgMar w:top="1134" w:right="1134" w:bottom="1134" w:left="1134" w:header="958" w:footer="737" w:gutter="0"/>
          <w:cols w:space="720"/>
        </w:sectPr>
      </w:pPr>
    </w:p>
    <w:p w:rsidR="00361797" w:rsidRDefault="00361797" w:rsidP="00361797"/>
    <w:tbl>
      <w:tblPr>
        <w:tblW w:w="9087" w:type="dxa"/>
        <w:tblInd w:w="80" w:type="dxa"/>
        <w:tblLayout w:type="fixed"/>
        <w:tblLook w:val="04A0" w:firstRow="1" w:lastRow="0" w:firstColumn="1" w:lastColumn="0" w:noHBand="0" w:noVBand="1"/>
      </w:tblPr>
      <w:tblGrid>
        <w:gridCol w:w="6577"/>
        <w:gridCol w:w="1255"/>
        <w:gridCol w:w="1255"/>
      </w:tblGrid>
      <w:tr w:rsidR="00361797" w:rsidTr="00B50E5D">
        <w:trPr>
          <w:trHeight w:val="255"/>
        </w:trPr>
        <w:tc>
          <w:tcPr>
            <w:tcW w:w="8980" w:type="dxa"/>
            <w:gridSpan w:val="3"/>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32" w:name="Note_DUATABLE1" w:colFirst="0" w:colLast="0"/>
            <w:r>
              <w:rPr>
                <w:rFonts w:cs="Calibri"/>
                <w:b/>
                <w:bCs/>
                <w:szCs w:val="18"/>
                <w:u w:val="single"/>
              </w:rPr>
              <w:t xml:space="preserve">Note </w:t>
            </w:r>
            <w:proofErr w:type="spellStart"/>
            <w:r>
              <w:rPr>
                <w:rFonts w:cs="Calibri"/>
                <w:b/>
                <w:bCs/>
                <w:szCs w:val="18"/>
                <w:u w:val="single"/>
              </w:rPr>
              <w:t>28C</w:t>
            </w:r>
            <w:proofErr w:type="spellEnd"/>
            <w:r>
              <w:rPr>
                <w:rFonts w:cs="Calibri"/>
                <w:b/>
                <w:bCs/>
                <w:szCs w:val="18"/>
                <w:u w:val="single"/>
              </w:rPr>
              <w:t>: Unspent Annual Appropriations ('Recoverable GST exclusive')</w:t>
            </w:r>
          </w:p>
        </w:tc>
      </w:tr>
      <w:bookmarkEnd w:id="432"/>
      <w:tr w:rsidR="00361797" w:rsidTr="00B50E5D">
        <w:trPr>
          <w:trHeight w:val="255"/>
        </w:trPr>
        <w:tc>
          <w:tcPr>
            <w:tcW w:w="650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6500" w:type="dxa"/>
            <w:vMerge w:val="restart"/>
            <w:tcBorders>
              <w:top w:val="single" w:sz="4" w:space="0" w:color="auto"/>
              <w:left w:val="nil"/>
              <w:bottom w:val="single" w:sz="4" w:space="0" w:color="000000"/>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240"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40" w:type="dxa"/>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6500" w:type="dxa"/>
            <w:vMerge/>
            <w:tcBorders>
              <w:top w:val="single" w:sz="4" w:space="0" w:color="auto"/>
              <w:left w:val="nil"/>
              <w:bottom w:val="single" w:sz="4" w:space="0" w:color="000000"/>
              <w:right w:val="nil"/>
            </w:tcBorders>
            <w:vAlign w:val="center"/>
            <w:hideMark/>
          </w:tcPr>
          <w:p w:rsidR="00361797" w:rsidRDefault="00361797" w:rsidP="00B50E5D">
            <w:pPr>
              <w:rPr>
                <w:rFonts w:cs="Calibri"/>
                <w:b/>
                <w:bCs/>
                <w:szCs w:val="18"/>
              </w:rPr>
            </w:pPr>
          </w:p>
        </w:tc>
        <w:tc>
          <w:tcPr>
            <w:tcW w:w="124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40" w:type="dxa"/>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6500" w:type="dxa"/>
            <w:vMerge w:val="restart"/>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Departmental</w:t>
            </w:r>
          </w:p>
        </w:tc>
        <w:tc>
          <w:tcPr>
            <w:tcW w:w="124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500" w:type="dxa"/>
            <w:vMerge/>
            <w:tcBorders>
              <w:top w:val="nil"/>
              <w:left w:val="nil"/>
              <w:bottom w:val="nil"/>
              <w:right w:val="nil"/>
            </w:tcBorders>
            <w:vAlign w:val="center"/>
            <w:hideMark/>
          </w:tcPr>
          <w:p w:rsidR="00361797" w:rsidRDefault="00361797" w:rsidP="00B50E5D">
            <w:pPr>
              <w:rPr>
                <w:rFonts w:cs="Calibri"/>
                <w:b/>
                <w:bCs/>
                <w:szCs w:val="18"/>
              </w:rPr>
            </w:pPr>
          </w:p>
        </w:tc>
        <w:tc>
          <w:tcPr>
            <w:tcW w:w="124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50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Appropriation Act (No. 1) 2013-14</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305,013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650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Appropriation Act (No. 2) 2013-14</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2,672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650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Appropriation Act (No. 1) 2012-13</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32,756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48,275 </w:t>
            </w:r>
          </w:p>
        </w:tc>
      </w:tr>
      <w:tr w:rsidR="00361797" w:rsidTr="00B50E5D">
        <w:trPr>
          <w:trHeight w:val="255"/>
        </w:trPr>
        <w:tc>
          <w:tcPr>
            <w:tcW w:w="6500"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Appropriation Act (No. 1) 2011-12</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58,894 </w:t>
            </w:r>
          </w:p>
        </w:tc>
      </w:tr>
      <w:tr w:rsidR="00361797" w:rsidTr="00B50E5D">
        <w:trPr>
          <w:trHeight w:val="270"/>
        </w:trPr>
        <w:tc>
          <w:tcPr>
            <w:tcW w:w="6500"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departmental</w:t>
            </w:r>
          </w:p>
        </w:tc>
        <w:tc>
          <w:tcPr>
            <w:tcW w:w="1240"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340,441</w:t>
            </w:r>
          </w:p>
        </w:tc>
        <w:tc>
          <w:tcPr>
            <w:tcW w:w="1240"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107,169</w:t>
            </w:r>
          </w:p>
        </w:tc>
      </w:tr>
      <w:tr w:rsidR="00361797" w:rsidTr="00B50E5D">
        <w:trPr>
          <w:trHeight w:val="270"/>
        </w:trPr>
        <w:tc>
          <w:tcPr>
            <w:tcW w:w="6500" w:type="dxa"/>
            <w:vMerge w:val="restart"/>
            <w:tcBorders>
              <w:top w:val="nil"/>
              <w:left w:val="nil"/>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Administered</w:t>
            </w:r>
          </w:p>
        </w:tc>
        <w:tc>
          <w:tcPr>
            <w:tcW w:w="12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500" w:type="dxa"/>
            <w:vMerge/>
            <w:tcBorders>
              <w:top w:val="nil"/>
              <w:left w:val="nil"/>
              <w:bottom w:val="nil"/>
              <w:right w:val="nil"/>
            </w:tcBorders>
            <w:vAlign w:val="center"/>
            <w:hideMark/>
          </w:tcPr>
          <w:p w:rsidR="00361797" w:rsidRDefault="00361797" w:rsidP="00B50E5D">
            <w:pPr>
              <w:rPr>
                <w:rFonts w:cs="Calibri"/>
                <w:b/>
                <w:bCs/>
                <w:szCs w:val="18"/>
              </w:rPr>
            </w:pPr>
          </w:p>
        </w:tc>
        <w:tc>
          <w:tcPr>
            <w:tcW w:w="12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4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1) 2013-14</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2,123,342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2) 2013-14</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33,299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1) 2012-13</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2,084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688,671 </w:t>
            </w:r>
          </w:p>
        </w:tc>
      </w:tr>
      <w:tr w:rsidR="00361797" w:rsidTr="00B50E5D">
        <w:trPr>
          <w:trHeight w:val="25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3) 2012-13</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60,694 </w:t>
            </w:r>
          </w:p>
        </w:tc>
      </w:tr>
      <w:tr w:rsidR="00361797" w:rsidTr="00B50E5D">
        <w:trPr>
          <w:trHeight w:val="25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2) 2012-13</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31,061 </w:t>
            </w:r>
          </w:p>
        </w:tc>
      </w:tr>
      <w:tr w:rsidR="00361797" w:rsidTr="00B50E5D">
        <w:trPr>
          <w:trHeight w:val="25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1) 2010-11</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4,471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4,471 </w:t>
            </w:r>
          </w:p>
        </w:tc>
      </w:tr>
      <w:tr w:rsidR="00361797" w:rsidTr="00B50E5D">
        <w:trPr>
          <w:trHeight w:val="285"/>
        </w:trPr>
        <w:tc>
          <w:tcPr>
            <w:tcW w:w="6500" w:type="dxa"/>
            <w:tcBorders>
              <w:top w:val="nil"/>
              <w:left w:val="nil"/>
              <w:bottom w:val="nil"/>
              <w:right w:val="nil"/>
            </w:tcBorders>
            <w:shd w:val="clear" w:color="000000" w:fill="D9D9D9"/>
            <w:vAlign w:val="bottom"/>
            <w:hideMark/>
          </w:tcPr>
          <w:p w:rsidR="00361797" w:rsidRDefault="00361797" w:rsidP="00B50E5D">
            <w:pPr>
              <w:rPr>
                <w:rFonts w:cs="Calibri"/>
                <w:szCs w:val="18"/>
              </w:rPr>
            </w:pPr>
            <w:r>
              <w:rPr>
                <w:rFonts w:cs="Calibri"/>
                <w:szCs w:val="18"/>
              </w:rPr>
              <w:t>Appropriation Act (No. 1) 2009-10</w:t>
            </w:r>
            <w:r>
              <w:rPr>
                <w:rFonts w:cs="Calibri"/>
                <w:szCs w:val="18"/>
                <w:vertAlign w:val="superscript"/>
              </w:rPr>
              <w:t>1</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 xml:space="preserve">3,508 </w:t>
            </w:r>
          </w:p>
        </w:tc>
      </w:tr>
      <w:tr w:rsidR="00361797" w:rsidTr="00B50E5D">
        <w:trPr>
          <w:trHeight w:val="270"/>
        </w:trPr>
        <w:tc>
          <w:tcPr>
            <w:tcW w:w="6500" w:type="dxa"/>
            <w:tcBorders>
              <w:top w:val="nil"/>
              <w:left w:val="nil"/>
              <w:bottom w:val="double" w:sz="6" w:space="0" w:color="D9D9D9"/>
              <w:right w:val="nil"/>
            </w:tcBorders>
            <w:shd w:val="clear" w:color="000000" w:fill="D9D9D9"/>
            <w:vAlign w:val="bottom"/>
            <w:hideMark/>
          </w:tcPr>
          <w:p w:rsidR="00361797" w:rsidRDefault="00361797" w:rsidP="00B50E5D">
            <w:pPr>
              <w:rPr>
                <w:rFonts w:cs="Calibri"/>
                <w:b/>
                <w:bCs/>
                <w:i/>
                <w:iCs/>
                <w:szCs w:val="18"/>
              </w:rPr>
            </w:pPr>
            <w:r>
              <w:rPr>
                <w:rFonts w:cs="Calibri"/>
                <w:b/>
                <w:bCs/>
                <w:i/>
                <w:iCs/>
                <w:szCs w:val="18"/>
              </w:rPr>
              <w:t>Total administered</w:t>
            </w:r>
          </w:p>
        </w:tc>
        <w:tc>
          <w:tcPr>
            <w:tcW w:w="1240"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sz w:val="16"/>
                <w:szCs w:val="16"/>
              </w:rPr>
            </w:pPr>
            <w:r>
              <w:rPr>
                <w:rFonts w:cs="Calibri"/>
                <w:b/>
                <w:bCs/>
                <w:sz w:val="16"/>
                <w:szCs w:val="16"/>
              </w:rPr>
              <w:t>2,163,196</w:t>
            </w:r>
          </w:p>
        </w:tc>
        <w:tc>
          <w:tcPr>
            <w:tcW w:w="1240"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sz w:val="16"/>
                <w:szCs w:val="16"/>
              </w:rPr>
            </w:pPr>
            <w:r>
              <w:rPr>
                <w:rFonts w:cs="Calibri"/>
                <w:sz w:val="16"/>
                <w:szCs w:val="16"/>
              </w:rPr>
              <w:t>788,405</w:t>
            </w:r>
          </w:p>
        </w:tc>
      </w:tr>
    </w:tbl>
    <w:p w:rsidR="00361797" w:rsidRDefault="00361797" w:rsidP="00361797">
      <w:pPr>
        <w:spacing w:line="240" w:lineRule="auto"/>
        <w:rPr>
          <w:i/>
        </w:rPr>
      </w:pPr>
      <w:bookmarkStart w:id="433" w:name="RANGE!D7:F29"/>
      <w:bookmarkStart w:id="434" w:name="RANGE!D7:F34"/>
      <w:bookmarkStart w:id="435" w:name="RANGE!D7:F30"/>
      <w:bookmarkStart w:id="436" w:name="RANGE!D6:F15"/>
      <w:bookmarkStart w:id="437" w:name="RANGE!D6:F16"/>
      <w:bookmarkStart w:id="438" w:name="RANGE!D6:I16"/>
      <w:bookmarkStart w:id="439" w:name="RANGE!D20:F31"/>
      <w:bookmarkStart w:id="440" w:name="RANGE!D20:F27"/>
      <w:bookmarkEnd w:id="433"/>
      <w:bookmarkEnd w:id="434"/>
      <w:bookmarkEnd w:id="435"/>
      <w:bookmarkEnd w:id="436"/>
      <w:bookmarkEnd w:id="437"/>
      <w:bookmarkEnd w:id="438"/>
      <w:bookmarkEnd w:id="439"/>
      <w:bookmarkEnd w:id="440"/>
    </w:p>
    <w:p w:rsidR="00361797" w:rsidRDefault="00361797" w:rsidP="00361797">
      <w:pPr>
        <w:spacing w:line="240" w:lineRule="auto"/>
        <w:rPr>
          <w:i/>
        </w:rPr>
        <w:sectPr w:rsidR="00361797">
          <w:pgSz w:w="11906" w:h="16838"/>
          <w:pgMar w:top="1134" w:right="1134" w:bottom="1134" w:left="1134" w:header="958" w:footer="737" w:gutter="0"/>
          <w:cols w:space="720"/>
        </w:sectPr>
      </w:pPr>
      <w:r w:rsidRPr="00CA4344">
        <w:rPr>
          <w:vertAlign w:val="superscript"/>
        </w:rPr>
        <w:t>1</w:t>
      </w:r>
      <w:r>
        <w:t xml:space="preserve"> </w:t>
      </w:r>
      <w:r w:rsidRPr="00C35E4F">
        <w:t xml:space="preserve">These amounts </w:t>
      </w:r>
      <w:r>
        <w:t>were</w:t>
      </w:r>
      <w:r w:rsidRPr="00C35E4F">
        <w:t xml:space="preserve"> formally lapsed in 2013</w:t>
      </w:r>
      <w:r>
        <w:t>–</w:t>
      </w:r>
      <w:r w:rsidRPr="00C35E4F">
        <w:t>14 with the commencement of the</w:t>
      </w:r>
      <w:r>
        <w:rPr>
          <w:i/>
        </w:rPr>
        <w:t xml:space="preserve"> Statute Stocktake (Appropriations) Act 2013.</w:t>
      </w:r>
    </w:p>
    <w:tbl>
      <w:tblPr>
        <w:tblW w:w="13991" w:type="dxa"/>
        <w:tblInd w:w="80" w:type="dxa"/>
        <w:tblLayout w:type="fixed"/>
        <w:tblLook w:val="04A0" w:firstRow="1" w:lastRow="0" w:firstColumn="1" w:lastColumn="0" w:noHBand="0" w:noVBand="1"/>
      </w:tblPr>
      <w:tblGrid>
        <w:gridCol w:w="5072"/>
        <w:gridCol w:w="1795"/>
        <w:gridCol w:w="4678"/>
        <w:gridCol w:w="1223"/>
        <w:gridCol w:w="1223"/>
      </w:tblGrid>
      <w:tr w:rsidR="00361797" w:rsidTr="00B50E5D">
        <w:trPr>
          <w:trHeight w:val="255"/>
        </w:trPr>
        <w:tc>
          <w:tcPr>
            <w:tcW w:w="13685" w:type="dxa"/>
            <w:gridSpan w:val="5"/>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41" w:name="Note_DSATABLE1" w:colFirst="0" w:colLast="0"/>
            <w:r>
              <w:rPr>
                <w:rFonts w:cs="Calibri"/>
                <w:b/>
                <w:bCs/>
                <w:szCs w:val="18"/>
                <w:u w:val="single"/>
              </w:rPr>
              <w:lastRenderedPageBreak/>
              <w:t xml:space="preserve">Note </w:t>
            </w:r>
            <w:proofErr w:type="spellStart"/>
            <w:r>
              <w:rPr>
                <w:rFonts w:cs="Calibri"/>
                <w:b/>
                <w:bCs/>
                <w:szCs w:val="18"/>
                <w:u w:val="single"/>
              </w:rPr>
              <w:t>28D</w:t>
            </w:r>
            <w:proofErr w:type="spellEnd"/>
            <w:r>
              <w:rPr>
                <w:rFonts w:cs="Calibri"/>
                <w:b/>
                <w:bCs/>
                <w:szCs w:val="18"/>
                <w:u w:val="single"/>
              </w:rPr>
              <w:t>: Special Appropriations (Recoverable GST exclusive)</w:t>
            </w:r>
          </w:p>
        </w:tc>
      </w:tr>
      <w:bookmarkEnd w:id="441"/>
      <w:tr w:rsidR="00361797" w:rsidTr="00B50E5D">
        <w:trPr>
          <w:trHeight w:val="255"/>
        </w:trPr>
        <w:tc>
          <w:tcPr>
            <w:tcW w:w="4961"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7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45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961"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Authority</w:t>
            </w:r>
          </w:p>
        </w:tc>
        <w:tc>
          <w:tcPr>
            <w:tcW w:w="175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Type</w:t>
            </w:r>
          </w:p>
        </w:tc>
        <w:tc>
          <w:tcPr>
            <w:tcW w:w="457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Purpose</w:t>
            </w:r>
          </w:p>
        </w:tc>
        <w:tc>
          <w:tcPr>
            <w:tcW w:w="2392" w:type="dxa"/>
            <w:gridSpan w:val="2"/>
            <w:tcBorders>
              <w:top w:val="single" w:sz="4" w:space="0" w:color="auto"/>
              <w:left w:val="nil"/>
              <w:bottom w:val="single" w:sz="4" w:space="0" w:color="auto"/>
              <w:right w:val="single" w:sz="4" w:space="0" w:color="000000"/>
            </w:tcBorders>
            <w:shd w:val="clear" w:color="FFFFFF" w:fill="FFFFFF"/>
            <w:vAlign w:val="bottom"/>
            <w:hideMark/>
          </w:tcPr>
          <w:p w:rsidR="00361797" w:rsidRDefault="00361797" w:rsidP="00B50E5D">
            <w:pPr>
              <w:jc w:val="center"/>
              <w:rPr>
                <w:rFonts w:cs="Calibri"/>
                <w:b/>
                <w:bCs/>
                <w:szCs w:val="18"/>
              </w:rPr>
            </w:pPr>
            <w:r>
              <w:rPr>
                <w:rFonts w:cs="Calibri"/>
                <w:b/>
                <w:bCs/>
                <w:szCs w:val="18"/>
              </w:rPr>
              <w:t>Appropriation applied</w:t>
            </w:r>
          </w:p>
        </w:tc>
      </w:tr>
      <w:tr w:rsidR="00361797" w:rsidTr="00B50E5D">
        <w:trPr>
          <w:trHeight w:val="255"/>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196" w:type="dxa"/>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96" w:type="dxa"/>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196" w:type="dxa"/>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48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A New Tax System (Family Assistance) (Administration) Act 1999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An Act to enable the payment of family assistance to support families.</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1,353,586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4,748,386 </w:t>
            </w:r>
          </w:p>
        </w:tc>
      </w:tr>
      <w:tr w:rsidR="00361797" w:rsidTr="00B50E5D">
        <w:trPr>
          <w:trHeight w:val="48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Early Years Quality Fund Special Account Act 2013</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An Act to establish the Early Years Quality Fund Special Account and for related purposes.</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135,000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72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Schools Assistance Act 2008 - Section 167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 xml:space="preserve">An Act to grant financial assistance to the states and territories for 2005 to 2008 for primary and secondary education, and for related purposes.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1,939,863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7,979,500 </w:t>
            </w:r>
          </w:p>
        </w:tc>
      </w:tr>
      <w:tr w:rsidR="00361797" w:rsidTr="00B50E5D">
        <w:trPr>
          <w:trHeight w:val="48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 xml:space="preserve">Student Assistance Act 1973 - Section </w:t>
            </w:r>
            <w:proofErr w:type="spellStart"/>
            <w:r>
              <w:rPr>
                <w:rFonts w:cs="Calibri"/>
                <w:szCs w:val="18"/>
              </w:rPr>
              <w:t>55A</w:t>
            </w:r>
            <w:proofErr w:type="spellEnd"/>
            <w:r>
              <w:rPr>
                <w:rFonts w:cs="Calibri"/>
                <w:szCs w:val="18"/>
              </w:rPr>
              <w:t xml:space="preserve">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 xml:space="preserve">An Act to provide certain benefits to certain students and for other purposes.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69,965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290,571 </w:t>
            </w:r>
          </w:p>
        </w:tc>
      </w:tr>
      <w:tr w:rsidR="00361797" w:rsidTr="00B50E5D">
        <w:trPr>
          <w:trHeight w:val="72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Fair Entitlements Guarantee Act 2012 - Section 50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An Act to provide for financial assistance for workers who have not been fully paid for work done for insolvents or bankrupts, and for related purposes.</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36,505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34,308 </w:t>
            </w:r>
          </w:p>
        </w:tc>
      </w:tr>
      <w:tr w:rsidR="00361797" w:rsidTr="00B50E5D">
        <w:trPr>
          <w:trHeight w:val="72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Indigenous Education (Targeted Assistance) Act 2000 - Section 14, Administration, Limit for the reporting period and total limit for all reporting periods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 xml:space="preserve">An Act to provide targeted financial assistance to advance the education of Indigenous Australians and for other related purposes.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29,013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137,830 </w:t>
            </w:r>
          </w:p>
        </w:tc>
      </w:tr>
      <w:tr w:rsidR="00361797" w:rsidTr="00B50E5D">
        <w:trPr>
          <w:trHeight w:val="48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Social Security Administration Act 1999 - Section 242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An Act to provide income support assistance for individuals.</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3,439,771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14,940,551 </w:t>
            </w:r>
          </w:p>
        </w:tc>
      </w:tr>
      <w:tr w:rsidR="00361797" w:rsidTr="00B50E5D">
        <w:trPr>
          <w:trHeight w:val="480"/>
        </w:trPr>
        <w:tc>
          <w:tcPr>
            <w:tcW w:w="4961"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Coal Mining Industry (Long Service Leave Funding) Act 1992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 xml:space="preserve">An Act to manage the long service </w:t>
            </w:r>
            <w:proofErr w:type="gramStart"/>
            <w:r>
              <w:rPr>
                <w:rFonts w:cs="Calibri"/>
                <w:szCs w:val="18"/>
              </w:rPr>
              <w:t>leave</w:t>
            </w:r>
            <w:proofErr w:type="gramEnd"/>
            <w:r>
              <w:rPr>
                <w:rFonts w:cs="Calibri"/>
                <w:szCs w:val="18"/>
              </w:rPr>
              <w:t xml:space="preserve"> entitlement of the Coal Mining Industry.</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42,216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170,454 </w:t>
            </w:r>
          </w:p>
        </w:tc>
      </w:tr>
    </w:tbl>
    <w:p w:rsidR="00361797" w:rsidRDefault="00361797" w:rsidP="00361797">
      <w:bookmarkStart w:id="442" w:name="RANGE!D7:H21"/>
      <w:bookmarkStart w:id="443" w:name="RANGE!D7:H30"/>
      <w:bookmarkStart w:id="444" w:name="RANGE!D7:H29"/>
      <w:bookmarkStart w:id="445" w:name="RANGE!D7:H24"/>
      <w:bookmarkStart w:id="446" w:name="RANGE!D7:H26"/>
      <w:bookmarkStart w:id="447" w:name="RANGE!D6:H25"/>
      <w:bookmarkStart w:id="448" w:name="RANGE!D6:I15"/>
      <w:bookmarkEnd w:id="442"/>
      <w:bookmarkEnd w:id="443"/>
      <w:bookmarkEnd w:id="444"/>
      <w:bookmarkEnd w:id="445"/>
      <w:bookmarkEnd w:id="446"/>
      <w:bookmarkEnd w:id="447"/>
      <w:bookmarkEnd w:id="448"/>
    </w:p>
    <w:p w:rsidR="00361797" w:rsidRDefault="00361797" w:rsidP="00361797">
      <w:pPr>
        <w:pStyle w:val="ReferenceText"/>
      </w:pPr>
    </w:p>
    <w:p w:rsidR="00361797" w:rsidRDefault="00361797" w:rsidP="00361797">
      <w:r>
        <w:br w:type="page"/>
      </w:r>
    </w:p>
    <w:tbl>
      <w:tblPr>
        <w:tblW w:w="13991" w:type="dxa"/>
        <w:tblInd w:w="80" w:type="dxa"/>
        <w:tblLayout w:type="fixed"/>
        <w:tblLook w:val="04A0" w:firstRow="1" w:lastRow="0" w:firstColumn="1" w:lastColumn="0" w:noHBand="0" w:noVBand="1"/>
      </w:tblPr>
      <w:tblGrid>
        <w:gridCol w:w="5069"/>
        <w:gridCol w:w="1796"/>
        <w:gridCol w:w="4680"/>
        <w:gridCol w:w="1223"/>
        <w:gridCol w:w="1223"/>
      </w:tblGrid>
      <w:tr w:rsidR="00361797" w:rsidTr="00B50E5D">
        <w:trPr>
          <w:trHeight w:val="255"/>
        </w:trPr>
        <w:tc>
          <w:tcPr>
            <w:tcW w:w="13680" w:type="dxa"/>
            <w:gridSpan w:val="5"/>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49" w:name="RANGE!D25:D33"/>
            <w:bookmarkStart w:id="450" w:name="Note_DSATABLE2" w:colFirst="0" w:colLast="0"/>
            <w:r>
              <w:rPr>
                <w:rFonts w:cs="Calibri"/>
                <w:b/>
                <w:bCs/>
                <w:szCs w:val="18"/>
                <w:u w:val="single"/>
              </w:rPr>
              <w:lastRenderedPageBreak/>
              <w:t xml:space="preserve">Note </w:t>
            </w:r>
            <w:proofErr w:type="spellStart"/>
            <w:r>
              <w:rPr>
                <w:rFonts w:cs="Calibri"/>
                <w:b/>
                <w:bCs/>
                <w:szCs w:val="18"/>
                <w:u w:val="single"/>
              </w:rPr>
              <w:t>28D</w:t>
            </w:r>
            <w:proofErr w:type="spellEnd"/>
            <w:r>
              <w:rPr>
                <w:rFonts w:cs="Calibri"/>
                <w:b/>
                <w:bCs/>
                <w:szCs w:val="18"/>
                <w:u w:val="single"/>
              </w:rPr>
              <w:t>: Special Appropriations (Recoverable GST exclusive) continued</w:t>
            </w:r>
            <w:bookmarkEnd w:id="449"/>
          </w:p>
        </w:tc>
      </w:tr>
      <w:bookmarkEnd w:id="450"/>
      <w:tr w:rsidR="00361797" w:rsidTr="00B50E5D">
        <w:trPr>
          <w:trHeight w:val="255"/>
        </w:trPr>
        <w:tc>
          <w:tcPr>
            <w:tcW w:w="49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7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457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r>
      <w:tr w:rsidR="00361797" w:rsidTr="00B50E5D">
        <w:trPr>
          <w:trHeight w:val="255"/>
        </w:trPr>
        <w:tc>
          <w:tcPr>
            <w:tcW w:w="495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Authority</w:t>
            </w:r>
          </w:p>
        </w:tc>
        <w:tc>
          <w:tcPr>
            <w:tcW w:w="175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Type</w:t>
            </w:r>
          </w:p>
        </w:tc>
        <w:tc>
          <w:tcPr>
            <w:tcW w:w="457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Purpose</w:t>
            </w:r>
          </w:p>
        </w:tc>
        <w:tc>
          <w:tcPr>
            <w:tcW w:w="2392"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Appropriation applied</w:t>
            </w:r>
          </w:p>
        </w:tc>
      </w:tr>
      <w:tr w:rsidR="00361797" w:rsidTr="00B50E5D">
        <w:trPr>
          <w:trHeight w:val="255"/>
        </w:trPr>
        <w:tc>
          <w:tcPr>
            <w:tcW w:w="495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19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9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95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19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Safety, Rehabilitation and Compensation Act 1988 (</w:t>
            </w:r>
            <w:proofErr w:type="spellStart"/>
            <w:r>
              <w:rPr>
                <w:rFonts w:cs="Calibri"/>
                <w:szCs w:val="18"/>
              </w:rPr>
              <w:t>SRC</w:t>
            </w:r>
            <w:proofErr w:type="spellEnd"/>
            <w:r>
              <w:rPr>
                <w:rFonts w:cs="Calibri"/>
                <w:szCs w:val="18"/>
              </w:rPr>
              <w:t xml:space="preserve"> Act)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 xml:space="preserve">An Act to provide for the payment of workers compensation claims and associated expenses in accordance with the provisions of the </w:t>
            </w:r>
            <w:proofErr w:type="spellStart"/>
            <w:r>
              <w:rPr>
                <w:rFonts w:cs="Calibri"/>
                <w:szCs w:val="18"/>
              </w:rPr>
              <w:t>SRC</w:t>
            </w:r>
            <w:proofErr w:type="spellEnd"/>
            <w:r>
              <w:rPr>
                <w:rFonts w:cs="Calibri"/>
                <w:szCs w:val="18"/>
              </w:rPr>
              <w:t xml:space="preserve"> Act.</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10,589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39,661 </w:t>
            </w:r>
          </w:p>
        </w:tc>
      </w:tr>
      <w:tr w:rsidR="00361797" w:rsidTr="00B50E5D">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Asbestos-related Claims (Management of Commonwealth Liabilities) Act 2005 (Administered)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Unlimited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An Act to assign responsibility for the management of certain liabilities relating to asbestos-related claims, and for related purposes.</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5,989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27,890 </w:t>
            </w:r>
          </w:p>
        </w:tc>
      </w:tr>
      <w:tr w:rsidR="00361797" w:rsidTr="00B50E5D">
        <w:trPr>
          <w:trHeight w:val="480"/>
        </w:trPr>
        <w:tc>
          <w:tcPr>
            <w:tcW w:w="4956" w:type="dxa"/>
            <w:tcBorders>
              <w:top w:val="nil"/>
              <w:left w:val="single" w:sz="4" w:space="0" w:color="auto"/>
              <w:bottom w:val="single" w:sz="4" w:space="0" w:color="auto"/>
              <w:right w:val="single" w:sz="4" w:space="0" w:color="auto"/>
            </w:tcBorders>
            <w:shd w:val="clear" w:color="FFFFFF" w:fill="FFFFFF"/>
            <w:hideMark/>
          </w:tcPr>
          <w:p w:rsidR="00361797" w:rsidRDefault="00361797" w:rsidP="00B50E5D">
            <w:pPr>
              <w:rPr>
                <w:rFonts w:cs="Calibri"/>
                <w:szCs w:val="18"/>
              </w:rPr>
            </w:pPr>
            <w:r>
              <w:rPr>
                <w:rFonts w:cs="Calibri"/>
                <w:szCs w:val="18"/>
              </w:rPr>
              <w:t>Air Passenger Ticket Levy (Collection) Act 2001 [Administered</w:t>
            </w:r>
            <w:proofErr w:type="gramStart"/>
            <w:r>
              <w:rPr>
                <w:rFonts w:cs="Calibri"/>
                <w:szCs w:val="18"/>
              </w:rPr>
              <w:t>]  Appropriation</w:t>
            </w:r>
            <w:proofErr w:type="gramEnd"/>
            <w:r>
              <w:rPr>
                <w:rFonts w:cs="Calibri"/>
                <w:szCs w:val="18"/>
              </w:rPr>
              <w:t xml:space="preserve"> limited to $500,000,000.</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Limited Amount</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szCs w:val="18"/>
              </w:rPr>
            </w:pPr>
            <w:r>
              <w:rPr>
                <w:rFonts w:cs="Calibri"/>
                <w:szCs w:val="18"/>
              </w:rPr>
              <w:t xml:space="preserve">To provide a safety net arrangement for former employees of the Ansett Group of Companies.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 xml:space="preserve"> -</w:t>
            </w:r>
          </w:p>
        </w:tc>
      </w:tr>
      <w:tr w:rsidR="00361797" w:rsidTr="00B50E5D">
        <w:trPr>
          <w:trHeight w:val="255"/>
        </w:trPr>
        <w:tc>
          <w:tcPr>
            <w:tcW w:w="4956"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Total special appropriations applied</w:t>
            </w:r>
          </w:p>
        </w:tc>
        <w:tc>
          <w:tcPr>
            <w:tcW w:w="175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4576"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 w:val="16"/>
                <w:szCs w:val="16"/>
              </w:rPr>
            </w:pPr>
            <w:r>
              <w:rPr>
                <w:rFonts w:cs="Calibri"/>
                <w:b/>
                <w:bCs/>
                <w:sz w:val="16"/>
                <w:szCs w:val="16"/>
              </w:rPr>
              <w:t>7,062,497</w:t>
            </w:r>
          </w:p>
        </w:tc>
        <w:tc>
          <w:tcPr>
            <w:tcW w:w="1196"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 w:val="16"/>
                <w:szCs w:val="16"/>
              </w:rPr>
            </w:pPr>
            <w:r>
              <w:rPr>
                <w:rFonts w:cs="Calibri"/>
                <w:sz w:val="16"/>
                <w:szCs w:val="16"/>
              </w:rPr>
              <w:t>28,369,151</w:t>
            </w:r>
          </w:p>
        </w:tc>
      </w:tr>
    </w:tbl>
    <w:p w:rsidR="00361797" w:rsidRDefault="00361797" w:rsidP="00361797">
      <w:pPr>
        <w:spacing w:line="240" w:lineRule="auto"/>
        <w:sectPr w:rsidR="00361797">
          <w:pgSz w:w="16838" w:h="11906" w:orient="landscape"/>
          <w:pgMar w:top="1134" w:right="1134" w:bottom="1134" w:left="1134" w:header="958" w:footer="737" w:gutter="0"/>
          <w:cols w:space="720"/>
        </w:sectPr>
      </w:pPr>
      <w:bookmarkStart w:id="451" w:name="RANGE!D25:H33"/>
      <w:bookmarkEnd w:id="451"/>
    </w:p>
    <w:tbl>
      <w:tblPr>
        <w:tblW w:w="9087" w:type="dxa"/>
        <w:tblInd w:w="80" w:type="dxa"/>
        <w:tblLayout w:type="fixed"/>
        <w:tblLook w:val="04A0" w:firstRow="1" w:lastRow="0" w:firstColumn="1" w:lastColumn="0" w:noHBand="0" w:noVBand="1"/>
      </w:tblPr>
      <w:tblGrid>
        <w:gridCol w:w="3701"/>
        <w:gridCol w:w="1009"/>
        <w:gridCol w:w="1008"/>
        <w:gridCol w:w="1007"/>
        <w:gridCol w:w="1181"/>
        <w:gridCol w:w="1181"/>
      </w:tblGrid>
      <w:tr w:rsidR="00361797" w:rsidTr="00B50E5D">
        <w:trPr>
          <w:trHeight w:val="255"/>
        </w:trPr>
        <w:tc>
          <w:tcPr>
            <w:tcW w:w="8985" w:type="dxa"/>
            <w:gridSpan w:val="6"/>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52" w:name="Note_DACTABLE1" w:colFirst="0" w:colLast="0"/>
            <w:r>
              <w:rPr>
                <w:rFonts w:cs="Calibri"/>
                <w:b/>
                <w:bCs/>
                <w:szCs w:val="18"/>
                <w:u w:val="single"/>
              </w:rPr>
              <w:lastRenderedPageBreak/>
              <w:t xml:space="preserve">Note </w:t>
            </w:r>
            <w:proofErr w:type="spellStart"/>
            <w:r>
              <w:rPr>
                <w:rFonts w:cs="Calibri"/>
                <w:b/>
                <w:bCs/>
                <w:szCs w:val="18"/>
                <w:u w:val="single"/>
              </w:rPr>
              <w:t>28E</w:t>
            </w:r>
            <w:proofErr w:type="spellEnd"/>
            <w:r>
              <w:rPr>
                <w:rFonts w:cs="Calibri"/>
                <w:b/>
                <w:bCs/>
                <w:szCs w:val="18"/>
                <w:u w:val="single"/>
              </w:rPr>
              <w:t>: Disclosure by Agent in Relation to Annual and Special Appropriations ('Recoverable GST exclusive')</w:t>
            </w:r>
          </w:p>
        </w:tc>
      </w:tr>
      <w:bookmarkEnd w:id="452"/>
      <w:tr w:rsidR="00361797" w:rsidTr="00B50E5D">
        <w:trPr>
          <w:trHeight w:val="255"/>
        </w:trPr>
        <w:tc>
          <w:tcPr>
            <w:tcW w:w="365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6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6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930"/>
        </w:trPr>
        <w:tc>
          <w:tcPr>
            <w:tcW w:w="3658" w:type="dxa"/>
            <w:tcBorders>
              <w:top w:val="single" w:sz="4" w:space="0" w:color="auto"/>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998"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993" w:type="dxa"/>
            <w:gridSpan w:val="2"/>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Department of Industry, Innovation, Climate Change, Science, Research and Tertiary Education</w:t>
            </w:r>
          </w:p>
        </w:tc>
        <w:tc>
          <w:tcPr>
            <w:tcW w:w="2336" w:type="dxa"/>
            <w:gridSpan w:val="2"/>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Department of Families, Housing, Community Services, and Indigenous Affairs</w:t>
            </w:r>
          </w:p>
        </w:tc>
      </w:tr>
      <w:tr w:rsidR="00361797" w:rsidTr="00B50E5D">
        <w:trPr>
          <w:trHeight w:val="255"/>
        </w:trPr>
        <w:tc>
          <w:tcPr>
            <w:tcW w:w="3658" w:type="dxa"/>
            <w:tcBorders>
              <w:top w:val="nil"/>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2014</w:t>
            </w:r>
          </w:p>
        </w:tc>
        <w:tc>
          <w:tcPr>
            <w:tcW w:w="998"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993" w:type="dxa"/>
            <w:gridSpan w:val="2"/>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36" w:type="dxa"/>
            <w:gridSpan w:val="2"/>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365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Total receipts</w:t>
            </w:r>
          </w:p>
        </w:tc>
        <w:tc>
          <w:tcPr>
            <w:tcW w:w="99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993" w:type="dxa"/>
            <w:gridSpan w:val="2"/>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36" w:type="dxa"/>
            <w:gridSpan w:val="2"/>
            <w:tcBorders>
              <w:top w:val="single" w:sz="4" w:space="0" w:color="auto"/>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57 </w:t>
            </w:r>
          </w:p>
        </w:tc>
      </w:tr>
      <w:tr w:rsidR="00361797" w:rsidTr="00B50E5D">
        <w:trPr>
          <w:trHeight w:val="255"/>
        </w:trPr>
        <w:tc>
          <w:tcPr>
            <w:tcW w:w="3658" w:type="dxa"/>
            <w:tcBorders>
              <w:top w:val="nil"/>
              <w:left w:val="nil"/>
              <w:bottom w:val="single" w:sz="4" w:space="0" w:color="auto"/>
              <w:right w:val="nil"/>
            </w:tcBorders>
            <w:shd w:val="clear" w:color="FFFFFF" w:fill="FFFFFF"/>
            <w:vAlign w:val="bottom"/>
            <w:hideMark/>
          </w:tcPr>
          <w:p w:rsidR="00361797" w:rsidRDefault="00361797" w:rsidP="00B50E5D">
            <w:pPr>
              <w:rPr>
                <w:rFonts w:cs="Calibri"/>
                <w:szCs w:val="18"/>
              </w:rPr>
            </w:pPr>
            <w:r>
              <w:rPr>
                <w:rFonts w:cs="Calibri"/>
                <w:szCs w:val="18"/>
              </w:rPr>
              <w:t>Total payments</w:t>
            </w:r>
          </w:p>
        </w:tc>
        <w:tc>
          <w:tcPr>
            <w:tcW w:w="998"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993" w:type="dxa"/>
            <w:gridSpan w:val="2"/>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36" w:type="dxa"/>
            <w:gridSpan w:val="2"/>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(300)</w:t>
            </w:r>
          </w:p>
        </w:tc>
      </w:tr>
      <w:tr w:rsidR="00361797" w:rsidTr="00B50E5D">
        <w:trPr>
          <w:trHeight w:val="255"/>
        </w:trPr>
        <w:tc>
          <w:tcPr>
            <w:tcW w:w="365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6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6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365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99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6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6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945"/>
        </w:trPr>
        <w:tc>
          <w:tcPr>
            <w:tcW w:w="3658" w:type="dxa"/>
            <w:tcBorders>
              <w:top w:val="single" w:sz="4" w:space="0" w:color="auto"/>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 </w:t>
            </w:r>
          </w:p>
        </w:tc>
        <w:tc>
          <w:tcPr>
            <w:tcW w:w="998"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993" w:type="dxa"/>
            <w:gridSpan w:val="2"/>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Department of Industry, Innovation, Science, Research and Tertiary Education</w:t>
            </w:r>
          </w:p>
        </w:tc>
        <w:tc>
          <w:tcPr>
            <w:tcW w:w="2336" w:type="dxa"/>
            <w:gridSpan w:val="2"/>
            <w:tcBorders>
              <w:top w:val="single" w:sz="4" w:space="0" w:color="auto"/>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Department of Families, Housing, Community Services, and Indigenous Affairs</w:t>
            </w:r>
          </w:p>
        </w:tc>
      </w:tr>
      <w:tr w:rsidR="00361797" w:rsidTr="00B50E5D">
        <w:trPr>
          <w:trHeight w:val="255"/>
        </w:trPr>
        <w:tc>
          <w:tcPr>
            <w:tcW w:w="3658" w:type="dxa"/>
            <w:tcBorders>
              <w:top w:val="nil"/>
              <w:left w:val="nil"/>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2013</w:t>
            </w:r>
          </w:p>
        </w:tc>
        <w:tc>
          <w:tcPr>
            <w:tcW w:w="998"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993" w:type="dxa"/>
            <w:gridSpan w:val="2"/>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336" w:type="dxa"/>
            <w:gridSpan w:val="2"/>
            <w:tcBorders>
              <w:top w:val="nil"/>
              <w:left w:val="nil"/>
              <w:bottom w:val="single" w:sz="4" w:space="0" w:color="auto"/>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r>
      <w:tr w:rsidR="00361797" w:rsidTr="00B50E5D">
        <w:trPr>
          <w:trHeight w:val="255"/>
        </w:trPr>
        <w:tc>
          <w:tcPr>
            <w:tcW w:w="365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Total receipts</w:t>
            </w:r>
          </w:p>
        </w:tc>
        <w:tc>
          <w:tcPr>
            <w:tcW w:w="99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993" w:type="dxa"/>
            <w:gridSpan w:val="2"/>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918 </w:t>
            </w:r>
          </w:p>
        </w:tc>
        <w:tc>
          <w:tcPr>
            <w:tcW w:w="2336" w:type="dxa"/>
            <w:gridSpan w:val="2"/>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2,078 </w:t>
            </w:r>
          </w:p>
        </w:tc>
      </w:tr>
      <w:tr w:rsidR="00361797" w:rsidTr="00B50E5D">
        <w:trPr>
          <w:trHeight w:val="255"/>
        </w:trPr>
        <w:tc>
          <w:tcPr>
            <w:tcW w:w="3658" w:type="dxa"/>
            <w:tcBorders>
              <w:top w:val="nil"/>
              <w:left w:val="nil"/>
              <w:bottom w:val="single" w:sz="4" w:space="0" w:color="auto"/>
              <w:right w:val="nil"/>
            </w:tcBorders>
            <w:shd w:val="clear" w:color="FFFFFF" w:fill="FFFFFF"/>
            <w:vAlign w:val="bottom"/>
            <w:hideMark/>
          </w:tcPr>
          <w:p w:rsidR="00361797" w:rsidRDefault="00361797" w:rsidP="00B50E5D">
            <w:pPr>
              <w:rPr>
                <w:rFonts w:cs="Calibri"/>
                <w:szCs w:val="18"/>
              </w:rPr>
            </w:pPr>
            <w:r>
              <w:rPr>
                <w:rFonts w:cs="Calibri"/>
                <w:szCs w:val="18"/>
              </w:rPr>
              <w:t>Total payments</w:t>
            </w:r>
          </w:p>
        </w:tc>
        <w:tc>
          <w:tcPr>
            <w:tcW w:w="998"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993" w:type="dxa"/>
            <w:gridSpan w:val="2"/>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(918)</w:t>
            </w:r>
          </w:p>
        </w:tc>
        <w:tc>
          <w:tcPr>
            <w:tcW w:w="2336" w:type="dxa"/>
            <w:gridSpan w:val="2"/>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(1,835)</w:t>
            </w:r>
          </w:p>
        </w:tc>
      </w:tr>
    </w:tbl>
    <w:p w:rsidR="00361797" w:rsidRDefault="00361797" w:rsidP="00361797">
      <w:pPr>
        <w:spacing w:line="240" w:lineRule="auto"/>
        <w:sectPr w:rsidR="00361797">
          <w:pgSz w:w="11906" w:h="16838"/>
          <w:pgMar w:top="1134" w:right="1134" w:bottom="1134" w:left="1134" w:header="958" w:footer="737" w:gutter="0"/>
          <w:cols w:space="720"/>
        </w:sectPr>
      </w:pPr>
      <w:bookmarkStart w:id="453" w:name="RANGE!D25:H32"/>
      <w:bookmarkEnd w:id="453"/>
    </w:p>
    <w:tbl>
      <w:tblPr>
        <w:tblW w:w="13991" w:type="dxa"/>
        <w:tblInd w:w="80" w:type="dxa"/>
        <w:tblLayout w:type="fixed"/>
        <w:tblLook w:val="04A0" w:firstRow="1" w:lastRow="0" w:firstColumn="1" w:lastColumn="0" w:noHBand="0" w:noVBand="1"/>
      </w:tblPr>
      <w:tblGrid>
        <w:gridCol w:w="4768"/>
        <w:gridCol w:w="1855"/>
        <w:gridCol w:w="1828"/>
        <w:gridCol w:w="1856"/>
        <w:gridCol w:w="1856"/>
        <w:gridCol w:w="1828"/>
      </w:tblGrid>
      <w:tr w:rsidR="00361797" w:rsidTr="00B50E5D">
        <w:trPr>
          <w:trHeight w:val="255"/>
        </w:trPr>
        <w:tc>
          <w:tcPr>
            <w:tcW w:w="5349" w:type="dxa"/>
            <w:gridSpan w:val="2"/>
            <w:tcBorders>
              <w:top w:val="nil"/>
              <w:left w:val="nil"/>
              <w:bottom w:val="nil"/>
              <w:right w:val="nil"/>
            </w:tcBorders>
            <w:shd w:val="clear" w:color="auto" w:fill="auto"/>
            <w:noWrap/>
            <w:hideMark/>
          </w:tcPr>
          <w:p w:rsidR="00361797" w:rsidRDefault="00361797" w:rsidP="00B50E5D">
            <w:pPr>
              <w:rPr>
                <w:rFonts w:cs="Calibri"/>
                <w:b/>
                <w:bCs/>
                <w:szCs w:val="18"/>
                <w:u w:val="single"/>
              </w:rPr>
            </w:pPr>
            <w:bookmarkStart w:id="454" w:name="Note_ARATABLE1" w:colFirst="0" w:colLast="0"/>
            <w:r>
              <w:rPr>
                <w:rFonts w:cs="Calibri"/>
                <w:b/>
                <w:bCs/>
                <w:szCs w:val="18"/>
                <w:u w:val="single"/>
              </w:rPr>
              <w:lastRenderedPageBreak/>
              <w:t xml:space="preserve">Note </w:t>
            </w:r>
            <w:proofErr w:type="spellStart"/>
            <w:r>
              <w:rPr>
                <w:rFonts w:cs="Calibri"/>
                <w:b/>
                <w:bCs/>
                <w:szCs w:val="18"/>
                <w:u w:val="single"/>
              </w:rPr>
              <w:t>28F</w:t>
            </w:r>
            <w:proofErr w:type="spellEnd"/>
            <w:r>
              <w:rPr>
                <w:rFonts w:cs="Calibri"/>
                <w:b/>
                <w:bCs/>
                <w:szCs w:val="18"/>
                <w:u w:val="single"/>
              </w:rPr>
              <w:t>: Reduction in Administered Items (Recoverable GST exclusive)</w:t>
            </w:r>
          </w:p>
        </w:tc>
        <w:tc>
          <w:tcPr>
            <w:tcW w:w="1476" w:type="dxa"/>
            <w:tcBorders>
              <w:top w:val="nil"/>
              <w:left w:val="nil"/>
              <w:bottom w:val="nil"/>
              <w:right w:val="nil"/>
            </w:tcBorders>
            <w:shd w:val="clear" w:color="auto" w:fill="auto"/>
            <w:hideMark/>
          </w:tcPr>
          <w:p w:rsidR="00361797" w:rsidRDefault="00361797" w:rsidP="00B50E5D">
            <w:pPr>
              <w:rPr>
                <w:rFonts w:ascii="Arial" w:hAnsi="Arial" w:cs="Arial"/>
                <w:b/>
                <w:bCs/>
                <w:szCs w:val="18"/>
                <w:u w:val="single"/>
              </w:rPr>
            </w:pPr>
          </w:p>
        </w:tc>
        <w:tc>
          <w:tcPr>
            <w:tcW w:w="1499" w:type="dxa"/>
            <w:tcBorders>
              <w:top w:val="nil"/>
              <w:left w:val="nil"/>
              <w:bottom w:val="nil"/>
              <w:right w:val="nil"/>
            </w:tcBorders>
            <w:shd w:val="clear" w:color="auto" w:fill="auto"/>
            <w:hideMark/>
          </w:tcPr>
          <w:p w:rsidR="00361797" w:rsidRDefault="00361797" w:rsidP="00B50E5D">
            <w:pPr>
              <w:rPr>
                <w:rFonts w:ascii="Arial" w:hAnsi="Arial" w:cs="Arial"/>
                <w:b/>
                <w:bCs/>
                <w:szCs w:val="18"/>
                <w:u w:val="single"/>
              </w:rPr>
            </w:pPr>
          </w:p>
        </w:tc>
        <w:tc>
          <w:tcPr>
            <w:tcW w:w="1499" w:type="dxa"/>
            <w:tcBorders>
              <w:top w:val="nil"/>
              <w:left w:val="nil"/>
              <w:bottom w:val="nil"/>
              <w:right w:val="nil"/>
            </w:tcBorders>
            <w:shd w:val="clear" w:color="auto" w:fill="auto"/>
            <w:hideMark/>
          </w:tcPr>
          <w:p w:rsidR="00361797" w:rsidRDefault="00361797" w:rsidP="00B50E5D">
            <w:pPr>
              <w:rPr>
                <w:rFonts w:ascii="Arial" w:hAnsi="Arial" w:cs="Arial"/>
                <w:b/>
                <w:bCs/>
                <w:szCs w:val="18"/>
                <w:u w:val="single"/>
              </w:rPr>
            </w:pPr>
          </w:p>
        </w:tc>
        <w:tc>
          <w:tcPr>
            <w:tcW w:w="1476" w:type="dxa"/>
            <w:tcBorders>
              <w:top w:val="nil"/>
              <w:left w:val="nil"/>
              <w:bottom w:val="nil"/>
              <w:right w:val="nil"/>
            </w:tcBorders>
            <w:shd w:val="clear" w:color="auto" w:fill="auto"/>
            <w:hideMark/>
          </w:tcPr>
          <w:p w:rsidR="00361797" w:rsidRDefault="00361797" w:rsidP="00B50E5D">
            <w:pPr>
              <w:rPr>
                <w:rFonts w:ascii="Arial" w:hAnsi="Arial" w:cs="Arial"/>
                <w:b/>
                <w:bCs/>
                <w:szCs w:val="18"/>
                <w:u w:val="single"/>
              </w:rPr>
            </w:pPr>
          </w:p>
        </w:tc>
      </w:tr>
      <w:bookmarkEnd w:id="454"/>
      <w:tr w:rsidR="00361797" w:rsidTr="00B50E5D">
        <w:trPr>
          <w:trHeight w:val="255"/>
        </w:trPr>
        <w:tc>
          <w:tcPr>
            <w:tcW w:w="3851" w:type="dxa"/>
            <w:tcBorders>
              <w:top w:val="nil"/>
              <w:left w:val="nil"/>
              <w:bottom w:val="nil"/>
              <w:right w:val="nil"/>
            </w:tcBorders>
            <w:shd w:val="clear" w:color="auto" w:fill="auto"/>
            <w:noWrap/>
            <w:vAlign w:val="bottom"/>
            <w:hideMark/>
          </w:tcPr>
          <w:p w:rsidR="00361797" w:rsidRDefault="00361797" w:rsidP="00B50E5D">
            <w:pPr>
              <w:rPr>
                <w:rFonts w:ascii="Arial" w:hAnsi="Arial" w:cs="Arial"/>
                <w:sz w:val="20"/>
              </w:rPr>
            </w:pPr>
          </w:p>
        </w:tc>
        <w:tc>
          <w:tcPr>
            <w:tcW w:w="1498" w:type="dxa"/>
            <w:tcBorders>
              <w:top w:val="nil"/>
              <w:left w:val="nil"/>
              <w:bottom w:val="nil"/>
              <w:right w:val="nil"/>
            </w:tcBorders>
            <w:shd w:val="clear" w:color="auto" w:fill="auto"/>
            <w:noWrap/>
            <w:vAlign w:val="bottom"/>
            <w:hideMark/>
          </w:tcPr>
          <w:p w:rsidR="00361797" w:rsidRDefault="00361797" w:rsidP="00B50E5D">
            <w:pPr>
              <w:rPr>
                <w:rFonts w:ascii="Arial" w:hAnsi="Arial" w:cs="Arial"/>
                <w:sz w:val="20"/>
              </w:rPr>
            </w:pPr>
          </w:p>
        </w:tc>
        <w:tc>
          <w:tcPr>
            <w:tcW w:w="1476" w:type="dxa"/>
            <w:tcBorders>
              <w:top w:val="nil"/>
              <w:left w:val="nil"/>
              <w:bottom w:val="nil"/>
              <w:right w:val="nil"/>
            </w:tcBorders>
            <w:shd w:val="clear" w:color="auto" w:fill="auto"/>
            <w:noWrap/>
            <w:vAlign w:val="bottom"/>
            <w:hideMark/>
          </w:tcPr>
          <w:p w:rsidR="00361797" w:rsidRDefault="00361797" w:rsidP="00B50E5D">
            <w:pPr>
              <w:rPr>
                <w:rFonts w:ascii="Arial" w:hAnsi="Arial" w:cs="Arial"/>
                <w:sz w:val="20"/>
              </w:rPr>
            </w:pPr>
          </w:p>
        </w:tc>
        <w:tc>
          <w:tcPr>
            <w:tcW w:w="1499" w:type="dxa"/>
            <w:tcBorders>
              <w:top w:val="nil"/>
              <w:left w:val="nil"/>
              <w:bottom w:val="nil"/>
              <w:right w:val="nil"/>
            </w:tcBorders>
            <w:shd w:val="clear" w:color="auto" w:fill="auto"/>
            <w:noWrap/>
            <w:vAlign w:val="bottom"/>
            <w:hideMark/>
          </w:tcPr>
          <w:p w:rsidR="00361797" w:rsidRDefault="00361797" w:rsidP="00B50E5D">
            <w:pPr>
              <w:rPr>
                <w:rFonts w:ascii="Arial" w:hAnsi="Arial" w:cs="Arial"/>
                <w:sz w:val="20"/>
              </w:rPr>
            </w:pPr>
          </w:p>
        </w:tc>
        <w:tc>
          <w:tcPr>
            <w:tcW w:w="1499" w:type="dxa"/>
            <w:tcBorders>
              <w:top w:val="nil"/>
              <w:left w:val="nil"/>
              <w:bottom w:val="nil"/>
              <w:right w:val="nil"/>
            </w:tcBorders>
            <w:shd w:val="clear" w:color="auto" w:fill="auto"/>
            <w:noWrap/>
            <w:vAlign w:val="bottom"/>
            <w:hideMark/>
          </w:tcPr>
          <w:p w:rsidR="00361797" w:rsidRDefault="00361797" w:rsidP="00B50E5D">
            <w:pPr>
              <w:rPr>
                <w:rFonts w:ascii="Arial" w:hAnsi="Arial" w:cs="Arial"/>
                <w:sz w:val="20"/>
              </w:rPr>
            </w:pPr>
          </w:p>
        </w:tc>
        <w:tc>
          <w:tcPr>
            <w:tcW w:w="1476" w:type="dxa"/>
            <w:tcBorders>
              <w:top w:val="nil"/>
              <w:left w:val="nil"/>
              <w:bottom w:val="nil"/>
              <w:right w:val="nil"/>
            </w:tcBorders>
            <w:shd w:val="clear" w:color="auto" w:fill="auto"/>
            <w:noWrap/>
            <w:vAlign w:val="bottom"/>
            <w:hideMark/>
          </w:tcPr>
          <w:p w:rsidR="00361797" w:rsidRDefault="00361797" w:rsidP="00B50E5D">
            <w:pPr>
              <w:rPr>
                <w:rFonts w:ascii="Arial" w:hAnsi="Arial" w:cs="Arial"/>
                <w:sz w:val="20"/>
              </w:rPr>
            </w:pPr>
          </w:p>
        </w:tc>
      </w:tr>
      <w:tr w:rsidR="00361797" w:rsidTr="00B50E5D">
        <w:trPr>
          <w:trHeight w:val="480"/>
        </w:trPr>
        <w:tc>
          <w:tcPr>
            <w:tcW w:w="3851"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2014</w:t>
            </w:r>
          </w:p>
        </w:tc>
        <w:tc>
          <w:tcPr>
            <w:tcW w:w="2974" w:type="dxa"/>
            <w:gridSpan w:val="2"/>
            <w:tcBorders>
              <w:top w:val="single" w:sz="4" w:space="0" w:color="auto"/>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xml:space="preserve">Amount </w:t>
            </w:r>
            <w:proofErr w:type="spellStart"/>
            <w:r>
              <w:rPr>
                <w:rFonts w:cs="Calibri"/>
                <w:b/>
                <w:bCs/>
                <w:szCs w:val="18"/>
              </w:rPr>
              <w:t>required</w:t>
            </w:r>
            <w:r>
              <w:rPr>
                <w:rFonts w:cs="Calibri"/>
                <w:b/>
                <w:bCs/>
                <w:szCs w:val="18"/>
                <w:vertAlign w:val="superscript"/>
              </w:rPr>
              <w:t>3</w:t>
            </w:r>
            <w:proofErr w:type="spellEnd"/>
            <w:r>
              <w:rPr>
                <w:rFonts w:cs="Calibri"/>
                <w:b/>
                <w:bCs/>
                <w:szCs w:val="18"/>
              </w:rPr>
              <w:t xml:space="preserve"> - by Appropriation Act</w:t>
            </w:r>
          </w:p>
        </w:tc>
        <w:tc>
          <w:tcPr>
            <w:tcW w:w="1499"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Total amount </w:t>
            </w:r>
            <w:proofErr w:type="spellStart"/>
            <w:r>
              <w:rPr>
                <w:rFonts w:cs="Calibri"/>
                <w:b/>
                <w:bCs/>
                <w:szCs w:val="18"/>
              </w:rPr>
              <w:t>required</w:t>
            </w:r>
            <w:r>
              <w:rPr>
                <w:rFonts w:cs="Calibri"/>
                <w:b/>
                <w:bCs/>
                <w:szCs w:val="18"/>
                <w:vertAlign w:val="superscript"/>
              </w:rPr>
              <w:t>3</w:t>
            </w:r>
            <w:proofErr w:type="spellEnd"/>
          </w:p>
        </w:tc>
        <w:tc>
          <w:tcPr>
            <w:tcW w:w="1499"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Total amount </w:t>
            </w:r>
            <w:proofErr w:type="spellStart"/>
            <w:r>
              <w:rPr>
                <w:rFonts w:cs="Calibri"/>
                <w:b/>
                <w:bCs/>
                <w:szCs w:val="18"/>
              </w:rPr>
              <w:t>appropriated</w:t>
            </w:r>
            <w:r>
              <w:rPr>
                <w:rFonts w:cs="Calibri"/>
                <w:b/>
                <w:bCs/>
                <w:szCs w:val="18"/>
                <w:vertAlign w:val="superscript"/>
              </w:rPr>
              <w:t>4</w:t>
            </w:r>
            <w:proofErr w:type="spellEnd"/>
          </w:p>
        </w:tc>
        <w:tc>
          <w:tcPr>
            <w:tcW w:w="147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Total </w:t>
            </w:r>
            <w:proofErr w:type="spellStart"/>
            <w:r>
              <w:rPr>
                <w:rFonts w:cs="Calibri"/>
                <w:b/>
                <w:bCs/>
                <w:szCs w:val="18"/>
              </w:rPr>
              <w:t>reduction</w:t>
            </w:r>
            <w:r>
              <w:rPr>
                <w:rFonts w:cs="Calibri"/>
                <w:b/>
                <w:bCs/>
                <w:szCs w:val="18"/>
                <w:vertAlign w:val="superscript"/>
              </w:rPr>
              <w:t>5</w:t>
            </w:r>
            <w:proofErr w:type="spellEnd"/>
          </w:p>
        </w:tc>
      </w:tr>
      <w:tr w:rsidR="00361797" w:rsidTr="00B50E5D">
        <w:trPr>
          <w:trHeight w:val="255"/>
        </w:trPr>
        <w:tc>
          <w:tcPr>
            <w:tcW w:w="3851" w:type="dxa"/>
            <w:tcBorders>
              <w:top w:val="nil"/>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Ordinary Annual Services</w:t>
            </w:r>
          </w:p>
        </w:tc>
        <w:tc>
          <w:tcPr>
            <w:tcW w:w="1498"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No.1</w:t>
            </w:r>
            <w:proofErr w:type="spellEnd"/>
            <w:r>
              <w:rPr>
                <w:rFonts w:cs="Calibri"/>
                <w:b/>
                <w:bCs/>
                <w:szCs w:val="18"/>
              </w:rPr>
              <w:t>)</w:t>
            </w:r>
          </w:p>
        </w:tc>
        <w:tc>
          <w:tcPr>
            <w:tcW w:w="147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No.3</w:t>
            </w:r>
            <w:proofErr w:type="spellEnd"/>
            <w:r>
              <w:rPr>
                <w:rFonts w:cs="Calibri"/>
                <w:b/>
                <w:bCs/>
                <w:szCs w:val="18"/>
              </w:rPr>
              <w:t>)</w:t>
            </w:r>
          </w:p>
        </w:tc>
        <w:tc>
          <w:tcPr>
            <w:tcW w:w="1499" w:type="dxa"/>
            <w:tcBorders>
              <w:top w:val="nil"/>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w:t>
            </w:r>
          </w:p>
        </w:tc>
        <w:tc>
          <w:tcPr>
            <w:tcW w:w="1499" w:type="dxa"/>
            <w:tcBorders>
              <w:top w:val="nil"/>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w:t>
            </w:r>
          </w:p>
        </w:tc>
        <w:tc>
          <w:tcPr>
            <w:tcW w:w="1476" w:type="dxa"/>
            <w:tcBorders>
              <w:top w:val="nil"/>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w:t>
            </w:r>
          </w:p>
        </w:tc>
      </w:tr>
      <w:tr w:rsidR="00361797" w:rsidTr="00B50E5D">
        <w:trPr>
          <w:trHeight w:val="255"/>
        </w:trPr>
        <w:tc>
          <w:tcPr>
            <w:tcW w:w="3851"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1</w:t>
            </w:r>
          </w:p>
        </w:tc>
        <w:tc>
          <w:tcPr>
            <w:tcW w:w="149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352,572,822.53</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499"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352,572,822.53 </w:t>
            </w:r>
          </w:p>
        </w:tc>
        <w:tc>
          <w:tcPr>
            <w:tcW w:w="149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352,573,000.00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177.47 </w:t>
            </w:r>
          </w:p>
        </w:tc>
      </w:tr>
      <w:tr w:rsidR="00361797" w:rsidTr="00B50E5D">
        <w:trPr>
          <w:trHeight w:val="255"/>
        </w:trPr>
        <w:tc>
          <w:tcPr>
            <w:tcW w:w="3851"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2</w:t>
            </w:r>
          </w:p>
        </w:tc>
        <w:tc>
          <w:tcPr>
            <w:tcW w:w="149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322,073,181.44</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499"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322,073,181.44 </w:t>
            </w:r>
          </w:p>
        </w:tc>
        <w:tc>
          <w:tcPr>
            <w:tcW w:w="149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322,075,000.00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1,818.56 </w:t>
            </w:r>
          </w:p>
        </w:tc>
      </w:tr>
      <w:tr w:rsidR="00361797" w:rsidTr="00B50E5D">
        <w:trPr>
          <w:trHeight w:val="255"/>
        </w:trPr>
        <w:tc>
          <w:tcPr>
            <w:tcW w:w="3851"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3</w:t>
            </w:r>
          </w:p>
        </w:tc>
        <w:tc>
          <w:tcPr>
            <w:tcW w:w="149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2,006,614,030.84</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499"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2,006,614,030.84 </w:t>
            </w:r>
          </w:p>
        </w:tc>
        <w:tc>
          <w:tcPr>
            <w:tcW w:w="149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2,006,615,000.00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969.16 </w:t>
            </w:r>
          </w:p>
        </w:tc>
      </w:tr>
      <w:tr w:rsidR="00361797" w:rsidTr="00B50E5D">
        <w:trPr>
          <w:trHeight w:val="255"/>
        </w:trPr>
        <w:tc>
          <w:tcPr>
            <w:tcW w:w="3851"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4</w:t>
            </w:r>
          </w:p>
        </w:tc>
        <w:tc>
          <w:tcPr>
            <w:tcW w:w="1498"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22,497,537.82</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499"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22,497,537.82 </w:t>
            </w:r>
          </w:p>
        </w:tc>
        <w:tc>
          <w:tcPr>
            <w:tcW w:w="1499"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23,364,000.00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866,462.18 </w:t>
            </w:r>
          </w:p>
        </w:tc>
      </w:tr>
      <w:tr w:rsidR="00361797" w:rsidTr="00B50E5D">
        <w:trPr>
          <w:trHeight w:val="255"/>
        </w:trPr>
        <w:tc>
          <w:tcPr>
            <w:tcW w:w="3851"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Other services</w:t>
            </w:r>
          </w:p>
        </w:tc>
        <w:tc>
          <w:tcPr>
            <w:tcW w:w="1498"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No.2</w:t>
            </w:r>
            <w:proofErr w:type="spellEnd"/>
            <w:r>
              <w:rPr>
                <w:rFonts w:cs="Calibri"/>
                <w:b/>
                <w:bCs/>
                <w:szCs w:val="18"/>
              </w:rPr>
              <w:t>)</w:t>
            </w:r>
          </w:p>
        </w:tc>
        <w:tc>
          <w:tcPr>
            <w:tcW w:w="147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No.4</w:t>
            </w:r>
            <w:proofErr w:type="spellEnd"/>
            <w:r>
              <w:rPr>
                <w:rFonts w:cs="Calibri"/>
                <w:b/>
                <w:bCs/>
                <w:szCs w:val="18"/>
              </w:rPr>
              <w:t>)</w:t>
            </w:r>
          </w:p>
        </w:tc>
        <w:tc>
          <w:tcPr>
            <w:tcW w:w="1499"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99"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7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480"/>
        </w:trPr>
        <w:tc>
          <w:tcPr>
            <w:tcW w:w="3851" w:type="dxa"/>
            <w:tcBorders>
              <w:top w:val="nil"/>
              <w:left w:val="nil"/>
              <w:bottom w:val="single" w:sz="4" w:space="0" w:color="D9D9D9"/>
              <w:right w:val="nil"/>
            </w:tcBorders>
            <w:shd w:val="clear" w:color="000000" w:fill="D9D9D9"/>
            <w:vAlign w:val="bottom"/>
            <w:hideMark/>
          </w:tcPr>
          <w:p w:rsidR="00361797" w:rsidRDefault="00361797" w:rsidP="00361797">
            <w:pPr>
              <w:ind w:firstLineChars="100" w:firstLine="181"/>
              <w:rPr>
                <w:rFonts w:cs="Calibri"/>
                <w:b/>
                <w:bCs/>
                <w:szCs w:val="18"/>
              </w:rPr>
            </w:pPr>
            <w:r>
              <w:rPr>
                <w:rFonts w:cs="Calibri"/>
                <w:b/>
                <w:bCs/>
                <w:szCs w:val="18"/>
              </w:rPr>
              <w:t>Specific payments to States, ACT, NT and Local government</w:t>
            </w:r>
          </w:p>
        </w:tc>
        <w:tc>
          <w:tcPr>
            <w:tcW w:w="149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99"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99"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851" w:type="dxa"/>
            <w:tcBorders>
              <w:top w:val="nil"/>
              <w:left w:val="nil"/>
              <w:bottom w:val="single" w:sz="4" w:space="0" w:color="auto"/>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Outcome 2</w:t>
            </w:r>
          </w:p>
        </w:tc>
        <w:tc>
          <w:tcPr>
            <w:tcW w:w="149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43,215,659.60</w:t>
            </w:r>
          </w:p>
        </w:tc>
        <w:tc>
          <w:tcPr>
            <w:tcW w:w="147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499"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43,215,659.60 </w:t>
            </w:r>
          </w:p>
        </w:tc>
        <w:tc>
          <w:tcPr>
            <w:tcW w:w="1499"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43,216,000.00</w:t>
            </w:r>
          </w:p>
        </w:tc>
        <w:tc>
          <w:tcPr>
            <w:tcW w:w="147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340.40 </w:t>
            </w:r>
          </w:p>
        </w:tc>
      </w:tr>
    </w:tbl>
    <w:p w:rsidR="00361797" w:rsidRDefault="00361797" w:rsidP="00361797">
      <w:pPr>
        <w:pStyle w:val="ReferenceText"/>
      </w:pPr>
      <w:bookmarkStart w:id="455" w:name="RANGE!D6:I17"/>
      <w:bookmarkStart w:id="456" w:name="RANGE!D7:I18"/>
      <w:bookmarkStart w:id="457" w:name="RANGE!D7:J18"/>
      <w:bookmarkStart w:id="458" w:name="RANGE!D6:J17"/>
      <w:bookmarkStart w:id="459" w:name="RANGE!D6:L17"/>
      <w:bookmarkStart w:id="460" w:name="RANGE!D6:K19"/>
      <w:bookmarkStart w:id="461" w:name="RANGE!D6:K20"/>
      <w:bookmarkEnd w:id="455"/>
      <w:bookmarkEnd w:id="456"/>
      <w:bookmarkEnd w:id="457"/>
      <w:bookmarkEnd w:id="458"/>
      <w:bookmarkEnd w:id="459"/>
      <w:bookmarkEnd w:id="460"/>
      <w:bookmarkEnd w:id="461"/>
    </w:p>
    <w:p w:rsidR="00361797" w:rsidRDefault="00361797" w:rsidP="00361797">
      <w:pPr>
        <w:pStyle w:val="ReferenceText"/>
      </w:pPr>
      <w:r>
        <w:t>Notes:</w:t>
      </w:r>
    </w:p>
    <w:p w:rsidR="00361797" w:rsidRDefault="00361797" w:rsidP="00361797">
      <w:pPr>
        <w:pStyle w:val="ReferenceText"/>
      </w:pPr>
      <w:r w:rsidRPr="00781BF9">
        <w:rPr>
          <w:vertAlign w:val="superscript"/>
        </w:rPr>
        <w:t>1</w:t>
      </w:r>
      <w:r>
        <w:t xml:space="preserve"> Numbers in this section are disclosed to the cent.</w:t>
      </w:r>
    </w:p>
    <w:p w:rsidR="00361797" w:rsidRDefault="00361797" w:rsidP="00361797">
      <w:pPr>
        <w:pStyle w:val="ReferenceText"/>
      </w:pPr>
      <w:r w:rsidRPr="00781BF9">
        <w:rPr>
          <w:vertAlign w:val="superscript"/>
        </w:rPr>
        <w:t>2</w:t>
      </w:r>
      <w:r>
        <w:t xml:space="preserve"> Administered items for 2014 were reduced to these amounts when these financial statements were tabled in Parliament in the department’s 2014 annual report. This reduction is effective in 2015, but the amounts are reflected in Note </w:t>
      </w:r>
      <w:proofErr w:type="spellStart"/>
      <w:r>
        <w:t>28A</w:t>
      </w:r>
      <w:proofErr w:type="spellEnd"/>
      <w:r>
        <w:t xml:space="preserve"> in the 2014 financial statements in the column 'Appropriations reduced' as they are adjustments to 2014</w:t>
      </w:r>
      <w:r>
        <w:rPr>
          <w:szCs w:val="16"/>
        </w:rPr>
        <w:t xml:space="preserve"> </w:t>
      </w:r>
      <w:r>
        <w:t>appropriations.</w:t>
      </w:r>
    </w:p>
    <w:p w:rsidR="00361797" w:rsidRDefault="00361797" w:rsidP="00361797">
      <w:pPr>
        <w:pStyle w:val="ReferenceText"/>
      </w:pPr>
      <w:r w:rsidRPr="00781BF9">
        <w:rPr>
          <w:vertAlign w:val="superscript"/>
        </w:rPr>
        <w:t>3</w:t>
      </w:r>
      <w:r>
        <w:t xml:space="preserve"> Amount required as per Appropriation Act (Act 1 s. 11; Act 2 s. 12).</w:t>
      </w:r>
    </w:p>
    <w:p w:rsidR="00361797" w:rsidRDefault="00361797" w:rsidP="00361797">
      <w:pPr>
        <w:pStyle w:val="ReferenceText"/>
      </w:pPr>
      <w:proofErr w:type="gramStart"/>
      <w:r w:rsidRPr="00781BF9">
        <w:rPr>
          <w:vertAlign w:val="superscript"/>
        </w:rPr>
        <w:t>4</w:t>
      </w:r>
      <w:r>
        <w:t xml:space="preserve"> Total amount appropriated in 2014.</w:t>
      </w:r>
      <w:proofErr w:type="gramEnd"/>
    </w:p>
    <w:p w:rsidR="00361797" w:rsidRDefault="00361797" w:rsidP="00361797">
      <w:pPr>
        <w:pStyle w:val="ReferenceText"/>
      </w:pPr>
      <w:r w:rsidRPr="00781BF9">
        <w:rPr>
          <w:vertAlign w:val="superscript"/>
        </w:rPr>
        <w:t>5</w:t>
      </w:r>
      <w:r>
        <w:t xml:space="preserve"> Total </w:t>
      </w:r>
      <w:proofErr w:type="gramStart"/>
      <w:r>
        <w:t>reduction</w:t>
      </w:r>
      <w:proofErr w:type="gramEnd"/>
      <w:r>
        <w:t xml:space="preserve"> effective in 2015.</w:t>
      </w:r>
    </w:p>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p w:rsidR="00361797" w:rsidRDefault="00361797" w:rsidP="00361797"/>
    <w:tbl>
      <w:tblPr>
        <w:tblW w:w="13991" w:type="dxa"/>
        <w:tblInd w:w="80" w:type="dxa"/>
        <w:tblLayout w:type="fixed"/>
        <w:tblLook w:val="04A0" w:firstRow="1" w:lastRow="0" w:firstColumn="1" w:lastColumn="0" w:noHBand="0" w:noVBand="1"/>
      </w:tblPr>
      <w:tblGrid>
        <w:gridCol w:w="4734"/>
        <w:gridCol w:w="1859"/>
        <w:gridCol w:w="1840"/>
        <w:gridCol w:w="1859"/>
        <w:gridCol w:w="1859"/>
        <w:gridCol w:w="1840"/>
      </w:tblGrid>
      <w:tr w:rsidR="00361797" w:rsidTr="00B50E5D">
        <w:trPr>
          <w:trHeight w:val="525"/>
        </w:trPr>
        <w:tc>
          <w:tcPr>
            <w:tcW w:w="379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rPr>
                <w:rFonts w:cs="Calibri"/>
                <w:b/>
                <w:bCs/>
                <w:szCs w:val="18"/>
              </w:rPr>
            </w:pPr>
            <w:bookmarkStart w:id="462" w:name="RANGE!D23:D31"/>
            <w:bookmarkStart w:id="463" w:name="Note_ARATABLE2" w:colFirst="0" w:colLast="0"/>
            <w:r>
              <w:rPr>
                <w:rFonts w:cs="Calibri"/>
                <w:b/>
                <w:bCs/>
                <w:szCs w:val="18"/>
              </w:rPr>
              <w:lastRenderedPageBreak/>
              <w:t>2013</w:t>
            </w:r>
            <w:bookmarkEnd w:id="462"/>
          </w:p>
        </w:tc>
        <w:tc>
          <w:tcPr>
            <w:tcW w:w="2967" w:type="dxa"/>
            <w:gridSpan w:val="2"/>
            <w:tcBorders>
              <w:top w:val="single" w:sz="4" w:space="0" w:color="auto"/>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xml:space="preserve">Amount </w:t>
            </w:r>
            <w:proofErr w:type="spellStart"/>
            <w:r>
              <w:rPr>
                <w:rFonts w:cs="Calibri"/>
                <w:b/>
                <w:bCs/>
                <w:szCs w:val="18"/>
              </w:rPr>
              <w:t>required</w:t>
            </w:r>
            <w:r>
              <w:rPr>
                <w:rFonts w:cs="Calibri"/>
                <w:b/>
                <w:bCs/>
                <w:szCs w:val="18"/>
                <w:vertAlign w:val="superscript"/>
              </w:rPr>
              <w:t>3</w:t>
            </w:r>
            <w:proofErr w:type="spellEnd"/>
            <w:r>
              <w:rPr>
                <w:rFonts w:cs="Calibri"/>
                <w:b/>
                <w:bCs/>
                <w:szCs w:val="18"/>
              </w:rPr>
              <w:t xml:space="preserve"> - by Appropriation Act</w:t>
            </w:r>
          </w:p>
        </w:tc>
        <w:tc>
          <w:tcPr>
            <w:tcW w:w="1491"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Total amount </w:t>
            </w:r>
            <w:proofErr w:type="spellStart"/>
            <w:r>
              <w:rPr>
                <w:rFonts w:cs="Calibri"/>
                <w:b/>
                <w:bCs/>
                <w:szCs w:val="18"/>
              </w:rPr>
              <w:t>required</w:t>
            </w:r>
            <w:r>
              <w:rPr>
                <w:rFonts w:cs="Calibri"/>
                <w:b/>
                <w:bCs/>
                <w:szCs w:val="18"/>
                <w:vertAlign w:val="superscript"/>
              </w:rPr>
              <w:t>3</w:t>
            </w:r>
            <w:proofErr w:type="spellEnd"/>
          </w:p>
        </w:tc>
        <w:tc>
          <w:tcPr>
            <w:tcW w:w="1491"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Total amount </w:t>
            </w:r>
            <w:proofErr w:type="spellStart"/>
            <w:r>
              <w:rPr>
                <w:rFonts w:cs="Calibri"/>
                <w:b/>
                <w:bCs/>
                <w:szCs w:val="18"/>
              </w:rPr>
              <w:t>appropriated</w:t>
            </w:r>
            <w:r>
              <w:rPr>
                <w:rFonts w:cs="Calibri"/>
                <w:b/>
                <w:bCs/>
                <w:szCs w:val="18"/>
                <w:vertAlign w:val="superscript"/>
              </w:rPr>
              <w:t>4</w:t>
            </w:r>
            <w:proofErr w:type="spellEnd"/>
          </w:p>
        </w:tc>
        <w:tc>
          <w:tcPr>
            <w:tcW w:w="147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 xml:space="preserve">Total </w:t>
            </w:r>
            <w:proofErr w:type="spellStart"/>
            <w:r>
              <w:rPr>
                <w:rFonts w:cs="Calibri"/>
                <w:b/>
                <w:bCs/>
                <w:szCs w:val="18"/>
              </w:rPr>
              <w:t>reduction</w:t>
            </w:r>
            <w:r>
              <w:rPr>
                <w:rFonts w:cs="Calibri"/>
                <w:b/>
                <w:bCs/>
                <w:szCs w:val="18"/>
                <w:vertAlign w:val="superscript"/>
              </w:rPr>
              <w:t>5</w:t>
            </w:r>
            <w:proofErr w:type="spellEnd"/>
          </w:p>
        </w:tc>
      </w:tr>
      <w:bookmarkEnd w:id="463"/>
      <w:tr w:rsidR="00361797" w:rsidTr="00B50E5D">
        <w:trPr>
          <w:trHeight w:val="255"/>
        </w:trPr>
        <w:tc>
          <w:tcPr>
            <w:tcW w:w="3796" w:type="dxa"/>
            <w:tcBorders>
              <w:top w:val="nil"/>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Ordinary Annual Services</w:t>
            </w:r>
          </w:p>
        </w:tc>
        <w:tc>
          <w:tcPr>
            <w:tcW w:w="1491"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No.1</w:t>
            </w:r>
            <w:proofErr w:type="spellEnd"/>
            <w:r>
              <w:rPr>
                <w:rFonts w:cs="Calibri"/>
                <w:b/>
                <w:bCs/>
                <w:szCs w:val="18"/>
              </w:rPr>
              <w:t>)</w:t>
            </w:r>
          </w:p>
        </w:tc>
        <w:tc>
          <w:tcPr>
            <w:tcW w:w="1476" w:type="dxa"/>
            <w:tcBorders>
              <w:top w:val="nil"/>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No.3</w:t>
            </w:r>
            <w:proofErr w:type="spellEnd"/>
            <w:r>
              <w:rPr>
                <w:rFonts w:cs="Calibri"/>
                <w:b/>
                <w:bCs/>
                <w:szCs w:val="18"/>
              </w:rPr>
              <w:t>)</w:t>
            </w:r>
          </w:p>
        </w:tc>
        <w:tc>
          <w:tcPr>
            <w:tcW w:w="1491" w:type="dxa"/>
            <w:tcBorders>
              <w:top w:val="nil"/>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w:t>
            </w:r>
          </w:p>
        </w:tc>
        <w:tc>
          <w:tcPr>
            <w:tcW w:w="1491" w:type="dxa"/>
            <w:tcBorders>
              <w:top w:val="nil"/>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w:t>
            </w:r>
          </w:p>
        </w:tc>
        <w:tc>
          <w:tcPr>
            <w:tcW w:w="1476" w:type="dxa"/>
            <w:tcBorders>
              <w:top w:val="nil"/>
              <w:left w:val="nil"/>
              <w:bottom w:val="single" w:sz="4" w:space="0" w:color="auto"/>
              <w:right w:val="nil"/>
            </w:tcBorders>
            <w:shd w:val="clear" w:color="000000" w:fill="D9D9D9"/>
            <w:vAlign w:val="bottom"/>
            <w:hideMark/>
          </w:tcPr>
          <w:p w:rsidR="00361797" w:rsidRDefault="00361797" w:rsidP="00B50E5D">
            <w:pPr>
              <w:jc w:val="center"/>
              <w:rPr>
                <w:rFonts w:cs="Calibri"/>
                <w:b/>
                <w:bCs/>
                <w:szCs w:val="18"/>
              </w:rPr>
            </w:pPr>
            <w:r>
              <w:rPr>
                <w:rFonts w:cs="Calibri"/>
                <w:b/>
                <w:bCs/>
                <w:szCs w:val="18"/>
              </w:rPr>
              <w:t> </w:t>
            </w:r>
          </w:p>
        </w:tc>
      </w:tr>
      <w:tr w:rsidR="00361797" w:rsidTr="00B50E5D">
        <w:trPr>
          <w:trHeight w:val="255"/>
        </w:trPr>
        <w:tc>
          <w:tcPr>
            <w:tcW w:w="3796"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1</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430,119,617.03 </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61,233,488.22 </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491,353,105.25</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514,913,000.00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23,559,894.75</w:t>
            </w:r>
          </w:p>
        </w:tc>
      </w:tr>
      <w:tr w:rsidR="00361797" w:rsidTr="00B50E5D">
        <w:trPr>
          <w:trHeight w:val="255"/>
        </w:trPr>
        <w:tc>
          <w:tcPr>
            <w:tcW w:w="3796"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2</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367,310,457.97 </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367,310,457.97</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520,271,000.00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152,960,542.03</w:t>
            </w:r>
          </w:p>
        </w:tc>
      </w:tr>
      <w:tr w:rsidR="00361797" w:rsidTr="00B50E5D">
        <w:trPr>
          <w:trHeight w:val="255"/>
        </w:trPr>
        <w:tc>
          <w:tcPr>
            <w:tcW w:w="3796"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3</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2,224,574,643.45 </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2,224,574,643.45</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2,590,817,000.00</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366,242,356.55</w:t>
            </w:r>
          </w:p>
        </w:tc>
      </w:tr>
      <w:tr w:rsidR="00361797" w:rsidTr="00B50E5D">
        <w:trPr>
          <w:trHeight w:val="255"/>
        </w:trPr>
        <w:tc>
          <w:tcPr>
            <w:tcW w:w="3796" w:type="dxa"/>
            <w:tcBorders>
              <w:top w:val="nil"/>
              <w:left w:val="nil"/>
              <w:bottom w:val="single" w:sz="4" w:space="0" w:color="D9D9D9"/>
              <w:right w:val="nil"/>
            </w:tcBorders>
            <w:shd w:val="clear" w:color="000000" w:fill="D9D9D9"/>
            <w:vAlign w:val="bottom"/>
            <w:hideMark/>
          </w:tcPr>
          <w:p w:rsidR="00361797" w:rsidRDefault="00361797" w:rsidP="00361797">
            <w:pPr>
              <w:ind w:firstLineChars="200" w:firstLine="360"/>
              <w:rPr>
                <w:rFonts w:cs="Calibri"/>
                <w:szCs w:val="18"/>
              </w:rPr>
            </w:pPr>
            <w:r>
              <w:rPr>
                <w:rFonts w:cs="Calibri"/>
                <w:szCs w:val="18"/>
              </w:rPr>
              <w:t>Outcome 4</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213,637,000.00 </w:t>
            </w:r>
          </w:p>
        </w:tc>
        <w:tc>
          <w:tcPr>
            <w:tcW w:w="1476"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21,814,958.15 </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235,451,958.15</w:t>
            </w:r>
          </w:p>
        </w:tc>
        <w:tc>
          <w:tcPr>
            <w:tcW w:w="1491" w:type="dxa"/>
            <w:tcBorders>
              <w:top w:val="nil"/>
              <w:left w:val="nil"/>
              <w:bottom w:val="nil"/>
              <w:right w:val="nil"/>
            </w:tcBorders>
            <w:shd w:val="clear" w:color="000000" w:fill="D9D9D9"/>
            <w:noWrap/>
            <w:vAlign w:val="bottom"/>
            <w:hideMark/>
          </w:tcPr>
          <w:p w:rsidR="00361797" w:rsidRDefault="00361797" w:rsidP="00B50E5D">
            <w:pPr>
              <w:jc w:val="right"/>
              <w:rPr>
                <w:rFonts w:cs="Calibri"/>
                <w:szCs w:val="18"/>
              </w:rPr>
            </w:pPr>
            <w:r>
              <w:rPr>
                <w:rFonts w:cs="Calibri"/>
                <w:szCs w:val="18"/>
              </w:rPr>
              <w:t>261,781,999.97</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26,330,041.82</w:t>
            </w:r>
          </w:p>
        </w:tc>
      </w:tr>
      <w:tr w:rsidR="00361797" w:rsidTr="00B50E5D">
        <w:trPr>
          <w:trHeight w:val="255"/>
        </w:trPr>
        <w:tc>
          <w:tcPr>
            <w:tcW w:w="379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Other services</w:t>
            </w:r>
          </w:p>
        </w:tc>
        <w:tc>
          <w:tcPr>
            <w:tcW w:w="1491"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No.2</w:t>
            </w:r>
            <w:proofErr w:type="spellEnd"/>
            <w:r>
              <w:rPr>
                <w:rFonts w:cs="Calibri"/>
                <w:b/>
                <w:bCs/>
                <w:szCs w:val="18"/>
              </w:rPr>
              <w:t>)</w:t>
            </w:r>
          </w:p>
        </w:tc>
        <w:tc>
          <w:tcPr>
            <w:tcW w:w="1476" w:type="dxa"/>
            <w:tcBorders>
              <w:top w:val="single" w:sz="4" w:space="0" w:color="auto"/>
              <w:left w:val="nil"/>
              <w:bottom w:val="single" w:sz="4" w:space="0" w:color="auto"/>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Act (</w:t>
            </w:r>
            <w:proofErr w:type="spellStart"/>
            <w:r>
              <w:rPr>
                <w:rFonts w:cs="Calibri"/>
                <w:b/>
                <w:bCs/>
                <w:szCs w:val="18"/>
              </w:rPr>
              <w:t>No.4</w:t>
            </w:r>
            <w:proofErr w:type="spellEnd"/>
            <w:r>
              <w:rPr>
                <w:rFonts w:cs="Calibri"/>
                <w:b/>
                <w:bCs/>
                <w:szCs w:val="18"/>
              </w:rPr>
              <w:t>)</w:t>
            </w:r>
          </w:p>
        </w:tc>
        <w:tc>
          <w:tcPr>
            <w:tcW w:w="1491"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91"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76" w:type="dxa"/>
            <w:tcBorders>
              <w:top w:val="single" w:sz="4" w:space="0" w:color="auto"/>
              <w:left w:val="nil"/>
              <w:bottom w:val="single" w:sz="4" w:space="0" w:color="auto"/>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480"/>
        </w:trPr>
        <w:tc>
          <w:tcPr>
            <w:tcW w:w="3796" w:type="dxa"/>
            <w:tcBorders>
              <w:top w:val="nil"/>
              <w:left w:val="nil"/>
              <w:bottom w:val="single" w:sz="4" w:space="0" w:color="D9D9D9"/>
              <w:right w:val="nil"/>
            </w:tcBorders>
            <w:shd w:val="clear" w:color="000000" w:fill="D9D9D9"/>
            <w:vAlign w:val="bottom"/>
            <w:hideMark/>
          </w:tcPr>
          <w:p w:rsidR="00361797" w:rsidRDefault="00361797" w:rsidP="00361797">
            <w:pPr>
              <w:ind w:firstLineChars="100" w:firstLine="181"/>
              <w:rPr>
                <w:rFonts w:cs="Calibri"/>
                <w:b/>
                <w:bCs/>
                <w:szCs w:val="18"/>
              </w:rPr>
            </w:pPr>
            <w:r>
              <w:rPr>
                <w:rFonts w:cs="Calibri"/>
                <w:b/>
                <w:bCs/>
                <w:szCs w:val="18"/>
              </w:rPr>
              <w:t>Specific payments to States, ACT, NT and Local government</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91"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47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3796" w:type="dxa"/>
            <w:tcBorders>
              <w:top w:val="nil"/>
              <w:left w:val="nil"/>
              <w:bottom w:val="single" w:sz="4" w:space="0" w:color="auto"/>
              <w:right w:val="nil"/>
            </w:tcBorders>
            <w:shd w:val="clear" w:color="000000" w:fill="D9D9D9"/>
            <w:noWrap/>
            <w:vAlign w:val="bottom"/>
            <w:hideMark/>
          </w:tcPr>
          <w:p w:rsidR="00361797" w:rsidRDefault="00361797" w:rsidP="00361797">
            <w:pPr>
              <w:ind w:firstLineChars="200" w:firstLine="360"/>
              <w:rPr>
                <w:rFonts w:cs="Calibri"/>
                <w:szCs w:val="18"/>
              </w:rPr>
            </w:pPr>
            <w:r>
              <w:rPr>
                <w:rFonts w:cs="Calibri"/>
                <w:szCs w:val="18"/>
              </w:rPr>
              <w:t>Outcome 2</w:t>
            </w:r>
          </w:p>
        </w:tc>
        <w:tc>
          <w:tcPr>
            <w:tcW w:w="1491" w:type="dxa"/>
            <w:tcBorders>
              <w:top w:val="nil"/>
              <w:left w:val="nil"/>
              <w:bottom w:val="single" w:sz="4" w:space="0" w:color="000000"/>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145,996,595.80 </w:t>
            </w:r>
          </w:p>
        </w:tc>
        <w:tc>
          <w:tcPr>
            <w:tcW w:w="1476" w:type="dxa"/>
            <w:tcBorders>
              <w:top w:val="nil"/>
              <w:left w:val="nil"/>
              <w:bottom w:val="single" w:sz="4" w:space="0" w:color="000000"/>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491" w:type="dxa"/>
            <w:tcBorders>
              <w:top w:val="nil"/>
              <w:left w:val="nil"/>
              <w:bottom w:val="single" w:sz="4" w:space="0" w:color="000000"/>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145,996,595.80 </w:t>
            </w:r>
          </w:p>
        </w:tc>
        <w:tc>
          <w:tcPr>
            <w:tcW w:w="1491" w:type="dxa"/>
            <w:tcBorders>
              <w:top w:val="nil"/>
              <w:left w:val="nil"/>
              <w:bottom w:val="single" w:sz="4" w:space="0" w:color="000000"/>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177,058,000.00 </w:t>
            </w:r>
          </w:p>
        </w:tc>
        <w:tc>
          <w:tcPr>
            <w:tcW w:w="1476" w:type="dxa"/>
            <w:tcBorders>
              <w:top w:val="nil"/>
              <w:left w:val="nil"/>
              <w:bottom w:val="single" w:sz="4" w:space="0" w:color="000000"/>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31,061,404.20 </w:t>
            </w:r>
          </w:p>
        </w:tc>
      </w:tr>
    </w:tbl>
    <w:p w:rsidR="00361797" w:rsidRDefault="00361797" w:rsidP="00361797">
      <w:pPr>
        <w:pStyle w:val="ReferenceText"/>
      </w:pPr>
      <w:bookmarkStart w:id="464" w:name="RANGE!D23:J31"/>
      <w:bookmarkStart w:id="465" w:name="RANGE!D23:J32"/>
      <w:bookmarkStart w:id="466" w:name="RANGE!D22:J31"/>
      <w:bookmarkStart w:id="467" w:name="RANGE!D22:L31"/>
      <w:bookmarkStart w:id="468" w:name="RANGE!D24:K35"/>
      <w:bookmarkStart w:id="469" w:name="RANGE!D25:D37"/>
      <w:bookmarkStart w:id="470" w:name="RANGE!D25:K37"/>
      <w:bookmarkStart w:id="471" w:name="RANGE!D25:K36"/>
      <w:bookmarkEnd w:id="464"/>
      <w:bookmarkEnd w:id="465"/>
      <w:bookmarkEnd w:id="466"/>
      <w:bookmarkEnd w:id="467"/>
      <w:bookmarkEnd w:id="468"/>
      <w:bookmarkEnd w:id="469"/>
      <w:bookmarkEnd w:id="470"/>
      <w:bookmarkEnd w:id="471"/>
    </w:p>
    <w:p w:rsidR="00361797" w:rsidRDefault="00361797" w:rsidP="00361797">
      <w:pPr>
        <w:pStyle w:val="ReferenceText"/>
      </w:pPr>
      <w:r>
        <w:t>Notes:</w:t>
      </w:r>
    </w:p>
    <w:p w:rsidR="00361797" w:rsidRDefault="00361797" w:rsidP="00361797">
      <w:pPr>
        <w:pStyle w:val="ReferenceText"/>
      </w:pPr>
      <w:r w:rsidRPr="00781BF9">
        <w:rPr>
          <w:vertAlign w:val="superscript"/>
        </w:rPr>
        <w:t>1</w:t>
      </w:r>
      <w:r>
        <w:t xml:space="preserve"> Numbers in this section are disclosed to the cent.</w:t>
      </w:r>
    </w:p>
    <w:p w:rsidR="00361797" w:rsidRDefault="00361797" w:rsidP="00361797">
      <w:pPr>
        <w:pStyle w:val="ReferenceText"/>
      </w:pPr>
      <w:r w:rsidRPr="00781BF9">
        <w:rPr>
          <w:vertAlign w:val="superscript"/>
        </w:rPr>
        <w:t>2</w:t>
      </w:r>
      <w:r>
        <w:t xml:space="preserve"> Administered items for 2013 were reduced to these amounts when these financial statements were tabled in Parliament in the department’s 2013 annual report. This reduction is effective in 2014, but the amounts are reflected in Table </w:t>
      </w:r>
      <w:proofErr w:type="spellStart"/>
      <w:r>
        <w:t>28A</w:t>
      </w:r>
      <w:proofErr w:type="spellEnd"/>
      <w:r>
        <w:t xml:space="preserve"> in the 2012–13 financial statements in the column 'Appropriations reduced' as they are adjustments to 2013</w:t>
      </w:r>
      <w:r>
        <w:rPr>
          <w:szCs w:val="16"/>
        </w:rPr>
        <w:t xml:space="preserve"> </w:t>
      </w:r>
      <w:r>
        <w:t>appropriations.</w:t>
      </w:r>
    </w:p>
    <w:p w:rsidR="00361797" w:rsidRDefault="00361797" w:rsidP="00361797">
      <w:pPr>
        <w:pStyle w:val="ReferenceText"/>
      </w:pPr>
      <w:r w:rsidRPr="00781BF9">
        <w:rPr>
          <w:vertAlign w:val="superscript"/>
        </w:rPr>
        <w:t>3</w:t>
      </w:r>
      <w:r>
        <w:t xml:space="preserve"> Amount required as per Appropriation Act (Act 1 s. 11; Act 2 s. 12).</w:t>
      </w:r>
    </w:p>
    <w:p w:rsidR="00361797" w:rsidRDefault="00361797" w:rsidP="00361797">
      <w:pPr>
        <w:pStyle w:val="ReferenceText"/>
      </w:pPr>
      <w:proofErr w:type="gramStart"/>
      <w:r w:rsidRPr="00781BF9">
        <w:rPr>
          <w:vertAlign w:val="superscript"/>
        </w:rPr>
        <w:t>4</w:t>
      </w:r>
      <w:r>
        <w:t xml:space="preserve"> Total amount appropriated in 2013.</w:t>
      </w:r>
      <w:proofErr w:type="gramEnd"/>
    </w:p>
    <w:p w:rsidR="00361797" w:rsidRDefault="00361797" w:rsidP="00361797">
      <w:pPr>
        <w:pStyle w:val="ReferenceText"/>
      </w:pPr>
      <w:r w:rsidRPr="00781BF9">
        <w:rPr>
          <w:vertAlign w:val="superscript"/>
        </w:rPr>
        <w:t>5</w:t>
      </w:r>
      <w:r>
        <w:t xml:space="preserve"> Total </w:t>
      </w:r>
      <w:proofErr w:type="gramStart"/>
      <w:r>
        <w:t>reduction</w:t>
      </w:r>
      <w:proofErr w:type="gramEnd"/>
      <w:r>
        <w:t xml:space="preserve"> effective in 2014.</w:t>
      </w:r>
    </w:p>
    <w:p w:rsidR="00361797" w:rsidRDefault="00361797" w:rsidP="00361797">
      <w:pPr>
        <w:spacing w:line="240" w:lineRule="auto"/>
        <w:sectPr w:rsidR="00361797">
          <w:pgSz w:w="16838" w:h="11906" w:orient="landscape"/>
          <w:pgMar w:top="1134" w:right="1134" w:bottom="1134" w:left="1134" w:header="958" w:footer="737" w:gutter="0"/>
          <w:cols w:space="720"/>
        </w:sectPr>
      </w:pPr>
    </w:p>
    <w:p w:rsidR="00361797" w:rsidRDefault="00361797" w:rsidP="00361797">
      <w:pPr>
        <w:pStyle w:val="NotesHeading-Level1"/>
        <w:numPr>
          <w:ilvl w:val="0"/>
          <w:numId w:val="14"/>
        </w:numPr>
      </w:pPr>
      <w:bookmarkStart w:id="472" w:name="_Toc388962648"/>
      <w:r>
        <w:lastRenderedPageBreak/>
        <w:t>Special Accounts</w:t>
      </w:r>
      <w:bookmarkEnd w:id="472"/>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361797" w:rsidTr="00B50E5D">
        <w:trPr>
          <w:trHeight w:val="255"/>
        </w:trPr>
        <w:tc>
          <w:tcPr>
            <w:tcW w:w="8980" w:type="dxa"/>
            <w:gridSpan w:val="5"/>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73" w:name="RANGE!D8:H31"/>
            <w:bookmarkStart w:id="474" w:name="Note_SACTABLE1" w:colFirst="0" w:colLast="0"/>
            <w:r>
              <w:rPr>
                <w:rFonts w:cs="Calibri"/>
                <w:b/>
                <w:bCs/>
                <w:szCs w:val="18"/>
                <w:u w:val="single"/>
              </w:rPr>
              <w:t xml:space="preserve">Note </w:t>
            </w:r>
            <w:proofErr w:type="spellStart"/>
            <w:r>
              <w:rPr>
                <w:rFonts w:cs="Calibri"/>
                <w:b/>
                <w:bCs/>
                <w:szCs w:val="18"/>
                <w:u w:val="single"/>
              </w:rPr>
              <w:t>29A</w:t>
            </w:r>
            <w:proofErr w:type="spellEnd"/>
            <w:r>
              <w:rPr>
                <w:rFonts w:cs="Calibri"/>
                <w:b/>
                <w:bCs/>
                <w:szCs w:val="18"/>
                <w:u w:val="single"/>
              </w:rPr>
              <w:t>: Special Accounts (Recoverable GST exclusive)</w:t>
            </w:r>
            <w:bookmarkEnd w:id="473"/>
          </w:p>
        </w:tc>
      </w:tr>
      <w:bookmarkEnd w:id="474"/>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r>
      <w:tr w:rsidR="00361797" w:rsidTr="00B50E5D">
        <w:trPr>
          <w:trHeight w:val="570"/>
        </w:trPr>
        <w:tc>
          <w:tcPr>
            <w:tcW w:w="402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rPr>
                <w:rFonts w:cs="Calibri"/>
                <w:b/>
                <w:bCs/>
                <w:szCs w:val="18"/>
              </w:rPr>
            </w:pPr>
            <w:bookmarkStart w:id="475" w:name="RANGE!D10:D31"/>
            <w:r>
              <w:rPr>
                <w:rFonts w:cs="Calibri"/>
                <w:b/>
                <w:bCs/>
                <w:szCs w:val="18"/>
              </w:rPr>
              <w:t> </w:t>
            </w:r>
            <w:bookmarkEnd w:id="475"/>
          </w:p>
        </w:tc>
        <w:tc>
          <w:tcPr>
            <w:tcW w:w="247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jc w:val="center"/>
              <w:rPr>
                <w:rFonts w:cs="Calibri"/>
                <w:b/>
                <w:bCs/>
                <w:szCs w:val="18"/>
              </w:rPr>
            </w:pPr>
            <w:r>
              <w:rPr>
                <w:rFonts w:cs="Calibri"/>
                <w:b/>
                <w:bCs/>
                <w:szCs w:val="18"/>
              </w:rPr>
              <w:t xml:space="preserve">Aboriginal Tutorial Assistance </w:t>
            </w:r>
            <w:proofErr w:type="spellStart"/>
            <w:r>
              <w:rPr>
                <w:rFonts w:cs="Calibri"/>
                <w:b/>
                <w:bCs/>
                <w:szCs w:val="18"/>
              </w:rPr>
              <w:t>Superannuation</w:t>
            </w:r>
            <w:r>
              <w:rPr>
                <w:rFonts w:cs="Calibri"/>
                <w:b/>
                <w:bCs/>
                <w:szCs w:val="18"/>
                <w:vertAlign w:val="superscript"/>
              </w:rPr>
              <w:t>1</w:t>
            </w:r>
            <w:proofErr w:type="spellEnd"/>
          </w:p>
        </w:tc>
        <w:tc>
          <w:tcPr>
            <w:tcW w:w="2476" w:type="dxa"/>
            <w:gridSpan w:val="2"/>
            <w:tcBorders>
              <w:top w:val="single" w:sz="4" w:space="0" w:color="auto"/>
              <w:left w:val="nil"/>
              <w:bottom w:val="single" w:sz="4" w:space="0" w:color="auto"/>
              <w:right w:val="single" w:sz="4" w:space="0" w:color="auto"/>
            </w:tcBorders>
            <w:shd w:val="clear" w:color="FFFFFF" w:fill="FFFFFF"/>
            <w:hideMark/>
          </w:tcPr>
          <w:p w:rsidR="00361797" w:rsidRDefault="00361797" w:rsidP="00B50E5D">
            <w:pPr>
              <w:jc w:val="center"/>
              <w:rPr>
                <w:rFonts w:cs="Calibri"/>
                <w:b/>
                <w:bCs/>
                <w:szCs w:val="18"/>
              </w:rPr>
            </w:pPr>
            <w:r>
              <w:rPr>
                <w:rFonts w:cs="Calibri"/>
                <w:b/>
                <w:bCs/>
                <w:szCs w:val="18"/>
              </w:rPr>
              <w:t xml:space="preserve">National Youth Affairs Research </w:t>
            </w:r>
            <w:proofErr w:type="spellStart"/>
            <w:r>
              <w:rPr>
                <w:rFonts w:cs="Calibri"/>
                <w:b/>
                <w:bCs/>
                <w:szCs w:val="18"/>
              </w:rPr>
              <w:t>Scheme</w:t>
            </w:r>
            <w:r>
              <w:rPr>
                <w:rFonts w:cs="Calibri"/>
                <w:b/>
                <w:bCs/>
                <w:szCs w:val="18"/>
                <w:vertAlign w:val="superscript"/>
              </w:rPr>
              <w:t>2</w:t>
            </w:r>
            <w:proofErr w:type="spellEnd"/>
          </w:p>
        </w:tc>
      </w:tr>
      <w:tr w:rsidR="00361797" w:rsidTr="00B50E5D">
        <w:trPr>
          <w:trHeight w:val="255"/>
        </w:trPr>
        <w:tc>
          <w:tcPr>
            <w:tcW w:w="4028" w:type="dxa"/>
            <w:vMerge w:val="restart"/>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028" w:type="dxa"/>
            <w:vMerge/>
            <w:tcBorders>
              <w:top w:val="nil"/>
              <w:left w:val="single" w:sz="4" w:space="0" w:color="auto"/>
              <w:bottom w:val="single" w:sz="4" w:space="0" w:color="auto"/>
              <w:right w:val="single" w:sz="4" w:space="0" w:color="auto"/>
            </w:tcBorders>
            <w:vAlign w:val="center"/>
            <w:hideMark/>
          </w:tcPr>
          <w:p w:rsidR="00361797" w:rsidRDefault="00361797" w:rsidP="00B50E5D">
            <w:pPr>
              <w:rPr>
                <w:rFonts w:cs="Calibri"/>
                <w:b/>
                <w:bCs/>
                <w:szCs w:val="18"/>
              </w:rPr>
            </w:pP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Balance brought forward from previous period</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960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926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251</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310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Increases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Appropriation credited to special account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receipts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34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i/>
                <w:iCs/>
                <w:szCs w:val="18"/>
              </w:rPr>
            </w:pPr>
            <w:r>
              <w:rPr>
                <w:rFonts w:cs="Calibri"/>
                <w:b/>
                <w:bCs/>
                <w:i/>
                <w:iCs/>
                <w:szCs w:val="18"/>
              </w:rPr>
              <w:t>Total increases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34</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Available for payments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960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960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251</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310</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Decreases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rPr>
                <w:rFonts w:cs="Calibri"/>
                <w:b/>
                <w:bCs/>
                <w:szCs w:val="18"/>
              </w:rPr>
            </w:pPr>
            <w:r>
              <w:rPr>
                <w:rFonts w:cs="Calibri"/>
                <w:b/>
                <w:bCs/>
                <w:szCs w:val="18"/>
              </w:rPr>
              <w:t>Departmental</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xml:space="preserve">Transfer to the Official Public Account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Payments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i/>
                <w:iCs/>
                <w:szCs w:val="18"/>
              </w:rPr>
            </w:pPr>
            <w:r>
              <w:rPr>
                <w:rFonts w:cs="Calibri"/>
                <w:b/>
                <w:bCs/>
                <w:i/>
                <w:iCs/>
                <w:szCs w:val="18"/>
              </w:rPr>
              <w:t>Total departmental</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4028" w:type="dxa"/>
            <w:tcBorders>
              <w:top w:val="nil"/>
              <w:left w:val="single" w:sz="4" w:space="0" w:color="auto"/>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Administered</w:t>
            </w:r>
          </w:p>
        </w:tc>
        <w:tc>
          <w:tcPr>
            <w:tcW w:w="123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Payments made to suppliers</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Other payments</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(59)</w:t>
            </w:r>
          </w:p>
        </w:tc>
      </w:tr>
      <w:tr w:rsidR="00361797" w:rsidTr="00B50E5D">
        <w:trPr>
          <w:trHeight w:val="255"/>
        </w:trPr>
        <w:tc>
          <w:tcPr>
            <w:tcW w:w="4028" w:type="dxa"/>
            <w:tcBorders>
              <w:top w:val="nil"/>
              <w:left w:val="single" w:sz="4" w:space="0" w:color="auto"/>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 xml:space="preserve">Total administered </w:t>
            </w:r>
          </w:p>
        </w:tc>
        <w:tc>
          <w:tcPr>
            <w:tcW w:w="123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(59)</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i/>
                <w:iCs/>
                <w:szCs w:val="18"/>
              </w:rPr>
            </w:pPr>
            <w:r>
              <w:rPr>
                <w:rFonts w:cs="Calibri"/>
                <w:b/>
                <w:bCs/>
                <w:i/>
                <w:iCs/>
                <w:szCs w:val="18"/>
              </w:rPr>
              <w:t>Total decreases</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(59)</w:t>
            </w:r>
          </w:p>
        </w:tc>
      </w:tr>
      <w:tr w:rsidR="00361797" w:rsidTr="00B50E5D">
        <w:trPr>
          <w:trHeight w:val="255"/>
        </w:trPr>
        <w:tc>
          <w:tcPr>
            <w:tcW w:w="402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i/>
                <w:iCs/>
                <w:szCs w:val="18"/>
              </w:rPr>
            </w:pPr>
            <w:r>
              <w:rPr>
                <w:rFonts w:cs="Calibri"/>
                <w:b/>
                <w:bCs/>
                <w:i/>
                <w:iCs/>
                <w:szCs w:val="18"/>
              </w:rPr>
              <w:t>Total balance carried to the next period</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960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960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251</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251</w:t>
            </w:r>
          </w:p>
        </w:tc>
      </w:tr>
    </w:tbl>
    <w:p w:rsidR="00361797" w:rsidRDefault="00361797" w:rsidP="00361797">
      <w:bookmarkStart w:id="476" w:name="RANGE!D9:J30"/>
      <w:bookmarkEnd w:id="476"/>
    </w:p>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361797" w:rsidTr="00B50E5D">
        <w:trPr>
          <w:trHeight w:val="255"/>
        </w:trPr>
        <w:tc>
          <w:tcPr>
            <w:tcW w:w="402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bookmarkStart w:id="477" w:name="Note_SACTABLE2" w:colFirst="0" w:colLast="0"/>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c>
          <w:tcPr>
            <w:tcW w:w="1238" w:type="dxa"/>
            <w:tcBorders>
              <w:top w:val="nil"/>
              <w:left w:val="nil"/>
              <w:bottom w:val="nil"/>
              <w:right w:val="nil"/>
            </w:tcBorders>
            <w:shd w:val="clear" w:color="FFFFFF" w:fill="FFFFFF"/>
            <w:noWrap/>
            <w:vAlign w:val="bottom"/>
            <w:hideMark/>
          </w:tcPr>
          <w:p w:rsidR="00361797" w:rsidRDefault="00361797" w:rsidP="00B50E5D">
            <w:pPr>
              <w:rPr>
                <w:rFonts w:cs="Calibri"/>
                <w:sz w:val="20"/>
              </w:rPr>
            </w:pPr>
            <w:r>
              <w:rPr>
                <w:rFonts w:cs="Calibri"/>
                <w:sz w:val="20"/>
              </w:rPr>
              <w:t> </w:t>
            </w:r>
          </w:p>
        </w:tc>
      </w:tr>
      <w:bookmarkEnd w:id="477"/>
      <w:tr w:rsidR="00361797" w:rsidTr="00B50E5D">
        <w:trPr>
          <w:trHeight w:val="570"/>
        </w:trPr>
        <w:tc>
          <w:tcPr>
            <w:tcW w:w="4028" w:type="dxa"/>
            <w:tcBorders>
              <w:top w:val="single" w:sz="4" w:space="0" w:color="auto"/>
              <w:left w:val="single" w:sz="4" w:space="0" w:color="auto"/>
              <w:bottom w:val="single" w:sz="4" w:space="0" w:color="auto"/>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2476"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361797" w:rsidRDefault="00361797" w:rsidP="00B50E5D">
            <w:pPr>
              <w:jc w:val="center"/>
              <w:rPr>
                <w:rFonts w:cs="Calibri"/>
                <w:b/>
                <w:bCs/>
                <w:szCs w:val="18"/>
              </w:rPr>
            </w:pPr>
            <w:r>
              <w:rPr>
                <w:rFonts w:cs="Calibri"/>
                <w:b/>
                <w:bCs/>
                <w:szCs w:val="18"/>
              </w:rPr>
              <w:t xml:space="preserve">Early Years Quality Fund Special </w:t>
            </w:r>
            <w:proofErr w:type="spellStart"/>
            <w:r>
              <w:rPr>
                <w:rFonts w:cs="Calibri"/>
                <w:b/>
                <w:bCs/>
                <w:szCs w:val="18"/>
              </w:rPr>
              <w:t>Account</w:t>
            </w:r>
            <w:r>
              <w:rPr>
                <w:rFonts w:cs="Calibri"/>
                <w:b/>
                <w:bCs/>
                <w:szCs w:val="18"/>
                <w:vertAlign w:val="superscript"/>
              </w:rPr>
              <w:t>3</w:t>
            </w:r>
            <w:proofErr w:type="spellEnd"/>
          </w:p>
        </w:tc>
        <w:tc>
          <w:tcPr>
            <w:tcW w:w="2476" w:type="dxa"/>
            <w:gridSpan w:val="2"/>
            <w:tcBorders>
              <w:top w:val="single" w:sz="4" w:space="0" w:color="auto"/>
              <w:left w:val="nil"/>
              <w:bottom w:val="single" w:sz="4" w:space="0" w:color="auto"/>
              <w:right w:val="single" w:sz="4" w:space="0" w:color="auto"/>
            </w:tcBorders>
            <w:shd w:val="clear" w:color="FFFFFF" w:fill="FFFFFF"/>
            <w:hideMark/>
          </w:tcPr>
          <w:p w:rsidR="00361797" w:rsidRDefault="00361797" w:rsidP="00B50E5D">
            <w:pPr>
              <w:jc w:val="center"/>
              <w:rPr>
                <w:rFonts w:cs="Calibri"/>
                <w:b/>
                <w:bCs/>
                <w:szCs w:val="18"/>
              </w:rPr>
            </w:pPr>
            <w:r>
              <w:rPr>
                <w:rFonts w:cs="Calibri"/>
                <w:b/>
                <w:bCs/>
                <w:szCs w:val="18"/>
              </w:rPr>
              <w:t xml:space="preserve">Services for Other Entities and Trust </w:t>
            </w:r>
            <w:proofErr w:type="spellStart"/>
            <w:r>
              <w:rPr>
                <w:rFonts w:cs="Calibri"/>
                <w:b/>
                <w:bCs/>
                <w:szCs w:val="18"/>
              </w:rPr>
              <w:t>Moneys</w:t>
            </w:r>
            <w:r>
              <w:rPr>
                <w:rFonts w:cs="Calibri"/>
                <w:b/>
                <w:bCs/>
                <w:szCs w:val="18"/>
                <w:vertAlign w:val="superscript"/>
              </w:rPr>
              <w:t>4</w:t>
            </w:r>
            <w:proofErr w:type="spellEnd"/>
          </w:p>
        </w:tc>
      </w:tr>
      <w:tr w:rsidR="00361797" w:rsidTr="00B50E5D">
        <w:trPr>
          <w:trHeight w:val="255"/>
        </w:trPr>
        <w:tc>
          <w:tcPr>
            <w:tcW w:w="4028" w:type="dxa"/>
            <w:vMerge w:val="restart"/>
            <w:tcBorders>
              <w:top w:val="nil"/>
              <w:left w:val="single" w:sz="4" w:space="0" w:color="auto"/>
              <w:bottom w:val="single" w:sz="4" w:space="0" w:color="auto"/>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028" w:type="dxa"/>
            <w:vMerge/>
            <w:tcBorders>
              <w:top w:val="nil"/>
              <w:left w:val="single" w:sz="4" w:space="0" w:color="auto"/>
              <w:bottom w:val="single" w:sz="4" w:space="0" w:color="auto"/>
              <w:right w:val="nil"/>
            </w:tcBorders>
            <w:vAlign w:val="center"/>
            <w:hideMark/>
          </w:tcPr>
          <w:p w:rsidR="00361797" w:rsidRDefault="00361797" w:rsidP="00B50E5D">
            <w:pPr>
              <w:rPr>
                <w:rFonts w:cs="Calibri"/>
                <w:b/>
                <w:bCs/>
                <w:szCs w:val="18"/>
              </w:rPr>
            </w:pPr>
          </w:p>
        </w:tc>
        <w:tc>
          <w:tcPr>
            <w:tcW w:w="1238"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238"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Balance brought forward from previous period</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849</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590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Increases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Appropriation credited to special account</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135,000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receipts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2,225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854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increases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135,000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2,225</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854</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Available for payments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135,000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3,074</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1,444</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Decreases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Departmental</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 xml:space="preserve">Transfer to the Official Public Account </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Other Payments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 xml:space="preserve">Total departmental </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4028" w:type="dxa"/>
            <w:tcBorders>
              <w:top w:val="nil"/>
              <w:left w:val="single" w:sz="4" w:space="0" w:color="auto"/>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Administered</w:t>
            </w:r>
          </w:p>
        </w:tc>
        <w:tc>
          <w:tcPr>
            <w:tcW w:w="123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028" w:type="dxa"/>
            <w:tcBorders>
              <w:top w:val="nil"/>
              <w:left w:val="single" w:sz="4" w:space="0" w:color="auto"/>
              <w:bottom w:val="single" w:sz="4" w:space="0" w:color="auto"/>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Payments made to suppliers</w:t>
            </w:r>
          </w:p>
        </w:tc>
        <w:tc>
          <w:tcPr>
            <w:tcW w:w="123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(350)</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(595)</w:t>
            </w:r>
          </w:p>
        </w:tc>
      </w:tr>
      <w:tr w:rsidR="00361797" w:rsidTr="00B50E5D">
        <w:trPr>
          <w:trHeight w:val="255"/>
        </w:trPr>
        <w:tc>
          <w:tcPr>
            <w:tcW w:w="4028" w:type="dxa"/>
            <w:tcBorders>
              <w:top w:val="nil"/>
              <w:left w:val="single" w:sz="4" w:space="0" w:color="auto"/>
              <w:bottom w:val="single" w:sz="4" w:space="0" w:color="auto"/>
              <w:right w:val="nil"/>
            </w:tcBorders>
            <w:shd w:val="clear" w:color="000000" w:fill="D9D9D9"/>
            <w:vAlign w:val="bottom"/>
            <w:hideMark/>
          </w:tcPr>
          <w:p w:rsidR="00361797" w:rsidRDefault="00361797" w:rsidP="00B50E5D">
            <w:pPr>
              <w:rPr>
                <w:rFonts w:cs="Calibri"/>
                <w:b/>
                <w:bCs/>
                <w:szCs w:val="18"/>
              </w:rPr>
            </w:pPr>
            <w:r>
              <w:rPr>
                <w:rFonts w:cs="Calibri"/>
                <w:b/>
                <w:bCs/>
                <w:szCs w:val="18"/>
              </w:rPr>
              <w:t>Total administered</w:t>
            </w:r>
          </w:p>
        </w:tc>
        <w:tc>
          <w:tcPr>
            <w:tcW w:w="1238"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(350)</w:t>
            </w:r>
          </w:p>
        </w:tc>
        <w:tc>
          <w:tcPr>
            <w:tcW w:w="1238"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(595)</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decreases</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(350)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(595)</w:t>
            </w:r>
          </w:p>
        </w:tc>
      </w:tr>
      <w:tr w:rsidR="00361797" w:rsidTr="00B50E5D">
        <w:trPr>
          <w:trHeight w:val="255"/>
        </w:trPr>
        <w:tc>
          <w:tcPr>
            <w:tcW w:w="4028"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balance carried to the next period</w:t>
            </w:r>
          </w:p>
        </w:tc>
        <w:tc>
          <w:tcPr>
            <w:tcW w:w="1238"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135,000</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2,724</w:t>
            </w:r>
          </w:p>
        </w:tc>
        <w:tc>
          <w:tcPr>
            <w:tcW w:w="1238"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849</w:t>
            </w:r>
          </w:p>
        </w:tc>
      </w:tr>
    </w:tbl>
    <w:p w:rsidR="00361797" w:rsidRDefault="00361797" w:rsidP="00361797">
      <w:r>
        <w:rPr>
          <w:b/>
        </w:rPr>
        <w:br w:type="page"/>
      </w:r>
    </w:p>
    <w:p w:rsidR="00361797" w:rsidRDefault="00361797" w:rsidP="00361797">
      <w:pPr>
        <w:spacing w:line="240" w:lineRule="auto"/>
        <w:sectPr w:rsidR="00361797" w:rsidSect="00E82BA1">
          <w:pgSz w:w="11906" w:h="16838"/>
          <w:pgMar w:top="1134" w:right="1134" w:bottom="1134" w:left="1134" w:header="958" w:footer="737" w:gutter="0"/>
          <w:cols w:space="720"/>
          <w:docGrid w:linePitch="245"/>
        </w:sectPr>
      </w:pPr>
      <w:bookmarkStart w:id="478" w:name="RANGE!D31:J56"/>
      <w:bookmarkEnd w:id="478"/>
    </w:p>
    <w:tbl>
      <w:tblPr>
        <w:tblW w:w="9072" w:type="dxa"/>
        <w:tblLook w:val="04A0" w:firstRow="1" w:lastRow="0" w:firstColumn="1" w:lastColumn="0" w:noHBand="0" w:noVBand="1"/>
      </w:tblPr>
      <w:tblGrid>
        <w:gridCol w:w="9072"/>
      </w:tblGrid>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szCs w:val="18"/>
                <w:lang w:eastAsia="en-AU"/>
              </w:rPr>
            </w:pPr>
            <w:r>
              <w:rPr>
                <w:rFonts w:cs="Arial"/>
                <w:szCs w:val="18"/>
                <w:vertAlign w:val="superscript"/>
                <w:lang w:eastAsia="en-AU"/>
              </w:rPr>
              <w:lastRenderedPageBreak/>
              <w:t xml:space="preserve">1 </w:t>
            </w:r>
            <w:r>
              <w:rPr>
                <w:rFonts w:cs="Arial"/>
                <w:szCs w:val="18"/>
                <w:lang w:eastAsia="en-AU"/>
              </w:rPr>
              <w:t>Aboriginal</w:t>
            </w:r>
            <w:r>
              <w:rPr>
                <w:rFonts w:cs="Arial"/>
                <w:szCs w:val="18"/>
                <w:vertAlign w:val="superscript"/>
                <w:lang w:eastAsia="en-AU"/>
              </w:rPr>
              <w:t xml:space="preserve"> </w:t>
            </w:r>
            <w:r>
              <w:rPr>
                <w:rFonts w:cs="Arial"/>
                <w:szCs w:val="18"/>
                <w:lang w:eastAsia="en-AU"/>
              </w:rPr>
              <w:t xml:space="preserve">Tutorial Assistance Superannuation Special Account </w:t>
            </w:r>
          </w:p>
          <w:p w:rsidR="00361797" w:rsidRDefault="00361797" w:rsidP="00B50E5D">
            <w:pPr>
              <w:spacing w:line="240" w:lineRule="auto"/>
              <w:rPr>
                <w:rFonts w:cs="Arial"/>
                <w:szCs w:val="18"/>
                <w:lang w:eastAsia="en-AU"/>
              </w:rPr>
            </w:pPr>
            <w:r>
              <w:rPr>
                <w:rFonts w:cs="Arial"/>
                <w:szCs w:val="18"/>
                <w:lang w:eastAsia="en-AU"/>
              </w:rPr>
              <w:t xml:space="preserve">Appropriation: </w:t>
            </w:r>
            <w:r>
              <w:rPr>
                <w:rFonts w:cs="Arial"/>
                <w:i/>
                <w:iCs/>
                <w:szCs w:val="18"/>
                <w:lang w:eastAsia="en-AU"/>
              </w:rPr>
              <w:t xml:space="preserve">Financial Management and Accountability Act 1997; </w:t>
            </w:r>
            <w:r>
              <w:rPr>
                <w:rFonts w:cs="Arial"/>
                <w:iCs/>
                <w:szCs w:val="18"/>
                <w:lang w:eastAsia="en-AU"/>
              </w:rPr>
              <w:t>section 20</w:t>
            </w:r>
          </w:p>
        </w:tc>
      </w:tr>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szCs w:val="18"/>
                <w:lang w:eastAsia="en-AU"/>
              </w:rPr>
            </w:pPr>
            <w:r>
              <w:rPr>
                <w:rFonts w:cs="Arial"/>
                <w:szCs w:val="18"/>
                <w:lang w:eastAsia="en-AU"/>
              </w:rPr>
              <w:t>Establishing Instrument:</w:t>
            </w:r>
            <w:r>
              <w:rPr>
                <w:rFonts w:cs="Arial"/>
                <w:i/>
                <w:iCs/>
                <w:szCs w:val="18"/>
                <w:lang w:eastAsia="en-AU"/>
              </w:rPr>
              <w:t xml:space="preserve"> Financial Management and Accountability Determination 2003/05 </w:t>
            </w:r>
            <w:r w:rsidRPr="00B27366">
              <w:rPr>
                <w:rFonts w:cs="Arial"/>
                <w:iCs/>
                <w:szCs w:val="18"/>
                <w:lang w:eastAsia="en-AU"/>
              </w:rPr>
              <w:t>on</w:t>
            </w:r>
            <w:r>
              <w:rPr>
                <w:rFonts w:cs="Arial"/>
                <w:iCs/>
                <w:szCs w:val="18"/>
                <w:lang w:eastAsia="en-AU"/>
              </w:rPr>
              <w:t xml:space="preserve"> 26 November 2003</w:t>
            </w:r>
            <w:r>
              <w:rPr>
                <w:rFonts w:cs="Arial"/>
                <w:i/>
                <w:iCs/>
                <w:szCs w:val="18"/>
                <w:lang w:eastAsia="en-AU"/>
              </w:rPr>
              <w:t>;</w:t>
            </w:r>
            <w:r>
              <w:rPr>
                <w:rFonts w:cs="Arial"/>
                <w:iCs/>
                <w:szCs w:val="18"/>
                <w:lang w:eastAsia="en-AU"/>
              </w:rPr>
              <w:t xml:space="preserve"> later varied by the </w:t>
            </w:r>
            <w:r w:rsidRPr="005955F5">
              <w:rPr>
                <w:rFonts w:cs="Arial"/>
                <w:i/>
                <w:iCs/>
                <w:szCs w:val="18"/>
                <w:lang w:eastAsia="en-AU"/>
              </w:rPr>
              <w:t>Financial Management and Accountability Determination 2006/43</w:t>
            </w:r>
            <w:r>
              <w:rPr>
                <w:rFonts w:cs="Arial"/>
                <w:iCs/>
                <w:szCs w:val="18"/>
                <w:lang w:eastAsia="en-AU"/>
              </w:rPr>
              <w:t xml:space="preserve"> on 1 September 2006.</w:t>
            </w:r>
          </w:p>
        </w:tc>
      </w:tr>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iCs/>
                <w:szCs w:val="18"/>
                <w:lang w:eastAsia="en-AU"/>
              </w:rPr>
            </w:pPr>
            <w:r>
              <w:rPr>
                <w:rFonts w:cs="Arial"/>
                <w:iCs/>
                <w:szCs w:val="18"/>
                <w:lang w:eastAsia="en-AU"/>
              </w:rPr>
              <w:t>Purpose:  to provide a source of finance for the liability for the Superannuation Productivity Benefit entitlements owing to tutors contracted under the Aboriginal Tutorial Assistance Scheme.</w:t>
            </w:r>
          </w:p>
        </w:tc>
      </w:tr>
    </w:tbl>
    <w:p w:rsidR="00361797" w:rsidRDefault="00361797" w:rsidP="00361797"/>
    <w:tbl>
      <w:tblPr>
        <w:tblW w:w="9072" w:type="dxa"/>
        <w:tblLook w:val="04A0" w:firstRow="1" w:lastRow="0" w:firstColumn="1" w:lastColumn="0" w:noHBand="0" w:noVBand="1"/>
      </w:tblPr>
      <w:tblGrid>
        <w:gridCol w:w="9072"/>
      </w:tblGrid>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szCs w:val="18"/>
                <w:lang w:eastAsia="en-AU"/>
              </w:rPr>
            </w:pPr>
            <w:r>
              <w:rPr>
                <w:rFonts w:cs="Arial"/>
                <w:szCs w:val="18"/>
                <w:vertAlign w:val="superscript"/>
                <w:lang w:eastAsia="en-AU"/>
              </w:rPr>
              <w:t xml:space="preserve">2 </w:t>
            </w:r>
            <w:r>
              <w:rPr>
                <w:rFonts w:cs="Arial"/>
                <w:szCs w:val="18"/>
                <w:lang w:eastAsia="en-AU"/>
              </w:rPr>
              <w:t>National Youth Affairs Research Scheme Special Account</w:t>
            </w:r>
          </w:p>
          <w:p w:rsidR="00361797" w:rsidRDefault="00361797" w:rsidP="00B50E5D">
            <w:pPr>
              <w:spacing w:line="240" w:lineRule="auto"/>
              <w:rPr>
                <w:rFonts w:cs="Arial"/>
                <w:szCs w:val="18"/>
                <w:lang w:eastAsia="en-AU"/>
              </w:rPr>
            </w:pPr>
            <w:r>
              <w:rPr>
                <w:rFonts w:cs="Arial"/>
                <w:szCs w:val="18"/>
                <w:vertAlign w:val="superscript"/>
                <w:lang w:eastAsia="en-AU"/>
              </w:rPr>
              <w:t xml:space="preserve"> </w:t>
            </w:r>
            <w:r>
              <w:rPr>
                <w:rFonts w:cs="Arial"/>
                <w:szCs w:val="18"/>
                <w:lang w:eastAsia="en-AU"/>
              </w:rPr>
              <w:t xml:space="preserve">Appropriation: </w:t>
            </w:r>
            <w:r>
              <w:rPr>
                <w:rFonts w:cs="Arial"/>
                <w:i/>
                <w:iCs/>
                <w:szCs w:val="18"/>
                <w:lang w:eastAsia="en-AU"/>
              </w:rPr>
              <w:t>Financial Management and Accountability Act 1997; section 20</w:t>
            </w:r>
          </w:p>
        </w:tc>
      </w:tr>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szCs w:val="18"/>
                <w:lang w:eastAsia="en-AU"/>
              </w:rPr>
            </w:pPr>
            <w:r>
              <w:rPr>
                <w:rFonts w:cs="Arial"/>
                <w:szCs w:val="18"/>
                <w:lang w:eastAsia="en-AU"/>
              </w:rPr>
              <w:t>Establishing Instrument:</w:t>
            </w:r>
            <w:r>
              <w:rPr>
                <w:rFonts w:cs="Arial"/>
                <w:i/>
                <w:iCs/>
                <w:szCs w:val="18"/>
                <w:lang w:eastAsia="en-AU"/>
              </w:rPr>
              <w:t xml:space="preserve"> Financial Management and Accountability Determination 2006/45 </w:t>
            </w:r>
            <w:r>
              <w:rPr>
                <w:rFonts w:cs="Arial"/>
                <w:iCs/>
                <w:szCs w:val="18"/>
                <w:lang w:eastAsia="en-AU"/>
              </w:rPr>
              <w:t xml:space="preserve">on 22 August 2006. </w:t>
            </w:r>
          </w:p>
        </w:tc>
      </w:tr>
      <w:tr w:rsidR="00361797" w:rsidTr="00B50E5D">
        <w:trPr>
          <w:trHeight w:val="255"/>
        </w:trPr>
        <w:tc>
          <w:tcPr>
            <w:tcW w:w="9072" w:type="dxa"/>
            <w:shd w:val="clear" w:color="auto" w:fill="FFFFFF"/>
            <w:hideMark/>
          </w:tcPr>
          <w:p w:rsidR="00361797" w:rsidRDefault="00361797" w:rsidP="00B50E5D">
            <w:pPr>
              <w:spacing w:line="240" w:lineRule="auto"/>
              <w:rPr>
                <w:rFonts w:cs="Arial"/>
                <w:iCs/>
                <w:szCs w:val="18"/>
                <w:lang w:eastAsia="en-AU"/>
              </w:rPr>
            </w:pPr>
            <w:r>
              <w:rPr>
                <w:rFonts w:cs="Arial"/>
                <w:iCs/>
                <w:szCs w:val="18"/>
                <w:lang w:eastAsia="en-AU"/>
              </w:rPr>
              <w:t>Purpose:  For the receipt of monies from state governments to meet expenditure in respect of the National Youth Affairs Research Scheme.</w:t>
            </w:r>
          </w:p>
          <w:p w:rsidR="00361797" w:rsidRDefault="00361797" w:rsidP="00B50E5D">
            <w:pPr>
              <w:spacing w:line="240" w:lineRule="auto"/>
              <w:rPr>
                <w:rFonts w:cs="Arial"/>
                <w:iCs/>
                <w:szCs w:val="18"/>
                <w:lang w:eastAsia="en-AU"/>
              </w:rPr>
            </w:pPr>
          </w:p>
        </w:tc>
      </w:tr>
    </w:tbl>
    <w:p w:rsidR="00361797" w:rsidRPr="00BB63F0" w:rsidRDefault="00361797" w:rsidP="00361797">
      <w:pPr>
        <w:spacing w:line="240" w:lineRule="auto"/>
        <w:rPr>
          <w:rFonts w:cs="Arial"/>
          <w:szCs w:val="18"/>
          <w:vertAlign w:val="superscript"/>
          <w:lang w:eastAsia="en-AU"/>
        </w:rPr>
      </w:pPr>
      <w:r w:rsidRPr="00BB63F0">
        <w:rPr>
          <w:rFonts w:cs="Arial"/>
          <w:szCs w:val="18"/>
          <w:vertAlign w:val="superscript"/>
          <w:lang w:eastAsia="en-AU"/>
        </w:rPr>
        <w:t xml:space="preserve">3 </w:t>
      </w:r>
      <w:r w:rsidRPr="00BB63F0">
        <w:rPr>
          <w:rFonts w:cs="Arial"/>
          <w:szCs w:val="18"/>
          <w:lang w:eastAsia="en-AU"/>
        </w:rPr>
        <w:t>Early Years Quality Fund Special Account</w:t>
      </w:r>
    </w:p>
    <w:tbl>
      <w:tblPr>
        <w:tblW w:w="9072" w:type="dxa"/>
        <w:tblLook w:val="04A0" w:firstRow="1" w:lastRow="0" w:firstColumn="1" w:lastColumn="0" w:noHBand="0" w:noVBand="1"/>
      </w:tblPr>
      <w:tblGrid>
        <w:gridCol w:w="9072"/>
      </w:tblGrid>
      <w:tr w:rsidR="00361797" w:rsidRPr="00BB63F0" w:rsidTr="00B50E5D">
        <w:trPr>
          <w:trHeight w:val="255"/>
        </w:trPr>
        <w:tc>
          <w:tcPr>
            <w:tcW w:w="9072" w:type="dxa"/>
            <w:shd w:val="clear" w:color="auto" w:fill="FFFFFF"/>
            <w:vAlign w:val="bottom"/>
          </w:tcPr>
          <w:p w:rsidR="00361797" w:rsidRPr="00BB63F0" w:rsidRDefault="00361797" w:rsidP="00B50E5D">
            <w:pPr>
              <w:spacing w:line="240" w:lineRule="auto"/>
              <w:rPr>
                <w:rFonts w:cs="Arial"/>
                <w:i/>
                <w:szCs w:val="18"/>
                <w:lang w:eastAsia="en-AU"/>
              </w:rPr>
            </w:pPr>
            <w:r>
              <w:rPr>
                <w:rFonts w:cs="Arial"/>
                <w:szCs w:val="18"/>
                <w:lang w:eastAsia="en-AU"/>
              </w:rPr>
              <w:t xml:space="preserve">Appropriation: </w:t>
            </w:r>
            <w:r>
              <w:rPr>
                <w:rFonts w:cs="Arial"/>
                <w:i/>
                <w:szCs w:val="18"/>
                <w:lang w:eastAsia="en-AU"/>
              </w:rPr>
              <w:t xml:space="preserve">Financial Management and Accountability Act 1997: </w:t>
            </w:r>
            <w:r w:rsidRPr="00BB63F0">
              <w:rPr>
                <w:rFonts w:cs="Arial"/>
                <w:szCs w:val="18"/>
                <w:lang w:eastAsia="en-AU"/>
              </w:rPr>
              <w:t>section 2</w:t>
            </w:r>
            <w:r>
              <w:rPr>
                <w:rFonts w:cs="Arial"/>
                <w:szCs w:val="18"/>
                <w:lang w:eastAsia="en-AU"/>
              </w:rPr>
              <w:t>1</w:t>
            </w:r>
          </w:p>
        </w:tc>
      </w:tr>
      <w:tr w:rsidR="00361797" w:rsidRPr="00BB63F0" w:rsidTr="00B50E5D">
        <w:trPr>
          <w:trHeight w:val="255"/>
        </w:trPr>
        <w:tc>
          <w:tcPr>
            <w:tcW w:w="9072" w:type="dxa"/>
            <w:shd w:val="clear" w:color="auto" w:fill="FFFFFF"/>
            <w:vAlign w:val="bottom"/>
          </w:tcPr>
          <w:p w:rsidR="00361797" w:rsidRPr="00187854" w:rsidRDefault="00361797" w:rsidP="00B50E5D">
            <w:pPr>
              <w:spacing w:line="240" w:lineRule="auto"/>
              <w:rPr>
                <w:rFonts w:cs="Arial"/>
                <w:szCs w:val="18"/>
                <w:lang w:eastAsia="en-AU"/>
              </w:rPr>
            </w:pPr>
            <w:r>
              <w:rPr>
                <w:rFonts w:cs="Arial"/>
                <w:szCs w:val="18"/>
                <w:lang w:eastAsia="en-AU"/>
              </w:rPr>
              <w:t xml:space="preserve">Establishing Instrument: </w:t>
            </w:r>
            <w:r>
              <w:rPr>
                <w:rFonts w:cs="Arial"/>
                <w:i/>
                <w:szCs w:val="18"/>
                <w:lang w:eastAsia="en-AU"/>
              </w:rPr>
              <w:t xml:space="preserve">Early Years Quality Fund Special Account Act 2013 </w:t>
            </w:r>
            <w:r>
              <w:rPr>
                <w:rFonts w:cs="Arial"/>
                <w:szCs w:val="18"/>
                <w:lang w:eastAsia="en-AU"/>
              </w:rPr>
              <w:t>on 1 July 2013</w:t>
            </w:r>
          </w:p>
        </w:tc>
      </w:tr>
      <w:tr w:rsidR="00361797" w:rsidRPr="00BB63F0" w:rsidTr="00B50E5D">
        <w:trPr>
          <w:trHeight w:val="255"/>
        </w:trPr>
        <w:tc>
          <w:tcPr>
            <w:tcW w:w="9072" w:type="dxa"/>
            <w:shd w:val="clear" w:color="auto" w:fill="FFFFFF"/>
            <w:vAlign w:val="bottom"/>
          </w:tcPr>
          <w:p w:rsidR="00361797" w:rsidRDefault="00361797" w:rsidP="00B50E5D">
            <w:pPr>
              <w:spacing w:line="240" w:lineRule="auto"/>
              <w:rPr>
                <w:rFonts w:cs="Arial"/>
                <w:szCs w:val="18"/>
                <w:lang w:eastAsia="en-AU"/>
              </w:rPr>
            </w:pPr>
            <w:r w:rsidRPr="00BB63F0">
              <w:rPr>
                <w:rFonts w:cs="Arial"/>
                <w:szCs w:val="18"/>
                <w:lang w:eastAsia="en-AU"/>
              </w:rPr>
              <w:t>Purpose</w:t>
            </w:r>
            <w:r>
              <w:rPr>
                <w:rFonts w:cs="Arial"/>
                <w:szCs w:val="18"/>
                <w:lang w:eastAsia="en-AU"/>
              </w:rPr>
              <w:t>: To provide funding to the approved centre based long day care services, to be used exclusively for paying remuneration, and other employment-related costs and expenses, in relation to employees in the early childhood education and care sector.</w:t>
            </w:r>
          </w:p>
          <w:p w:rsidR="00361797" w:rsidRPr="00BB63F0" w:rsidRDefault="00361797" w:rsidP="00B50E5D">
            <w:pPr>
              <w:spacing w:line="240" w:lineRule="auto"/>
              <w:rPr>
                <w:rFonts w:cs="Arial"/>
                <w:szCs w:val="18"/>
                <w:lang w:eastAsia="en-AU"/>
              </w:rPr>
            </w:pPr>
          </w:p>
        </w:tc>
      </w:tr>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iCs/>
                <w:szCs w:val="18"/>
                <w:lang w:eastAsia="en-AU"/>
              </w:rPr>
            </w:pPr>
            <w:r>
              <w:rPr>
                <w:rFonts w:cs="Arial"/>
                <w:iCs/>
                <w:szCs w:val="18"/>
                <w:vertAlign w:val="superscript"/>
                <w:lang w:eastAsia="en-AU"/>
              </w:rPr>
              <w:t xml:space="preserve">4 </w:t>
            </w:r>
            <w:r>
              <w:rPr>
                <w:rFonts w:cs="Arial"/>
                <w:iCs/>
                <w:szCs w:val="18"/>
                <w:lang w:eastAsia="en-AU"/>
              </w:rPr>
              <w:t>Services for Other</w:t>
            </w:r>
            <w:r>
              <w:rPr>
                <w:rFonts w:cs="Arial"/>
                <w:iCs/>
                <w:szCs w:val="18"/>
                <w:vertAlign w:val="superscript"/>
                <w:lang w:eastAsia="en-AU"/>
              </w:rPr>
              <w:t xml:space="preserve"> </w:t>
            </w:r>
            <w:r>
              <w:rPr>
                <w:rFonts w:cs="Arial"/>
                <w:iCs/>
                <w:szCs w:val="18"/>
                <w:lang w:eastAsia="en-AU"/>
              </w:rPr>
              <w:t>Entities and Trust Moneys Special Account</w:t>
            </w:r>
          </w:p>
          <w:p w:rsidR="00361797" w:rsidRDefault="00361797" w:rsidP="00B50E5D">
            <w:pPr>
              <w:spacing w:line="240" w:lineRule="auto"/>
              <w:rPr>
                <w:rFonts w:cs="Arial"/>
                <w:i/>
                <w:iCs/>
                <w:szCs w:val="18"/>
                <w:lang w:eastAsia="en-AU"/>
              </w:rPr>
            </w:pPr>
            <w:r>
              <w:rPr>
                <w:rFonts w:cs="Arial"/>
                <w:iCs/>
                <w:szCs w:val="18"/>
                <w:lang w:eastAsia="en-AU"/>
              </w:rPr>
              <w:t>Appropriation:</w:t>
            </w:r>
            <w:r>
              <w:rPr>
                <w:rFonts w:cs="Arial"/>
                <w:szCs w:val="18"/>
                <w:lang w:eastAsia="en-AU"/>
              </w:rPr>
              <w:t xml:space="preserve"> </w:t>
            </w:r>
            <w:r>
              <w:rPr>
                <w:rFonts w:cs="Arial"/>
                <w:i/>
                <w:iCs/>
                <w:szCs w:val="18"/>
                <w:lang w:eastAsia="en-AU"/>
              </w:rPr>
              <w:t xml:space="preserve">Financial Management and Accountability Act 1997 </w:t>
            </w:r>
            <w:r>
              <w:rPr>
                <w:rFonts w:cs="Arial"/>
                <w:iCs/>
                <w:szCs w:val="18"/>
                <w:lang w:eastAsia="en-AU"/>
              </w:rPr>
              <w:t>on 3 June 2008</w:t>
            </w:r>
            <w:r>
              <w:rPr>
                <w:rFonts w:cs="Arial"/>
                <w:i/>
                <w:iCs/>
                <w:szCs w:val="18"/>
                <w:lang w:eastAsia="en-AU"/>
              </w:rPr>
              <w:t xml:space="preserve">; </w:t>
            </w:r>
            <w:r>
              <w:rPr>
                <w:rFonts w:cs="Arial"/>
                <w:iCs/>
                <w:szCs w:val="18"/>
                <w:lang w:eastAsia="en-AU"/>
              </w:rPr>
              <w:t>section 20</w:t>
            </w:r>
          </w:p>
        </w:tc>
      </w:tr>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i/>
                <w:iCs/>
                <w:szCs w:val="18"/>
                <w:lang w:eastAsia="en-AU"/>
              </w:rPr>
            </w:pPr>
            <w:r>
              <w:rPr>
                <w:rFonts w:cs="Arial"/>
                <w:iCs/>
                <w:szCs w:val="18"/>
                <w:lang w:eastAsia="en-AU"/>
              </w:rPr>
              <w:t>Establishing Instrument:</w:t>
            </w:r>
            <w:r>
              <w:rPr>
                <w:rFonts w:cs="Arial"/>
                <w:szCs w:val="18"/>
                <w:lang w:eastAsia="en-AU"/>
              </w:rPr>
              <w:t xml:space="preserve"> </w:t>
            </w:r>
            <w:r>
              <w:rPr>
                <w:rFonts w:cs="Arial"/>
                <w:i/>
                <w:iCs/>
                <w:szCs w:val="18"/>
                <w:lang w:eastAsia="en-AU"/>
              </w:rPr>
              <w:t xml:space="preserve"> Financial Management and Accountability Determination 2008/14 </w:t>
            </w:r>
            <w:r>
              <w:rPr>
                <w:rFonts w:cs="Arial"/>
                <w:iCs/>
                <w:szCs w:val="18"/>
                <w:lang w:eastAsia="en-AU"/>
              </w:rPr>
              <w:t>on 3 June 2008.</w:t>
            </w:r>
          </w:p>
        </w:tc>
      </w:tr>
      <w:tr w:rsidR="00361797" w:rsidTr="00B50E5D">
        <w:trPr>
          <w:trHeight w:val="255"/>
        </w:trPr>
        <w:tc>
          <w:tcPr>
            <w:tcW w:w="9072" w:type="dxa"/>
            <w:shd w:val="clear" w:color="auto" w:fill="FFFFFF"/>
            <w:vAlign w:val="bottom"/>
            <w:hideMark/>
          </w:tcPr>
          <w:p w:rsidR="00361797" w:rsidRDefault="00361797" w:rsidP="00B50E5D">
            <w:pPr>
              <w:spacing w:line="240" w:lineRule="auto"/>
              <w:rPr>
                <w:rFonts w:cs="Arial"/>
                <w:szCs w:val="18"/>
                <w:lang w:eastAsia="en-AU"/>
              </w:rPr>
            </w:pPr>
            <w:r>
              <w:rPr>
                <w:rFonts w:cs="Arial"/>
                <w:iCs/>
                <w:szCs w:val="18"/>
                <w:lang w:eastAsia="en-AU"/>
              </w:rPr>
              <w:t>Purpose</w:t>
            </w:r>
            <w:r>
              <w:rPr>
                <w:rFonts w:cs="Arial"/>
                <w:i/>
                <w:iCs/>
                <w:szCs w:val="18"/>
                <w:lang w:eastAsia="en-AU"/>
              </w:rPr>
              <w:t>:</w:t>
            </w:r>
            <w:r>
              <w:rPr>
                <w:rFonts w:cs="Arial"/>
                <w:szCs w:val="18"/>
                <w:lang w:eastAsia="en-AU"/>
              </w:rPr>
              <w:t xml:space="preserve">  To disburse amounts: </w:t>
            </w:r>
          </w:p>
          <w:p w:rsidR="00361797" w:rsidRPr="00187854" w:rsidRDefault="00361797" w:rsidP="00361797">
            <w:pPr>
              <w:pStyle w:val="ListParagraph"/>
              <w:numPr>
                <w:ilvl w:val="0"/>
                <w:numId w:val="33"/>
              </w:numPr>
              <w:spacing w:line="240" w:lineRule="auto"/>
              <w:rPr>
                <w:rFonts w:cs="Arial"/>
                <w:i/>
                <w:iCs/>
                <w:szCs w:val="18"/>
                <w:lang w:eastAsia="en-AU"/>
              </w:rPr>
            </w:pPr>
            <w:r w:rsidRPr="00187854">
              <w:rPr>
                <w:rFonts w:cs="Arial"/>
                <w:szCs w:val="18"/>
                <w:lang w:eastAsia="en-AU"/>
              </w:rPr>
              <w:t xml:space="preserve">held on trust or otherwise for the benefit of a person other than the Commonwealth </w:t>
            </w:r>
          </w:p>
          <w:p w:rsidR="00361797" w:rsidRPr="00187854" w:rsidRDefault="00361797" w:rsidP="00361797">
            <w:pPr>
              <w:pStyle w:val="ListParagraph"/>
              <w:numPr>
                <w:ilvl w:val="0"/>
                <w:numId w:val="33"/>
              </w:numPr>
              <w:spacing w:line="240" w:lineRule="auto"/>
              <w:rPr>
                <w:rFonts w:cs="Arial"/>
                <w:i/>
                <w:iCs/>
                <w:szCs w:val="18"/>
                <w:lang w:eastAsia="en-AU"/>
              </w:rPr>
            </w:pPr>
            <w:r w:rsidRPr="00187854">
              <w:rPr>
                <w:rFonts w:cs="Arial"/>
                <w:szCs w:val="18"/>
                <w:lang w:eastAsia="en-AU"/>
              </w:rPr>
              <w:t>in connection with services performed on behalf of other governments and bo</w:t>
            </w:r>
            <w:r>
              <w:rPr>
                <w:rFonts w:cs="Arial"/>
                <w:szCs w:val="18"/>
                <w:lang w:eastAsia="en-AU"/>
              </w:rPr>
              <w:t xml:space="preserve">dies that are not </w:t>
            </w:r>
            <w:proofErr w:type="spellStart"/>
            <w:r>
              <w:rPr>
                <w:rFonts w:cs="Arial"/>
                <w:szCs w:val="18"/>
                <w:lang w:eastAsia="en-AU"/>
              </w:rPr>
              <w:t>FMA</w:t>
            </w:r>
            <w:proofErr w:type="spellEnd"/>
            <w:r>
              <w:rPr>
                <w:rFonts w:cs="Arial"/>
                <w:szCs w:val="18"/>
                <w:lang w:eastAsia="en-AU"/>
              </w:rPr>
              <w:t xml:space="preserve"> agencies</w:t>
            </w:r>
          </w:p>
          <w:p w:rsidR="00361797" w:rsidRPr="00187854" w:rsidRDefault="00361797" w:rsidP="00361797">
            <w:pPr>
              <w:pStyle w:val="ListParagraph"/>
              <w:numPr>
                <w:ilvl w:val="0"/>
                <w:numId w:val="33"/>
              </w:numPr>
              <w:spacing w:line="240" w:lineRule="auto"/>
              <w:rPr>
                <w:rFonts w:cs="Arial"/>
                <w:i/>
                <w:iCs/>
                <w:szCs w:val="18"/>
                <w:lang w:eastAsia="en-AU"/>
              </w:rPr>
            </w:pPr>
            <w:r w:rsidRPr="00187854">
              <w:rPr>
                <w:rFonts w:cs="Arial"/>
                <w:szCs w:val="18"/>
                <w:lang w:eastAsia="en-AU"/>
              </w:rPr>
              <w:t>to repay amounts where an Act or other law requires or permits the r</w:t>
            </w:r>
            <w:r>
              <w:rPr>
                <w:rFonts w:cs="Arial"/>
                <w:szCs w:val="18"/>
                <w:lang w:eastAsia="en-AU"/>
              </w:rPr>
              <w:t>epayment of an amount received</w:t>
            </w:r>
          </w:p>
          <w:p w:rsidR="00361797" w:rsidRPr="00187854" w:rsidRDefault="00361797" w:rsidP="00361797">
            <w:pPr>
              <w:pStyle w:val="ListParagraph"/>
              <w:numPr>
                <w:ilvl w:val="0"/>
                <w:numId w:val="33"/>
              </w:numPr>
              <w:spacing w:line="240" w:lineRule="auto"/>
              <w:rPr>
                <w:rFonts w:cs="Arial"/>
                <w:i/>
                <w:iCs/>
                <w:szCs w:val="18"/>
                <w:lang w:eastAsia="en-AU"/>
              </w:rPr>
            </w:pPr>
            <w:proofErr w:type="gramStart"/>
            <w:r>
              <w:rPr>
                <w:rFonts w:cs="Arial"/>
                <w:szCs w:val="18"/>
                <w:lang w:eastAsia="en-AU"/>
              </w:rPr>
              <w:t>to</w:t>
            </w:r>
            <w:proofErr w:type="gramEnd"/>
            <w:r>
              <w:rPr>
                <w:rFonts w:cs="Arial"/>
                <w:szCs w:val="18"/>
                <w:lang w:eastAsia="en-AU"/>
              </w:rPr>
              <w:t xml:space="preserve"> reduce the balance of the Services for Other Entities and Trust Moneys Special Account.</w:t>
            </w:r>
          </w:p>
        </w:tc>
      </w:tr>
    </w:tbl>
    <w:p w:rsidR="00361797" w:rsidRDefault="00361797" w:rsidP="00361797"/>
    <w:p w:rsidR="00361797" w:rsidRDefault="00361797" w:rsidP="00361797"/>
    <w:p w:rsidR="00361797" w:rsidRDefault="00361797" w:rsidP="00361797">
      <w:pPr>
        <w:spacing w:line="240" w:lineRule="auto"/>
      </w:pPr>
      <w:r>
        <w:br w:type="page"/>
      </w:r>
    </w:p>
    <w:p w:rsidR="00361797" w:rsidRDefault="00361797" w:rsidP="00361797"/>
    <w:p w:rsidR="00361797" w:rsidRDefault="00361797" w:rsidP="00361797">
      <w:pPr>
        <w:pStyle w:val="NotesHeading-Level1"/>
        <w:numPr>
          <w:ilvl w:val="0"/>
          <w:numId w:val="14"/>
        </w:numPr>
      </w:pPr>
      <w:bookmarkStart w:id="479" w:name="RANGE!D19:J22"/>
      <w:bookmarkStart w:id="480" w:name="RANGE!D17:J20"/>
      <w:bookmarkStart w:id="481" w:name="RANGE!D17:J19"/>
      <w:bookmarkStart w:id="482" w:name="RANGE!D18:J20"/>
      <w:bookmarkStart w:id="483" w:name="RANGE!D36:J38"/>
      <w:bookmarkStart w:id="484" w:name="_Toc388962649"/>
      <w:bookmarkEnd w:id="479"/>
      <w:bookmarkEnd w:id="480"/>
      <w:bookmarkEnd w:id="481"/>
      <w:bookmarkEnd w:id="482"/>
      <w:bookmarkEnd w:id="483"/>
      <w:r>
        <w:t>Compensation and Debt Relief</w:t>
      </w:r>
      <w:bookmarkEnd w:id="484"/>
    </w:p>
    <w:tbl>
      <w:tblPr>
        <w:tblW w:w="9087" w:type="dxa"/>
        <w:tblInd w:w="80" w:type="dxa"/>
        <w:tblLayout w:type="fixed"/>
        <w:tblLook w:val="04A0" w:firstRow="1" w:lastRow="0" w:firstColumn="1" w:lastColumn="0" w:noHBand="0" w:noVBand="1"/>
      </w:tblPr>
      <w:tblGrid>
        <w:gridCol w:w="6767"/>
        <w:gridCol w:w="1041"/>
        <w:gridCol w:w="239"/>
        <w:gridCol w:w="1040"/>
      </w:tblGrid>
      <w:tr w:rsidR="00361797" w:rsidTr="00B50E5D">
        <w:trPr>
          <w:trHeight w:val="255"/>
        </w:trPr>
        <w:tc>
          <w:tcPr>
            <w:tcW w:w="668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bookmarkStart w:id="485" w:name="Note_CDRTABLE1" w:colFirst="0" w:colLast="0"/>
            <w:r>
              <w:rPr>
                <w:rFonts w:cs="Calibri"/>
                <w:szCs w:val="18"/>
              </w:rPr>
              <w:t> </w:t>
            </w:r>
          </w:p>
        </w:tc>
        <w:tc>
          <w:tcPr>
            <w:tcW w:w="1029"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485"/>
      <w:tr w:rsidR="00361797" w:rsidTr="00B50E5D">
        <w:trPr>
          <w:trHeight w:val="255"/>
        </w:trPr>
        <w:tc>
          <w:tcPr>
            <w:tcW w:w="6688"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9"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8"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w:t>
            </w:r>
          </w:p>
        </w:tc>
      </w:tr>
      <w:tr w:rsidR="00361797" w:rsidTr="00B50E5D">
        <w:trPr>
          <w:trHeight w:val="255"/>
        </w:trPr>
        <w:tc>
          <w:tcPr>
            <w:tcW w:w="6688" w:type="dxa"/>
            <w:tcBorders>
              <w:top w:val="nil"/>
              <w:left w:val="nil"/>
              <w:bottom w:val="nil"/>
              <w:right w:val="nil"/>
            </w:tcBorders>
            <w:shd w:val="clear" w:color="FFFFFF" w:fill="FFFFFF"/>
            <w:vAlign w:val="bottom"/>
            <w:hideMark/>
          </w:tcPr>
          <w:p w:rsidR="00361797" w:rsidRDefault="00361797" w:rsidP="00B50E5D">
            <w:pPr>
              <w:rPr>
                <w:rFonts w:cs="Calibri"/>
                <w:b/>
                <w:bCs/>
                <w:szCs w:val="18"/>
              </w:rPr>
            </w:pPr>
            <w:r>
              <w:rPr>
                <w:rFonts w:cs="Calibri"/>
                <w:b/>
                <w:bCs/>
                <w:szCs w:val="18"/>
              </w:rPr>
              <w:t>Departmental</w:t>
            </w:r>
          </w:p>
        </w:tc>
        <w:tc>
          <w:tcPr>
            <w:tcW w:w="1029"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480"/>
        </w:trPr>
        <w:tc>
          <w:tcPr>
            <w:tcW w:w="668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No  ‘Act of Grace payments' were expensed during the reporting period (2013: nil)</w:t>
            </w:r>
          </w:p>
        </w:tc>
        <w:tc>
          <w:tcPr>
            <w:tcW w:w="102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68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9"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720"/>
        </w:trPr>
        <w:tc>
          <w:tcPr>
            <w:tcW w:w="668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No waivers of amounts owing to the Australian Government were made pursuant to subsection 34(1) of the</w:t>
            </w:r>
            <w:r>
              <w:rPr>
                <w:rFonts w:cs="Calibri"/>
                <w:i/>
                <w:iCs/>
                <w:szCs w:val="18"/>
              </w:rPr>
              <w:t xml:space="preserve"> Financial Management and Accountability Act 1997</w:t>
            </w:r>
            <w:r>
              <w:rPr>
                <w:rFonts w:cs="Calibri"/>
                <w:szCs w:val="18"/>
              </w:rPr>
              <w:t>.  (2013: nil)</w:t>
            </w:r>
          </w:p>
        </w:tc>
        <w:tc>
          <w:tcPr>
            <w:tcW w:w="102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68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9"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480"/>
        </w:trPr>
        <w:tc>
          <w:tcPr>
            <w:tcW w:w="668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No ex-gratia payments were provided for during the reporting period (2013:  nil)</w:t>
            </w:r>
          </w:p>
        </w:tc>
        <w:tc>
          <w:tcPr>
            <w:tcW w:w="102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68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9"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720"/>
        </w:trPr>
        <w:tc>
          <w:tcPr>
            <w:tcW w:w="668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No payment was provided under the Compensation for Detriment caused by Defective Administration Scheme during the reporting period (2013: one payment)</w:t>
            </w:r>
          </w:p>
        </w:tc>
        <w:tc>
          <w:tcPr>
            <w:tcW w:w="102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20 </w:t>
            </w:r>
          </w:p>
        </w:tc>
      </w:tr>
      <w:tr w:rsidR="00361797" w:rsidTr="00B50E5D">
        <w:trPr>
          <w:trHeight w:val="255"/>
        </w:trPr>
        <w:tc>
          <w:tcPr>
            <w:tcW w:w="668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29"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720"/>
        </w:trPr>
        <w:tc>
          <w:tcPr>
            <w:tcW w:w="6688"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 xml:space="preserve">No payments were provided in special circumstances relating to Australian Public Sector employment pursuant to section 73 of the </w:t>
            </w:r>
            <w:r>
              <w:rPr>
                <w:rFonts w:cs="Calibri"/>
                <w:i/>
                <w:iCs/>
                <w:szCs w:val="18"/>
              </w:rPr>
              <w:t>Public Service Act 1999</w:t>
            </w:r>
            <w:r>
              <w:rPr>
                <w:rFonts w:cs="Calibri"/>
                <w:szCs w:val="18"/>
              </w:rPr>
              <w:t xml:space="preserve"> during the reporting period (2013: nil)</w:t>
            </w:r>
          </w:p>
        </w:tc>
        <w:tc>
          <w:tcPr>
            <w:tcW w:w="1029"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61797" w:rsidRDefault="00361797" w:rsidP="00B50E5D">
            <w:pPr>
              <w:rPr>
                <w:rFonts w:cs="Calibri"/>
                <w:b/>
                <w:bCs/>
                <w:szCs w:val="18"/>
              </w:rPr>
            </w:pPr>
            <w:r>
              <w:rPr>
                <w:rFonts w:cs="Calibri"/>
                <w:b/>
                <w:bCs/>
                <w:szCs w:val="18"/>
              </w:rPr>
              <w:t> </w:t>
            </w:r>
          </w:p>
        </w:tc>
        <w:tc>
          <w:tcPr>
            <w:tcW w:w="1028"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r>
    </w:tbl>
    <w:p w:rsidR="00361797" w:rsidRDefault="00361797" w:rsidP="00361797"/>
    <w:p w:rsidR="00361797" w:rsidRDefault="00361797" w:rsidP="00361797">
      <w:r>
        <w:rPr>
          <w:b/>
        </w:rP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bookmarkStart w:id="486" w:name="Note_ADRTABLE1" w:colFirst="0" w:colLast="0"/>
            <w:r>
              <w:rPr>
                <w:rFonts w:cs="Calibri"/>
                <w:b/>
                <w:bCs/>
                <w:szCs w:val="18"/>
              </w:rPr>
              <w:lastRenderedPageBreak/>
              <w:t>Administered</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2014</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2013</w:t>
            </w:r>
          </w:p>
        </w:tc>
      </w:tr>
      <w:bookmarkEnd w:id="486"/>
      <w:tr w:rsidR="00361797" w:rsidTr="00B50E5D">
        <w:trPr>
          <w:trHeight w:val="255"/>
        </w:trPr>
        <w:tc>
          <w:tcPr>
            <w:tcW w:w="6272" w:type="dxa"/>
            <w:tcBorders>
              <w:top w:val="nil"/>
              <w:left w:val="nil"/>
              <w:bottom w:val="single" w:sz="4" w:space="0" w:color="D9D9D9"/>
              <w:right w:val="nil"/>
            </w:tcBorders>
            <w:shd w:val="clear" w:color="000000" w:fill="D9D9D9"/>
            <w:noWrap/>
            <w:vAlign w:val="bottom"/>
            <w:hideMark/>
          </w:tcPr>
          <w:p w:rsidR="00361797" w:rsidRDefault="00361797" w:rsidP="00B50E5D">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61797" w:rsidRDefault="00361797" w:rsidP="00B50E5D">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jc w:val="right"/>
              <w:rPr>
                <w:rFonts w:cs="Calibri"/>
                <w:szCs w:val="18"/>
              </w:rPr>
            </w:pPr>
            <w:r>
              <w:rPr>
                <w:rFonts w:cs="Calibri"/>
                <w:szCs w:val="18"/>
              </w:rPr>
              <w:t>$'000</w:t>
            </w:r>
          </w:p>
        </w:tc>
      </w:tr>
      <w:tr w:rsidR="00361797" w:rsidTr="00B50E5D">
        <w:trPr>
          <w:trHeight w:val="48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7 ‘Act of Grace’ payments were expensed during the reporting period (2013: 27 payments)</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13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72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No waivers of amounts owing to the Australian Government were made pursuant to subsection 34(1) of the </w:t>
            </w:r>
            <w:r>
              <w:rPr>
                <w:rFonts w:cs="Calibri"/>
                <w:i/>
                <w:iCs/>
                <w:szCs w:val="18"/>
              </w:rPr>
              <w:t>Financial Management and Accountability Act 1997</w:t>
            </w:r>
            <w:r>
              <w:rPr>
                <w:rFonts w:cs="Calibri"/>
                <w:szCs w:val="18"/>
              </w:rPr>
              <w:t>.  (2013: 16)</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72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42,548 waivers of amounts owing to the Australian Government were made pursuant to sections 1237, </w:t>
            </w:r>
            <w:proofErr w:type="spellStart"/>
            <w:r>
              <w:rPr>
                <w:rFonts w:cs="Calibri"/>
                <w:szCs w:val="18"/>
              </w:rPr>
              <w:t>1237A</w:t>
            </w:r>
            <w:proofErr w:type="spellEnd"/>
            <w:r>
              <w:rPr>
                <w:rFonts w:cs="Calibri"/>
                <w:szCs w:val="18"/>
              </w:rPr>
              <w:t xml:space="preserve"> and </w:t>
            </w:r>
            <w:proofErr w:type="spellStart"/>
            <w:r>
              <w:rPr>
                <w:rFonts w:cs="Calibri"/>
                <w:szCs w:val="18"/>
              </w:rPr>
              <w:t>1237AAD</w:t>
            </w:r>
            <w:proofErr w:type="spellEnd"/>
            <w:r>
              <w:rPr>
                <w:rFonts w:cs="Calibri"/>
                <w:szCs w:val="18"/>
              </w:rPr>
              <w:t xml:space="preserve"> of the </w:t>
            </w:r>
            <w:r>
              <w:rPr>
                <w:rFonts w:cs="Calibri"/>
                <w:i/>
                <w:iCs/>
                <w:szCs w:val="18"/>
              </w:rPr>
              <w:t>Social Security Act 1991</w:t>
            </w:r>
            <w:r>
              <w:rPr>
                <w:rFonts w:cs="Calibri"/>
                <w:szCs w:val="18"/>
              </w:rPr>
              <w:t>. (2013: 212,068 waivers)</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4,496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17,222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48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652 waivers of amounts owing to the Australian Government were made pursuant to the </w:t>
            </w:r>
            <w:r>
              <w:rPr>
                <w:rFonts w:cs="Calibri"/>
                <w:i/>
                <w:iCs/>
                <w:szCs w:val="18"/>
              </w:rPr>
              <w:t>Student Assistance Act 1973</w:t>
            </w:r>
            <w:r>
              <w:rPr>
                <w:rFonts w:cs="Calibri"/>
                <w:szCs w:val="18"/>
              </w:rPr>
              <w:t xml:space="preserve"> (2013: 3,299 waivers)</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222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584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72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53,200 waivers of amounts owing to the Australian Government were made pursuant to the </w:t>
            </w:r>
            <w:r>
              <w:rPr>
                <w:rFonts w:cs="Calibri"/>
                <w:i/>
                <w:iCs/>
                <w:szCs w:val="18"/>
              </w:rPr>
              <w:t xml:space="preserve">A New Tax System (Family Assistance) (Administration) Act 1999 </w:t>
            </w:r>
            <w:r>
              <w:rPr>
                <w:rFonts w:cs="Calibri"/>
                <w:szCs w:val="18"/>
              </w:rPr>
              <w:t>(2013:  102,520 waivers)</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1,070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2,121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48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No ex-gratia payments were provided for during the reporting period. (2013: nil)</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72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No payments were provided under the Compensation for Detriment caused by Defective Administration Scheme during the reporting period. (2013: nil)</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720"/>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xml:space="preserve">No payments were provided in special circumstances relating to Australian Public Service employment pursuant to section 73 of the </w:t>
            </w:r>
            <w:r>
              <w:rPr>
                <w:rFonts w:cs="Calibri"/>
                <w:i/>
                <w:iCs/>
                <w:szCs w:val="18"/>
              </w:rPr>
              <w:t>Public Service Act 1999</w:t>
            </w:r>
            <w:r>
              <w:rPr>
                <w:rFonts w:cs="Calibri"/>
                <w:szCs w:val="18"/>
              </w:rPr>
              <w:t xml:space="preserve"> during the reporting period. (2013: nil)</w:t>
            </w:r>
          </w:p>
        </w:tc>
        <w:tc>
          <w:tcPr>
            <w:tcW w:w="1238"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6272" w:type="dxa"/>
            <w:tcBorders>
              <w:top w:val="nil"/>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sz w:val="16"/>
                <w:szCs w:val="16"/>
              </w:rPr>
            </w:pPr>
            <w:r>
              <w:rPr>
                <w:rFonts w:ascii="Arial" w:hAnsi="Arial" w:cs="Arial"/>
                <w:sz w:val="16"/>
                <w:szCs w:val="16"/>
              </w:rPr>
              <w:t> </w:t>
            </w:r>
          </w:p>
        </w:tc>
      </w:tr>
      <w:tr w:rsidR="00361797" w:rsidTr="00B50E5D">
        <w:trPr>
          <w:trHeight w:val="255"/>
        </w:trPr>
        <w:tc>
          <w:tcPr>
            <w:tcW w:w="8982" w:type="dxa"/>
            <w:gridSpan w:val="4"/>
            <w:tcBorders>
              <w:top w:val="single" w:sz="4" w:space="0" w:color="D9D9D9"/>
              <w:left w:val="nil"/>
              <w:bottom w:val="single" w:sz="4" w:space="0" w:color="D9D9D9"/>
              <w:right w:val="nil"/>
            </w:tcBorders>
            <w:shd w:val="clear" w:color="000000" w:fill="D9D9D9"/>
            <w:vAlign w:val="bottom"/>
            <w:hideMark/>
          </w:tcPr>
          <w:p w:rsidR="00361797" w:rsidRDefault="00361797" w:rsidP="00B50E5D">
            <w:pPr>
              <w:rPr>
                <w:rFonts w:cs="Calibri"/>
                <w:szCs w:val="18"/>
              </w:rPr>
            </w:pPr>
            <w:r>
              <w:rPr>
                <w:rFonts w:cs="Calibri"/>
                <w:szCs w:val="18"/>
              </w:rPr>
              <w:t> </w:t>
            </w:r>
          </w:p>
        </w:tc>
      </w:tr>
    </w:tbl>
    <w:p w:rsidR="00361797" w:rsidRDefault="00361797" w:rsidP="00361797">
      <w:pPr>
        <w:spacing w:line="240" w:lineRule="auto"/>
        <w:sectPr w:rsidR="00361797">
          <w:pgSz w:w="11906" w:h="16838"/>
          <w:pgMar w:top="1134" w:right="1134" w:bottom="1134" w:left="1134" w:header="958" w:footer="737" w:gutter="0"/>
          <w:cols w:space="720"/>
        </w:sectPr>
      </w:pPr>
    </w:p>
    <w:p w:rsidR="00361797" w:rsidRDefault="00361797" w:rsidP="00361797">
      <w:pPr>
        <w:pStyle w:val="NotesHeading-Level1"/>
        <w:numPr>
          <w:ilvl w:val="0"/>
          <w:numId w:val="14"/>
        </w:numPr>
        <w:rPr>
          <w:rFonts w:cstheme="minorHAnsi"/>
        </w:rPr>
      </w:pPr>
      <w:bookmarkStart w:id="487" w:name="RANGE!D7:G29"/>
      <w:bookmarkStart w:id="488" w:name="_Toc388962650"/>
      <w:bookmarkEnd w:id="487"/>
      <w:r>
        <w:rPr>
          <w:rFonts w:cstheme="minorHAnsi"/>
        </w:rPr>
        <w:lastRenderedPageBreak/>
        <w:t>Reporting of Outcomes</w:t>
      </w:r>
      <w:bookmarkEnd w:id="488"/>
    </w:p>
    <w:p w:rsidR="00361797" w:rsidRDefault="00361797" w:rsidP="00361797">
      <w:pPr>
        <w:pStyle w:val="NotesText0"/>
      </w:pPr>
      <w:r>
        <w:t xml:space="preserve">The department has four outcomes. The department uses a cost allocation model to determine the attribution of its shared items.     </w:t>
      </w:r>
    </w:p>
    <w:tbl>
      <w:tblPr>
        <w:tblW w:w="13991" w:type="dxa"/>
        <w:tblInd w:w="80" w:type="dxa"/>
        <w:tblLayout w:type="fixed"/>
        <w:tblLook w:val="04A0" w:firstRow="1" w:lastRow="0" w:firstColumn="1" w:lastColumn="0" w:noHBand="0" w:noVBand="1"/>
      </w:tblPr>
      <w:tblGrid>
        <w:gridCol w:w="4454"/>
        <w:gridCol w:w="1193"/>
        <w:gridCol w:w="1192"/>
        <w:gridCol w:w="1192"/>
        <w:gridCol w:w="1192"/>
        <w:gridCol w:w="1192"/>
        <w:gridCol w:w="1192"/>
        <w:gridCol w:w="1192"/>
        <w:gridCol w:w="1192"/>
      </w:tblGrid>
      <w:tr w:rsidR="00361797" w:rsidTr="00B50E5D">
        <w:trPr>
          <w:trHeight w:val="255"/>
        </w:trPr>
        <w:tc>
          <w:tcPr>
            <w:tcW w:w="4419" w:type="dxa"/>
            <w:tcBorders>
              <w:top w:val="nil"/>
              <w:left w:val="nil"/>
              <w:bottom w:val="nil"/>
              <w:right w:val="nil"/>
            </w:tcBorders>
            <w:shd w:val="clear" w:color="FFFFFF" w:fill="FFFFFF"/>
            <w:noWrap/>
            <w:vAlign w:val="bottom"/>
            <w:hideMark/>
          </w:tcPr>
          <w:p w:rsidR="00361797" w:rsidRDefault="00361797" w:rsidP="00B50E5D">
            <w:pPr>
              <w:rPr>
                <w:rFonts w:cs="Calibri"/>
                <w:b/>
                <w:bCs/>
                <w:szCs w:val="18"/>
                <w:u w:val="single"/>
              </w:rPr>
            </w:pPr>
            <w:bookmarkStart w:id="489" w:name="Note_ROOTABLE1" w:colFirst="0" w:colLast="0"/>
            <w:r>
              <w:rPr>
                <w:rFonts w:cs="Calibri"/>
                <w:b/>
                <w:bCs/>
                <w:szCs w:val="18"/>
                <w:u w:val="single"/>
              </w:rPr>
              <w:t xml:space="preserve">Note </w:t>
            </w:r>
            <w:proofErr w:type="spellStart"/>
            <w:r>
              <w:rPr>
                <w:rFonts w:cs="Calibri"/>
                <w:b/>
                <w:bCs/>
                <w:szCs w:val="18"/>
                <w:u w:val="single"/>
              </w:rPr>
              <w:t>31A</w:t>
            </w:r>
            <w:proofErr w:type="spellEnd"/>
            <w:r>
              <w:rPr>
                <w:rFonts w:cs="Calibri"/>
                <w:b/>
                <w:bCs/>
                <w:szCs w:val="18"/>
                <w:u w:val="single"/>
              </w:rPr>
              <w:t>: Net cost of outcome delivery</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bookmarkEnd w:id="489"/>
      <w:tr w:rsidR="00361797" w:rsidTr="00B50E5D">
        <w:trPr>
          <w:trHeight w:val="255"/>
        </w:trPr>
        <w:tc>
          <w:tcPr>
            <w:tcW w:w="441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419" w:type="dxa"/>
            <w:tcBorders>
              <w:top w:val="single" w:sz="4" w:space="0" w:color="auto"/>
              <w:left w:val="single" w:sz="4" w:space="0" w:color="auto"/>
              <w:bottom w:val="nil"/>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6"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Outcome 1</w:t>
            </w:r>
          </w:p>
        </w:tc>
        <w:tc>
          <w:tcPr>
            <w:tcW w:w="2366"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Outcome 2</w:t>
            </w:r>
          </w:p>
        </w:tc>
        <w:tc>
          <w:tcPr>
            <w:tcW w:w="2366"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Outcome 3</w:t>
            </w:r>
          </w:p>
        </w:tc>
        <w:tc>
          <w:tcPr>
            <w:tcW w:w="2366"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Outcome 4</w:t>
            </w:r>
          </w:p>
        </w:tc>
      </w:tr>
      <w:tr w:rsidR="00361797" w:rsidTr="00B50E5D">
        <w:trPr>
          <w:trHeight w:val="255"/>
        </w:trPr>
        <w:tc>
          <w:tcPr>
            <w:tcW w:w="4419" w:type="dxa"/>
            <w:tcBorders>
              <w:top w:val="nil"/>
              <w:left w:val="single" w:sz="4" w:space="0" w:color="auto"/>
              <w:bottom w:val="nil"/>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419"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Departmental</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419" w:type="dxa"/>
            <w:tcBorders>
              <w:top w:val="nil"/>
              <w:left w:val="single" w:sz="4" w:space="0" w:color="auto"/>
              <w:bottom w:val="nil"/>
              <w:right w:val="single" w:sz="4" w:space="0" w:color="auto"/>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Expenses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21,369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91,730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34,629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148,767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68,051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354,967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15,272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77,482 </w:t>
            </w:r>
          </w:p>
        </w:tc>
      </w:tr>
      <w:tr w:rsidR="00361797" w:rsidTr="00B50E5D">
        <w:trPr>
          <w:trHeight w:val="255"/>
        </w:trPr>
        <w:tc>
          <w:tcPr>
            <w:tcW w:w="4419"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Own-source income</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2,284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5,268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3,857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8,862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1,304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19,840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849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15,761 </w:t>
            </w:r>
          </w:p>
        </w:tc>
      </w:tr>
      <w:tr w:rsidR="00361797" w:rsidTr="00B50E5D">
        <w:trPr>
          <w:trHeight w:val="255"/>
        </w:trPr>
        <w:tc>
          <w:tcPr>
            <w:tcW w:w="4419" w:type="dxa"/>
            <w:tcBorders>
              <w:top w:val="nil"/>
              <w:left w:val="single" w:sz="4" w:space="0" w:color="auto"/>
              <w:bottom w:val="single" w:sz="4" w:space="0" w:color="auto"/>
              <w:right w:val="single" w:sz="4" w:space="0" w:color="auto"/>
            </w:tcBorders>
            <w:shd w:val="clear" w:color="000000" w:fill="D9D9D9"/>
            <w:vAlign w:val="bottom"/>
            <w:hideMark/>
          </w:tcPr>
          <w:p w:rsidR="00361797" w:rsidRDefault="00361797" w:rsidP="00B50E5D">
            <w:pPr>
              <w:rPr>
                <w:rFonts w:cs="Calibri"/>
                <w:b/>
                <w:bCs/>
                <w:szCs w:val="18"/>
              </w:rPr>
            </w:pPr>
            <w:r>
              <w:rPr>
                <w:rFonts w:cs="Calibri"/>
                <w:b/>
                <w:bCs/>
                <w:szCs w:val="18"/>
              </w:rPr>
              <w:t>Administered</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419"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Expenses</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1,501,755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5,245,625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2,131,447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8,918,261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3,862,492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17,015,745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64,812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445,650 </w:t>
            </w:r>
          </w:p>
        </w:tc>
      </w:tr>
      <w:tr w:rsidR="00361797" w:rsidTr="00B50E5D">
        <w:trPr>
          <w:trHeight w:val="255"/>
        </w:trPr>
        <w:tc>
          <w:tcPr>
            <w:tcW w:w="4419" w:type="dxa"/>
            <w:tcBorders>
              <w:top w:val="nil"/>
              <w:left w:val="single" w:sz="4" w:space="0" w:color="auto"/>
              <w:bottom w:val="single" w:sz="4" w:space="0" w:color="auto"/>
              <w:right w:val="single" w:sz="4" w:space="0" w:color="auto"/>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Income</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135,081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10,151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10,023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47,165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1,319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18,571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24,182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212,000 </w:t>
            </w:r>
          </w:p>
        </w:tc>
      </w:tr>
      <w:tr w:rsidR="00361797" w:rsidTr="00B50E5D">
        <w:trPr>
          <w:trHeight w:val="255"/>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rPr>
                <w:rFonts w:cs="Calibri"/>
                <w:b/>
                <w:bCs/>
                <w:szCs w:val="18"/>
              </w:rPr>
            </w:pPr>
            <w:r>
              <w:rPr>
                <w:rFonts w:cs="Calibri"/>
                <w:b/>
                <w:bCs/>
                <w:szCs w:val="18"/>
              </w:rPr>
              <w:t>Net cost/(contribution) of outcome delivery</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1,385,759</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5,321,936</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2,152,196</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9,011,001</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3,927,920</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17,332,301</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55,053</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295,371</w:t>
            </w:r>
          </w:p>
        </w:tc>
      </w:tr>
      <w:tr w:rsidR="00361797" w:rsidTr="00B50E5D">
        <w:trPr>
          <w:trHeight w:val="255"/>
        </w:trPr>
        <w:tc>
          <w:tcPr>
            <w:tcW w:w="4419"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419" w:type="dxa"/>
            <w:tcBorders>
              <w:top w:val="single" w:sz="4" w:space="0" w:color="auto"/>
              <w:left w:val="single" w:sz="4" w:space="0" w:color="auto"/>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single" w:sz="4" w:space="0" w:color="auto"/>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2366" w:type="dxa"/>
            <w:gridSpan w:val="2"/>
            <w:tcBorders>
              <w:top w:val="single" w:sz="4" w:space="0" w:color="auto"/>
              <w:left w:val="single" w:sz="4" w:space="0" w:color="auto"/>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 xml:space="preserve">Payment to CAC Act </w:t>
            </w:r>
            <w:proofErr w:type="spellStart"/>
            <w:r>
              <w:rPr>
                <w:rFonts w:cs="Calibri"/>
                <w:b/>
                <w:bCs/>
                <w:szCs w:val="18"/>
              </w:rPr>
              <w:t>Bodies</w:t>
            </w:r>
            <w:r>
              <w:rPr>
                <w:rFonts w:cs="Calibri"/>
                <w:b/>
                <w:bCs/>
                <w:szCs w:val="18"/>
                <w:vertAlign w:val="superscript"/>
              </w:rPr>
              <w:t>1</w:t>
            </w:r>
            <w:proofErr w:type="spellEnd"/>
          </w:p>
        </w:tc>
        <w:tc>
          <w:tcPr>
            <w:tcW w:w="2366"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 xml:space="preserve">Not </w:t>
            </w:r>
            <w:proofErr w:type="spellStart"/>
            <w:r>
              <w:rPr>
                <w:rFonts w:cs="Calibri"/>
                <w:b/>
                <w:bCs/>
                <w:szCs w:val="18"/>
              </w:rPr>
              <w:t>attributed</w:t>
            </w:r>
            <w:r>
              <w:rPr>
                <w:rFonts w:cs="Calibri"/>
                <w:b/>
                <w:bCs/>
                <w:szCs w:val="18"/>
                <w:vertAlign w:val="superscript"/>
              </w:rPr>
              <w:t>2</w:t>
            </w:r>
            <w:proofErr w:type="spellEnd"/>
          </w:p>
        </w:tc>
        <w:tc>
          <w:tcPr>
            <w:tcW w:w="2366" w:type="dxa"/>
            <w:gridSpan w:val="2"/>
            <w:tcBorders>
              <w:top w:val="single" w:sz="4" w:space="0" w:color="auto"/>
              <w:left w:val="nil"/>
              <w:bottom w:val="single" w:sz="4" w:space="0" w:color="auto"/>
              <w:right w:val="single" w:sz="4" w:space="0" w:color="auto"/>
            </w:tcBorders>
            <w:shd w:val="clear" w:color="FFFFFF" w:fill="FFFFFF"/>
            <w:vAlign w:val="bottom"/>
            <w:hideMark/>
          </w:tcPr>
          <w:p w:rsidR="00361797" w:rsidRDefault="00361797" w:rsidP="00B50E5D">
            <w:pPr>
              <w:jc w:val="center"/>
              <w:rPr>
                <w:rFonts w:cs="Calibri"/>
                <w:b/>
                <w:bCs/>
                <w:szCs w:val="18"/>
              </w:rPr>
            </w:pPr>
            <w:r>
              <w:rPr>
                <w:rFonts w:cs="Calibri"/>
                <w:b/>
                <w:bCs/>
                <w:szCs w:val="18"/>
              </w:rPr>
              <w:t>Total</w:t>
            </w:r>
          </w:p>
        </w:tc>
      </w:tr>
      <w:tr w:rsidR="00361797" w:rsidTr="00B50E5D">
        <w:trPr>
          <w:trHeight w:val="255"/>
        </w:trPr>
        <w:tc>
          <w:tcPr>
            <w:tcW w:w="4419" w:type="dxa"/>
            <w:tcBorders>
              <w:top w:val="nil"/>
              <w:left w:val="single" w:sz="4" w:space="0" w:color="auto"/>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2013</w:t>
            </w:r>
          </w:p>
        </w:tc>
      </w:tr>
      <w:tr w:rsidR="00361797" w:rsidTr="00B50E5D">
        <w:trPr>
          <w:trHeight w:val="255"/>
        </w:trPr>
        <w:tc>
          <w:tcPr>
            <w:tcW w:w="4419" w:type="dxa"/>
            <w:tcBorders>
              <w:top w:val="nil"/>
              <w:left w:val="single" w:sz="4" w:space="0" w:color="auto"/>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255"/>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Departmental</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419" w:type="dxa"/>
            <w:tcBorders>
              <w:top w:val="nil"/>
              <w:left w:val="single" w:sz="4" w:space="0" w:color="auto"/>
              <w:bottom w:val="single" w:sz="4" w:space="0" w:color="auto"/>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Expenses</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139,321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672,946 </w:t>
            </w:r>
          </w:p>
        </w:tc>
      </w:tr>
      <w:tr w:rsidR="00361797" w:rsidTr="00B50E5D">
        <w:trPr>
          <w:trHeight w:val="255"/>
        </w:trPr>
        <w:tc>
          <w:tcPr>
            <w:tcW w:w="4419" w:type="dxa"/>
            <w:tcBorders>
              <w:top w:val="nil"/>
              <w:left w:val="single" w:sz="4" w:space="0" w:color="auto"/>
              <w:bottom w:val="single" w:sz="4" w:space="0" w:color="auto"/>
              <w:right w:val="nil"/>
            </w:tcBorders>
            <w:shd w:val="clear" w:color="FFFFFF" w:fill="FFFFFF"/>
            <w:noWrap/>
            <w:vAlign w:val="bottom"/>
            <w:hideMark/>
          </w:tcPr>
          <w:p w:rsidR="00361797" w:rsidRDefault="00361797" w:rsidP="00361797">
            <w:pPr>
              <w:ind w:firstLineChars="100" w:firstLine="180"/>
              <w:rPr>
                <w:rFonts w:cs="Calibri"/>
                <w:szCs w:val="18"/>
              </w:rPr>
            </w:pPr>
            <w:r>
              <w:rPr>
                <w:rFonts w:cs="Calibri"/>
                <w:szCs w:val="18"/>
              </w:rPr>
              <w:t>Own-source income</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8,294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49,731 </w:t>
            </w:r>
          </w:p>
        </w:tc>
      </w:tr>
      <w:tr w:rsidR="00361797" w:rsidTr="00B50E5D">
        <w:trPr>
          <w:trHeight w:val="255"/>
        </w:trPr>
        <w:tc>
          <w:tcPr>
            <w:tcW w:w="4419" w:type="dxa"/>
            <w:tcBorders>
              <w:top w:val="nil"/>
              <w:left w:val="single" w:sz="4" w:space="0" w:color="auto"/>
              <w:bottom w:val="nil"/>
              <w:right w:val="nil"/>
            </w:tcBorders>
            <w:shd w:val="clear" w:color="000000" w:fill="D9D9D9"/>
            <w:vAlign w:val="bottom"/>
            <w:hideMark/>
          </w:tcPr>
          <w:p w:rsidR="00361797" w:rsidRDefault="00361797" w:rsidP="00B50E5D">
            <w:pPr>
              <w:rPr>
                <w:rFonts w:cs="Calibri"/>
                <w:b/>
                <w:bCs/>
                <w:szCs w:val="18"/>
              </w:rPr>
            </w:pPr>
            <w:r>
              <w:rPr>
                <w:rFonts w:cs="Calibri"/>
                <w:b/>
                <w:bCs/>
                <w:szCs w:val="18"/>
              </w:rPr>
              <w:t>Administered</w:t>
            </w:r>
          </w:p>
        </w:tc>
        <w:tc>
          <w:tcPr>
            <w:tcW w:w="1183"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r>
      <w:tr w:rsidR="00361797" w:rsidTr="00B50E5D">
        <w:trPr>
          <w:trHeight w:val="255"/>
        </w:trPr>
        <w:tc>
          <w:tcPr>
            <w:tcW w:w="4419" w:type="dxa"/>
            <w:tcBorders>
              <w:top w:val="single" w:sz="4" w:space="0" w:color="auto"/>
              <w:left w:val="single" w:sz="4" w:space="0" w:color="auto"/>
              <w:bottom w:val="single" w:sz="4" w:space="0" w:color="auto"/>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Expenses</w:t>
            </w:r>
          </w:p>
        </w:tc>
        <w:tc>
          <w:tcPr>
            <w:tcW w:w="1183"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22,928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445,475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98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7,583,532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32,070,756 </w:t>
            </w:r>
          </w:p>
        </w:tc>
      </w:tr>
      <w:tr w:rsidR="00361797" w:rsidTr="00B50E5D">
        <w:trPr>
          <w:trHeight w:val="255"/>
        </w:trPr>
        <w:tc>
          <w:tcPr>
            <w:tcW w:w="4419" w:type="dxa"/>
            <w:tcBorders>
              <w:top w:val="nil"/>
              <w:left w:val="single" w:sz="4" w:space="0" w:color="auto"/>
              <w:bottom w:val="single" w:sz="4" w:space="0" w:color="auto"/>
              <w:right w:val="nil"/>
            </w:tcBorders>
            <w:shd w:val="clear" w:color="000000" w:fill="D9D9D9"/>
            <w:noWrap/>
            <w:vAlign w:val="bottom"/>
            <w:hideMark/>
          </w:tcPr>
          <w:p w:rsidR="00361797" w:rsidRDefault="00361797" w:rsidP="00361797">
            <w:pPr>
              <w:ind w:firstLineChars="100" w:firstLine="180"/>
              <w:rPr>
                <w:rFonts w:cs="Calibri"/>
                <w:szCs w:val="18"/>
              </w:rPr>
            </w:pPr>
            <w:r>
              <w:rPr>
                <w:rFonts w:cs="Calibri"/>
                <w:szCs w:val="18"/>
              </w:rPr>
              <w:t>Income</w:t>
            </w:r>
          </w:p>
        </w:tc>
        <w:tc>
          <w:tcPr>
            <w:tcW w:w="1183" w:type="dxa"/>
            <w:tcBorders>
              <w:top w:val="nil"/>
              <w:left w:val="nil"/>
              <w:bottom w:val="single" w:sz="4" w:space="0" w:color="auto"/>
              <w:right w:val="nil"/>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98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798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b/>
                <w:bCs/>
                <w:szCs w:val="18"/>
              </w:rPr>
            </w:pPr>
            <w:r>
              <w:rPr>
                <w:rFonts w:cs="Calibri"/>
                <w:b/>
                <w:bCs/>
                <w:szCs w:val="18"/>
              </w:rPr>
              <w:t xml:space="preserve">170,703 </w:t>
            </w:r>
          </w:p>
        </w:tc>
        <w:tc>
          <w:tcPr>
            <w:tcW w:w="1183"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jc w:val="right"/>
              <w:rPr>
                <w:rFonts w:cs="Calibri"/>
                <w:szCs w:val="18"/>
              </w:rPr>
            </w:pPr>
            <w:r>
              <w:rPr>
                <w:rFonts w:cs="Calibri"/>
                <w:szCs w:val="18"/>
              </w:rPr>
              <w:t xml:space="preserve">288,685 </w:t>
            </w:r>
          </w:p>
        </w:tc>
      </w:tr>
      <w:tr w:rsidR="00361797" w:rsidTr="00B50E5D">
        <w:trPr>
          <w:trHeight w:val="255"/>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rPr>
                <w:rFonts w:cs="Calibri"/>
                <w:b/>
                <w:bCs/>
                <w:szCs w:val="18"/>
              </w:rPr>
            </w:pPr>
            <w:r>
              <w:rPr>
                <w:rFonts w:cs="Calibri"/>
                <w:b/>
                <w:bCs/>
                <w:szCs w:val="18"/>
              </w:rPr>
              <w:t>Net cost/(contribution) of outcome delivery</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22,928</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445,475</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(798)</w:t>
            </w:r>
          </w:p>
        </w:tc>
        <w:tc>
          <w:tcPr>
            <w:tcW w:w="1183" w:type="dxa"/>
            <w:tcBorders>
              <w:top w:val="nil"/>
              <w:left w:val="nil"/>
              <w:bottom w:val="single" w:sz="4"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7,543,856</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jc w:val="right"/>
              <w:rPr>
                <w:rFonts w:cs="Calibri"/>
                <w:szCs w:val="18"/>
              </w:rPr>
            </w:pPr>
            <w:r>
              <w:rPr>
                <w:rFonts w:cs="Calibri"/>
                <w:szCs w:val="18"/>
              </w:rPr>
              <w:t>32,405,286</w:t>
            </w:r>
          </w:p>
        </w:tc>
      </w:tr>
    </w:tbl>
    <w:p w:rsidR="00361797" w:rsidRDefault="00361797" w:rsidP="00361797">
      <w:pPr>
        <w:pStyle w:val="ReferenceText"/>
      </w:pPr>
      <w:bookmarkStart w:id="490" w:name="RANGE!D7:L29"/>
      <w:bookmarkStart w:id="491" w:name="RANGE!D6:L39"/>
      <w:bookmarkStart w:id="492" w:name="RANGE!D6:L40"/>
      <w:bookmarkStart w:id="493" w:name="RANGE!D6:L41"/>
      <w:bookmarkStart w:id="494" w:name="RANGE!D6:L32"/>
      <w:bookmarkStart w:id="495" w:name="RANGE!D6:L33"/>
      <w:bookmarkStart w:id="496" w:name="RANGE!D22:L32"/>
      <w:bookmarkStart w:id="497" w:name="RANGE!D37:L62"/>
      <w:bookmarkEnd w:id="490"/>
      <w:bookmarkEnd w:id="491"/>
      <w:bookmarkEnd w:id="492"/>
      <w:bookmarkEnd w:id="493"/>
      <w:bookmarkEnd w:id="494"/>
      <w:bookmarkEnd w:id="495"/>
      <w:bookmarkEnd w:id="496"/>
      <w:bookmarkEnd w:id="497"/>
      <w:r>
        <w:t xml:space="preserve">Outcomes 1 to 4 are described in Note 1.1. Net costs shown include intra-government costs that are eliminated in calculating the actual Budget Outcome.  </w:t>
      </w:r>
    </w:p>
    <w:p w:rsidR="00361797" w:rsidRDefault="00361797" w:rsidP="00361797">
      <w:pPr>
        <w:pStyle w:val="ReferenceText"/>
      </w:pPr>
      <w:r w:rsidRPr="00025E04">
        <w:rPr>
          <w:vertAlign w:val="superscript"/>
        </w:rPr>
        <w:t>1</w:t>
      </w:r>
      <w:r>
        <w:t xml:space="preserve"> Payments to CAC Act bodies are not related to outcomes. They are included here so the total agrees to the resourcing table.</w:t>
      </w:r>
    </w:p>
    <w:p w:rsidR="00361797" w:rsidRDefault="00361797" w:rsidP="00361797">
      <w:r>
        <w:rPr>
          <w:vertAlign w:val="superscript"/>
        </w:rPr>
        <w:t>2</w:t>
      </w:r>
      <w:r>
        <w:t xml:space="preserve"> Some administered own-source income is not related to programmes and outcomes.  They are included here so the total agrees to the schedule of comprehensive income.  </w:t>
      </w:r>
    </w:p>
    <w:p w:rsidR="00361797" w:rsidRDefault="00361797" w:rsidP="00361797">
      <w:pPr>
        <w:spacing w:line="240" w:lineRule="auto"/>
      </w:pPr>
      <w:r>
        <w:br w:type="page"/>
      </w:r>
    </w:p>
    <w:tbl>
      <w:tblPr>
        <w:tblW w:w="13991" w:type="dxa"/>
        <w:tblInd w:w="80" w:type="dxa"/>
        <w:tblLayout w:type="fixed"/>
        <w:tblLook w:val="04A0" w:firstRow="1" w:lastRow="0" w:firstColumn="1" w:lastColumn="0" w:noHBand="0" w:noVBand="1"/>
      </w:tblPr>
      <w:tblGrid>
        <w:gridCol w:w="4454"/>
        <w:gridCol w:w="1193"/>
        <w:gridCol w:w="1192"/>
        <w:gridCol w:w="1192"/>
        <w:gridCol w:w="1192"/>
        <w:gridCol w:w="1192"/>
        <w:gridCol w:w="1192"/>
        <w:gridCol w:w="1192"/>
        <w:gridCol w:w="1192"/>
      </w:tblGrid>
      <w:tr w:rsidR="00361797" w:rsidTr="00B50E5D">
        <w:trPr>
          <w:trHeight w:val="113"/>
        </w:trPr>
        <w:tc>
          <w:tcPr>
            <w:tcW w:w="11517" w:type="dxa"/>
            <w:gridSpan w:val="7"/>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b/>
                <w:bCs/>
                <w:szCs w:val="18"/>
                <w:u w:val="single"/>
              </w:rPr>
            </w:pPr>
            <w:bookmarkStart w:id="498" w:name="RANGE!D34:D105"/>
            <w:bookmarkStart w:id="499" w:name="Note_ROOTABLE2" w:colFirst="0" w:colLast="0"/>
            <w:r>
              <w:rPr>
                <w:rFonts w:cs="Calibri"/>
                <w:b/>
                <w:bCs/>
                <w:szCs w:val="18"/>
                <w:u w:val="single"/>
              </w:rPr>
              <w:lastRenderedPageBreak/>
              <w:t xml:space="preserve">Note </w:t>
            </w:r>
            <w:proofErr w:type="spellStart"/>
            <w:r>
              <w:rPr>
                <w:rFonts w:cs="Calibri"/>
                <w:b/>
                <w:bCs/>
                <w:szCs w:val="18"/>
                <w:u w:val="single"/>
              </w:rPr>
              <w:t>31B</w:t>
            </w:r>
            <w:proofErr w:type="spellEnd"/>
            <w:r>
              <w:rPr>
                <w:rFonts w:cs="Calibri"/>
                <w:b/>
                <w:bCs/>
                <w:szCs w:val="18"/>
                <w:u w:val="single"/>
              </w:rPr>
              <w:t>: Major classes of departmental expense, income, assets and liabilities by outcome</w:t>
            </w:r>
            <w:bookmarkEnd w:id="498"/>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r>
      <w:bookmarkEnd w:id="499"/>
      <w:tr w:rsidR="00361797" w:rsidTr="00B50E5D">
        <w:trPr>
          <w:trHeight w:val="113"/>
        </w:trPr>
        <w:tc>
          <w:tcPr>
            <w:tcW w:w="4419"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r>
      <w:tr w:rsidR="00361797" w:rsidTr="00B50E5D">
        <w:trPr>
          <w:trHeight w:val="113"/>
        </w:trPr>
        <w:tc>
          <w:tcPr>
            <w:tcW w:w="4419" w:type="dxa"/>
            <w:tcBorders>
              <w:top w:val="single" w:sz="4" w:space="0" w:color="auto"/>
              <w:left w:val="single" w:sz="4" w:space="0" w:color="auto"/>
              <w:bottom w:val="nil"/>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236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spacing w:line="240" w:lineRule="auto"/>
              <w:jc w:val="center"/>
              <w:rPr>
                <w:rFonts w:cs="Calibri"/>
                <w:b/>
                <w:bCs/>
                <w:szCs w:val="18"/>
              </w:rPr>
            </w:pPr>
            <w:r>
              <w:rPr>
                <w:rFonts w:cs="Calibri"/>
                <w:b/>
                <w:bCs/>
                <w:szCs w:val="18"/>
              </w:rPr>
              <w:t>Outcome 1</w:t>
            </w:r>
          </w:p>
        </w:tc>
        <w:tc>
          <w:tcPr>
            <w:tcW w:w="236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spacing w:line="240" w:lineRule="auto"/>
              <w:jc w:val="center"/>
              <w:rPr>
                <w:rFonts w:cs="Calibri"/>
                <w:b/>
                <w:bCs/>
                <w:szCs w:val="18"/>
              </w:rPr>
            </w:pPr>
            <w:r>
              <w:rPr>
                <w:rFonts w:cs="Calibri"/>
                <w:b/>
                <w:bCs/>
                <w:szCs w:val="18"/>
              </w:rPr>
              <w:t>Outcome 2</w:t>
            </w:r>
          </w:p>
        </w:tc>
        <w:tc>
          <w:tcPr>
            <w:tcW w:w="236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spacing w:line="240" w:lineRule="auto"/>
              <w:jc w:val="center"/>
              <w:rPr>
                <w:rFonts w:cs="Calibri"/>
                <w:b/>
                <w:bCs/>
                <w:szCs w:val="18"/>
              </w:rPr>
            </w:pPr>
            <w:r>
              <w:rPr>
                <w:rFonts w:cs="Calibri"/>
                <w:b/>
                <w:bCs/>
                <w:szCs w:val="18"/>
              </w:rPr>
              <w:t>Outcome 3</w:t>
            </w:r>
          </w:p>
        </w:tc>
        <w:tc>
          <w:tcPr>
            <w:tcW w:w="236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spacing w:line="240" w:lineRule="auto"/>
              <w:jc w:val="center"/>
              <w:rPr>
                <w:rFonts w:cs="Calibri"/>
                <w:b/>
                <w:bCs/>
                <w:szCs w:val="18"/>
              </w:rPr>
            </w:pPr>
            <w:r>
              <w:rPr>
                <w:rFonts w:cs="Calibri"/>
                <w:b/>
                <w:bCs/>
                <w:szCs w:val="18"/>
              </w:rPr>
              <w:t>Outcome 4</w:t>
            </w:r>
          </w:p>
        </w:tc>
      </w:tr>
      <w:tr w:rsidR="00361797" w:rsidTr="00B50E5D">
        <w:trPr>
          <w:trHeight w:val="113"/>
        </w:trPr>
        <w:tc>
          <w:tcPr>
            <w:tcW w:w="4419" w:type="dxa"/>
            <w:tcBorders>
              <w:top w:val="nil"/>
              <w:left w:val="single" w:sz="4" w:space="0" w:color="auto"/>
              <w:bottom w:val="nil"/>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2013</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$'000</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Expenses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Employee benefits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14,124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57,811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23,094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94,477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44,916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222,495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9,780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48,445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Suppliers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4,941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25,203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8,078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41,188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15,712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96,999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3,421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21,120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Depreciation</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2,297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8,503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3,446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12,755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7,402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34,622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1,039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4,859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Grants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33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1,027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2,880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Other</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213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347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818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5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178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expenses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21,369</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91,730</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34,629</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148,767</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68,051</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354,967</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15,272</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77,482</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Own-source income</w:t>
            </w:r>
          </w:p>
        </w:tc>
        <w:tc>
          <w:tcPr>
            <w:tcW w:w="1183" w:type="dxa"/>
            <w:tcBorders>
              <w:top w:val="single" w:sz="4" w:space="0" w:color="auto"/>
              <w:left w:val="nil"/>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User charges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2,148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4,617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3,647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7,854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876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17,334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775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15,325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Income from government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54,372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80,541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84,444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125,088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175,853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302,558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32,371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55,694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Other</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136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651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210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1,007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428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2,507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74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436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own-source income</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56,656</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85,809</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88,301</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133,949</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177,157</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322,399</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33,220</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71,455</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Assets</w:t>
            </w:r>
          </w:p>
        </w:tc>
        <w:tc>
          <w:tcPr>
            <w:tcW w:w="1183" w:type="dxa"/>
            <w:tcBorders>
              <w:top w:val="single" w:sz="4" w:space="0" w:color="auto"/>
              <w:left w:val="nil"/>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Cash and cash equivalents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999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1,619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1,638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357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Trade and other receivables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35,767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235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57,901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1,830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222,796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2,441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36,140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1,704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Accrued revenue</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913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1,482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3,241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707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Land and buildings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22,426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12,216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34,803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18,959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21,351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45,837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3,932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8,441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Infrastructure, plant and equipment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2,740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2,417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8,570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7,565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16,375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19,101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1,892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2,207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Intangibles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10,596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7,550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32,752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23,336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61,545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74,459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5,800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7,017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Other financial assets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3,107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5,038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15,509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3,385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assets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76,548</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22,418</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142,165</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51,690</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342,455</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141,838</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52,213</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19,369</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Liabilities</w:t>
            </w:r>
          </w:p>
        </w:tc>
        <w:tc>
          <w:tcPr>
            <w:tcW w:w="1183" w:type="dxa"/>
            <w:tcBorders>
              <w:top w:val="single" w:sz="4" w:space="0" w:color="auto"/>
              <w:left w:val="nil"/>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Suppliers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3,214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5,421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4,989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8,412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4,386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20,339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808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3,745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Other payables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10,779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7,677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16,805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10,551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14,429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28,764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2,640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5,304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Employee provisions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23,169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18,861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35,957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29,271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60,107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70,768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11,069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13,032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szCs w:val="18"/>
              </w:rPr>
            </w:pPr>
            <w:r>
              <w:rPr>
                <w:rFonts w:cs="Calibri"/>
                <w:szCs w:val="18"/>
              </w:rPr>
              <w:t>Other provisions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730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294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1,134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1,820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1,289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1,105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237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203 </w:t>
            </w:r>
          </w:p>
        </w:tc>
      </w:tr>
      <w:tr w:rsidR="00361797" w:rsidTr="00B50E5D">
        <w:trPr>
          <w:trHeight w:val="113"/>
        </w:trPr>
        <w:tc>
          <w:tcPr>
            <w:tcW w:w="4419" w:type="dxa"/>
            <w:tcBorders>
              <w:top w:val="nil"/>
              <w:left w:val="single" w:sz="4" w:space="0" w:color="auto"/>
              <w:bottom w:val="single" w:sz="4" w:space="0" w:color="auto"/>
              <w:right w:val="single" w:sz="4" w:space="0" w:color="auto"/>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liabilities</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37,892</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32,253</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58,885</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50,054</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80,211</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120,976</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14,754</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22,284</w:t>
            </w:r>
          </w:p>
        </w:tc>
      </w:tr>
      <w:tr w:rsidR="00361797" w:rsidTr="00B50E5D">
        <w:trPr>
          <w:trHeight w:val="113"/>
        </w:trPr>
        <w:tc>
          <w:tcPr>
            <w:tcW w:w="4419"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r>
      <w:tr w:rsidR="00361797" w:rsidTr="00B50E5D">
        <w:trPr>
          <w:trHeight w:val="113"/>
        </w:trPr>
        <w:tc>
          <w:tcPr>
            <w:tcW w:w="4419"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r>
      <w:tr w:rsidR="00361797" w:rsidTr="00B50E5D">
        <w:trPr>
          <w:trHeight w:val="113"/>
        </w:trPr>
        <w:tc>
          <w:tcPr>
            <w:tcW w:w="4419"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r>
      <w:tr w:rsidR="00361797" w:rsidTr="00B50E5D">
        <w:trPr>
          <w:trHeight w:val="113"/>
        </w:trPr>
        <w:tc>
          <w:tcPr>
            <w:tcW w:w="4419"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r>
      <w:tr w:rsidR="00361797" w:rsidTr="00B50E5D">
        <w:trPr>
          <w:trHeight w:val="113"/>
        </w:trPr>
        <w:tc>
          <w:tcPr>
            <w:tcW w:w="4419" w:type="dxa"/>
            <w:tcBorders>
              <w:top w:val="single" w:sz="4" w:space="0" w:color="auto"/>
              <w:left w:val="single" w:sz="4" w:space="0" w:color="auto"/>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lastRenderedPageBreak/>
              <w:t> </w:t>
            </w:r>
          </w:p>
        </w:tc>
        <w:tc>
          <w:tcPr>
            <w:tcW w:w="1183" w:type="dxa"/>
            <w:tcBorders>
              <w:top w:val="single" w:sz="4" w:space="0" w:color="auto"/>
              <w:left w:val="nil"/>
              <w:bottom w:val="nil"/>
              <w:right w:val="nil"/>
            </w:tcBorders>
            <w:shd w:val="clear" w:color="FFFFFF" w:fill="FFFFFF"/>
            <w:noWrap/>
            <w:vAlign w:val="bottom"/>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nil"/>
              <w:bottom w:val="nil"/>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236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spacing w:line="240" w:lineRule="auto"/>
              <w:jc w:val="center"/>
              <w:rPr>
                <w:rFonts w:cs="Calibri"/>
                <w:b/>
                <w:bCs/>
                <w:szCs w:val="18"/>
              </w:rPr>
            </w:pPr>
            <w:r>
              <w:rPr>
                <w:rFonts w:cs="Calibri"/>
                <w:b/>
                <w:bCs/>
                <w:szCs w:val="18"/>
              </w:rPr>
              <w:t xml:space="preserve">Not </w:t>
            </w:r>
            <w:proofErr w:type="spellStart"/>
            <w:r>
              <w:rPr>
                <w:rFonts w:cs="Calibri"/>
                <w:b/>
                <w:bCs/>
                <w:szCs w:val="18"/>
              </w:rPr>
              <w:t>attributed</w:t>
            </w:r>
            <w:r>
              <w:rPr>
                <w:rFonts w:cs="Calibri"/>
                <w:b/>
                <w:bCs/>
                <w:szCs w:val="18"/>
                <w:vertAlign w:val="superscript"/>
              </w:rPr>
              <w:t>1</w:t>
            </w:r>
            <w:proofErr w:type="spellEnd"/>
          </w:p>
        </w:tc>
        <w:tc>
          <w:tcPr>
            <w:tcW w:w="2366" w:type="dxa"/>
            <w:gridSpan w:val="2"/>
            <w:tcBorders>
              <w:top w:val="single" w:sz="4" w:space="0" w:color="auto"/>
              <w:left w:val="nil"/>
              <w:bottom w:val="single" w:sz="4" w:space="0" w:color="auto"/>
              <w:right w:val="single" w:sz="4" w:space="0" w:color="000000"/>
            </w:tcBorders>
            <w:shd w:val="clear" w:color="FFFFFF" w:fill="FFFFFF"/>
            <w:hideMark/>
          </w:tcPr>
          <w:p w:rsidR="00361797" w:rsidRDefault="00361797" w:rsidP="00B50E5D">
            <w:pPr>
              <w:spacing w:line="240" w:lineRule="auto"/>
              <w:jc w:val="center"/>
              <w:rPr>
                <w:rFonts w:cs="Calibri"/>
                <w:b/>
                <w:bCs/>
                <w:szCs w:val="18"/>
              </w:rPr>
            </w:pPr>
            <w:r>
              <w:rPr>
                <w:rFonts w:cs="Calibri"/>
                <w:b/>
                <w:bCs/>
                <w:szCs w:val="18"/>
              </w:rPr>
              <w:t>Total</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2013</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2014</w:t>
            </w:r>
          </w:p>
        </w:tc>
        <w:tc>
          <w:tcPr>
            <w:tcW w:w="1183" w:type="dxa"/>
            <w:tcBorders>
              <w:top w:val="nil"/>
              <w:left w:val="nil"/>
              <w:bottom w:val="nil"/>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2013</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b/>
                <w:bCs/>
                <w:szCs w:val="18"/>
              </w:rPr>
            </w:pPr>
            <w:r>
              <w:rPr>
                <w:rFonts w:cs="Calibri"/>
                <w:b/>
                <w:bCs/>
                <w:szCs w:val="18"/>
              </w:rPr>
              <w:t>$'000</w:t>
            </w:r>
          </w:p>
        </w:tc>
        <w:tc>
          <w:tcPr>
            <w:tcW w:w="1183" w:type="dxa"/>
            <w:tcBorders>
              <w:top w:val="nil"/>
              <w:left w:val="nil"/>
              <w:bottom w:val="single" w:sz="4" w:space="0" w:color="auto"/>
              <w:right w:val="single" w:sz="4" w:space="0" w:color="auto"/>
            </w:tcBorders>
            <w:shd w:val="clear" w:color="FFFFFF" w:fill="FFFFFF"/>
            <w:vAlign w:val="bottom"/>
            <w:hideMark/>
          </w:tcPr>
          <w:p w:rsidR="00361797" w:rsidRDefault="00361797" w:rsidP="00B50E5D">
            <w:pPr>
              <w:spacing w:line="240" w:lineRule="auto"/>
              <w:jc w:val="right"/>
              <w:rPr>
                <w:rFonts w:cs="Calibri"/>
                <w:szCs w:val="18"/>
              </w:rPr>
            </w:pPr>
            <w:r>
              <w:rPr>
                <w:rFonts w:cs="Calibri"/>
                <w:szCs w:val="18"/>
              </w:rPr>
              <w:t>$'000</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Expenses</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Employee benefits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91,914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423,228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 xml:space="preserve">Suppliers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32,152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184,510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Depreciation</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14,184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60,739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Grants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1,027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2,913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Other</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44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1,556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expenses</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single" w:sz="4" w:space="0" w:color="auto"/>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139,321</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672,946</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single" w:sz="4" w:space="0" w:color="auto"/>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single" w:sz="4" w:space="0" w:color="auto"/>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Own-Source Income</w:t>
            </w:r>
          </w:p>
        </w:tc>
        <w:tc>
          <w:tcPr>
            <w:tcW w:w="1183" w:type="dxa"/>
            <w:tcBorders>
              <w:top w:val="single" w:sz="4" w:space="0" w:color="auto"/>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single" w:sz="4" w:space="0" w:color="auto"/>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User charges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7,446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45,130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Income from government</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347,040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563,881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Other</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848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 xml:space="preserve">4,601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own-source income</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single" w:sz="4" w:space="0" w:color="auto"/>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355,334</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613,612</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single" w:sz="4" w:space="0" w:color="auto"/>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single" w:sz="4" w:space="0" w:color="auto"/>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Assets</w:t>
            </w:r>
          </w:p>
        </w:tc>
        <w:tc>
          <w:tcPr>
            <w:tcW w:w="1183" w:type="dxa"/>
            <w:tcBorders>
              <w:top w:val="single" w:sz="4" w:space="0" w:color="auto"/>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single" w:sz="4" w:space="0" w:color="auto"/>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Cash and cash equivalent</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21,569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4,613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21,569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Trade and other receivables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88,136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352,604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94,346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Accrued revenue</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14,326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6,343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14,326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Land and buildings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82,512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85,453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Infrastructure, plant and equipment</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29,577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31,290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Intangibles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110,693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112,362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Other financial assets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23,716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27,039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23,716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assets</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single" w:sz="4" w:space="0" w:color="auto"/>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147,747</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613,381</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383,062</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FFFFFF" w:fill="FFFFFF"/>
            <w:noWrap/>
            <w:hideMark/>
          </w:tcPr>
          <w:p w:rsidR="00361797" w:rsidRDefault="00361797" w:rsidP="00B50E5D">
            <w:pPr>
              <w:spacing w:line="240" w:lineRule="auto"/>
              <w:rPr>
                <w:rFonts w:cs="Calibri"/>
                <w:b/>
                <w:bCs/>
                <w:szCs w:val="18"/>
              </w:rPr>
            </w:pPr>
            <w:r>
              <w:rPr>
                <w:rFonts w:cs="Calibri"/>
                <w:b/>
                <w:bCs/>
                <w:szCs w:val="18"/>
              </w:rPr>
              <w:t> </w:t>
            </w:r>
          </w:p>
        </w:tc>
        <w:tc>
          <w:tcPr>
            <w:tcW w:w="1183" w:type="dxa"/>
            <w:tcBorders>
              <w:top w:val="nil"/>
              <w:left w:val="nil"/>
              <w:bottom w:val="nil"/>
              <w:right w:val="single" w:sz="4" w:space="0" w:color="auto"/>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single" w:sz="4" w:space="0" w:color="auto"/>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Liabilities</w:t>
            </w:r>
          </w:p>
        </w:tc>
        <w:tc>
          <w:tcPr>
            <w:tcW w:w="1183" w:type="dxa"/>
            <w:tcBorders>
              <w:top w:val="single" w:sz="4" w:space="0" w:color="auto"/>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single" w:sz="4" w:space="0" w:color="auto"/>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nil"/>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single" w:sz="4" w:space="0" w:color="auto"/>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Cs w:val="18"/>
              </w:rPr>
            </w:pPr>
            <w:r>
              <w:rPr>
                <w:rFonts w:cs="Calibri"/>
                <w:szCs w:val="18"/>
              </w:rPr>
              <w:t>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Suppliers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13,397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37,917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Other payables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44,653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52,296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Employee provisions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130,302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131,932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szCs w:val="18"/>
              </w:rPr>
            </w:pPr>
            <w:r>
              <w:rPr>
                <w:rFonts w:cs="Calibri"/>
                <w:szCs w:val="18"/>
              </w:rPr>
              <w:t>Other provisions</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rPr>
                <w:rFonts w:cs="Calibri"/>
                <w:sz w:val="16"/>
                <w:szCs w:val="16"/>
              </w:rPr>
            </w:pPr>
            <w:r>
              <w:rPr>
                <w:rFonts w:cs="Calibri"/>
                <w:sz w:val="16"/>
                <w:szCs w:val="16"/>
              </w:rPr>
              <w:t> </w:t>
            </w:r>
          </w:p>
        </w:tc>
        <w:tc>
          <w:tcPr>
            <w:tcW w:w="1183" w:type="dxa"/>
            <w:tcBorders>
              <w:top w:val="nil"/>
              <w:left w:val="nil"/>
              <w:bottom w:val="single" w:sz="4" w:space="0" w:color="auto"/>
              <w:right w:val="nil"/>
            </w:tcBorders>
            <w:shd w:val="clear" w:color="FFFFFF" w:fill="FFFFFF"/>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183" w:type="dxa"/>
            <w:tcBorders>
              <w:top w:val="nil"/>
              <w:left w:val="single" w:sz="4" w:space="0" w:color="auto"/>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 -</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 xml:space="preserve">3,390 </w:t>
            </w:r>
          </w:p>
        </w:tc>
        <w:tc>
          <w:tcPr>
            <w:tcW w:w="1183" w:type="dxa"/>
            <w:tcBorders>
              <w:top w:val="nil"/>
              <w:left w:val="nil"/>
              <w:bottom w:val="single" w:sz="4" w:space="0" w:color="auto"/>
              <w:right w:val="single" w:sz="4" w:space="0" w:color="auto"/>
            </w:tcBorders>
            <w:shd w:val="clear" w:color="FFFFFF" w:fill="FFFFFF"/>
            <w:noWrap/>
            <w:hideMark/>
          </w:tcPr>
          <w:p w:rsidR="00361797" w:rsidRDefault="00361797" w:rsidP="00B50E5D">
            <w:pPr>
              <w:spacing w:line="240" w:lineRule="auto"/>
              <w:jc w:val="right"/>
              <w:rPr>
                <w:rFonts w:cs="Calibri"/>
                <w:szCs w:val="18"/>
              </w:rPr>
            </w:pPr>
            <w:r>
              <w:rPr>
                <w:rFonts w:cs="Calibri"/>
                <w:szCs w:val="18"/>
              </w:rPr>
              <w:t xml:space="preserve">3,422 </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r w:rsidR="00361797" w:rsidTr="00B50E5D">
        <w:trPr>
          <w:trHeight w:val="113"/>
        </w:trPr>
        <w:tc>
          <w:tcPr>
            <w:tcW w:w="4419" w:type="dxa"/>
            <w:tcBorders>
              <w:top w:val="nil"/>
              <w:left w:val="single" w:sz="4" w:space="0" w:color="auto"/>
              <w:bottom w:val="single" w:sz="4" w:space="0" w:color="auto"/>
              <w:right w:val="nil"/>
            </w:tcBorders>
            <w:shd w:val="clear" w:color="FFFFFF" w:fill="FFFFFF"/>
            <w:vAlign w:val="bottom"/>
            <w:hideMark/>
          </w:tcPr>
          <w:p w:rsidR="00361797" w:rsidRDefault="00361797" w:rsidP="00B50E5D">
            <w:pPr>
              <w:spacing w:line="240" w:lineRule="auto"/>
              <w:rPr>
                <w:rFonts w:cs="Calibri"/>
                <w:b/>
                <w:bCs/>
                <w:szCs w:val="18"/>
              </w:rPr>
            </w:pPr>
            <w:r>
              <w:rPr>
                <w:rFonts w:cs="Calibri"/>
                <w:b/>
                <w:bCs/>
                <w:szCs w:val="18"/>
              </w:rPr>
              <w:t>Total liabilities</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nil"/>
              <w:bottom w:val="single" w:sz="4" w:space="0" w:color="auto"/>
              <w:right w:val="nil"/>
            </w:tcBorders>
            <w:shd w:val="clear" w:color="FFFFFF" w:fill="FFFFFF"/>
            <w:hideMark/>
          </w:tcPr>
          <w:p w:rsidR="00361797" w:rsidRDefault="00361797" w:rsidP="00B50E5D">
            <w:pPr>
              <w:spacing w:line="240" w:lineRule="auto"/>
              <w:rPr>
                <w:rFonts w:cs="Calibri"/>
                <w:b/>
                <w:bCs/>
                <w:sz w:val="16"/>
                <w:szCs w:val="16"/>
              </w:rPr>
            </w:pPr>
            <w:r>
              <w:rPr>
                <w:rFonts w:cs="Calibri"/>
                <w:b/>
                <w:bCs/>
                <w:sz w:val="16"/>
                <w:szCs w:val="16"/>
              </w:rPr>
              <w:t> </w:t>
            </w:r>
          </w:p>
        </w:tc>
        <w:tc>
          <w:tcPr>
            <w:tcW w:w="1183" w:type="dxa"/>
            <w:tcBorders>
              <w:top w:val="nil"/>
              <w:left w:val="single" w:sz="4" w:space="0" w:color="auto"/>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b/>
                <w:bCs/>
                <w:szCs w:val="18"/>
              </w:rPr>
            </w:pPr>
            <w:r>
              <w:rPr>
                <w:rFonts w:cs="Calibri"/>
                <w:b/>
                <w:bCs/>
                <w:szCs w:val="18"/>
              </w:rPr>
              <w:t>191,742</w:t>
            </w:r>
          </w:p>
        </w:tc>
        <w:tc>
          <w:tcPr>
            <w:tcW w:w="1183" w:type="dxa"/>
            <w:tcBorders>
              <w:top w:val="nil"/>
              <w:left w:val="nil"/>
              <w:bottom w:val="single" w:sz="4" w:space="0" w:color="auto"/>
              <w:right w:val="single" w:sz="4" w:space="0" w:color="auto"/>
            </w:tcBorders>
            <w:shd w:val="clear" w:color="FFFFFF" w:fill="FFFFFF"/>
            <w:noWrap/>
            <w:vAlign w:val="bottom"/>
            <w:hideMark/>
          </w:tcPr>
          <w:p w:rsidR="00361797" w:rsidRDefault="00361797" w:rsidP="00B50E5D">
            <w:pPr>
              <w:spacing w:line="240" w:lineRule="auto"/>
              <w:jc w:val="right"/>
              <w:rPr>
                <w:rFonts w:cs="Calibri"/>
                <w:szCs w:val="18"/>
              </w:rPr>
            </w:pPr>
            <w:r>
              <w:rPr>
                <w:rFonts w:cs="Calibri"/>
                <w:szCs w:val="18"/>
              </w:rPr>
              <w:t>225,567</w:t>
            </w: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c>
          <w:tcPr>
            <w:tcW w:w="1183" w:type="dxa"/>
            <w:tcBorders>
              <w:top w:val="nil"/>
              <w:left w:val="nil"/>
              <w:bottom w:val="nil"/>
              <w:right w:val="nil"/>
            </w:tcBorders>
            <w:shd w:val="clear" w:color="auto" w:fill="auto"/>
            <w:noWrap/>
            <w:vAlign w:val="bottom"/>
            <w:hideMark/>
          </w:tcPr>
          <w:p w:rsidR="00361797" w:rsidRDefault="00361797" w:rsidP="00B50E5D">
            <w:pPr>
              <w:spacing w:line="240" w:lineRule="auto"/>
              <w:rPr>
                <w:rFonts w:cs="Calibri"/>
                <w:sz w:val="20"/>
              </w:rPr>
            </w:pPr>
          </w:p>
        </w:tc>
      </w:tr>
    </w:tbl>
    <w:p w:rsidR="00361797" w:rsidRDefault="00361797" w:rsidP="00361797">
      <w:pPr>
        <w:pStyle w:val="ReferenceText"/>
      </w:pPr>
      <w:bookmarkStart w:id="500" w:name="RANGE!D34:L105"/>
      <w:bookmarkStart w:id="501" w:name="RANGE!D34:L101"/>
      <w:bookmarkStart w:id="502" w:name="RANGE!D34:L104"/>
      <w:bookmarkStart w:id="503" w:name="RANGE!D34:L103"/>
      <w:bookmarkStart w:id="504" w:name="RANGE!D34:L102"/>
      <w:bookmarkStart w:id="505" w:name="RANGE!D44:L76"/>
      <w:bookmarkStart w:id="506" w:name="RANGE!D33:L101"/>
      <w:bookmarkStart w:id="507" w:name="RANGE!D33:L102"/>
      <w:bookmarkStart w:id="508" w:name="RANGE!D33:L103"/>
      <w:bookmarkEnd w:id="500"/>
      <w:bookmarkEnd w:id="501"/>
      <w:bookmarkEnd w:id="502"/>
      <w:bookmarkEnd w:id="503"/>
      <w:bookmarkEnd w:id="504"/>
      <w:bookmarkEnd w:id="505"/>
      <w:bookmarkEnd w:id="506"/>
      <w:bookmarkEnd w:id="507"/>
      <w:bookmarkEnd w:id="508"/>
      <w:r>
        <w:t xml:space="preserve">Outcomes 1 to 4 are described in Note 1.1. Net costs shown include intra-government costs that are eliminated in calculating the actual Budget Outcome. </w:t>
      </w:r>
    </w:p>
    <w:p w:rsidR="00361797" w:rsidRDefault="00361797" w:rsidP="00361797">
      <w:pPr>
        <w:pStyle w:val="ReferenceText"/>
      </w:pPr>
      <w:proofErr w:type="gramStart"/>
      <w:r>
        <w:rPr>
          <w:vertAlign w:val="superscript"/>
        </w:rPr>
        <w:t>1</w:t>
      </w:r>
      <w:r>
        <w:t xml:space="preserve"> Assets and liabilities that could not be reliably attributed to outcomes.</w:t>
      </w:r>
      <w:proofErr w:type="gramEnd"/>
      <w:r>
        <w:br w:type="page"/>
      </w:r>
    </w:p>
    <w:tbl>
      <w:tblPr>
        <w:tblW w:w="13991" w:type="dxa"/>
        <w:tblInd w:w="80" w:type="dxa"/>
        <w:tblLayout w:type="fixed"/>
        <w:tblLook w:val="04A0" w:firstRow="1" w:lastRow="0" w:firstColumn="1" w:lastColumn="0" w:noHBand="0" w:noVBand="1"/>
      </w:tblPr>
      <w:tblGrid>
        <w:gridCol w:w="3201"/>
        <w:gridCol w:w="1348"/>
        <w:gridCol w:w="1348"/>
        <w:gridCol w:w="1354"/>
        <w:gridCol w:w="1348"/>
        <w:gridCol w:w="1348"/>
        <w:gridCol w:w="1348"/>
        <w:gridCol w:w="1348"/>
        <w:gridCol w:w="1348"/>
      </w:tblGrid>
      <w:tr w:rsidR="00361797" w:rsidTr="00B50E5D">
        <w:trPr>
          <w:trHeight w:val="113"/>
        </w:trPr>
        <w:tc>
          <w:tcPr>
            <w:tcW w:w="7941" w:type="dxa"/>
            <w:gridSpan w:val="6"/>
            <w:tcBorders>
              <w:top w:val="nil"/>
              <w:left w:val="nil"/>
              <w:bottom w:val="nil"/>
              <w:right w:val="nil"/>
            </w:tcBorders>
            <w:shd w:val="clear" w:color="auto" w:fill="auto"/>
            <w:noWrap/>
            <w:vAlign w:val="bottom"/>
            <w:hideMark/>
          </w:tcPr>
          <w:p w:rsidR="00361797" w:rsidRDefault="00361797" w:rsidP="00B50E5D">
            <w:pPr>
              <w:spacing w:line="240" w:lineRule="auto"/>
              <w:rPr>
                <w:rFonts w:cs="Calibri"/>
                <w:b/>
                <w:bCs/>
                <w:szCs w:val="18"/>
                <w:u w:val="single"/>
              </w:rPr>
            </w:pPr>
            <w:bookmarkStart w:id="509" w:name="RANGE!D7:L40"/>
            <w:bookmarkStart w:id="510" w:name="Note_AMCTABLE1" w:colFirst="0" w:colLast="0"/>
            <w:r>
              <w:rPr>
                <w:rFonts w:cs="Calibri"/>
                <w:b/>
                <w:bCs/>
                <w:szCs w:val="18"/>
                <w:u w:val="single"/>
              </w:rPr>
              <w:lastRenderedPageBreak/>
              <w:t xml:space="preserve">Note </w:t>
            </w:r>
            <w:proofErr w:type="spellStart"/>
            <w:r>
              <w:rPr>
                <w:rFonts w:cs="Calibri"/>
                <w:b/>
                <w:bCs/>
                <w:szCs w:val="18"/>
                <w:u w:val="single"/>
              </w:rPr>
              <w:t>31C</w:t>
            </w:r>
            <w:proofErr w:type="spellEnd"/>
            <w:r>
              <w:rPr>
                <w:rFonts w:cs="Calibri"/>
                <w:b/>
                <w:bCs/>
                <w:szCs w:val="18"/>
                <w:u w:val="single"/>
              </w:rPr>
              <w:t>: Major classes of administered expenses, income, assets, and liabilities by outcomes</w:t>
            </w:r>
            <w:bookmarkEnd w:id="509"/>
          </w:p>
        </w:tc>
        <w:tc>
          <w:tcPr>
            <w:tcW w:w="1076" w:type="dxa"/>
            <w:tcBorders>
              <w:top w:val="nil"/>
              <w:left w:val="nil"/>
              <w:bottom w:val="nil"/>
              <w:right w:val="nil"/>
            </w:tcBorders>
            <w:shd w:val="clear" w:color="auto" w:fill="auto"/>
            <w:hideMark/>
          </w:tcPr>
          <w:p w:rsidR="00361797" w:rsidRDefault="00361797" w:rsidP="00B50E5D">
            <w:pPr>
              <w:spacing w:line="240" w:lineRule="auto"/>
              <w:rPr>
                <w:rFonts w:ascii="Arial" w:hAnsi="Arial" w:cs="Arial"/>
                <w:b/>
                <w:bCs/>
                <w:szCs w:val="18"/>
                <w:u w:val="single"/>
              </w:rPr>
            </w:pPr>
          </w:p>
        </w:tc>
        <w:tc>
          <w:tcPr>
            <w:tcW w:w="1076" w:type="dxa"/>
            <w:tcBorders>
              <w:top w:val="nil"/>
              <w:left w:val="nil"/>
              <w:bottom w:val="nil"/>
              <w:right w:val="nil"/>
            </w:tcBorders>
            <w:shd w:val="clear" w:color="auto" w:fill="auto"/>
            <w:hideMark/>
          </w:tcPr>
          <w:p w:rsidR="00361797" w:rsidRDefault="00361797" w:rsidP="00B50E5D">
            <w:pPr>
              <w:spacing w:line="240" w:lineRule="auto"/>
              <w:rPr>
                <w:rFonts w:ascii="Arial" w:hAnsi="Arial" w:cs="Arial"/>
                <w:b/>
                <w:bCs/>
                <w:szCs w:val="18"/>
                <w:u w:val="single"/>
              </w:rPr>
            </w:pPr>
          </w:p>
        </w:tc>
        <w:tc>
          <w:tcPr>
            <w:tcW w:w="1076" w:type="dxa"/>
            <w:tcBorders>
              <w:top w:val="nil"/>
              <w:left w:val="nil"/>
              <w:bottom w:val="nil"/>
              <w:right w:val="nil"/>
            </w:tcBorders>
            <w:shd w:val="clear" w:color="auto" w:fill="auto"/>
            <w:hideMark/>
          </w:tcPr>
          <w:p w:rsidR="00361797" w:rsidRDefault="00361797" w:rsidP="00B50E5D">
            <w:pPr>
              <w:spacing w:line="240" w:lineRule="auto"/>
              <w:rPr>
                <w:rFonts w:ascii="Arial" w:hAnsi="Arial" w:cs="Arial"/>
                <w:b/>
                <w:bCs/>
                <w:szCs w:val="18"/>
                <w:u w:val="single"/>
              </w:rPr>
            </w:pPr>
          </w:p>
        </w:tc>
      </w:tr>
      <w:tr w:rsidR="00361797" w:rsidTr="00B50E5D">
        <w:trPr>
          <w:trHeight w:val="113"/>
        </w:trPr>
        <w:tc>
          <w:tcPr>
            <w:tcW w:w="2556" w:type="dxa"/>
            <w:tcBorders>
              <w:top w:val="single" w:sz="4" w:space="0" w:color="auto"/>
              <w:left w:val="single" w:sz="4" w:space="0" w:color="auto"/>
              <w:bottom w:val="single" w:sz="4" w:space="0" w:color="D9D9D9"/>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bookmarkStart w:id="511" w:name="RANGE!D8:D40"/>
            <w:bookmarkEnd w:id="510"/>
            <w:r>
              <w:rPr>
                <w:rFonts w:ascii="Arial" w:hAnsi="Arial" w:cs="Arial"/>
                <w:sz w:val="16"/>
                <w:szCs w:val="16"/>
              </w:rPr>
              <w:t> </w:t>
            </w:r>
            <w:bookmarkEnd w:id="511"/>
          </w:p>
        </w:tc>
        <w:tc>
          <w:tcPr>
            <w:tcW w:w="2152"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Outcome 1</w:t>
            </w:r>
          </w:p>
        </w:tc>
        <w:tc>
          <w:tcPr>
            <w:tcW w:w="2157"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Outcome 2</w:t>
            </w:r>
          </w:p>
        </w:tc>
        <w:tc>
          <w:tcPr>
            <w:tcW w:w="2152"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Outcome 3</w:t>
            </w:r>
          </w:p>
        </w:tc>
        <w:tc>
          <w:tcPr>
            <w:tcW w:w="2152"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Outcome 4</w:t>
            </w:r>
          </w:p>
        </w:tc>
      </w:tr>
      <w:tr w:rsidR="00361797" w:rsidTr="00B50E5D">
        <w:trPr>
          <w:trHeight w:val="113"/>
        </w:trPr>
        <w:tc>
          <w:tcPr>
            <w:tcW w:w="2556" w:type="dxa"/>
            <w:tcBorders>
              <w:top w:val="nil"/>
              <w:left w:val="single" w:sz="4" w:space="0" w:color="auto"/>
              <w:bottom w:val="single" w:sz="4" w:space="0" w:color="D9D9D9"/>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c>
          <w:tcPr>
            <w:tcW w:w="1081"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c>
          <w:tcPr>
            <w:tcW w:w="1081"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Expenses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Subsidies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5,107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8,368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62,552 </w:t>
            </w:r>
          </w:p>
        </w:tc>
        <w:tc>
          <w:tcPr>
            <w:tcW w:w="1076" w:type="dxa"/>
            <w:tcBorders>
              <w:top w:val="nil"/>
              <w:left w:val="nil"/>
              <w:bottom w:val="nil"/>
              <w:right w:val="nil"/>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21,040 </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172,568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Personal benefits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1,261,749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4,875,490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61,987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289,344 </w:t>
            </w:r>
          </w:p>
        </w:tc>
        <w:tc>
          <w:tcPr>
            <w:tcW w:w="1076" w:type="dxa"/>
            <w:tcBorders>
              <w:top w:val="nil"/>
              <w:left w:val="nil"/>
              <w:bottom w:val="nil"/>
              <w:right w:val="nil"/>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3,420,082 </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14,856,645 </w:t>
            </w:r>
          </w:p>
        </w:tc>
        <w:tc>
          <w:tcPr>
            <w:tcW w:w="1076" w:type="dxa"/>
            <w:tcBorders>
              <w:top w:val="single" w:sz="4" w:space="0" w:color="auto"/>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40,800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261,645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Grants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236,640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313,499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2,018,017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8,431,149 </w:t>
            </w:r>
          </w:p>
        </w:tc>
        <w:tc>
          <w:tcPr>
            <w:tcW w:w="1076" w:type="dxa"/>
            <w:tcBorders>
              <w:top w:val="single" w:sz="4" w:space="0" w:color="auto"/>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54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18,392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1,620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3,218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Suppliers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284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54,104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32,957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192,211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434,336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2,077,290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1,350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8,203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Other</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3,082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2,532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18,486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450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(348)</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866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2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16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expenses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1,501,755</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5,245,625</w:t>
            </w:r>
          </w:p>
        </w:tc>
        <w:tc>
          <w:tcPr>
            <w:tcW w:w="1081"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2,131,447</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8,918,261</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3,862,492</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17,015,745</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64,812</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445,650</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Income</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Taxation</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21,039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172,567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Non taxation revenue</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135,081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3,463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10,023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17,073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1,319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7,012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3,143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39,433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Gains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6,688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30,092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11,559 </w:t>
            </w:r>
          </w:p>
        </w:tc>
        <w:tc>
          <w:tcPr>
            <w:tcW w:w="1076" w:type="dxa"/>
            <w:tcBorders>
              <w:top w:val="nil"/>
              <w:left w:val="nil"/>
              <w:bottom w:val="nil"/>
              <w:right w:val="nil"/>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income</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135,081</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10,151</w:t>
            </w:r>
          </w:p>
        </w:tc>
        <w:tc>
          <w:tcPr>
            <w:tcW w:w="1081"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10,023</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47,165</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1,319</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18,571</w:t>
            </w:r>
          </w:p>
        </w:tc>
        <w:tc>
          <w:tcPr>
            <w:tcW w:w="1076" w:type="dxa"/>
            <w:tcBorders>
              <w:top w:val="single" w:sz="4" w:space="0" w:color="auto"/>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24,182</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212,000</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Assets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Cash and cash equivalents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135,387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3,466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84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Receivables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312,952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328,594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77,164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86,606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817,241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910,817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7,512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19,656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Investments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6,987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6,987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116,725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Other non-financial assets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3,864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990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60,990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2,329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3,493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assets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452,203</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328,594</w:t>
            </w:r>
          </w:p>
        </w:tc>
        <w:tc>
          <w:tcPr>
            <w:tcW w:w="1081"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88,607</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93,593</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878,231</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910,817</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126,650</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23,149</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Liabilities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Suppliers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19,920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24,363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13,550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43,523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23,983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77,280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2,025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113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Subsidies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774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3,922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7,250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28,427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Personal benefits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118,561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103,014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1,160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7,514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405,048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364,226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2,277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3,602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Grants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8,539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8,721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5,260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33,698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585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80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Other payables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Provision for personal benefits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624,484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742,404 </w:t>
            </w:r>
          </w:p>
        </w:tc>
        <w:tc>
          <w:tcPr>
            <w:tcW w:w="1081"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liabilities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771,504</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878,502</w:t>
            </w:r>
          </w:p>
        </w:tc>
        <w:tc>
          <w:tcPr>
            <w:tcW w:w="1081"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19,970</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84,735</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429,805</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446,013</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11,552</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32,222</w:t>
            </w:r>
          </w:p>
        </w:tc>
      </w:tr>
    </w:tbl>
    <w:p w:rsidR="00361797" w:rsidRDefault="00361797" w:rsidP="00361797"/>
    <w:p w:rsidR="00361797" w:rsidRDefault="00361797" w:rsidP="00361797">
      <w:pPr>
        <w:spacing w:line="240" w:lineRule="auto"/>
      </w:pPr>
      <w:r>
        <w:br w:type="page"/>
      </w:r>
    </w:p>
    <w:p w:rsidR="00361797" w:rsidRDefault="00361797" w:rsidP="00361797"/>
    <w:tbl>
      <w:tblPr>
        <w:tblW w:w="13991" w:type="dxa"/>
        <w:tblInd w:w="80" w:type="dxa"/>
        <w:tblLayout w:type="fixed"/>
        <w:tblLook w:val="04A0" w:firstRow="1" w:lastRow="0" w:firstColumn="1" w:lastColumn="0" w:noHBand="0" w:noVBand="1"/>
      </w:tblPr>
      <w:tblGrid>
        <w:gridCol w:w="3969"/>
        <w:gridCol w:w="1671"/>
        <w:gridCol w:w="1671"/>
        <w:gridCol w:w="1670"/>
        <w:gridCol w:w="1670"/>
        <w:gridCol w:w="1670"/>
        <w:gridCol w:w="1670"/>
      </w:tblGrid>
      <w:tr w:rsidR="00361797" w:rsidTr="00B50E5D">
        <w:trPr>
          <w:trHeight w:val="113"/>
        </w:trPr>
        <w:tc>
          <w:tcPr>
            <w:tcW w:w="2556" w:type="dxa"/>
            <w:tcBorders>
              <w:top w:val="single" w:sz="4" w:space="0" w:color="auto"/>
              <w:left w:val="single" w:sz="4" w:space="0" w:color="auto"/>
              <w:bottom w:val="single" w:sz="4" w:space="0" w:color="D9D9D9"/>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bookmarkStart w:id="512" w:name="RANGE!D46:J78"/>
            <w:bookmarkStart w:id="513" w:name="Note_AMCTABLE2" w:colFirst="0" w:colLast="0"/>
            <w:r>
              <w:rPr>
                <w:rFonts w:ascii="Arial" w:hAnsi="Arial" w:cs="Arial"/>
                <w:sz w:val="16"/>
                <w:szCs w:val="16"/>
              </w:rPr>
              <w:t> </w:t>
            </w:r>
            <w:bookmarkEnd w:id="512"/>
          </w:p>
        </w:tc>
        <w:tc>
          <w:tcPr>
            <w:tcW w:w="2152"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Payment to CAC Act bodies</w:t>
            </w:r>
          </w:p>
        </w:tc>
        <w:tc>
          <w:tcPr>
            <w:tcW w:w="2152"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 xml:space="preserve">Not </w:t>
            </w:r>
            <w:proofErr w:type="spellStart"/>
            <w:r>
              <w:rPr>
                <w:rFonts w:cs="Calibri"/>
                <w:b/>
                <w:bCs/>
                <w:szCs w:val="18"/>
              </w:rPr>
              <w:t>attributed</w:t>
            </w:r>
            <w:r>
              <w:rPr>
                <w:rFonts w:cs="Calibri"/>
                <w:b/>
                <w:bCs/>
                <w:szCs w:val="18"/>
                <w:vertAlign w:val="superscript"/>
              </w:rPr>
              <w:t>1</w:t>
            </w:r>
            <w:proofErr w:type="spellEnd"/>
          </w:p>
        </w:tc>
        <w:tc>
          <w:tcPr>
            <w:tcW w:w="2152" w:type="dxa"/>
            <w:gridSpan w:val="2"/>
            <w:tcBorders>
              <w:top w:val="single" w:sz="4" w:space="0" w:color="auto"/>
              <w:left w:val="nil"/>
              <w:bottom w:val="single" w:sz="4" w:space="0" w:color="auto"/>
              <w:right w:val="single" w:sz="4" w:space="0" w:color="000000"/>
            </w:tcBorders>
            <w:shd w:val="clear" w:color="000000" w:fill="D9D9D9"/>
            <w:vAlign w:val="bottom"/>
            <w:hideMark/>
          </w:tcPr>
          <w:p w:rsidR="00361797" w:rsidRDefault="00361797" w:rsidP="00B50E5D">
            <w:pPr>
              <w:spacing w:line="240" w:lineRule="auto"/>
              <w:jc w:val="center"/>
              <w:rPr>
                <w:rFonts w:cs="Calibri"/>
                <w:b/>
                <w:bCs/>
                <w:szCs w:val="18"/>
              </w:rPr>
            </w:pPr>
            <w:r>
              <w:rPr>
                <w:rFonts w:cs="Calibri"/>
                <w:b/>
                <w:bCs/>
                <w:szCs w:val="18"/>
              </w:rPr>
              <w:t>Total</w:t>
            </w:r>
          </w:p>
        </w:tc>
      </w:tr>
      <w:bookmarkEnd w:id="513"/>
      <w:tr w:rsidR="00361797" w:rsidTr="00B50E5D">
        <w:trPr>
          <w:trHeight w:val="113"/>
        </w:trPr>
        <w:tc>
          <w:tcPr>
            <w:tcW w:w="2556" w:type="dxa"/>
            <w:tcBorders>
              <w:top w:val="nil"/>
              <w:left w:val="single" w:sz="4" w:space="0" w:color="auto"/>
              <w:bottom w:val="single" w:sz="4" w:space="0" w:color="D9D9D9"/>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2014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2013</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c>
          <w:tcPr>
            <w:tcW w:w="1076" w:type="dxa"/>
            <w:tcBorders>
              <w:top w:val="nil"/>
              <w:left w:val="nil"/>
              <w:bottom w:val="single" w:sz="4" w:space="0" w:color="auto"/>
              <w:right w:val="single" w:sz="4" w:space="0" w:color="auto"/>
            </w:tcBorders>
            <w:shd w:val="clear" w:color="000000" w:fill="D9D9D9"/>
            <w:hideMark/>
          </w:tcPr>
          <w:p w:rsidR="00361797" w:rsidRDefault="00361797" w:rsidP="00B50E5D">
            <w:pPr>
              <w:spacing w:line="240" w:lineRule="auto"/>
              <w:jc w:val="right"/>
              <w:rPr>
                <w:rFonts w:cs="Calibri"/>
                <w:b/>
                <w:bCs/>
                <w:szCs w:val="18"/>
              </w:rPr>
            </w:pPr>
            <w:r>
              <w:rPr>
                <w:rFonts w:cs="Calibri"/>
                <w:b/>
                <w:bCs/>
                <w:szCs w:val="18"/>
              </w:rPr>
              <w:t>$'000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$'000</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Expenses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Subsidies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29,408</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240,227</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Personal benefits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4,784,618</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20,283,124</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Grants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16,637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439,195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2,272,968</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9,205,453</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Suppliers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98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469,025</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2,331,808</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Other</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6,291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6,280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27,513</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10,144</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expenses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22,928</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445,475</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98</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7,583,532</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32,070,756</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Income</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Taxation</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21,039</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172,567</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Non taxation revenue</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98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798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149,664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67,779</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Gains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48,339</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income</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98</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798</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170,703</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288,685</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Assets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Cash and cash equivalents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558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2,118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139,495</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2,118</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Receivables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511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100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1,215,380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1,345,773</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Investments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123,712</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6,987</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Other non-financial assets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68,173</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3,493</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assets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1,069</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2,218</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1,546,760</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1,358,371</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szCs w:val="18"/>
              </w:rPr>
            </w:pPr>
            <w:r>
              <w:rPr>
                <w:rFonts w:cs="Calibri"/>
                <w:b/>
                <w:bCs/>
                <w:szCs w:val="18"/>
              </w:rPr>
              <w:t>Liabilities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rPr>
                <w:rFonts w:ascii="Arial" w:hAnsi="Arial" w:cs="Arial"/>
                <w:sz w:val="16"/>
                <w:szCs w:val="16"/>
              </w:rPr>
            </w:pPr>
            <w:r>
              <w:rPr>
                <w:rFonts w:ascii="Arial" w:hAnsi="Arial" w:cs="Arial"/>
                <w:sz w:val="16"/>
                <w:szCs w:val="16"/>
              </w:rPr>
              <w:t> </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Suppliers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59,478</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145,279</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Subsidies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8,024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32,349</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Personal benefits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527,046</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478,356</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Grants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13,799</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43,084</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Other payables</w:t>
            </w:r>
          </w:p>
        </w:tc>
        <w:tc>
          <w:tcPr>
            <w:tcW w:w="1076" w:type="dxa"/>
            <w:tcBorders>
              <w:top w:val="nil"/>
              <w:left w:val="nil"/>
              <w:bottom w:val="single" w:sz="4" w:space="0" w:color="auto"/>
              <w:right w:val="single" w:sz="4" w:space="0" w:color="auto"/>
            </w:tcBorders>
            <w:shd w:val="clear" w:color="000000" w:fill="D9D9D9"/>
            <w:noWrap/>
            <w:vAlign w:val="bottom"/>
            <w:hideMark/>
          </w:tcPr>
          <w:p w:rsidR="00361797" w:rsidRDefault="00361797" w:rsidP="00B50E5D">
            <w:pPr>
              <w:spacing w:line="240" w:lineRule="auto"/>
              <w:jc w:val="right"/>
              <w:rPr>
                <w:rFonts w:cs="Calibri"/>
                <w:b/>
                <w:bCs/>
                <w:szCs w:val="18"/>
              </w:rPr>
            </w:pPr>
            <w:r>
              <w:rPr>
                <w:rFonts w:cs="Calibri"/>
                <w:b/>
                <w:bCs/>
                <w:szCs w:val="18"/>
              </w:rPr>
              <w:t xml:space="preserve">2,788,163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2,788,163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19,078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39,677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2,807,241</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2,827,840</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rPr>
                <w:rFonts w:cs="Calibri"/>
                <w:szCs w:val="18"/>
              </w:rPr>
            </w:pPr>
            <w:r>
              <w:rPr>
                <w:rFonts w:cs="Calibri"/>
                <w:szCs w:val="18"/>
              </w:rPr>
              <w:t>Provision for personal benefits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 xml:space="preserve"> -</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624,484</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742,404</w:t>
            </w:r>
          </w:p>
        </w:tc>
      </w:tr>
      <w:tr w:rsidR="00361797" w:rsidTr="00B50E5D">
        <w:trPr>
          <w:trHeight w:val="113"/>
        </w:trPr>
        <w:tc>
          <w:tcPr>
            <w:tcW w:w="2556" w:type="dxa"/>
            <w:tcBorders>
              <w:top w:val="nil"/>
              <w:left w:val="single" w:sz="4" w:space="0" w:color="auto"/>
              <w:bottom w:val="single" w:sz="4" w:space="0" w:color="auto"/>
              <w:right w:val="single" w:sz="4" w:space="0" w:color="auto"/>
            </w:tcBorders>
            <w:shd w:val="clear" w:color="000000" w:fill="D9D9D9"/>
            <w:hideMark/>
          </w:tcPr>
          <w:p w:rsidR="00361797" w:rsidRDefault="00361797" w:rsidP="00B50E5D">
            <w:pPr>
              <w:spacing w:line="240" w:lineRule="auto"/>
              <w:rPr>
                <w:rFonts w:cs="Calibri"/>
                <w:b/>
                <w:bCs/>
                <w:i/>
                <w:iCs/>
                <w:szCs w:val="18"/>
              </w:rPr>
            </w:pPr>
            <w:r>
              <w:rPr>
                <w:rFonts w:cs="Calibri"/>
                <w:b/>
                <w:bCs/>
                <w:i/>
                <w:iCs/>
                <w:szCs w:val="18"/>
              </w:rPr>
              <w:t>Total liabilities</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2,788,163</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2,788,163</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19,078</w:t>
            </w:r>
          </w:p>
        </w:tc>
        <w:tc>
          <w:tcPr>
            <w:tcW w:w="1076" w:type="dxa"/>
            <w:tcBorders>
              <w:top w:val="nil"/>
              <w:left w:val="nil"/>
              <w:bottom w:val="single" w:sz="4" w:space="0" w:color="auto"/>
              <w:right w:val="nil"/>
            </w:tcBorders>
            <w:shd w:val="clear" w:color="000000" w:fill="D9D9D9"/>
            <w:noWrap/>
            <w:vAlign w:val="bottom"/>
            <w:hideMark/>
          </w:tcPr>
          <w:p w:rsidR="00361797" w:rsidRDefault="00361797" w:rsidP="00B50E5D">
            <w:pPr>
              <w:spacing w:line="240" w:lineRule="auto"/>
              <w:jc w:val="right"/>
              <w:rPr>
                <w:rFonts w:cs="Calibri"/>
                <w:szCs w:val="18"/>
              </w:rPr>
            </w:pPr>
            <w:r>
              <w:rPr>
                <w:rFonts w:cs="Calibri"/>
                <w:szCs w:val="18"/>
              </w:rPr>
              <w:t>39,677</w:t>
            </w:r>
          </w:p>
        </w:tc>
        <w:tc>
          <w:tcPr>
            <w:tcW w:w="1076" w:type="dxa"/>
            <w:tcBorders>
              <w:top w:val="nil"/>
              <w:left w:val="single" w:sz="4" w:space="0" w:color="auto"/>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b/>
                <w:bCs/>
                <w:szCs w:val="18"/>
              </w:rPr>
            </w:pPr>
            <w:r>
              <w:rPr>
                <w:rFonts w:cs="Calibri"/>
                <w:b/>
                <w:bCs/>
                <w:szCs w:val="18"/>
              </w:rPr>
              <w:t>4,040,072</w:t>
            </w:r>
          </w:p>
        </w:tc>
        <w:tc>
          <w:tcPr>
            <w:tcW w:w="1076" w:type="dxa"/>
            <w:tcBorders>
              <w:top w:val="nil"/>
              <w:left w:val="nil"/>
              <w:bottom w:val="single" w:sz="4" w:space="0" w:color="auto"/>
              <w:right w:val="single" w:sz="4" w:space="0" w:color="auto"/>
            </w:tcBorders>
            <w:shd w:val="clear" w:color="000000" w:fill="D9D9D9"/>
            <w:noWrap/>
            <w:hideMark/>
          </w:tcPr>
          <w:p w:rsidR="00361797" w:rsidRDefault="00361797" w:rsidP="00B50E5D">
            <w:pPr>
              <w:spacing w:line="240" w:lineRule="auto"/>
              <w:jc w:val="right"/>
              <w:rPr>
                <w:rFonts w:cs="Calibri"/>
                <w:szCs w:val="18"/>
              </w:rPr>
            </w:pPr>
            <w:r>
              <w:rPr>
                <w:rFonts w:cs="Calibri"/>
                <w:szCs w:val="18"/>
              </w:rPr>
              <w:t>4,269,312</w:t>
            </w:r>
          </w:p>
        </w:tc>
      </w:tr>
    </w:tbl>
    <w:p w:rsidR="00361797" w:rsidRDefault="00361797" w:rsidP="00361797">
      <w:pPr>
        <w:pStyle w:val="ReferenceText"/>
      </w:pPr>
      <w:bookmarkStart w:id="514" w:name="RANGE!D45:L77"/>
      <w:bookmarkStart w:id="515" w:name="RANGE!D46:L79"/>
      <w:bookmarkEnd w:id="514"/>
      <w:bookmarkEnd w:id="515"/>
      <w:r>
        <w:t xml:space="preserve">Outcomes 1 to 4 are described in Note 1.1. Net costs shown include intra-government costs that are eliminated in calculating the actual Budget Outcome. </w:t>
      </w:r>
    </w:p>
    <w:p w:rsidR="00361797" w:rsidRDefault="00361797" w:rsidP="00361797">
      <w:pPr>
        <w:pStyle w:val="ReferenceText"/>
      </w:pPr>
      <w:proofErr w:type="gramStart"/>
      <w:r w:rsidRPr="00D54C1C">
        <w:rPr>
          <w:vertAlign w:val="superscript"/>
        </w:rPr>
        <w:t>1</w:t>
      </w:r>
      <w:r>
        <w:t xml:space="preserve"> Assets, liabilities and income that could not be reliably attributed to outcomes.</w:t>
      </w:r>
      <w:proofErr w:type="gramEnd"/>
    </w:p>
    <w:p w:rsidR="00361797" w:rsidRDefault="00361797" w:rsidP="00361797">
      <w:pPr>
        <w:spacing w:line="240" w:lineRule="auto"/>
        <w:sectPr w:rsidR="00361797">
          <w:pgSz w:w="16838" w:h="11906" w:orient="landscape"/>
          <w:pgMar w:top="1134" w:right="1134" w:bottom="964" w:left="1134" w:header="958" w:footer="737" w:gutter="0"/>
          <w:cols w:space="720"/>
        </w:sectPr>
      </w:pPr>
    </w:p>
    <w:tbl>
      <w:tblPr>
        <w:tblW w:w="9087" w:type="dxa"/>
        <w:tblInd w:w="80" w:type="dxa"/>
        <w:tblLayout w:type="fixed"/>
        <w:tblLook w:val="04A0" w:firstRow="1" w:lastRow="0" w:firstColumn="1" w:lastColumn="0" w:noHBand="0" w:noVBand="1"/>
      </w:tblPr>
      <w:tblGrid>
        <w:gridCol w:w="6385"/>
        <w:gridCol w:w="1213"/>
        <w:gridCol w:w="276"/>
        <w:gridCol w:w="1213"/>
      </w:tblGrid>
      <w:tr w:rsidR="00361797" w:rsidTr="00B50E5D">
        <w:trPr>
          <w:trHeight w:val="255"/>
          <w:hidden/>
        </w:trPr>
        <w:tc>
          <w:tcPr>
            <w:tcW w:w="5456" w:type="dxa"/>
            <w:tcBorders>
              <w:top w:val="nil"/>
              <w:left w:val="nil"/>
              <w:bottom w:val="nil"/>
              <w:right w:val="nil"/>
            </w:tcBorders>
            <w:shd w:val="clear" w:color="000000" w:fill="D9D9D9"/>
            <w:noWrap/>
            <w:hideMark/>
          </w:tcPr>
          <w:p w:rsidR="00361797" w:rsidRDefault="00361797" w:rsidP="00B50E5D">
            <w:pPr>
              <w:rPr>
                <w:rFonts w:cs="Calibri"/>
                <w:b/>
                <w:bCs/>
                <w:vanish/>
                <w:szCs w:val="18"/>
                <w:u w:val="single"/>
              </w:rPr>
            </w:pPr>
            <w:bookmarkStart w:id="516" w:name="Note_ACNTABLE2" w:colFirst="0" w:colLast="0"/>
            <w:r>
              <w:rPr>
                <w:rFonts w:cs="Calibri"/>
                <w:b/>
                <w:bCs/>
                <w:vanish/>
                <w:szCs w:val="18"/>
                <w:u w:val="single"/>
              </w:rPr>
              <w:lastRenderedPageBreak/>
              <w:t>Note 32A: Administered receipts subject to cost recovery policy</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vanish/>
                <w:sz w:val="16"/>
                <w:szCs w:val="16"/>
              </w:rPr>
            </w:pPr>
            <w:r>
              <w:rPr>
                <w:rFonts w:ascii="Arial" w:hAnsi="Arial" w:cs="Arial"/>
                <w:vanish/>
                <w:sz w:val="16"/>
                <w:szCs w:val="16"/>
              </w:rPr>
              <w:t> </w:t>
            </w:r>
          </w:p>
        </w:tc>
        <w:tc>
          <w:tcPr>
            <w:tcW w:w="22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vanish/>
                <w:sz w:val="16"/>
                <w:szCs w:val="16"/>
              </w:rPr>
            </w:pPr>
            <w:r>
              <w:rPr>
                <w:rFonts w:ascii="Arial" w:hAnsi="Arial" w:cs="Arial"/>
                <w:vanish/>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vanish/>
                <w:sz w:val="16"/>
                <w:szCs w:val="16"/>
              </w:rPr>
            </w:pPr>
            <w:r>
              <w:rPr>
                <w:rFonts w:ascii="Arial" w:hAnsi="Arial" w:cs="Arial"/>
                <w:vanish/>
                <w:sz w:val="16"/>
                <w:szCs w:val="16"/>
              </w:rPr>
              <w:t> </w:t>
            </w:r>
          </w:p>
        </w:tc>
      </w:tr>
      <w:bookmarkEnd w:id="516"/>
      <w:tr w:rsidR="00361797" w:rsidTr="00B50E5D">
        <w:trPr>
          <w:trHeight w:val="255"/>
          <w:hidden/>
        </w:trPr>
        <w:tc>
          <w:tcPr>
            <w:tcW w:w="5456" w:type="dxa"/>
            <w:tcBorders>
              <w:top w:val="nil"/>
              <w:left w:val="nil"/>
              <w:bottom w:val="single" w:sz="4" w:space="0" w:color="D9D9D9"/>
              <w:right w:val="nil"/>
            </w:tcBorders>
            <w:shd w:val="clear" w:color="000000" w:fill="D9D9D9"/>
            <w:vAlign w:val="bottom"/>
            <w:hideMark/>
          </w:tcPr>
          <w:p w:rsidR="00361797" w:rsidRDefault="00361797" w:rsidP="00B50E5D">
            <w:pPr>
              <w:rPr>
                <w:rFonts w:cs="Calibri"/>
                <w:vanish/>
                <w:szCs w:val="18"/>
              </w:rPr>
            </w:pPr>
            <w:r>
              <w:rPr>
                <w:rFonts w:cs="Calibri"/>
                <w:vanish/>
                <w:szCs w:val="18"/>
              </w:rPr>
              <w:t>Other cost recovery arrangements</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vanish/>
                <w:szCs w:val="18"/>
              </w:rPr>
            </w:pPr>
            <w:r>
              <w:rPr>
                <w:rFonts w:cs="Calibri"/>
                <w:b/>
                <w:bCs/>
                <w:vanish/>
                <w:szCs w:val="18"/>
              </w:rPr>
              <w:t> </w:t>
            </w:r>
          </w:p>
        </w:tc>
        <w:tc>
          <w:tcPr>
            <w:tcW w:w="22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vanish/>
                <w:sz w:val="16"/>
                <w:szCs w:val="16"/>
              </w:rPr>
            </w:pPr>
            <w:r>
              <w:rPr>
                <w:rFonts w:ascii="Arial" w:hAnsi="Arial" w:cs="Arial"/>
                <w:vanish/>
                <w:sz w:val="16"/>
                <w:szCs w:val="16"/>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vanish/>
                <w:szCs w:val="18"/>
              </w:rPr>
            </w:pPr>
            <w:r>
              <w:rPr>
                <w:rFonts w:cs="Calibri"/>
                <w:vanish/>
                <w:szCs w:val="18"/>
              </w:rPr>
              <w:t> </w:t>
            </w:r>
          </w:p>
        </w:tc>
      </w:tr>
      <w:tr w:rsidR="00361797" w:rsidTr="00B50E5D">
        <w:trPr>
          <w:trHeight w:val="300"/>
          <w:hidden/>
        </w:trPr>
        <w:tc>
          <w:tcPr>
            <w:tcW w:w="5456" w:type="dxa"/>
            <w:tcBorders>
              <w:top w:val="nil"/>
              <w:left w:val="nil"/>
              <w:bottom w:val="single" w:sz="4" w:space="0" w:color="D9D9D9"/>
              <w:right w:val="nil"/>
            </w:tcBorders>
            <w:shd w:val="clear" w:color="000000" w:fill="D9D9D9"/>
            <w:noWrap/>
            <w:vAlign w:val="bottom"/>
            <w:hideMark/>
          </w:tcPr>
          <w:p w:rsidR="00361797" w:rsidRDefault="00361797" w:rsidP="00361797">
            <w:pPr>
              <w:ind w:firstLineChars="100" w:firstLine="180"/>
              <w:rPr>
                <w:rFonts w:cs="Calibri"/>
                <w:vanish/>
                <w:szCs w:val="18"/>
              </w:rPr>
            </w:pPr>
            <w:r>
              <w:rPr>
                <w:rFonts w:cs="Calibri"/>
                <w:vanish/>
                <w:szCs w:val="18"/>
              </w:rPr>
              <w:t>Trade Recognitions Australia</w:t>
            </w:r>
            <w:r>
              <w:rPr>
                <w:rFonts w:cs="Calibri"/>
                <w:vanish/>
                <w:sz w:val="20"/>
                <w:vertAlign w:val="superscript"/>
              </w:rPr>
              <w:t>1</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b/>
                <w:bCs/>
                <w:vanish/>
                <w:szCs w:val="18"/>
              </w:rPr>
            </w:pPr>
            <w:r>
              <w:rPr>
                <w:rFonts w:cs="Calibri"/>
                <w:b/>
                <w:bCs/>
                <w:vanish/>
                <w:szCs w:val="18"/>
              </w:rPr>
              <w:t xml:space="preserve"> -</w:t>
            </w:r>
          </w:p>
        </w:tc>
        <w:tc>
          <w:tcPr>
            <w:tcW w:w="222" w:type="dxa"/>
            <w:tcBorders>
              <w:top w:val="nil"/>
              <w:left w:val="nil"/>
              <w:bottom w:val="single" w:sz="4" w:space="0" w:color="D9D9D9"/>
              <w:right w:val="nil"/>
            </w:tcBorders>
            <w:shd w:val="clear" w:color="000000" w:fill="D9D9D9"/>
            <w:noWrap/>
            <w:vAlign w:val="bottom"/>
            <w:hideMark/>
          </w:tcPr>
          <w:p w:rsidR="00361797" w:rsidRDefault="00361797" w:rsidP="00B50E5D">
            <w:pPr>
              <w:rPr>
                <w:rFonts w:ascii="Arial" w:hAnsi="Arial" w:cs="Arial"/>
                <w:vanish/>
                <w:sz w:val="16"/>
                <w:szCs w:val="16"/>
              </w:rPr>
            </w:pPr>
            <w:r>
              <w:rPr>
                <w:rFonts w:ascii="Arial" w:hAnsi="Arial" w:cs="Arial"/>
                <w:vanish/>
                <w:sz w:val="16"/>
                <w:szCs w:val="16"/>
              </w:rPr>
              <w:t> </w:t>
            </w:r>
          </w:p>
        </w:tc>
        <w:tc>
          <w:tcPr>
            <w:tcW w:w="1036" w:type="dxa"/>
            <w:tcBorders>
              <w:top w:val="nil"/>
              <w:left w:val="nil"/>
              <w:bottom w:val="nil"/>
              <w:right w:val="nil"/>
            </w:tcBorders>
            <w:shd w:val="clear" w:color="000000" w:fill="D9D9D9"/>
            <w:noWrap/>
            <w:vAlign w:val="bottom"/>
            <w:hideMark/>
          </w:tcPr>
          <w:p w:rsidR="00361797" w:rsidRDefault="00361797" w:rsidP="00B50E5D">
            <w:pPr>
              <w:jc w:val="right"/>
              <w:rPr>
                <w:rFonts w:cs="Calibri"/>
                <w:vanish/>
                <w:szCs w:val="18"/>
              </w:rPr>
            </w:pPr>
            <w:r>
              <w:rPr>
                <w:rFonts w:cs="Calibri"/>
                <w:vanish/>
                <w:szCs w:val="18"/>
              </w:rPr>
              <w:t xml:space="preserve"> -</w:t>
            </w:r>
          </w:p>
        </w:tc>
      </w:tr>
      <w:tr w:rsidR="00361797" w:rsidTr="00B50E5D">
        <w:trPr>
          <w:trHeight w:val="270"/>
          <w:hidden/>
        </w:trPr>
        <w:tc>
          <w:tcPr>
            <w:tcW w:w="5456" w:type="dxa"/>
            <w:tcBorders>
              <w:top w:val="single" w:sz="4" w:space="0" w:color="D9D9D9"/>
              <w:left w:val="nil"/>
              <w:bottom w:val="single" w:sz="24" w:space="0" w:color="D8D8D8"/>
              <w:right w:val="nil"/>
            </w:tcBorders>
            <w:shd w:val="clear" w:color="000000" w:fill="D9D9D9"/>
            <w:vAlign w:val="bottom"/>
            <w:hideMark/>
          </w:tcPr>
          <w:p w:rsidR="00361797" w:rsidRDefault="00361797" w:rsidP="00B50E5D">
            <w:pPr>
              <w:rPr>
                <w:rFonts w:cs="Calibri"/>
                <w:b/>
                <w:bCs/>
                <w:i/>
                <w:iCs/>
                <w:vanish/>
                <w:szCs w:val="18"/>
              </w:rPr>
            </w:pPr>
            <w:r>
              <w:rPr>
                <w:rFonts w:cs="Calibri"/>
                <w:b/>
                <w:bCs/>
                <w:i/>
                <w:iCs/>
                <w:vanish/>
                <w:szCs w:val="18"/>
              </w:rPr>
              <w:t>Total receipts subject to cost recovery policy</w:t>
            </w:r>
          </w:p>
        </w:tc>
        <w:tc>
          <w:tcPr>
            <w:tcW w:w="10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b/>
                <w:bCs/>
                <w:vanish/>
                <w:szCs w:val="18"/>
              </w:rPr>
            </w:pPr>
            <w:r>
              <w:rPr>
                <w:rFonts w:cs="Calibri"/>
                <w:b/>
                <w:bCs/>
                <w:vanish/>
                <w:szCs w:val="18"/>
              </w:rPr>
              <w:t>-</w:t>
            </w:r>
          </w:p>
        </w:tc>
        <w:tc>
          <w:tcPr>
            <w:tcW w:w="222" w:type="dxa"/>
            <w:tcBorders>
              <w:top w:val="single" w:sz="4" w:space="0" w:color="D9D9D9"/>
              <w:left w:val="nil"/>
              <w:bottom w:val="single" w:sz="24" w:space="0" w:color="D8D8D8"/>
              <w:right w:val="nil"/>
            </w:tcBorders>
            <w:shd w:val="clear" w:color="000000" w:fill="D9D9D9"/>
            <w:noWrap/>
            <w:vAlign w:val="bottom"/>
            <w:hideMark/>
          </w:tcPr>
          <w:p w:rsidR="00361797" w:rsidRDefault="00361797" w:rsidP="00B50E5D">
            <w:pPr>
              <w:rPr>
                <w:rFonts w:ascii="Arial" w:hAnsi="Arial" w:cs="Arial"/>
                <w:vanish/>
                <w:sz w:val="16"/>
                <w:szCs w:val="16"/>
              </w:rPr>
            </w:pPr>
            <w:r>
              <w:rPr>
                <w:rFonts w:ascii="Arial" w:hAnsi="Arial" w:cs="Arial"/>
                <w:vanish/>
                <w:sz w:val="16"/>
                <w:szCs w:val="16"/>
              </w:rPr>
              <w:t> </w:t>
            </w:r>
          </w:p>
        </w:tc>
        <w:tc>
          <w:tcPr>
            <w:tcW w:w="1036" w:type="dxa"/>
            <w:tcBorders>
              <w:top w:val="single" w:sz="4" w:space="0" w:color="auto"/>
              <w:left w:val="nil"/>
              <w:bottom w:val="double" w:sz="6" w:space="0" w:color="auto"/>
              <w:right w:val="nil"/>
            </w:tcBorders>
            <w:shd w:val="clear" w:color="000000" w:fill="D9D9D9"/>
            <w:noWrap/>
            <w:vAlign w:val="bottom"/>
            <w:hideMark/>
          </w:tcPr>
          <w:p w:rsidR="00361797" w:rsidRDefault="00361797" w:rsidP="00B50E5D">
            <w:pPr>
              <w:jc w:val="right"/>
              <w:rPr>
                <w:rFonts w:cs="Calibri"/>
                <w:vanish/>
                <w:szCs w:val="18"/>
              </w:rPr>
            </w:pPr>
            <w:r>
              <w:rPr>
                <w:rFonts w:cs="Calibri"/>
                <w:vanish/>
                <w:szCs w:val="18"/>
              </w:rPr>
              <w:t>-</w:t>
            </w:r>
          </w:p>
        </w:tc>
      </w:tr>
    </w:tbl>
    <w:p w:rsidR="00361797" w:rsidRDefault="00361797" w:rsidP="00361797">
      <w:bookmarkStart w:id="517" w:name="RANGE!D22:G28"/>
      <w:bookmarkEnd w:id="517"/>
    </w:p>
    <w:p w:rsidR="00361797" w:rsidRDefault="00361797" w:rsidP="00361797"/>
    <w:p w:rsidR="00361797" w:rsidRDefault="00361797" w:rsidP="00361797">
      <w:pPr>
        <w:pStyle w:val="NotesHeading-Level1"/>
        <w:numPr>
          <w:ilvl w:val="0"/>
          <w:numId w:val="14"/>
        </w:numPr>
        <w:rPr>
          <w:rFonts w:cstheme="minorHAnsi"/>
        </w:rPr>
      </w:pPr>
      <w:bookmarkStart w:id="518" w:name="_Toc388962651"/>
      <w:r>
        <w:rPr>
          <w:rFonts w:cstheme="minorHAnsi"/>
        </w:rPr>
        <w:t>Net Cash Appropriation Arrangements</w:t>
      </w:r>
      <w:bookmarkEnd w:id="518"/>
    </w:p>
    <w:tbl>
      <w:tblPr>
        <w:tblW w:w="9087" w:type="dxa"/>
        <w:tblInd w:w="80" w:type="dxa"/>
        <w:tblLayout w:type="fixed"/>
        <w:tblLook w:val="04A0" w:firstRow="1" w:lastRow="0" w:firstColumn="1" w:lastColumn="0" w:noHBand="0" w:noVBand="1"/>
      </w:tblPr>
      <w:tblGrid>
        <w:gridCol w:w="6723"/>
        <w:gridCol w:w="1047"/>
        <w:gridCol w:w="270"/>
        <w:gridCol w:w="1047"/>
      </w:tblGrid>
      <w:tr w:rsidR="00361797" w:rsidTr="00B50E5D">
        <w:trPr>
          <w:trHeight w:val="240"/>
        </w:trPr>
        <w:tc>
          <w:tcPr>
            <w:tcW w:w="66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bookmarkStart w:id="519" w:name="RANGE!D7:G8"/>
            <w:bookmarkStart w:id="520" w:name="Note_NCATABLE1" w:colFirst="0" w:colLast="0"/>
            <w:r>
              <w:rPr>
                <w:rFonts w:ascii="Arial" w:hAnsi="Arial" w:cs="Arial"/>
                <w:szCs w:val="18"/>
              </w:rPr>
              <w:t> </w:t>
            </w:r>
            <w:bookmarkEnd w:id="519"/>
          </w:p>
        </w:tc>
        <w:tc>
          <w:tcPr>
            <w:tcW w:w="10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2014</w:t>
            </w:r>
          </w:p>
        </w:tc>
        <w:tc>
          <w:tcPr>
            <w:tcW w:w="26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2013</w:t>
            </w:r>
          </w:p>
        </w:tc>
      </w:tr>
      <w:bookmarkEnd w:id="520"/>
      <w:tr w:rsidR="00361797" w:rsidTr="00B50E5D">
        <w:trPr>
          <w:trHeight w:val="240"/>
        </w:trPr>
        <w:tc>
          <w:tcPr>
            <w:tcW w:w="6656"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361797" w:rsidRDefault="00361797" w:rsidP="00B50E5D">
            <w:pPr>
              <w:jc w:val="right"/>
              <w:rPr>
                <w:rFonts w:cs="Calibri"/>
                <w:b/>
                <w:bCs/>
                <w:szCs w:val="18"/>
              </w:rPr>
            </w:pPr>
            <w:r>
              <w:rPr>
                <w:rFonts w:cs="Calibri"/>
                <w:b/>
                <w:bCs/>
                <w:szCs w:val="18"/>
              </w:rPr>
              <w:t>$'000</w:t>
            </w:r>
          </w:p>
        </w:tc>
        <w:tc>
          <w:tcPr>
            <w:tcW w:w="26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szCs w:val="18"/>
              </w:rPr>
            </w:pPr>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361797" w:rsidRDefault="00361797" w:rsidP="00B50E5D">
            <w:pPr>
              <w:jc w:val="right"/>
              <w:rPr>
                <w:rFonts w:cs="Calibri"/>
                <w:szCs w:val="18"/>
              </w:rPr>
            </w:pPr>
            <w:r>
              <w:rPr>
                <w:rFonts w:cs="Calibri"/>
                <w:szCs w:val="18"/>
              </w:rPr>
              <w:t>$'000</w:t>
            </w:r>
          </w:p>
        </w:tc>
      </w:tr>
      <w:tr w:rsidR="00361797" w:rsidTr="00B50E5D">
        <w:trPr>
          <w:trHeight w:val="510"/>
        </w:trPr>
        <w:tc>
          <w:tcPr>
            <w:tcW w:w="6656"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 xml:space="preserve">Total comprehensive income (loss) less depreciation/amortisation expenses previously funded through revenue </w:t>
            </w:r>
            <w:proofErr w:type="spellStart"/>
            <w:r>
              <w:rPr>
                <w:rFonts w:cs="Calibri"/>
                <w:b/>
                <w:bCs/>
                <w:i/>
                <w:iCs/>
                <w:szCs w:val="18"/>
              </w:rPr>
              <w:t>appropriations</w:t>
            </w:r>
            <w:r>
              <w:rPr>
                <w:rFonts w:ascii="Arial" w:hAnsi="Arial" w:cs="Arial"/>
                <w:szCs w:val="18"/>
                <w:vertAlign w:val="superscript"/>
              </w:rPr>
              <w:t>1</w:t>
            </w:r>
            <w:proofErr w:type="spellEnd"/>
          </w:p>
        </w:tc>
        <w:tc>
          <w:tcPr>
            <w:tcW w:w="10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 xml:space="preserve">230,243 </w:t>
            </w:r>
          </w:p>
        </w:tc>
        <w:tc>
          <w:tcPr>
            <w:tcW w:w="26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0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 xml:space="preserve">1,452 </w:t>
            </w:r>
          </w:p>
        </w:tc>
      </w:tr>
      <w:tr w:rsidR="00361797" w:rsidTr="00B50E5D">
        <w:trPr>
          <w:trHeight w:val="480"/>
        </w:trPr>
        <w:tc>
          <w:tcPr>
            <w:tcW w:w="6656" w:type="dxa"/>
            <w:tcBorders>
              <w:top w:val="nil"/>
              <w:left w:val="nil"/>
              <w:bottom w:val="nil"/>
              <w:right w:val="nil"/>
            </w:tcBorders>
            <w:shd w:val="clear" w:color="FFFFFF" w:fill="FFFFFF"/>
            <w:vAlign w:val="bottom"/>
            <w:hideMark/>
          </w:tcPr>
          <w:p w:rsidR="00361797" w:rsidRDefault="00361797" w:rsidP="00B50E5D">
            <w:pPr>
              <w:rPr>
                <w:rFonts w:cs="Calibri"/>
                <w:szCs w:val="18"/>
              </w:rPr>
            </w:pPr>
            <w:r>
              <w:rPr>
                <w:rFonts w:cs="Calibri"/>
                <w:szCs w:val="18"/>
              </w:rPr>
              <w:t>Plus: depreciation/amortisation expenses previously funded through revenue appropriation</w:t>
            </w:r>
          </w:p>
        </w:tc>
        <w:tc>
          <w:tcPr>
            <w:tcW w:w="1036" w:type="dxa"/>
            <w:tcBorders>
              <w:top w:val="nil"/>
              <w:left w:val="nil"/>
              <w:bottom w:val="nil"/>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(14,184)</w:t>
            </w:r>
          </w:p>
        </w:tc>
        <w:tc>
          <w:tcPr>
            <w:tcW w:w="267" w:type="dxa"/>
            <w:tcBorders>
              <w:top w:val="nil"/>
              <w:left w:val="nil"/>
              <w:bottom w:val="nil"/>
              <w:right w:val="nil"/>
            </w:tcBorders>
            <w:shd w:val="clear" w:color="FFFFFF" w:fill="FFFFFF"/>
            <w:noWrap/>
            <w:vAlign w:val="bottom"/>
            <w:hideMark/>
          </w:tcPr>
          <w:p w:rsidR="00361797" w:rsidRDefault="00361797" w:rsidP="00B50E5D">
            <w:pPr>
              <w:rPr>
                <w:rFonts w:ascii="Arial" w:hAnsi="Arial" w:cs="Arial"/>
                <w:b/>
                <w:bCs/>
                <w:szCs w:val="18"/>
              </w:rPr>
            </w:pPr>
            <w:r>
              <w:rPr>
                <w:rFonts w:ascii="Arial" w:hAnsi="Arial" w:cs="Arial"/>
                <w:b/>
                <w:bCs/>
                <w:szCs w:val="18"/>
              </w:rPr>
              <w:t> </w:t>
            </w:r>
          </w:p>
        </w:tc>
        <w:tc>
          <w:tcPr>
            <w:tcW w:w="1036" w:type="dxa"/>
            <w:tcBorders>
              <w:top w:val="nil"/>
              <w:left w:val="nil"/>
              <w:bottom w:val="nil"/>
              <w:right w:val="nil"/>
            </w:tcBorders>
            <w:shd w:val="clear" w:color="FFFFFF" w:fill="FFFFFF"/>
            <w:noWrap/>
            <w:vAlign w:val="bottom"/>
            <w:hideMark/>
          </w:tcPr>
          <w:p w:rsidR="00361797" w:rsidRDefault="00361797" w:rsidP="00B50E5D">
            <w:pPr>
              <w:jc w:val="right"/>
              <w:rPr>
                <w:rFonts w:cs="Calibri"/>
                <w:szCs w:val="18"/>
              </w:rPr>
            </w:pPr>
            <w:r>
              <w:rPr>
                <w:rFonts w:cs="Calibri"/>
                <w:szCs w:val="18"/>
              </w:rPr>
              <w:t>(60,739)</w:t>
            </w:r>
          </w:p>
        </w:tc>
      </w:tr>
      <w:tr w:rsidR="00361797" w:rsidTr="00B50E5D">
        <w:trPr>
          <w:trHeight w:val="270"/>
        </w:trPr>
        <w:tc>
          <w:tcPr>
            <w:tcW w:w="6656" w:type="dxa"/>
            <w:tcBorders>
              <w:top w:val="nil"/>
              <w:left w:val="nil"/>
              <w:bottom w:val="nil"/>
              <w:right w:val="nil"/>
            </w:tcBorders>
            <w:shd w:val="clear" w:color="FFFFFF" w:fill="FFFFFF"/>
            <w:vAlign w:val="bottom"/>
            <w:hideMark/>
          </w:tcPr>
          <w:p w:rsidR="00361797" w:rsidRDefault="00361797" w:rsidP="00B50E5D">
            <w:pPr>
              <w:rPr>
                <w:rFonts w:cs="Calibri"/>
                <w:b/>
                <w:bCs/>
                <w:i/>
                <w:iCs/>
                <w:szCs w:val="18"/>
              </w:rPr>
            </w:pPr>
            <w:r>
              <w:rPr>
                <w:rFonts w:cs="Calibri"/>
                <w:b/>
                <w:bCs/>
                <w:i/>
                <w:iCs/>
                <w:szCs w:val="18"/>
              </w:rPr>
              <w:t>Total comprehensive income (loss) - as per the Statement of Comprehensive Income</w:t>
            </w:r>
          </w:p>
        </w:tc>
        <w:tc>
          <w:tcPr>
            <w:tcW w:w="10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b/>
                <w:bCs/>
                <w:szCs w:val="18"/>
              </w:rPr>
            </w:pPr>
            <w:r>
              <w:rPr>
                <w:rFonts w:cs="Calibri"/>
                <w:b/>
                <w:bCs/>
                <w:szCs w:val="18"/>
              </w:rPr>
              <w:t>216,059</w:t>
            </w:r>
          </w:p>
        </w:tc>
        <w:tc>
          <w:tcPr>
            <w:tcW w:w="267" w:type="dxa"/>
            <w:tcBorders>
              <w:top w:val="nil"/>
              <w:left w:val="nil"/>
              <w:bottom w:val="nil"/>
              <w:right w:val="nil"/>
            </w:tcBorders>
            <w:shd w:val="clear" w:color="FFFFFF" w:fill="FFFFFF"/>
            <w:noWrap/>
            <w:vAlign w:val="bottom"/>
            <w:hideMark/>
          </w:tcPr>
          <w:p w:rsidR="00361797" w:rsidRDefault="00361797" w:rsidP="00B50E5D">
            <w:pPr>
              <w:rPr>
                <w:rFonts w:cs="Calibri"/>
                <w:szCs w:val="18"/>
              </w:rPr>
            </w:pPr>
            <w:r>
              <w:rPr>
                <w:rFonts w:cs="Calibri"/>
                <w:szCs w:val="18"/>
              </w:rPr>
              <w:t> </w:t>
            </w:r>
          </w:p>
        </w:tc>
        <w:tc>
          <w:tcPr>
            <w:tcW w:w="1036" w:type="dxa"/>
            <w:tcBorders>
              <w:top w:val="single" w:sz="4" w:space="0" w:color="auto"/>
              <w:left w:val="nil"/>
              <w:bottom w:val="double" w:sz="6" w:space="0" w:color="auto"/>
              <w:right w:val="nil"/>
            </w:tcBorders>
            <w:shd w:val="clear" w:color="FFFFFF" w:fill="FFFFFF"/>
            <w:noWrap/>
            <w:vAlign w:val="bottom"/>
            <w:hideMark/>
          </w:tcPr>
          <w:p w:rsidR="00361797" w:rsidRDefault="00361797" w:rsidP="00B50E5D">
            <w:pPr>
              <w:jc w:val="right"/>
              <w:rPr>
                <w:rFonts w:cs="Calibri"/>
                <w:szCs w:val="18"/>
              </w:rPr>
            </w:pPr>
            <w:r>
              <w:rPr>
                <w:rFonts w:cs="Calibri"/>
                <w:szCs w:val="18"/>
              </w:rPr>
              <w:t>(59,287)</w:t>
            </w:r>
          </w:p>
        </w:tc>
      </w:tr>
    </w:tbl>
    <w:p w:rsidR="00361797" w:rsidRDefault="00361797" w:rsidP="00361797">
      <w:bookmarkStart w:id="521" w:name="RANGE!D7:D11"/>
      <w:bookmarkStart w:id="522" w:name="RANGE!D6:D11"/>
      <w:bookmarkEnd w:id="521"/>
      <w:bookmarkEnd w:id="522"/>
    </w:p>
    <w:p w:rsidR="00361797" w:rsidRDefault="00361797" w:rsidP="00361797">
      <w:pPr>
        <w:pStyle w:val="ReferenceText"/>
      </w:pPr>
      <w:r>
        <w:t>1. From 2010–11, the Government introduced net cash appropriation arrangements, where revenue appropriations for depreciation/amortisation expenses ceased. Entities now receive a separate capital budget provided through equity appropriations. Capital budgets are to be appropriated in the period when cash payment for capital expenditure is required.</w:t>
      </w:r>
    </w:p>
    <w:p w:rsidR="00361797" w:rsidRDefault="00361797" w:rsidP="00361797">
      <w:pPr>
        <w:spacing w:line="240" w:lineRule="auto"/>
        <w:rPr>
          <w:rFonts w:asciiTheme="minorHAnsi" w:hAnsiTheme="minorHAnsi" w:cs="Arial"/>
          <w:szCs w:val="18"/>
          <w:lang w:eastAsia="en-AU"/>
        </w:rPr>
      </w:pPr>
      <w:r>
        <w:rPr>
          <w:rFonts w:asciiTheme="minorHAnsi" w:hAnsiTheme="minorHAnsi" w:cs="Arial"/>
          <w:szCs w:val="18"/>
          <w:lang w:eastAsia="en-AU"/>
        </w:rPr>
        <w:br w:type="page"/>
      </w:r>
    </w:p>
    <w:p w:rsidR="00361797" w:rsidRDefault="00361797" w:rsidP="00361797">
      <w:pPr>
        <w:pStyle w:val="NotesHeading-Level1"/>
        <w:numPr>
          <w:ilvl w:val="0"/>
          <w:numId w:val="14"/>
        </w:numPr>
        <w:rPr>
          <w:rFonts w:cs="Arial"/>
          <w:szCs w:val="18"/>
          <w:lang w:eastAsia="en-AU"/>
        </w:rPr>
      </w:pPr>
      <w:bookmarkStart w:id="523" w:name="_Toc388962652"/>
      <w:r>
        <w:rPr>
          <w:rFonts w:cs="Arial"/>
          <w:szCs w:val="18"/>
          <w:lang w:eastAsia="en-AU"/>
        </w:rPr>
        <w:lastRenderedPageBreak/>
        <w:t>Compliance with Statutory Conditions for Payments from the Consolidated Revenue Fund</w:t>
      </w:r>
      <w:bookmarkEnd w:id="523"/>
    </w:p>
    <w:p w:rsidR="00361797" w:rsidRDefault="00361797" w:rsidP="00361797">
      <w:pPr>
        <w:rPr>
          <w:rFonts w:asciiTheme="minorHAnsi" w:hAnsiTheme="minorHAnsi" w:cs="Arial"/>
          <w:szCs w:val="18"/>
          <w:lang w:eastAsia="en-AU"/>
        </w:rPr>
      </w:pPr>
    </w:p>
    <w:p w:rsidR="00361797" w:rsidRDefault="00361797" w:rsidP="00361797">
      <w:pPr>
        <w:pStyle w:val="ReferenceText"/>
      </w:pPr>
      <w:r>
        <w:t xml:space="preserve">Section 83 of the Constitution provides that no amount may be paid out of the Consolidated Revenue Fund except under an appropriation made by law. The former Department of Finance and Deregulation (Finance) provided information to all agencies in 2011 regarding the need for risk assessments in relation to compliance with statutory conditions on payments from special appropriations, including special accounts. The possibility of this being an issue for the agency was reported in the department’s 2011–12 and 2012–13 financial statements.  The department completed risk assessments during </w:t>
      </w:r>
      <w:r>
        <w:br/>
        <w:t>2011–12 and 2012-13, in line with the guidance provided by Finance.</w:t>
      </w:r>
    </w:p>
    <w:p w:rsidR="00361797" w:rsidRDefault="00361797" w:rsidP="00361797">
      <w:pPr>
        <w:pStyle w:val="ReferenceText"/>
      </w:pPr>
    </w:p>
    <w:p w:rsidR="00361797" w:rsidRDefault="00361797" w:rsidP="00361797">
      <w:pPr>
        <w:pStyle w:val="ReferenceText"/>
        <w:rPr>
          <w:szCs w:val="18"/>
        </w:rPr>
      </w:pPr>
      <w:r>
        <w:t xml:space="preserve">The department has continued to monitor its level of compliance with section 83 of the Constitution across all legislation for which it is administratively responsible.  The department </w:t>
      </w:r>
      <w:r>
        <w:rPr>
          <w:szCs w:val="18"/>
        </w:rPr>
        <w:t xml:space="preserve">used the assessment processes identified in Finance’s guidance paper to determine the risk of potential section 83 breaches.  The process was informed by the results and lessons learned during previous years.  Gap analysis was employed to identify changes in the target legislation and associated controls, where these have section 83 implications.  </w:t>
      </w:r>
    </w:p>
    <w:p w:rsidR="00361797" w:rsidRDefault="00361797" w:rsidP="00361797">
      <w:pPr>
        <w:pStyle w:val="ReferenceText"/>
      </w:pPr>
    </w:p>
    <w:p w:rsidR="00361797" w:rsidRDefault="00361797" w:rsidP="00361797">
      <w:pPr>
        <w:pStyle w:val="ReferenceText"/>
      </w:pPr>
      <w:r>
        <w:t>The agency identified 14 appropriations involving statutory conditions for payment, comprising:</w:t>
      </w:r>
    </w:p>
    <w:p w:rsidR="00361797" w:rsidRDefault="00361797" w:rsidP="00361797">
      <w:pPr>
        <w:pStyle w:val="ReferenceText"/>
        <w:numPr>
          <w:ilvl w:val="0"/>
          <w:numId w:val="34"/>
        </w:numPr>
      </w:pPr>
      <w:r>
        <w:t>ten special appropriations</w:t>
      </w:r>
    </w:p>
    <w:p w:rsidR="00361797" w:rsidRDefault="00361797" w:rsidP="00361797">
      <w:pPr>
        <w:pStyle w:val="ReferenceText"/>
        <w:numPr>
          <w:ilvl w:val="0"/>
          <w:numId w:val="34"/>
        </w:numPr>
      </w:pPr>
      <w:proofErr w:type="gramStart"/>
      <w:r>
        <w:t>four</w:t>
      </w:r>
      <w:proofErr w:type="gramEnd"/>
      <w:r>
        <w:t xml:space="preserve"> special accounts.</w:t>
      </w:r>
    </w:p>
    <w:p w:rsidR="00361797" w:rsidRDefault="00361797" w:rsidP="00361797">
      <w:pPr>
        <w:pStyle w:val="ReferenceText"/>
      </w:pPr>
      <w:r>
        <w:t>The work conducted during the 2013–14 financial year has identified:</w:t>
      </w:r>
    </w:p>
    <w:p w:rsidR="00361797" w:rsidRDefault="00361797" w:rsidP="00361797">
      <w:pPr>
        <w:pStyle w:val="ReferenceText"/>
        <w:numPr>
          <w:ilvl w:val="0"/>
          <w:numId w:val="34"/>
        </w:numPr>
      </w:pPr>
      <w:r w:rsidRPr="00B14EC6">
        <w:t xml:space="preserve">Social Security Administration Act 1999 </w:t>
      </w:r>
      <w:r>
        <w:t xml:space="preserve">and </w:t>
      </w:r>
      <w:r w:rsidRPr="00B14EC6">
        <w:t>Student Assistance Act</w:t>
      </w:r>
      <w:r>
        <w:t xml:space="preserve"> </w:t>
      </w:r>
      <w:r w:rsidRPr="00B14EC6">
        <w:t>1973</w:t>
      </w:r>
      <w:r>
        <w:t xml:space="preserve"> have 89,375 potential breaches of section 83 based on debts raised for payments made in 2013–14. These total $28.683 million with the majority relating to the </w:t>
      </w:r>
      <w:proofErr w:type="spellStart"/>
      <w:r>
        <w:t>Newstart</w:t>
      </w:r>
      <w:proofErr w:type="spellEnd"/>
      <w:r>
        <w:t xml:space="preserve"> Allowance.  There are mitigating factors that explain the number and amount of potential section 83 breaches.  Social Security and Student Assistance legislation requires customers to provide personal information to the Department of Human Services (</w:t>
      </w:r>
      <w:proofErr w:type="spellStart"/>
      <w:r>
        <w:t>DHS</w:t>
      </w:r>
      <w:proofErr w:type="spellEnd"/>
      <w:r>
        <w:t xml:space="preserve">) from which </w:t>
      </w:r>
      <w:proofErr w:type="spellStart"/>
      <w:r>
        <w:t>DHS</w:t>
      </w:r>
      <w:proofErr w:type="spellEnd"/>
      <w:r>
        <w:t xml:space="preserve"> makes assessments and payments to the customer.  If the customer fails to notify </w:t>
      </w:r>
      <w:proofErr w:type="spellStart"/>
      <w:r>
        <w:t>DHS</w:t>
      </w:r>
      <w:proofErr w:type="spellEnd"/>
      <w:r>
        <w:t xml:space="preserve"> or provides incorrect information, an overpayment could arise.  Section 83 does not distinguish between errors made by the department or those initiated by customer notifications.  Amounts recovered for debts raised in 2013-14 total $1.100 million. Amounts subject to waiver or write-off for debts raised in 2013–14 are $1.098 million.</w:t>
      </w:r>
    </w:p>
    <w:p w:rsidR="00361797" w:rsidRDefault="00361797" w:rsidP="00361797">
      <w:pPr>
        <w:pStyle w:val="ReferenceText"/>
      </w:pPr>
    </w:p>
    <w:p w:rsidR="00361797" w:rsidRDefault="00361797" w:rsidP="00361797">
      <w:pPr>
        <w:pStyle w:val="ReferenceText"/>
      </w:pPr>
      <w:r>
        <w:t>Of the total amount paid in potential contravention of section 83 identified above, Table A provides a breakdown by appropriation of the amounts paid incorrectly, the amounts recovered or offset against later payment, amounts for which recovery action is in progress and/or amounts subject to waiver or write-off or other resolution.</w:t>
      </w:r>
    </w:p>
    <w:p w:rsidR="00361797" w:rsidRDefault="00361797" w:rsidP="00361797">
      <w:pPr>
        <w:pStyle w:val="ReferenceText"/>
      </w:pPr>
    </w:p>
    <w:p w:rsidR="00361797" w:rsidRDefault="00361797" w:rsidP="00361797">
      <w:pPr>
        <w:pStyle w:val="ReferenceText"/>
      </w:pPr>
      <w:r>
        <w:t>During 2012–13 additional legal advice was received that indicated there could be breaches of section 83 under certain circumstances with payment for long service leave, goods and services tax and payments under determinations of the Remuneration Tribunal.  The department has determined that there is a low risk of the certain circumstances mentioned in the legal advice applying to the department. The department is not aware of any specific breaches of section 83 in respect of these items.</w:t>
      </w:r>
    </w:p>
    <w:p w:rsidR="00361797" w:rsidRDefault="00361797" w:rsidP="00361797">
      <w:pPr>
        <w:pStyle w:val="ReferenceText"/>
      </w:pPr>
    </w:p>
    <w:p w:rsidR="00361797" w:rsidRDefault="00361797" w:rsidP="00361797">
      <w:pPr>
        <w:pStyle w:val="ReferenceText"/>
      </w:pPr>
    </w:p>
    <w:p w:rsidR="00361797" w:rsidRDefault="00361797" w:rsidP="00361797">
      <w:pPr>
        <w:pStyle w:val="ReferenceText"/>
      </w:pPr>
    </w:p>
    <w:p w:rsidR="00361797" w:rsidRDefault="00361797" w:rsidP="00361797">
      <w:pPr>
        <w:spacing w:line="240" w:lineRule="auto"/>
        <w:rPr>
          <w:rFonts w:asciiTheme="minorHAnsi" w:hAnsiTheme="minorHAnsi" w:cstheme="minorHAnsi"/>
          <w:lang w:eastAsia="en-AU"/>
        </w:rPr>
        <w:sectPr w:rsidR="00361797">
          <w:pgSz w:w="11906" w:h="16838"/>
          <w:pgMar w:top="1440" w:right="1440" w:bottom="1440" w:left="1440" w:header="708" w:footer="708" w:gutter="0"/>
          <w:cols w:space="720"/>
        </w:sectPr>
      </w:pPr>
    </w:p>
    <w:p w:rsidR="00361797" w:rsidRDefault="00361797" w:rsidP="00361797">
      <w:pPr>
        <w:rPr>
          <w:rFonts w:asciiTheme="minorHAnsi" w:hAnsiTheme="minorHAnsi" w:cstheme="minorHAnsi"/>
          <w:b/>
          <w:sz w:val="20"/>
        </w:rPr>
      </w:pPr>
      <w:r>
        <w:rPr>
          <w:rFonts w:asciiTheme="minorHAnsi" w:hAnsiTheme="minorHAnsi" w:cstheme="minorHAnsi"/>
          <w:b/>
          <w:sz w:val="20"/>
        </w:rPr>
        <w:lastRenderedPageBreak/>
        <w:t xml:space="preserve">Table </w:t>
      </w:r>
      <w:proofErr w:type="gramStart"/>
      <w:r>
        <w:rPr>
          <w:rFonts w:asciiTheme="minorHAnsi" w:hAnsiTheme="minorHAnsi" w:cstheme="minorHAnsi"/>
          <w:b/>
          <w:sz w:val="20"/>
        </w:rPr>
        <w:t>A</w:t>
      </w:r>
      <w:proofErr w:type="gramEnd"/>
      <w:r>
        <w:rPr>
          <w:rFonts w:asciiTheme="minorHAnsi" w:hAnsiTheme="minorHAnsi" w:cstheme="minorHAnsi"/>
          <w:b/>
          <w:sz w:val="20"/>
        </w:rPr>
        <w:t xml:space="preserve"> - Summary</w:t>
      </w:r>
    </w:p>
    <w:p w:rsidR="00361797" w:rsidRDefault="00361797" w:rsidP="00361797">
      <w:pPr>
        <w:rPr>
          <w:rFonts w:asciiTheme="minorHAnsi" w:hAnsiTheme="minorHAnsi" w:cstheme="minorHAnsi"/>
          <w:b/>
          <w:sz w:val="20"/>
        </w:rPr>
      </w:pPr>
    </w:p>
    <w:tbl>
      <w:tblPr>
        <w:tblStyle w:val="TableGrid"/>
        <w:tblW w:w="0" w:type="auto"/>
        <w:tblLook w:val="04A0" w:firstRow="1" w:lastRow="0" w:firstColumn="1" w:lastColumn="0" w:noHBand="0" w:noVBand="1"/>
      </w:tblPr>
      <w:tblGrid>
        <w:gridCol w:w="2093"/>
        <w:gridCol w:w="1399"/>
        <w:gridCol w:w="1370"/>
        <w:gridCol w:w="1341"/>
        <w:gridCol w:w="1258"/>
        <w:gridCol w:w="1307"/>
        <w:gridCol w:w="1769"/>
        <w:gridCol w:w="1283"/>
        <w:gridCol w:w="1317"/>
        <w:gridCol w:w="1327"/>
      </w:tblGrid>
      <w:tr w:rsidR="00361797" w:rsidRPr="008224D0" w:rsidTr="00B50E5D">
        <w:trPr>
          <w:tblHeader/>
        </w:trPr>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Appropriations identified as  subject to conditions</w:t>
            </w:r>
          </w:p>
        </w:tc>
        <w:tc>
          <w:tcPr>
            <w:tcW w:w="139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Expenditure in 2013–14</w:t>
            </w:r>
          </w:p>
          <w:p w:rsidR="00361797" w:rsidRPr="008224D0" w:rsidRDefault="00361797" w:rsidP="00B50E5D">
            <w:pPr>
              <w:jc w:val="right"/>
              <w:rPr>
                <w:rFonts w:asciiTheme="minorHAnsi" w:hAnsiTheme="minorHAnsi" w:cstheme="minorHAnsi"/>
                <w:b/>
                <w:szCs w:val="18"/>
              </w:rPr>
            </w:pPr>
          </w:p>
          <w:p w:rsidR="00361797" w:rsidRPr="008224D0" w:rsidRDefault="00361797" w:rsidP="00B50E5D">
            <w:pPr>
              <w:spacing w:after="200" w:line="276" w:lineRule="auto"/>
              <w:jc w:val="right"/>
              <w:rPr>
                <w:rFonts w:asciiTheme="minorHAnsi" w:hAnsiTheme="minorHAnsi" w:cstheme="minorHAnsi"/>
                <w:b/>
                <w:szCs w:val="18"/>
              </w:rPr>
            </w:pPr>
            <w:r w:rsidRPr="008224D0">
              <w:rPr>
                <w:rFonts w:asciiTheme="minorHAnsi" w:hAnsiTheme="minorHAnsi" w:cstheme="minorHAnsi"/>
                <w:b/>
                <w:szCs w:val="18"/>
              </w:rPr>
              <w:t>$000</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b/>
                <w:szCs w:val="18"/>
              </w:rPr>
            </w:pPr>
            <w:r w:rsidRPr="008224D0">
              <w:rPr>
                <w:rFonts w:asciiTheme="minorHAnsi" w:hAnsiTheme="minorHAnsi" w:cstheme="minorHAnsi"/>
                <w:b/>
                <w:szCs w:val="18"/>
              </w:rPr>
              <w:t>Review complete?</w:t>
            </w:r>
          </w:p>
          <w:p w:rsidR="00361797" w:rsidRPr="008224D0" w:rsidRDefault="00361797" w:rsidP="00B50E5D">
            <w:pPr>
              <w:spacing w:after="200" w:line="276" w:lineRule="auto"/>
              <w:jc w:val="center"/>
              <w:rPr>
                <w:rFonts w:asciiTheme="minorHAnsi" w:hAnsiTheme="minorHAnsi" w:cstheme="minorHAnsi"/>
                <w:b/>
                <w:szCs w:val="18"/>
              </w:rPr>
            </w:pPr>
            <w:r w:rsidRPr="008224D0">
              <w:rPr>
                <w:rFonts w:asciiTheme="minorHAnsi" w:hAnsiTheme="minorHAnsi" w:cstheme="minorHAnsi"/>
                <w:b/>
                <w:szCs w:val="18"/>
              </w:rPr>
              <w:t>(Yes/No)</w:t>
            </w:r>
          </w:p>
        </w:tc>
        <w:tc>
          <w:tcPr>
            <w:tcW w:w="5675" w:type="dxa"/>
            <w:gridSpan w:val="4"/>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b/>
                <w:szCs w:val="18"/>
              </w:rPr>
            </w:pPr>
            <w:r w:rsidRPr="008224D0">
              <w:rPr>
                <w:rFonts w:asciiTheme="minorHAnsi" w:hAnsiTheme="minorHAnsi" w:cstheme="minorHAnsi"/>
                <w:b/>
                <w:szCs w:val="18"/>
              </w:rPr>
              <w:t>Breaches identified to date</w:t>
            </w:r>
          </w:p>
        </w:tc>
        <w:tc>
          <w:tcPr>
            <w:tcW w:w="2600" w:type="dxa"/>
            <w:gridSpan w:val="2"/>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Potential breaches to date yet to be resolved</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 xml:space="preserve">Remedial action taken or </w:t>
            </w:r>
            <w:proofErr w:type="spellStart"/>
            <w:r w:rsidRPr="008224D0">
              <w:rPr>
                <w:rFonts w:asciiTheme="minorHAnsi" w:hAnsiTheme="minorHAnsi" w:cstheme="minorHAnsi"/>
                <w:b/>
                <w:szCs w:val="18"/>
              </w:rPr>
              <w:t>proposed</w:t>
            </w:r>
            <w:r w:rsidRPr="008224D0">
              <w:rPr>
                <w:rFonts w:asciiTheme="minorHAnsi" w:hAnsiTheme="minorHAnsi" w:cstheme="minorHAnsi"/>
                <w:b/>
                <w:szCs w:val="18"/>
                <w:vertAlign w:val="superscript"/>
              </w:rPr>
              <w:t>1,2</w:t>
            </w:r>
            <w:proofErr w:type="spellEnd"/>
          </w:p>
        </w:tc>
      </w:tr>
      <w:tr w:rsidR="00361797" w:rsidRPr="008224D0" w:rsidTr="00B50E5D">
        <w:trPr>
          <w:tblHeader/>
        </w:trPr>
        <w:tc>
          <w:tcPr>
            <w:tcW w:w="4862" w:type="dxa"/>
            <w:gridSpan w:val="3"/>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center"/>
              <w:rPr>
                <w:rFonts w:asciiTheme="minorHAnsi" w:hAnsiTheme="minorHAnsi" w:cstheme="minorHAnsi"/>
                <w:szCs w:val="18"/>
              </w:rPr>
            </w:pP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Number</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Total </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$000</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Incorrect</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$000</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Recovered/offset </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as at date</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$000 </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Yes/No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Indicative extent </w:t>
            </w:r>
          </w:p>
        </w:tc>
        <w:tc>
          <w:tcPr>
            <w:tcW w:w="132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p>
        </w:tc>
      </w:tr>
      <w:tr w:rsidR="00361797" w:rsidRPr="008224D0" w:rsidTr="00B50E5D">
        <w:tc>
          <w:tcPr>
            <w:tcW w:w="14464" w:type="dxa"/>
            <w:gridSpan w:val="10"/>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Special Appropriations</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A New Tax System (Family Assistance) Act 1999</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1,353,586</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tcPr>
          <w:p w:rsidR="00361797" w:rsidRPr="00B14EC6" w:rsidRDefault="00361797" w:rsidP="00B50E5D">
            <w:pPr>
              <w:rPr>
                <w:rFonts w:asciiTheme="minorHAnsi" w:hAnsiTheme="minorHAnsi" w:cstheme="minorHAnsi"/>
                <w:i/>
                <w:szCs w:val="18"/>
              </w:rPr>
            </w:pPr>
            <w:r>
              <w:rPr>
                <w:rFonts w:asciiTheme="minorHAnsi" w:hAnsiTheme="minorHAnsi" w:cstheme="minorHAnsi"/>
                <w:i/>
                <w:szCs w:val="18"/>
              </w:rPr>
              <w:t>Early Years Quality Fund Special Account Act 2013</w:t>
            </w:r>
          </w:p>
        </w:tc>
        <w:tc>
          <w:tcPr>
            <w:tcW w:w="139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135,000</w:t>
            </w:r>
          </w:p>
        </w:tc>
        <w:tc>
          <w:tcPr>
            <w:tcW w:w="1370"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center"/>
              <w:rPr>
                <w:rFonts w:asciiTheme="minorHAnsi" w:hAnsiTheme="minorHAnsi" w:cstheme="minorHAnsi"/>
                <w:szCs w:val="18"/>
              </w:rPr>
            </w:pPr>
            <w:r>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Schools Assistance Act 2008</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1,939,863</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Indigenous Education (Targeted Assistance) Act 2000</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29,013</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Fair Entitlements Guarantee Act 2012</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36,505</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Student Assistance Act 1973</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69,965</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Yes</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Refer Table B</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iCs/>
                <w:szCs w:val="18"/>
              </w:rPr>
              <w:t>Social Security Administration Act 1999</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3,439,771</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Yes</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Refer Table B</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Safety, Rehabilitation &amp; Compensation Act 1988</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10,589</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Asbestos-related claims (Management of Commonwealth Liabilities) Act 2005</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5,989</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rPr>
          <w:cantSplit/>
        </w:trPr>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lastRenderedPageBreak/>
              <w:t>Coal Mining Industry (Long Service Leave) Administration Act 1992</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42,216</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14464" w:type="dxa"/>
            <w:gridSpan w:val="10"/>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Special Accounts</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Services for Other Entities and Trust Moneys</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350</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National Youth Affairs Research Scheme</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 xml:space="preserve">Aboriginal Tutorial Assistance Superannuation </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Early Years Quality Fund Special Account</w:t>
            </w:r>
          </w:p>
        </w:tc>
        <w:tc>
          <w:tcPr>
            <w:tcW w:w="139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w:t>
            </w:r>
          </w:p>
        </w:tc>
        <w:tc>
          <w:tcPr>
            <w:tcW w:w="1370"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No</w:t>
            </w:r>
          </w:p>
        </w:tc>
        <w:tc>
          <w:tcPr>
            <w:tcW w:w="1341"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bl>
    <w:p w:rsidR="00361797" w:rsidRPr="008224D0" w:rsidRDefault="00361797" w:rsidP="00361797">
      <w:pPr>
        <w:rPr>
          <w:rFonts w:asciiTheme="minorHAnsi" w:hAnsiTheme="minorHAnsi" w:cstheme="minorHAnsi"/>
          <w:b/>
          <w:szCs w:val="18"/>
        </w:rPr>
      </w:pPr>
    </w:p>
    <w:p w:rsidR="00361797" w:rsidRDefault="00361797" w:rsidP="00361797">
      <w:pPr>
        <w:rPr>
          <w:rFonts w:asciiTheme="minorHAnsi" w:hAnsiTheme="minorHAnsi" w:cstheme="minorHAnsi"/>
          <w:b/>
          <w:sz w:val="20"/>
        </w:rPr>
      </w:pPr>
      <w:r>
        <w:rPr>
          <w:rFonts w:asciiTheme="minorHAnsi" w:hAnsiTheme="minorHAnsi" w:cstheme="minorHAnsi"/>
          <w:b/>
          <w:sz w:val="20"/>
        </w:rPr>
        <w:br w:type="page"/>
      </w:r>
    </w:p>
    <w:p w:rsidR="00361797" w:rsidRDefault="00361797" w:rsidP="00361797">
      <w:pPr>
        <w:rPr>
          <w:rFonts w:asciiTheme="minorHAnsi" w:hAnsiTheme="minorHAnsi" w:cstheme="minorHAnsi"/>
          <w:b/>
          <w:sz w:val="20"/>
        </w:rPr>
      </w:pPr>
    </w:p>
    <w:tbl>
      <w:tblPr>
        <w:tblStyle w:val="TableGrid"/>
        <w:tblW w:w="0" w:type="auto"/>
        <w:tblLook w:val="04A0" w:firstRow="1" w:lastRow="0" w:firstColumn="1" w:lastColumn="0" w:noHBand="0" w:noVBand="1"/>
      </w:tblPr>
      <w:tblGrid>
        <w:gridCol w:w="2093"/>
        <w:gridCol w:w="1399"/>
        <w:gridCol w:w="1370"/>
        <w:gridCol w:w="1341"/>
        <w:gridCol w:w="1258"/>
        <w:gridCol w:w="1307"/>
        <w:gridCol w:w="1769"/>
        <w:gridCol w:w="1283"/>
        <w:gridCol w:w="1317"/>
        <w:gridCol w:w="1327"/>
      </w:tblGrid>
      <w:tr w:rsidR="00361797" w:rsidRPr="008224D0" w:rsidTr="00B50E5D">
        <w:trPr>
          <w:tblHeader/>
        </w:trPr>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Appropriations identified as  subject to conditions</w:t>
            </w:r>
          </w:p>
        </w:tc>
        <w:tc>
          <w:tcPr>
            <w:tcW w:w="139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Expenditure in 2012</w:t>
            </w:r>
            <w:r>
              <w:rPr>
                <w:rFonts w:asciiTheme="minorHAnsi" w:hAnsiTheme="minorHAnsi" w:cstheme="minorHAnsi"/>
                <w:b/>
                <w:szCs w:val="18"/>
              </w:rPr>
              <w:t>–</w:t>
            </w:r>
            <w:r w:rsidRPr="008224D0">
              <w:rPr>
                <w:rFonts w:asciiTheme="minorHAnsi" w:hAnsiTheme="minorHAnsi" w:cstheme="minorHAnsi"/>
                <w:b/>
                <w:szCs w:val="18"/>
              </w:rPr>
              <w:t>13</w:t>
            </w:r>
          </w:p>
          <w:p w:rsidR="00361797" w:rsidRPr="008224D0" w:rsidRDefault="00361797" w:rsidP="00B50E5D">
            <w:pPr>
              <w:jc w:val="right"/>
              <w:rPr>
                <w:rFonts w:asciiTheme="minorHAnsi" w:hAnsiTheme="minorHAnsi" w:cstheme="minorHAnsi"/>
                <w:b/>
                <w:szCs w:val="18"/>
              </w:rPr>
            </w:pPr>
          </w:p>
          <w:p w:rsidR="00361797" w:rsidRPr="008224D0" w:rsidRDefault="00361797" w:rsidP="00B50E5D">
            <w:pPr>
              <w:spacing w:after="200" w:line="276" w:lineRule="auto"/>
              <w:jc w:val="right"/>
              <w:rPr>
                <w:rFonts w:asciiTheme="minorHAnsi" w:hAnsiTheme="minorHAnsi" w:cstheme="minorHAnsi"/>
                <w:b/>
                <w:szCs w:val="18"/>
              </w:rPr>
            </w:pPr>
            <w:r w:rsidRPr="008224D0">
              <w:rPr>
                <w:rFonts w:asciiTheme="minorHAnsi" w:hAnsiTheme="minorHAnsi" w:cstheme="minorHAnsi"/>
                <w:b/>
                <w:szCs w:val="18"/>
              </w:rPr>
              <w:t>$000</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b/>
                <w:szCs w:val="18"/>
              </w:rPr>
            </w:pPr>
            <w:r w:rsidRPr="008224D0">
              <w:rPr>
                <w:rFonts w:asciiTheme="minorHAnsi" w:hAnsiTheme="minorHAnsi" w:cstheme="minorHAnsi"/>
                <w:b/>
                <w:szCs w:val="18"/>
              </w:rPr>
              <w:t>Review complete?</w:t>
            </w:r>
          </w:p>
          <w:p w:rsidR="00361797" w:rsidRPr="008224D0" w:rsidRDefault="00361797" w:rsidP="00B50E5D">
            <w:pPr>
              <w:spacing w:after="200" w:line="276" w:lineRule="auto"/>
              <w:jc w:val="center"/>
              <w:rPr>
                <w:rFonts w:asciiTheme="minorHAnsi" w:hAnsiTheme="minorHAnsi" w:cstheme="minorHAnsi"/>
                <w:b/>
                <w:szCs w:val="18"/>
              </w:rPr>
            </w:pPr>
            <w:r w:rsidRPr="008224D0">
              <w:rPr>
                <w:rFonts w:asciiTheme="minorHAnsi" w:hAnsiTheme="minorHAnsi" w:cstheme="minorHAnsi"/>
                <w:b/>
                <w:szCs w:val="18"/>
              </w:rPr>
              <w:t>(Yes/No)</w:t>
            </w:r>
          </w:p>
        </w:tc>
        <w:tc>
          <w:tcPr>
            <w:tcW w:w="5675" w:type="dxa"/>
            <w:gridSpan w:val="4"/>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b/>
                <w:szCs w:val="18"/>
              </w:rPr>
            </w:pPr>
            <w:r w:rsidRPr="008224D0">
              <w:rPr>
                <w:rFonts w:asciiTheme="minorHAnsi" w:hAnsiTheme="minorHAnsi" w:cstheme="minorHAnsi"/>
                <w:b/>
                <w:szCs w:val="18"/>
              </w:rPr>
              <w:t>Breaches identified to date</w:t>
            </w:r>
          </w:p>
        </w:tc>
        <w:tc>
          <w:tcPr>
            <w:tcW w:w="2600" w:type="dxa"/>
            <w:gridSpan w:val="2"/>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Potential breaches to date yet to be resolved</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 xml:space="preserve">Remedial action taken or </w:t>
            </w:r>
            <w:proofErr w:type="spellStart"/>
            <w:r w:rsidRPr="008224D0">
              <w:rPr>
                <w:rFonts w:asciiTheme="minorHAnsi" w:hAnsiTheme="minorHAnsi" w:cstheme="minorHAnsi"/>
                <w:b/>
                <w:szCs w:val="18"/>
              </w:rPr>
              <w:t>proposed</w:t>
            </w:r>
            <w:r w:rsidRPr="008224D0">
              <w:rPr>
                <w:rFonts w:asciiTheme="minorHAnsi" w:hAnsiTheme="minorHAnsi" w:cstheme="minorHAnsi"/>
                <w:b/>
                <w:szCs w:val="18"/>
                <w:vertAlign w:val="superscript"/>
              </w:rPr>
              <w:t>1,2</w:t>
            </w:r>
            <w:proofErr w:type="spellEnd"/>
          </w:p>
        </w:tc>
      </w:tr>
      <w:tr w:rsidR="00361797" w:rsidRPr="008224D0" w:rsidTr="00B50E5D">
        <w:trPr>
          <w:tblHeader/>
        </w:trPr>
        <w:tc>
          <w:tcPr>
            <w:tcW w:w="4862" w:type="dxa"/>
            <w:gridSpan w:val="3"/>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center"/>
              <w:rPr>
                <w:rFonts w:asciiTheme="minorHAnsi" w:hAnsiTheme="minorHAnsi" w:cstheme="minorHAnsi"/>
                <w:szCs w:val="18"/>
              </w:rPr>
            </w:pP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Number</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Total </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$000</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Incorrect</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$000</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Recovered/offset </w:t>
            </w:r>
          </w:p>
          <w:p w:rsidR="00361797" w:rsidRPr="008224D0" w:rsidRDefault="00361797" w:rsidP="00B50E5D">
            <w:pPr>
              <w:jc w:val="right"/>
              <w:rPr>
                <w:rFonts w:asciiTheme="minorHAnsi" w:hAnsiTheme="minorHAnsi" w:cstheme="minorHAnsi"/>
                <w:szCs w:val="18"/>
              </w:rPr>
            </w:pPr>
            <w:r>
              <w:rPr>
                <w:rFonts w:asciiTheme="minorHAnsi" w:hAnsiTheme="minorHAnsi" w:cstheme="minorHAnsi"/>
                <w:szCs w:val="18"/>
              </w:rPr>
              <w:t>a</w:t>
            </w:r>
            <w:r w:rsidRPr="008224D0">
              <w:rPr>
                <w:rFonts w:asciiTheme="minorHAnsi" w:hAnsiTheme="minorHAnsi" w:cstheme="minorHAnsi"/>
                <w:szCs w:val="18"/>
              </w:rPr>
              <w:t>s at date</w:t>
            </w:r>
          </w:p>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$000 </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Yes/No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 xml:space="preserve">Indicative extent </w:t>
            </w:r>
          </w:p>
        </w:tc>
        <w:tc>
          <w:tcPr>
            <w:tcW w:w="1327"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szCs w:val="18"/>
              </w:rPr>
            </w:pPr>
          </w:p>
        </w:tc>
      </w:tr>
      <w:tr w:rsidR="00361797" w:rsidRPr="008224D0" w:rsidTr="00B50E5D">
        <w:tc>
          <w:tcPr>
            <w:tcW w:w="14464" w:type="dxa"/>
            <w:gridSpan w:val="10"/>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Special Appropriations</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A New Tax System (Family Assistance) Act 1999</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4,748,386</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Schools Assistance Act 2008</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7,979,500</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Yes</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Refer Table B</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proofErr w:type="spellStart"/>
            <w:r w:rsidRPr="008224D0">
              <w:rPr>
                <w:rFonts w:asciiTheme="minorHAnsi" w:hAnsiTheme="minorHAnsi" w:cstheme="minorHAnsi"/>
                <w:szCs w:val="18"/>
              </w:rPr>
              <w:t>SP</w:t>
            </w:r>
            <w:proofErr w:type="spellEnd"/>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Indigenous Education (Targeted Assistance) Act 2000</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137,830</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Fair Entitlements Guarantee Act 2012</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34,308</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Student Assistance Act 1973</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2</w:t>
            </w:r>
            <w:r>
              <w:rPr>
                <w:rFonts w:asciiTheme="minorHAnsi" w:hAnsiTheme="minorHAnsi" w:cstheme="minorHAnsi"/>
                <w:szCs w:val="18"/>
              </w:rPr>
              <w:t>9</w:t>
            </w:r>
            <w:r w:rsidRPr="008224D0">
              <w:rPr>
                <w:rFonts w:asciiTheme="minorHAnsi" w:hAnsiTheme="minorHAnsi" w:cstheme="minorHAnsi"/>
                <w:szCs w:val="18"/>
              </w:rPr>
              <w:t>0,571</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Yes</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Refer Table B</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cs="Calibri"/>
                <w:i/>
                <w:szCs w:val="18"/>
              </w:rPr>
            </w:pPr>
            <w:r w:rsidRPr="008224D0">
              <w:rPr>
                <w:rFonts w:cs="Calibri"/>
                <w:i/>
                <w:iCs/>
                <w:szCs w:val="18"/>
              </w:rPr>
              <w:t>Social Security Administration Act 1999</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14,940,551</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cs="Calibri"/>
                <w:szCs w:val="18"/>
              </w:rPr>
            </w:pPr>
            <w:r w:rsidRPr="008224D0">
              <w:rPr>
                <w:rFonts w:cs="Calibr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Yes</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Refer Table B</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cs="Calibri"/>
                <w:i/>
                <w:szCs w:val="18"/>
              </w:rPr>
            </w:pPr>
            <w:r w:rsidRPr="008224D0">
              <w:rPr>
                <w:rFonts w:cs="Calibri"/>
                <w:i/>
                <w:szCs w:val="18"/>
              </w:rPr>
              <w:t>Safety, Rehabilitation &amp; Compensation Act 1988</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39,661</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cs="Calibri"/>
                <w:szCs w:val="18"/>
              </w:rPr>
            </w:pPr>
            <w:r w:rsidRPr="008224D0">
              <w:rPr>
                <w:rFonts w:cs="Calibr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cs="Calibri"/>
                <w:i/>
                <w:szCs w:val="18"/>
              </w:rPr>
            </w:pPr>
            <w:r w:rsidRPr="008224D0">
              <w:rPr>
                <w:rFonts w:cs="Calibri"/>
                <w:i/>
                <w:szCs w:val="18"/>
              </w:rPr>
              <w:t>Asbestos-related claims (Management of Commonwealth Liabilities) Act 2005</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27,890</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cs="Calibri"/>
                <w:szCs w:val="18"/>
              </w:rPr>
            </w:pPr>
            <w:r w:rsidRPr="008224D0">
              <w:rPr>
                <w:rFonts w:cs="Calibr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N/A</w:t>
            </w:r>
          </w:p>
        </w:tc>
      </w:tr>
      <w:tr w:rsidR="00361797" w:rsidRPr="008224D0" w:rsidTr="00B50E5D">
        <w:trPr>
          <w:cantSplit/>
        </w:trPr>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cs="Calibri"/>
                <w:i/>
                <w:szCs w:val="18"/>
              </w:rPr>
            </w:pPr>
            <w:r w:rsidRPr="008224D0">
              <w:rPr>
                <w:rFonts w:cs="Calibri"/>
                <w:i/>
                <w:szCs w:val="18"/>
              </w:rPr>
              <w:t>Coal Mining Industry (Long Service Leave) Administration Act 1992</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170,545</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cs="Calibri"/>
                <w:szCs w:val="18"/>
              </w:rPr>
            </w:pPr>
            <w:r w:rsidRPr="008224D0">
              <w:rPr>
                <w:rFonts w:cs="Calibr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cs="Calibri"/>
                <w:szCs w:val="18"/>
              </w:rPr>
            </w:pPr>
            <w:r w:rsidRPr="008224D0">
              <w:rPr>
                <w:rFonts w:cs="Calibri"/>
                <w:szCs w:val="18"/>
              </w:rPr>
              <w:t>N/A</w:t>
            </w:r>
          </w:p>
        </w:tc>
      </w:tr>
      <w:tr w:rsidR="00361797" w:rsidRPr="008224D0" w:rsidTr="00B50E5D">
        <w:tc>
          <w:tcPr>
            <w:tcW w:w="14464" w:type="dxa"/>
            <w:gridSpan w:val="10"/>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lastRenderedPageBreak/>
              <w:t>Special Accounts</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Services for Other Entities and Trust Moneys</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595</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National Youth Affairs Research Scheme</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59</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r w:rsidR="00361797" w:rsidRPr="008224D0" w:rsidTr="00B50E5D">
        <w:tc>
          <w:tcPr>
            <w:tcW w:w="20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szCs w:val="18"/>
              </w:rPr>
            </w:pPr>
            <w:r w:rsidRPr="008224D0">
              <w:rPr>
                <w:rFonts w:asciiTheme="minorHAnsi" w:hAnsiTheme="minorHAnsi" w:cstheme="minorHAnsi"/>
                <w:szCs w:val="18"/>
              </w:rPr>
              <w:t xml:space="preserve">Aboriginal Tutorial Assistance Superannuation </w:t>
            </w:r>
          </w:p>
        </w:tc>
        <w:tc>
          <w:tcPr>
            <w:tcW w:w="139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w:t>
            </w:r>
          </w:p>
        </w:tc>
        <w:tc>
          <w:tcPr>
            <w:tcW w:w="1370"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szCs w:val="18"/>
              </w:rPr>
            </w:pPr>
            <w:r w:rsidRPr="008224D0">
              <w:rPr>
                <w:rFonts w:asciiTheme="minorHAnsi" w:hAnsiTheme="minorHAnsi" w:cstheme="minorHAnsi"/>
                <w:szCs w:val="18"/>
              </w:rPr>
              <w:t>Yes</w:t>
            </w:r>
          </w:p>
        </w:tc>
        <w:tc>
          <w:tcPr>
            <w:tcW w:w="1341"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0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7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28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No</w:t>
            </w:r>
          </w:p>
        </w:tc>
        <w:tc>
          <w:tcPr>
            <w:tcW w:w="131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Nil</w:t>
            </w:r>
          </w:p>
        </w:tc>
        <w:tc>
          <w:tcPr>
            <w:tcW w:w="132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N/A</w:t>
            </w:r>
          </w:p>
        </w:tc>
      </w:tr>
    </w:tbl>
    <w:p w:rsidR="00361797" w:rsidRDefault="00361797" w:rsidP="00361797">
      <w:pPr>
        <w:rPr>
          <w:rFonts w:asciiTheme="minorHAnsi" w:hAnsiTheme="minorHAnsi" w:cstheme="minorHAnsi"/>
          <w:sz w:val="20"/>
          <w:vertAlign w:val="superscript"/>
        </w:rPr>
      </w:pPr>
    </w:p>
    <w:p w:rsidR="00361797" w:rsidRDefault="00361797" w:rsidP="00361797">
      <w:pPr>
        <w:rPr>
          <w:rFonts w:asciiTheme="minorHAnsi" w:hAnsiTheme="minorHAnsi" w:cstheme="minorHAnsi"/>
          <w:sz w:val="20"/>
        </w:rPr>
      </w:pPr>
      <w:r>
        <w:rPr>
          <w:rFonts w:asciiTheme="minorHAnsi" w:hAnsiTheme="minorHAnsi" w:cstheme="minorHAnsi"/>
          <w:sz w:val="20"/>
          <w:vertAlign w:val="superscript"/>
        </w:rPr>
        <w:t xml:space="preserve">1 </w:t>
      </w:r>
      <w:r>
        <w:rPr>
          <w:rFonts w:asciiTheme="minorHAnsi" w:hAnsiTheme="minorHAnsi" w:cstheme="minorHAnsi"/>
          <w:sz w:val="20"/>
        </w:rPr>
        <w:t>L= legislative change; S= systems change; P=planned; M=made (e.g. SM, or LP).</w:t>
      </w:r>
    </w:p>
    <w:p w:rsidR="00361797" w:rsidRDefault="00361797" w:rsidP="00361797">
      <w:pPr>
        <w:pStyle w:val="ReferenceText"/>
      </w:pPr>
      <w:r w:rsidRPr="000F5D44">
        <w:rPr>
          <w:sz w:val="20"/>
          <w:vertAlign w:val="superscript"/>
        </w:rPr>
        <w:t>2</w:t>
      </w:r>
      <w:r w:rsidRPr="000F5D44">
        <w:rPr>
          <w:sz w:val="20"/>
        </w:rPr>
        <w:t xml:space="preserve"> </w:t>
      </w:r>
      <w:r>
        <w:rPr>
          <w:sz w:val="20"/>
        </w:rPr>
        <w:t>The department</w:t>
      </w:r>
      <w:r w:rsidRPr="000F5D44">
        <w:rPr>
          <w:sz w:val="20"/>
        </w:rPr>
        <w:t xml:space="preserve"> will continue to monitor its level of compliance with section 83 of the Constitution across all legislation for which it is administratively responsible.  </w:t>
      </w:r>
      <w:proofErr w:type="gramStart"/>
      <w:r w:rsidRPr="000F5D44">
        <w:rPr>
          <w:sz w:val="20"/>
        </w:rPr>
        <w:t>Where possible legislative amendments and system changes will continue to be progressed</w:t>
      </w:r>
      <w:r>
        <w:t>.</w:t>
      </w:r>
      <w:proofErr w:type="gramEnd"/>
    </w:p>
    <w:p w:rsidR="00361797" w:rsidRDefault="00361797" w:rsidP="00361797">
      <w:pPr>
        <w:rPr>
          <w:rFonts w:asciiTheme="minorHAnsi" w:hAnsiTheme="minorHAnsi" w:cstheme="minorHAnsi"/>
          <w:sz w:val="20"/>
        </w:rPr>
      </w:pPr>
    </w:p>
    <w:p w:rsidR="00361797" w:rsidRDefault="00361797" w:rsidP="00361797">
      <w:pPr>
        <w:spacing w:line="240" w:lineRule="auto"/>
        <w:rPr>
          <w:rFonts w:asciiTheme="minorHAnsi" w:hAnsiTheme="minorHAnsi" w:cstheme="minorHAnsi"/>
          <w:sz w:val="20"/>
        </w:rPr>
      </w:pPr>
      <w:r>
        <w:rPr>
          <w:rFonts w:asciiTheme="minorHAnsi" w:hAnsiTheme="minorHAnsi" w:cstheme="minorHAnsi"/>
          <w:sz w:val="20"/>
        </w:rPr>
        <w:br w:type="page"/>
      </w:r>
    </w:p>
    <w:p w:rsidR="00361797" w:rsidRDefault="00361797" w:rsidP="00361797">
      <w:pPr>
        <w:rPr>
          <w:rFonts w:asciiTheme="minorHAnsi" w:hAnsiTheme="minorHAnsi" w:cstheme="minorHAnsi"/>
          <w:b/>
          <w:sz w:val="20"/>
        </w:rPr>
      </w:pPr>
      <w:r>
        <w:rPr>
          <w:rFonts w:asciiTheme="minorHAnsi" w:hAnsiTheme="minorHAnsi" w:cstheme="minorHAnsi"/>
          <w:b/>
          <w:sz w:val="20"/>
        </w:rPr>
        <w:lastRenderedPageBreak/>
        <w:t>Table B – Summary of potential breaches</w:t>
      </w:r>
    </w:p>
    <w:p w:rsidR="00361797" w:rsidRDefault="00361797" w:rsidP="00361797">
      <w:pPr>
        <w:rPr>
          <w:rFonts w:asciiTheme="minorHAnsi" w:hAnsiTheme="minorHAnsi" w:cstheme="minorHAnsi"/>
          <w:b/>
          <w:sz w:val="20"/>
        </w:rPr>
      </w:pPr>
    </w:p>
    <w:p w:rsidR="00361797" w:rsidRPr="008224D0" w:rsidRDefault="00361797" w:rsidP="00361797">
      <w:pPr>
        <w:rPr>
          <w:rFonts w:asciiTheme="minorHAnsi" w:hAnsiTheme="minorHAnsi" w:cstheme="minorHAnsi"/>
          <w:b/>
          <w:szCs w:val="18"/>
        </w:rPr>
      </w:pPr>
      <w:r w:rsidRPr="008224D0">
        <w:rPr>
          <w:rFonts w:asciiTheme="minorHAnsi" w:hAnsiTheme="minorHAnsi" w:cstheme="minorHAnsi"/>
          <w:b/>
          <w:szCs w:val="18"/>
        </w:rPr>
        <w:t>2013</w:t>
      </w:r>
      <w:r>
        <w:rPr>
          <w:rFonts w:asciiTheme="minorHAnsi" w:hAnsiTheme="minorHAnsi" w:cstheme="minorHAnsi"/>
          <w:b/>
          <w:szCs w:val="18"/>
        </w:rPr>
        <w:t>–</w:t>
      </w:r>
      <w:r w:rsidRPr="008224D0">
        <w:rPr>
          <w:rFonts w:asciiTheme="minorHAnsi" w:hAnsiTheme="minorHAnsi" w:cstheme="minorHAnsi"/>
          <w:b/>
          <w:szCs w:val="18"/>
        </w:rPr>
        <w:t xml:space="preserve">14 </w:t>
      </w:r>
    </w:p>
    <w:tbl>
      <w:tblPr>
        <w:tblStyle w:val="TableGrid"/>
        <w:tblW w:w="0" w:type="auto"/>
        <w:tblLook w:val="04A0" w:firstRow="1" w:lastRow="0" w:firstColumn="1" w:lastColumn="0" w:noHBand="0" w:noVBand="1"/>
      </w:tblPr>
      <w:tblGrid>
        <w:gridCol w:w="3369"/>
        <w:gridCol w:w="2693"/>
        <w:gridCol w:w="2809"/>
        <w:gridCol w:w="2957"/>
        <w:gridCol w:w="2958"/>
      </w:tblGrid>
      <w:tr w:rsidR="00361797" w:rsidRPr="008224D0" w:rsidTr="00B50E5D">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b/>
                <w:szCs w:val="18"/>
              </w:rPr>
            </w:pPr>
            <w:r w:rsidRPr="008224D0">
              <w:rPr>
                <w:rFonts w:asciiTheme="minorHAnsi" w:hAnsiTheme="minorHAnsi" w:cstheme="minorHAnsi"/>
                <w:b/>
                <w:szCs w:val="18"/>
              </w:rPr>
              <w:t>Act</w:t>
            </w:r>
          </w:p>
        </w:tc>
        <w:tc>
          <w:tcPr>
            <w:tcW w:w="2693"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Value of potential breaches</w:t>
            </w:r>
          </w:p>
          <w:p w:rsidR="00361797" w:rsidRPr="008224D0" w:rsidRDefault="00361797" w:rsidP="00B50E5D">
            <w:pPr>
              <w:jc w:val="right"/>
              <w:rPr>
                <w:rFonts w:asciiTheme="minorHAnsi" w:hAnsiTheme="minorHAnsi" w:cstheme="minorHAnsi"/>
                <w:b/>
                <w:szCs w:val="18"/>
              </w:rPr>
            </w:pPr>
          </w:p>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w:t>
            </w:r>
          </w:p>
        </w:tc>
        <w:tc>
          <w:tcPr>
            <w:tcW w:w="280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Number of potential breaches</w:t>
            </w:r>
          </w:p>
          <w:p w:rsidR="00361797" w:rsidRPr="008224D0" w:rsidRDefault="00361797" w:rsidP="00B50E5D">
            <w:pPr>
              <w:jc w:val="right"/>
              <w:rPr>
                <w:rFonts w:asciiTheme="minorHAnsi" w:hAnsiTheme="minorHAnsi" w:cstheme="minorHAnsi"/>
                <w:b/>
                <w:szCs w:val="18"/>
              </w:rPr>
            </w:pPr>
          </w:p>
          <w:p w:rsidR="00361797" w:rsidRPr="008224D0" w:rsidRDefault="00361797" w:rsidP="00B50E5D">
            <w:pPr>
              <w:jc w:val="right"/>
              <w:rPr>
                <w:rFonts w:asciiTheme="minorHAnsi" w:hAnsiTheme="minorHAnsi" w:cstheme="minorHAnsi"/>
                <w:b/>
                <w:szCs w:val="18"/>
              </w:rPr>
            </w:pP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Recovery of 2012</w:t>
            </w:r>
            <w:r>
              <w:rPr>
                <w:rFonts w:asciiTheme="minorHAnsi" w:hAnsiTheme="minorHAnsi" w:cstheme="minorHAnsi"/>
                <w:b/>
                <w:szCs w:val="18"/>
              </w:rPr>
              <w:t>–</w:t>
            </w:r>
            <w:r w:rsidRPr="008224D0">
              <w:rPr>
                <w:rFonts w:asciiTheme="minorHAnsi" w:hAnsiTheme="minorHAnsi" w:cstheme="minorHAnsi"/>
                <w:b/>
                <w:szCs w:val="18"/>
              </w:rPr>
              <w:t>13 potential breaches</w:t>
            </w:r>
          </w:p>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Potential breaches waived or written off</w:t>
            </w:r>
          </w:p>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Student Assistance Act 1973</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1,064,031</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1,602</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65,737</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24,586</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Social Security Administration Act 1999</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27,619,159</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87,773</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1,034,338</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1,073,538</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Total</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28,683,190</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89,375</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1,100,075</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1,098,124</w:t>
            </w:r>
          </w:p>
        </w:tc>
      </w:tr>
    </w:tbl>
    <w:p w:rsidR="00361797" w:rsidRPr="008224D0" w:rsidRDefault="00361797" w:rsidP="00361797">
      <w:pPr>
        <w:rPr>
          <w:rFonts w:asciiTheme="minorHAnsi" w:hAnsiTheme="minorHAnsi" w:cstheme="minorHAnsi"/>
          <w:szCs w:val="18"/>
        </w:rPr>
      </w:pPr>
    </w:p>
    <w:p w:rsidR="00361797" w:rsidRPr="008224D0" w:rsidRDefault="00361797" w:rsidP="00361797">
      <w:pPr>
        <w:rPr>
          <w:rFonts w:asciiTheme="minorHAnsi" w:hAnsiTheme="minorHAnsi" w:cstheme="minorHAnsi"/>
          <w:b/>
          <w:szCs w:val="18"/>
        </w:rPr>
      </w:pPr>
      <w:r w:rsidRPr="008224D0">
        <w:rPr>
          <w:rFonts w:asciiTheme="minorHAnsi" w:hAnsiTheme="minorHAnsi" w:cstheme="minorHAnsi"/>
          <w:b/>
          <w:szCs w:val="18"/>
        </w:rPr>
        <w:t>2012</w:t>
      </w:r>
      <w:r>
        <w:rPr>
          <w:rFonts w:asciiTheme="minorHAnsi" w:hAnsiTheme="minorHAnsi" w:cstheme="minorHAnsi"/>
          <w:b/>
          <w:szCs w:val="18"/>
        </w:rPr>
        <w:t>–</w:t>
      </w:r>
      <w:r w:rsidRPr="008224D0">
        <w:rPr>
          <w:rFonts w:asciiTheme="minorHAnsi" w:hAnsiTheme="minorHAnsi" w:cstheme="minorHAnsi"/>
          <w:b/>
          <w:szCs w:val="18"/>
        </w:rPr>
        <w:t>13</w:t>
      </w:r>
    </w:p>
    <w:tbl>
      <w:tblPr>
        <w:tblStyle w:val="TableGrid"/>
        <w:tblW w:w="0" w:type="auto"/>
        <w:tblLook w:val="04A0" w:firstRow="1" w:lastRow="0" w:firstColumn="1" w:lastColumn="0" w:noHBand="0" w:noVBand="1"/>
      </w:tblPr>
      <w:tblGrid>
        <w:gridCol w:w="3369"/>
        <w:gridCol w:w="2693"/>
        <w:gridCol w:w="2809"/>
        <w:gridCol w:w="2957"/>
        <w:gridCol w:w="2958"/>
      </w:tblGrid>
      <w:tr w:rsidR="00361797" w:rsidRPr="008224D0" w:rsidTr="00B50E5D">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center"/>
              <w:rPr>
                <w:rFonts w:asciiTheme="minorHAnsi" w:hAnsiTheme="minorHAnsi" w:cstheme="minorHAnsi"/>
                <w:b/>
                <w:szCs w:val="18"/>
              </w:rPr>
            </w:pPr>
            <w:r w:rsidRPr="008224D0">
              <w:rPr>
                <w:rFonts w:asciiTheme="minorHAnsi" w:hAnsiTheme="minorHAnsi" w:cstheme="minorHAnsi"/>
                <w:b/>
                <w:szCs w:val="18"/>
              </w:rPr>
              <w:t>Act</w:t>
            </w:r>
          </w:p>
        </w:tc>
        <w:tc>
          <w:tcPr>
            <w:tcW w:w="2693"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Value of potential breaches</w:t>
            </w:r>
          </w:p>
          <w:p w:rsidR="00361797" w:rsidRPr="008224D0" w:rsidRDefault="00361797" w:rsidP="00B50E5D">
            <w:pPr>
              <w:jc w:val="right"/>
              <w:rPr>
                <w:rFonts w:asciiTheme="minorHAnsi" w:hAnsiTheme="minorHAnsi" w:cstheme="minorHAnsi"/>
                <w:b/>
                <w:szCs w:val="18"/>
              </w:rPr>
            </w:pPr>
          </w:p>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w:t>
            </w:r>
          </w:p>
        </w:tc>
        <w:tc>
          <w:tcPr>
            <w:tcW w:w="2809" w:type="dxa"/>
            <w:tcBorders>
              <w:top w:val="single" w:sz="4" w:space="0" w:color="auto"/>
              <w:left w:val="single" w:sz="4" w:space="0" w:color="auto"/>
              <w:bottom w:val="single" w:sz="4" w:space="0" w:color="auto"/>
              <w:right w:val="single" w:sz="4" w:space="0" w:color="auto"/>
            </w:tcBorders>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Number of potential breaches</w:t>
            </w:r>
          </w:p>
          <w:p w:rsidR="00361797" w:rsidRPr="008224D0" w:rsidRDefault="00361797" w:rsidP="00B50E5D">
            <w:pPr>
              <w:jc w:val="right"/>
              <w:rPr>
                <w:rFonts w:asciiTheme="minorHAnsi" w:hAnsiTheme="minorHAnsi" w:cstheme="minorHAnsi"/>
                <w:b/>
                <w:szCs w:val="18"/>
              </w:rPr>
            </w:pPr>
          </w:p>
          <w:p w:rsidR="00361797" w:rsidRPr="008224D0" w:rsidRDefault="00361797" w:rsidP="00B50E5D">
            <w:pPr>
              <w:jc w:val="right"/>
              <w:rPr>
                <w:rFonts w:asciiTheme="minorHAnsi" w:hAnsiTheme="minorHAnsi" w:cstheme="minorHAnsi"/>
                <w:b/>
                <w:szCs w:val="18"/>
              </w:rPr>
            </w:pP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Recovery of 2012</w:t>
            </w:r>
            <w:r>
              <w:rPr>
                <w:rFonts w:asciiTheme="minorHAnsi" w:hAnsiTheme="minorHAnsi" w:cstheme="minorHAnsi"/>
                <w:b/>
                <w:szCs w:val="18"/>
              </w:rPr>
              <w:t>–</w:t>
            </w:r>
            <w:r w:rsidRPr="008224D0">
              <w:rPr>
                <w:rFonts w:asciiTheme="minorHAnsi" w:hAnsiTheme="minorHAnsi" w:cstheme="minorHAnsi"/>
                <w:b/>
                <w:szCs w:val="18"/>
              </w:rPr>
              <w:t>13 potential breaches</w:t>
            </w:r>
          </w:p>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Potential breaches waived or written off</w:t>
            </w:r>
          </w:p>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Schools Assistance Act 2008</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452,873</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80</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Student Assistance Act 1973</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4,636,215</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9,192</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318,085</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130,820</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rPr>
                <w:rFonts w:asciiTheme="minorHAnsi" w:hAnsiTheme="minorHAnsi" w:cstheme="minorHAnsi"/>
                <w:i/>
                <w:szCs w:val="18"/>
              </w:rPr>
            </w:pPr>
            <w:r w:rsidRPr="008224D0">
              <w:rPr>
                <w:rFonts w:asciiTheme="minorHAnsi" w:hAnsiTheme="minorHAnsi" w:cstheme="minorHAnsi"/>
                <w:i/>
                <w:szCs w:val="18"/>
              </w:rPr>
              <w:t>Social Security Administration Act 1999</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101,297,849</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389,792</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4,376,219</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szCs w:val="18"/>
              </w:rPr>
            </w:pPr>
            <w:r w:rsidRPr="008224D0">
              <w:rPr>
                <w:rFonts w:asciiTheme="minorHAnsi" w:hAnsiTheme="minorHAnsi" w:cstheme="minorHAnsi"/>
                <w:szCs w:val="18"/>
              </w:rPr>
              <w:t>7,521,873</w:t>
            </w:r>
          </w:p>
        </w:tc>
      </w:tr>
      <w:tr w:rsidR="00361797" w:rsidRPr="008224D0" w:rsidTr="00B50E5D">
        <w:trPr>
          <w:trHeight w:val="520"/>
        </w:trPr>
        <w:tc>
          <w:tcPr>
            <w:tcW w:w="336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spacing w:after="200" w:line="276" w:lineRule="auto"/>
              <w:rPr>
                <w:rFonts w:asciiTheme="minorHAnsi" w:hAnsiTheme="minorHAnsi" w:cstheme="minorHAnsi"/>
                <w:b/>
                <w:szCs w:val="18"/>
              </w:rPr>
            </w:pPr>
            <w:r w:rsidRPr="008224D0">
              <w:rPr>
                <w:rFonts w:asciiTheme="minorHAnsi" w:hAnsiTheme="minorHAnsi" w:cstheme="minorHAnsi"/>
                <w:b/>
                <w:szCs w:val="18"/>
              </w:rPr>
              <w:t>Total</w:t>
            </w:r>
          </w:p>
        </w:tc>
        <w:tc>
          <w:tcPr>
            <w:tcW w:w="2693"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106,386,937</w:t>
            </w:r>
          </w:p>
        </w:tc>
        <w:tc>
          <w:tcPr>
            <w:tcW w:w="2809"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399,064</w:t>
            </w:r>
          </w:p>
        </w:tc>
        <w:tc>
          <w:tcPr>
            <w:tcW w:w="2957"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4,694,304</w:t>
            </w:r>
          </w:p>
        </w:tc>
        <w:tc>
          <w:tcPr>
            <w:tcW w:w="2958" w:type="dxa"/>
            <w:tcBorders>
              <w:top w:val="single" w:sz="4" w:space="0" w:color="auto"/>
              <w:left w:val="single" w:sz="4" w:space="0" w:color="auto"/>
              <w:bottom w:val="single" w:sz="4" w:space="0" w:color="auto"/>
              <w:right w:val="single" w:sz="4" w:space="0" w:color="auto"/>
            </w:tcBorders>
            <w:hideMark/>
          </w:tcPr>
          <w:p w:rsidR="00361797" w:rsidRPr="008224D0" w:rsidRDefault="00361797" w:rsidP="00B50E5D">
            <w:pPr>
              <w:jc w:val="right"/>
              <w:rPr>
                <w:rFonts w:asciiTheme="minorHAnsi" w:hAnsiTheme="minorHAnsi" w:cstheme="minorHAnsi"/>
                <w:b/>
                <w:szCs w:val="18"/>
              </w:rPr>
            </w:pPr>
            <w:r w:rsidRPr="008224D0">
              <w:rPr>
                <w:rFonts w:asciiTheme="minorHAnsi" w:hAnsiTheme="minorHAnsi" w:cstheme="minorHAnsi"/>
                <w:b/>
                <w:szCs w:val="18"/>
              </w:rPr>
              <w:t>7,652,693</w:t>
            </w:r>
          </w:p>
        </w:tc>
      </w:tr>
    </w:tbl>
    <w:p w:rsidR="00361797" w:rsidRPr="008224D0" w:rsidRDefault="00361797" w:rsidP="00361797">
      <w:pPr>
        <w:rPr>
          <w:rFonts w:asciiTheme="minorHAnsi" w:hAnsiTheme="minorHAnsi" w:cstheme="minorHAnsi"/>
          <w:szCs w:val="18"/>
          <w:lang w:eastAsia="en-AU"/>
        </w:rPr>
      </w:pPr>
    </w:p>
    <w:p w:rsidR="00D903FD" w:rsidRPr="009A4A46" w:rsidRDefault="00D903FD" w:rsidP="009A4A46"/>
    <w:sectPr w:rsidR="00D903FD" w:rsidRPr="009A4A46" w:rsidSect="001031E9">
      <w:headerReference w:type="default" r:id="rId16"/>
      <w:pgSz w:w="16838" w:h="11906" w:orient="landscape"/>
      <w:pgMar w:top="1134" w:right="1134" w:bottom="1134" w:left="1134" w:header="958"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09" w:rsidRDefault="00F51694">
      <w:pPr>
        <w:spacing w:line="240" w:lineRule="auto"/>
      </w:pPr>
      <w:r>
        <w:separator/>
      </w:r>
    </w:p>
  </w:endnote>
  <w:endnote w:type="continuationSeparator" w:id="0">
    <w:p w:rsidR="00B46D09" w:rsidRDefault="00F51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CF" w:rsidRDefault="00F26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CF" w:rsidRDefault="00F26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CF" w:rsidRDefault="00F263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32147"/>
      <w:docPartObj>
        <w:docPartGallery w:val="Page Numbers (Bottom of Page)"/>
        <w:docPartUnique/>
      </w:docPartObj>
    </w:sdtPr>
    <w:sdtEndPr/>
    <w:sdtContent>
      <w:p w:rsidR="00612C16" w:rsidRDefault="00361797">
        <w:pPr>
          <w:pStyle w:val="Footer"/>
          <w:jc w:val="right"/>
        </w:pPr>
        <w:r>
          <w:rPr>
            <w:rFonts w:asciiTheme="minorHAnsi" w:hAnsiTheme="minorHAnsi" w:cstheme="minorHAnsi"/>
          </w:rPr>
          <w:fldChar w:fldCharType="begin"/>
        </w:r>
        <w:r>
          <w:rPr>
            <w:rFonts w:asciiTheme="minorHAnsi" w:hAnsiTheme="minorHAnsi" w:cstheme="minorHAnsi"/>
          </w:rPr>
          <w:instrText xml:space="preserve"> PAGE  \* Arabic  \* MERGEFORMAT </w:instrText>
        </w:r>
        <w:r>
          <w:rPr>
            <w:rFonts w:asciiTheme="minorHAnsi" w:hAnsiTheme="minorHAnsi" w:cstheme="minorHAnsi"/>
          </w:rPr>
          <w:fldChar w:fldCharType="separate"/>
        </w:r>
        <w:r w:rsidR="00F263CF">
          <w:rPr>
            <w:rFonts w:asciiTheme="minorHAnsi" w:hAnsiTheme="minorHAnsi" w:cstheme="minorHAnsi"/>
            <w:noProof/>
          </w:rPr>
          <w:t>94</w:t>
        </w:r>
        <w:r>
          <w:rPr>
            <w:rFonts w:asciiTheme="minorHAnsi" w:hAnsiTheme="minorHAnsi" w:cstheme="minorHAnsi"/>
          </w:rPr>
          <w:fldChar w:fldCharType="end"/>
        </w:r>
      </w:p>
    </w:sdtContent>
  </w:sdt>
  <w:p w:rsidR="00612C16" w:rsidRDefault="00F263CF">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09" w:rsidRDefault="00F51694">
      <w:pPr>
        <w:spacing w:line="240" w:lineRule="auto"/>
      </w:pPr>
      <w:r>
        <w:separator/>
      </w:r>
    </w:p>
  </w:footnote>
  <w:footnote w:type="continuationSeparator" w:id="0">
    <w:p w:rsidR="00B46D09" w:rsidRDefault="00F516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CF" w:rsidRDefault="00F26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16" w:rsidRDefault="00F263CF">
    <w:pPr>
      <w:jc w:val="right"/>
    </w:pPr>
  </w:p>
  <w:p w:rsidR="00612C16" w:rsidRDefault="00F263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CF" w:rsidRDefault="00F263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16" w:rsidRDefault="00361797">
    <w:pPr>
      <w:rPr>
        <w:rFonts w:asciiTheme="minorHAnsi" w:hAnsiTheme="minorHAnsi" w:cstheme="minorHAnsi"/>
        <w:b/>
        <w:sz w:val="24"/>
        <w:szCs w:val="24"/>
      </w:rPr>
    </w:pPr>
    <w:r w:rsidRPr="00722E10">
      <w:rPr>
        <w:rFonts w:asciiTheme="minorHAnsi" w:hAnsiTheme="minorHAnsi" w:cstheme="minorHAnsi"/>
        <w:b/>
        <w:sz w:val="24"/>
        <w:szCs w:val="24"/>
      </w:rPr>
      <w:t>Department of Education, Employment and Workplace Relations</w:t>
    </w:r>
  </w:p>
  <w:p w:rsidR="00612C16" w:rsidRDefault="00361797">
    <w:pPr>
      <w:rPr>
        <w:rFonts w:asciiTheme="minorHAnsi" w:hAnsiTheme="minorHAnsi" w:cstheme="minorHAnsi"/>
        <w:b/>
        <w:sz w:val="24"/>
        <w:szCs w:val="24"/>
      </w:rPr>
    </w:pPr>
    <w:r>
      <w:rPr>
        <w:rFonts w:asciiTheme="minorHAnsi" w:hAnsiTheme="minorHAnsi" w:cstheme="minorHAnsi"/>
        <w:b/>
        <w:sz w:val="24"/>
        <w:szCs w:val="24"/>
      </w:rPr>
      <w:t>NOTES TO AND FORMING PART</w:t>
    </w:r>
    <w:r w:rsidRPr="00F263CF">
      <w:rPr>
        <w:rFonts w:asciiTheme="minorHAnsi" w:hAnsiTheme="minorHAnsi" w:cstheme="minorHAnsi"/>
        <w:b/>
        <w:i/>
        <w:sz w:val="24"/>
        <w:szCs w:val="24"/>
      </w:rPr>
      <w:t xml:space="preserve"> </w:t>
    </w:r>
    <w:r>
      <w:rPr>
        <w:rFonts w:asciiTheme="minorHAnsi" w:hAnsiTheme="minorHAnsi" w:cstheme="minorHAnsi"/>
        <w:b/>
        <w:sz w:val="24"/>
        <w:szCs w:val="24"/>
      </w:rPr>
      <w:t>OF THE FINANCIAL ST</w:t>
    </w:r>
    <w:r w:rsidRPr="00F263CF">
      <w:rPr>
        <w:rFonts w:asciiTheme="minorHAnsi" w:hAnsiTheme="minorHAnsi" w:cstheme="minorHAnsi"/>
        <w:b/>
        <w:sz w:val="24"/>
        <w:szCs w:val="24"/>
      </w:rPr>
      <w:t>A</w:t>
    </w:r>
    <w:r>
      <w:rPr>
        <w:rFonts w:asciiTheme="minorHAnsi" w:hAnsiTheme="minorHAnsi" w:cstheme="minorHAnsi"/>
        <w:b/>
        <w:sz w:val="24"/>
        <w:szCs w:val="24"/>
      </w:rPr>
      <w:t>TEMENTS</w:t>
    </w:r>
  </w:p>
  <w:p w:rsidR="00612C16" w:rsidRDefault="00F263CF">
    <w:pPr>
      <w:rPr>
        <w:rFonts w:ascii="Arial" w:hAnsi="Arial" w:cs="Arial"/>
        <w:b/>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16" w:rsidRDefault="00361797">
    <w:pPr>
      <w:rPr>
        <w:rFonts w:asciiTheme="minorHAnsi" w:hAnsiTheme="minorHAnsi" w:cstheme="minorHAnsi"/>
        <w:b/>
        <w:sz w:val="24"/>
        <w:szCs w:val="24"/>
      </w:rPr>
    </w:pPr>
    <w:r w:rsidRPr="00722E10">
      <w:rPr>
        <w:rFonts w:asciiTheme="minorHAnsi" w:hAnsiTheme="minorHAnsi" w:cstheme="minorHAnsi"/>
        <w:b/>
        <w:sz w:val="24"/>
        <w:szCs w:val="24"/>
      </w:rPr>
      <w:t>Department of Education, Employment and Workplace Relations</w:t>
    </w:r>
  </w:p>
  <w:p w:rsidR="00612C16" w:rsidRDefault="00361797">
    <w:pPr>
      <w:rPr>
        <w:rFonts w:asciiTheme="minorHAnsi" w:hAnsiTheme="minorHAnsi" w:cstheme="minorHAnsi"/>
        <w:b/>
        <w:sz w:val="24"/>
        <w:szCs w:val="24"/>
      </w:rPr>
    </w:pPr>
    <w:r>
      <w:rPr>
        <w:rFonts w:asciiTheme="minorHAnsi" w:hAnsiTheme="minorHAnsi" w:cstheme="minorHAnsi"/>
        <w:b/>
        <w:sz w:val="24"/>
        <w:szCs w:val="24"/>
      </w:rPr>
      <w:t>NOTES TO AND FORMING PART OF THE FINANCIAL STATEMENTS</w:t>
    </w:r>
  </w:p>
  <w:p w:rsidR="00612C16" w:rsidRDefault="00F263CF">
    <w:pPr>
      <w:pBdr>
        <w:bottom w:val="single" w:sz="4" w:space="1" w:color="auto"/>
      </w:pBd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7C1A10"/>
    <w:lvl w:ilvl="0">
      <w:start w:val="1"/>
      <w:numFmt w:val="decimal"/>
      <w:lvlText w:val="%1."/>
      <w:lvlJc w:val="left"/>
      <w:pPr>
        <w:tabs>
          <w:tab w:val="num" w:pos="1492"/>
        </w:tabs>
        <w:ind w:left="1492" w:hanging="360"/>
      </w:pPr>
    </w:lvl>
  </w:abstractNum>
  <w:abstractNum w:abstractNumId="1">
    <w:nsid w:val="FFFFFF7D"/>
    <w:multiLevelType w:val="singleLevel"/>
    <w:tmpl w:val="766C9A8A"/>
    <w:lvl w:ilvl="0">
      <w:start w:val="1"/>
      <w:numFmt w:val="decimal"/>
      <w:lvlText w:val="%1."/>
      <w:lvlJc w:val="left"/>
      <w:pPr>
        <w:tabs>
          <w:tab w:val="num" w:pos="1209"/>
        </w:tabs>
        <w:ind w:left="1209" w:hanging="360"/>
      </w:pPr>
    </w:lvl>
  </w:abstractNum>
  <w:abstractNum w:abstractNumId="2">
    <w:nsid w:val="FFFFFF7E"/>
    <w:multiLevelType w:val="singleLevel"/>
    <w:tmpl w:val="9F225E1C"/>
    <w:lvl w:ilvl="0">
      <w:start w:val="1"/>
      <w:numFmt w:val="decimal"/>
      <w:lvlText w:val="%1."/>
      <w:lvlJc w:val="left"/>
      <w:pPr>
        <w:tabs>
          <w:tab w:val="num" w:pos="926"/>
        </w:tabs>
        <w:ind w:left="926" w:hanging="360"/>
      </w:pPr>
    </w:lvl>
  </w:abstractNum>
  <w:abstractNum w:abstractNumId="3">
    <w:nsid w:val="FFFFFF7F"/>
    <w:multiLevelType w:val="singleLevel"/>
    <w:tmpl w:val="4C3E7BE0"/>
    <w:lvl w:ilvl="0">
      <w:start w:val="1"/>
      <w:numFmt w:val="decimal"/>
      <w:lvlText w:val="%1."/>
      <w:lvlJc w:val="left"/>
      <w:pPr>
        <w:tabs>
          <w:tab w:val="num" w:pos="643"/>
        </w:tabs>
        <w:ind w:left="643" w:hanging="360"/>
      </w:pPr>
    </w:lvl>
  </w:abstractNum>
  <w:abstractNum w:abstractNumId="4">
    <w:nsid w:val="FFFFFF80"/>
    <w:multiLevelType w:val="singleLevel"/>
    <w:tmpl w:val="05B2BA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C016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D225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3639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D8BFF8"/>
    <w:lvl w:ilvl="0">
      <w:start w:val="1"/>
      <w:numFmt w:val="decimal"/>
      <w:pStyle w:val="ListNumber"/>
      <w:lvlText w:val="%1."/>
      <w:lvlJc w:val="left"/>
      <w:pPr>
        <w:tabs>
          <w:tab w:val="num" w:pos="360"/>
        </w:tabs>
        <w:ind w:left="360" w:hanging="360"/>
      </w:pPr>
    </w:lvl>
  </w:abstractNum>
  <w:abstractNum w:abstractNumId="9">
    <w:nsid w:val="FFFFFF89"/>
    <w:multiLevelType w:val="singleLevel"/>
    <w:tmpl w:val="233035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24BFF"/>
    <w:multiLevelType w:val="multilevel"/>
    <w:tmpl w:val="0546908E"/>
    <w:lvl w:ilvl="0">
      <w:start w:val="1"/>
      <w:numFmt w:val="decimal"/>
      <w:lvlText w:val="Note %1:"/>
      <w:lvlJc w:val="left"/>
      <w:pPr>
        <w:tabs>
          <w:tab w:val="num" w:pos="851"/>
        </w:tabs>
        <w:ind w:left="851" w:hanging="851"/>
      </w:pPr>
      <w:rPr>
        <w:rFonts w:ascii="Times New Roman" w:hAnsi="Times New Roman" w:cs="Times New Roman" w:hint="default"/>
        <w:b/>
        <w:i w:val="0"/>
        <w:strike w:val="0"/>
        <w:dstrike w:val="0"/>
        <w:color w:val="auto"/>
        <w:sz w:val="24"/>
        <w:szCs w:val="24"/>
        <w:u w:val="none"/>
        <w:effect w:val="none"/>
      </w:rPr>
    </w:lvl>
    <w:lvl w:ilvl="1">
      <w:start w:val="1"/>
      <w:numFmt w:val="decimal"/>
      <w:lvlText w:val="%1.%2"/>
      <w:lvlJc w:val="left"/>
      <w:pPr>
        <w:tabs>
          <w:tab w:val="num" w:pos="851"/>
        </w:tabs>
        <w:ind w:left="851" w:hanging="851"/>
      </w:pPr>
      <w:rPr>
        <w:rFonts w:asciiTheme="minorHAnsi" w:hAnsiTheme="minorHAnsi" w:cstheme="minorHAnsi" w:hint="default"/>
        <w:b/>
        <w:i w:val="0"/>
        <w:strike w:val="0"/>
        <w:dstrike w:val="0"/>
        <w:color w:val="auto"/>
        <w:sz w:val="18"/>
        <w:szCs w:val="18"/>
        <w:u w:val="none"/>
        <w:effect w:val="none"/>
      </w:rPr>
    </w:lvl>
    <w:lvl w:ilvl="2">
      <w:start w:val="1"/>
      <w:numFmt w:val="lowerLetter"/>
      <w:lvlText w:val="(%3)"/>
      <w:lvlJc w:val="left"/>
      <w:pPr>
        <w:tabs>
          <w:tab w:val="num" w:pos="851"/>
        </w:tabs>
        <w:ind w:left="851" w:hanging="851"/>
      </w:pPr>
      <w:rPr>
        <w:rFonts w:ascii="Times New Roman" w:hAnsi="Times New Roman" w:cs="Times New Roman" w:hint="default"/>
        <w:b/>
        <w:i w:val="0"/>
        <w:sz w:val="20"/>
      </w:rPr>
    </w:lvl>
    <w:lvl w:ilvl="3">
      <w:start w:val="1"/>
      <w:numFmt w:val="lowerRoman"/>
      <w:lvlText w:val="(%4)"/>
      <w:lvlJc w:val="left"/>
      <w:pPr>
        <w:tabs>
          <w:tab w:val="num" w:pos="851"/>
        </w:tabs>
        <w:ind w:left="851" w:hanging="851"/>
      </w:pPr>
      <w:rPr>
        <w:rFonts w:ascii="Arial" w:hAnsi="Arial" w:cs="Times New Roman" w:hint="default"/>
        <w:b w:val="0"/>
        <w:i w:val="0"/>
        <w:sz w:val="20"/>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5834BA6"/>
    <w:multiLevelType w:val="multilevel"/>
    <w:tmpl w:val="FA9CBE68"/>
    <w:styleLink w:val="NumberedList"/>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2047622"/>
    <w:multiLevelType w:val="hybridMultilevel"/>
    <w:tmpl w:val="A1F48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5F5E1B"/>
    <w:multiLevelType w:val="multilevel"/>
    <w:tmpl w:val="BFE67ED4"/>
    <w:styleLink w:val="Unordered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60670E23"/>
    <w:multiLevelType w:val="singleLevel"/>
    <w:tmpl w:val="FC8C2572"/>
    <w:lvl w:ilvl="0">
      <w:start w:val="1"/>
      <w:numFmt w:val="bullet"/>
      <w:lvlText w:val=""/>
      <w:lvlJc w:val="left"/>
      <w:pPr>
        <w:tabs>
          <w:tab w:val="num" w:pos="360"/>
        </w:tabs>
        <w:ind w:left="357" w:hanging="357"/>
      </w:pPr>
      <w:rPr>
        <w:rFonts w:ascii="Symbol" w:hAnsi="Symbol" w:hint="default"/>
      </w:rPr>
    </w:lvl>
  </w:abstractNum>
  <w:abstractNum w:abstractNumId="18">
    <w:nsid w:val="68E60982"/>
    <w:multiLevelType w:val="hybridMultilevel"/>
    <w:tmpl w:val="FA7E53DE"/>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nsid w:val="6A38338E"/>
    <w:multiLevelType w:val="singleLevel"/>
    <w:tmpl w:val="2922866A"/>
    <w:lvl w:ilvl="0">
      <w:start w:val="1"/>
      <w:numFmt w:val="bullet"/>
      <w:pStyle w:val="NotesHeading-Level1GreyShade"/>
      <w:lvlText w:val=""/>
      <w:lvlJc w:val="left"/>
      <w:pPr>
        <w:tabs>
          <w:tab w:val="num" w:pos="360"/>
        </w:tabs>
        <w:ind w:left="360" w:hanging="360"/>
      </w:pPr>
      <w:rPr>
        <w:rFonts w:ascii="Symbol" w:hAnsi="Symbol" w:cs="Times New Roman" w:hint="default"/>
      </w:rPr>
    </w:lvl>
  </w:abstractNum>
  <w:abstractNum w:abstractNumId="20">
    <w:nsid w:val="72E921FA"/>
    <w:multiLevelType w:val="multilevel"/>
    <w:tmpl w:val="69BE06FE"/>
    <w:lvl w:ilvl="0">
      <w:start w:val="1"/>
      <w:numFmt w:val="decimal"/>
      <w:pStyle w:val="NotesHeading-Level1"/>
      <w:lvlText w:val="Note %1: "/>
      <w:lvlJc w:val="left"/>
      <w:pPr>
        <w:tabs>
          <w:tab w:val="num" w:pos="851"/>
        </w:tabs>
        <w:ind w:left="1134" w:hanging="1134"/>
      </w:pPr>
      <w:rPr>
        <w:rFonts w:asciiTheme="minorHAnsi" w:hAnsiTheme="minorHAnsi" w:cstheme="minorHAnsi" w:hint="default"/>
        <w:b/>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735C7398"/>
    <w:multiLevelType w:val="hybridMultilevel"/>
    <w:tmpl w:val="9ED4C658"/>
    <w:lvl w:ilvl="0" w:tplc="2C6EFD44">
      <w:start w:val="1"/>
      <w:numFmt w:val="bullet"/>
      <w:lvlText w:val="-"/>
      <w:lvlJc w:val="left"/>
      <w:pPr>
        <w:ind w:left="720" w:hanging="360"/>
      </w:pPr>
      <w:rPr>
        <w:rFonts w:ascii="Calibri" w:eastAsia="Times New Roman" w:hAnsi="Calibri" w:cs="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742C17D0"/>
    <w:multiLevelType w:val="hybridMultilevel"/>
    <w:tmpl w:val="7BA85834"/>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7DE45F8E"/>
    <w:multiLevelType w:val="hybridMultilevel"/>
    <w:tmpl w:val="10F8636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4">
    <w:nsid w:val="7E000E71"/>
    <w:multiLevelType w:val="hybridMultilevel"/>
    <w:tmpl w:val="6DFA9400"/>
    <w:lvl w:ilvl="0" w:tplc="0C090001">
      <w:start w:val="1"/>
      <w:numFmt w:val="bullet"/>
      <w:lvlText w:val=""/>
      <w:lvlJc w:val="left"/>
      <w:pPr>
        <w:ind w:left="4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17"/>
  </w:num>
  <w:num w:numId="18">
    <w:abstractNumId w:val="21"/>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1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97"/>
    <w:rsid w:val="0031168A"/>
    <w:rsid w:val="00360FD2"/>
    <w:rsid w:val="00361797"/>
    <w:rsid w:val="003B0752"/>
    <w:rsid w:val="005536B7"/>
    <w:rsid w:val="005D722B"/>
    <w:rsid w:val="00693307"/>
    <w:rsid w:val="006A5448"/>
    <w:rsid w:val="006E3E34"/>
    <w:rsid w:val="006E7816"/>
    <w:rsid w:val="00701C19"/>
    <w:rsid w:val="00842D43"/>
    <w:rsid w:val="009A4A46"/>
    <w:rsid w:val="00AC2B43"/>
    <w:rsid w:val="00AC5468"/>
    <w:rsid w:val="00B46D09"/>
    <w:rsid w:val="00B903D7"/>
    <w:rsid w:val="00C2069D"/>
    <w:rsid w:val="00D3003F"/>
    <w:rsid w:val="00D903FD"/>
    <w:rsid w:val="00F160D2"/>
    <w:rsid w:val="00F263CF"/>
    <w:rsid w:val="00F51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macro" w:uiPriority="0"/>
    <w:lsdException w:name="List Bullet" w:qFormat="1"/>
    <w:lsdException w:name="List Number" w:qFormat="1"/>
    <w:lsdException w:name="Title" w:semiHidden="0" w:uiPriority="10" w:unhideWhenUsed="0" w:qFormat="1"/>
    <w:lsdException w:name="Signature" w:uiPriority="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1797"/>
    <w:pPr>
      <w:spacing w:after="0" w:line="260" w:lineRule="atLeast"/>
    </w:pPr>
    <w:rPr>
      <w:rFonts w:ascii="Calibri" w:eastAsia="Times New Roman" w:hAnsi="Calibri" w:cs="Times New Roman"/>
      <w:sz w:val="18"/>
      <w:szCs w:val="20"/>
    </w:rPr>
  </w:style>
  <w:style w:type="paragraph" w:styleId="Heading1">
    <w:name w:val="heading 1"/>
    <w:aliases w:val="Heading 1 do not use,Section heading 1,Front Page Title,1.,Para 1,Para 11"/>
    <w:basedOn w:val="Normal"/>
    <w:next w:val="Normal"/>
    <w:link w:val="Heading1Char"/>
    <w:qFormat/>
    <w:rsid w:val="005536B7"/>
    <w:pPr>
      <w:spacing w:before="480" w:after="120"/>
      <w:contextualSpacing/>
      <w:outlineLvl w:val="0"/>
    </w:pPr>
    <w:rPr>
      <w:rFonts w:eastAsiaTheme="majorEastAsia" w:cstheme="majorBidi"/>
      <w:b/>
      <w:bCs/>
      <w:sz w:val="28"/>
      <w:szCs w:val="28"/>
    </w:rPr>
  </w:style>
  <w:style w:type="paragraph" w:styleId="Heading2">
    <w:name w:val="heading 2"/>
    <w:aliases w:val="Heading 2 do not use,Front Page List of Sections"/>
    <w:basedOn w:val="Normal"/>
    <w:next w:val="Normal"/>
    <w:link w:val="Heading2Char"/>
    <w:qFormat/>
    <w:rsid w:val="00361797"/>
    <w:pPr>
      <w:keepNext/>
      <w:spacing w:before="240" w:after="60"/>
      <w:outlineLvl w:val="1"/>
    </w:pPr>
    <w:rPr>
      <w:rFonts w:ascii="Arial" w:eastAsiaTheme="minorEastAsia" w:hAnsi="Arial" w:cs="Arial"/>
      <w:i/>
      <w:iCs/>
      <w:sz w:val="28"/>
      <w:szCs w:val="28"/>
    </w:rPr>
  </w:style>
  <w:style w:type="paragraph" w:styleId="Heading3">
    <w:name w:val="heading 3"/>
    <w:aliases w:val="Heading 3 do not use"/>
    <w:basedOn w:val="Normal"/>
    <w:next w:val="Normal"/>
    <w:link w:val="Heading3Char"/>
    <w:qFormat/>
    <w:rsid w:val="00361797"/>
    <w:pPr>
      <w:keepNext/>
      <w:spacing w:before="240" w:after="60"/>
      <w:outlineLvl w:val="2"/>
    </w:pPr>
    <w:rPr>
      <w:rFonts w:ascii="Arial" w:eastAsiaTheme="minorEastAsia" w:hAnsi="Arial" w:cs="Arial"/>
      <w:sz w:val="26"/>
      <w:szCs w:val="26"/>
    </w:rPr>
  </w:style>
  <w:style w:type="paragraph" w:styleId="Heading4">
    <w:name w:val="heading 4"/>
    <w:basedOn w:val="Normal"/>
    <w:link w:val="Heading4Char"/>
    <w:qFormat/>
    <w:rsid w:val="00361797"/>
    <w:pPr>
      <w:spacing w:before="130" w:after="130"/>
      <w:outlineLvl w:val="3"/>
    </w:pPr>
    <w:rPr>
      <w:rFonts w:eastAsiaTheme="minorEastAsia"/>
    </w:rPr>
  </w:style>
  <w:style w:type="paragraph" w:styleId="Heading5">
    <w:name w:val="heading 5"/>
    <w:basedOn w:val="Normal"/>
    <w:next w:val="Normal"/>
    <w:link w:val="Heading5Char"/>
    <w:qFormat/>
    <w:rsid w:val="00361797"/>
    <w:pPr>
      <w:outlineLvl w:val="4"/>
    </w:pPr>
    <w:rPr>
      <w:rFonts w:eastAsiaTheme="minorEastAsia"/>
    </w:rPr>
  </w:style>
  <w:style w:type="paragraph" w:styleId="Heading6">
    <w:name w:val="heading 6"/>
    <w:basedOn w:val="Normal"/>
    <w:next w:val="Normal"/>
    <w:link w:val="Heading6Char"/>
    <w:qFormat/>
    <w:rsid w:val="00361797"/>
    <w:pPr>
      <w:outlineLvl w:val="5"/>
    </w:pPr>
    <w:rPr>
      <w:rFonts w:eastAsiaTheme="minorEastAsia"/>
    </w:rPr>
  </w:style>
  <w:style w:type="paragraph" w:styleId="Heading7">
    <w:name w:val="heading 7"/>
    <w:aliases w:val="Section Sub-Heading 4"/>
    <w:basedOn w:val="Normal"/>
    <w:next w:val="Normal"/>
    <w:link w:val="Heading7Char"/>
    <w:qFormat/>
    <w:rsid w:val="00361797"/>
    <w:pPr>
      <w:outlineLvl w:val="6"/>
    </w:pPr>
  </w:style>
  <w:style w:type="paragraph" w:styleId="Heading8">
    <w:name w:val="heading 8"/>
    <w:basedOn w:val="Normal"/>
    <w:next w:val="Normal"/>
    <w:link w:val="Heading8Char"/>
    <w:qFormat/>
    <w:rsid w:val="00361797"/>
    <w:pPr>
      <w:outlineLvl w:val="7"/>
    </w:pPr>
  </w:style>
  <w:style w:type="paragraph" w:styleId="Heading9">
    <w:name w:val="heading 9"/>
    <w:basedOn w:val="Normal"/>
    <w:next w:val="Normal"/>
    <w:link w:val="Heading9Char"/>
    <w:qFormat/>
    <w:rsid w:val="0036179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color w:val="auto"/>
      <w:sz w:val="20"/>
    </w:rPr>
  </w:style>
  <w:style w:type="paragraph" w:styleId="Quote">
    <w:name w:val="Quote"/>
    <w:basedOn w:val="Normal"/>
    <w:next w:val="Normal"/>
    <w:link w:val="QuoteChar"/>
    <w:uiPriority w:val="29"/>
    <w:qFormat/>
    <w:rsid w:val="006E3E34"/>
    <w:rPr>
      <w:i/>
      <w:iCs/>
      <w:color w:val="000000" w:themeColor="text1"/>
    </w:rPr>
  </w:style>
  <w:style w:type="character" w:customStyle="1" w:styleId="QuoteChar">
    <w:name w:val="Quote Char"/>
    <w:basedOn w:val="DefaultParagraphFont"/>
    <w:link w:val="Quote"/>
    <w:uiPriority w:val="29"/>
    <w:rsid w:val="006E3E34"/>
    <w:rPr>
      <w:i/>
      <w:iCs/>
      <w:color w:val="000000" w:themeColor="text1"/>
    </w:rPr>
  </w:style>
  <w:style w:type="paragraph" w:styleId="ListNumber">
    <w:name w:val="List Number"/>
    <w:basedOn w:val="Normal"/>
    <w:uiPriority w:val="99"/>
    <w:unhideWhenUsed/>
    <w:qFormat/>
    <w:rsid w:val="009A4A46"/>
    <w:pPr>
      <w:numPr>
        <w:numId w:val="8"/>
      </w:numPr>
      <w:contextualSpacing/>
    </w:pPr>
  </w:style>
  <w:style w:type="paragraph" w:styleId="ListBullet">
    <w:name w:val="List Bullet"/>
    <w:basedOn w:val="Normal"/>
    <w:uiPriority w:val="99"/>
    <w:unhideWhenUsed/>
    <w:qFormat/>
    <w:rsid w:val="009A4A46"/>
    <w:pPr>
      <w:numPr>
        <w:numId w:val="3"/>
      </w:numPr>
      <w:contextualSpacing/>
    </w:pPr>
  </w:style>
  <w:style w:type="paragraph" w:styleId="NoSpacing">
    <w:name w:val="No Spacing"/>
    <w:basedOn w:val="Normal"/>
    <w:uiPriority w:val="1"/>
    <w:rsid w:val="006E3E34"/>
    <w:pPr>
      <w:spacing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5536B7"/>
    <w:rPr>
      <w:rFonts w:eastAsiaTheme="majorEastAsia"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5536B7"/>
    <w:pPr>
      <w:ind w:left="720"/>
      <w:contextualSpacing/>
    </w:pPr>
  </w:style>
  <w:style w:type="paragraph" w:styleId="Title">
    <w:name w:val="Title"/>
    <w:basedOn w:val="Normal"/>
    <w:next w:val="Normal"/>
    <w:link w:val="TitleChar"/>
    <w:uiPriority w:val="10"/>
    <w:rsid w:val="005536B7"/>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5536B7"/>
    <w:rPr>
      <w:rFonts w:eastAsiaTheme="majorEastAsia" w:cstheme="majorBidi"/>
      <w:spacing w:val="5"/>
      <w:sz w:val="52"/>
      <w:szCs w:val="52"/>
    </w:rPr>
  </w:style>
  <w:style w:type="character" w:styleId="Strong">
    <w:name w:val="Strong"/>
    <w:uiPriority w:val="22"/>
    <w:rsid w:val="005536B7"/>
    <w:rPr>
      <w:b/>
      <w:bCs/>
    </w:rPr>
  </w:style>
  <w:style w:type="character" w:customStyle="1" w:styleId="Heading2Char">
    <w:name w:val="Heading 2 Char"/>
    <w:aliases w:val="Heading 2 do not use Char,Front Page List of Sections Char"/>
    <w:basedOn w:val="DefaultParagraphFont"/>
    <w:link w:val="Heading2"/>
    <w:rsid w:val="00361797"/>
    <w:rPr>
      <w:rFonts w:ascii="Arial" w:eastAsiaTheme="minorEastAsia" w:hAnsi="Arial" w:cs="Arial"/>
      <w:i/>
      <w:iCs/>
      <w:sz w:val="28"/>
      <w:szCs w:val="28"/>
    </w:rPr>
  </w:style>
  <w:style w:type="character" w:customStyle="1" w:styleId="Heading3Char">
    <w:name w:val="Heading 3 Char"/>
    <w:aliases w:val="Heading 3 do not use Char"/>
    <w:basedOn w:val="DefaultParagraphFont"/>
    <w:link w:val="Heading3"/>
    <w:rsid w:val="00361797"/>
    <w:rPr>
      <w:rFonts w:ascii="Arial" w:eastAsiaTheme="minorEastAsia" w:hAnsi="Arial" w:cs="Arial"/>
      <w:sz w:val="26"/>
      <w:szCs w:val="26"/>
    </w:rPr>
  </w:style>
  <w:style w:type="character" w:customStyle="1" w:styleId="Heading4Char">
    <w:name w:val="Heading 4 Char"/>
    <w:basedOn w:val="DefaultParagraphFont"/>
    <w:link w:val="Heading4"/>
    <w:rsid w:val="00361797"/>
    <w:rPr>
      <w:rFonts w:ascii="Calibri" w:eastAsiaTheme="minorEastAsia" w:hAnsi="Calibri" w:cs="Times New Roman"/>
      <w:sz w:val="18"/>
      <w:szCs w:val="20"/>
    </w:rPr>
  </w:style>
  <w:style w:type="character" w:customStyle="1" w:styleId="Heading5Char">
    <w:name w:val="Heading 5 Char"/>
    <w:basedOn w:val="DefaultParagraphFont"/>
    <w:link w:val="Heading5"/>
    <w:rsid w:val="00361797"/>
    <w:rPr>
      <w:rFonts w:ascii="Calibri" w:eastAsiaTheme="minorEastAsia" w:hAnsi="Calibri" w:cs="Times New Roman"/>
      <w:sz w:val="18"/>
      <w:szCs w:val="20"/>
    </w:rPr>
  </w:style>
  <w:style w:type="character" w:customStyle="1" w:styleId="Heading6Char">
    <w:name w:val="Heading 6 Char"/>
    <w:basedOn w:val="DefaultParagraphFont"/>
    <w:link w:val="Heading6"/>
    <w:rsid w:val="00361797"/>
    <w:rPr>
      <w:rFonts w:ascii="Calibri" w:eastAsiaTheme="minorEastAsia" w:hAnsi="Calibri" w:cs="Times New Roman"/>
      <w:sz w:val="18"/>
      <w:szCs w:val="20"/>
    </w:rPr>
  </w:style>
  <w:style w:type="character" w:customStyle="1" w:styleId="Heading7Char">
    <w:name w:val="Heading 7 Char"/>
    <w:aliases w:val="Section Sub-Heading 4 Char"/>
    <w:basedOn w:val="DefaultParagraphFont"/>
    <w:link w:val="Heading7"/>
    <w:rsid w:val="00361797"/>
    <w:rPr>
      <w:rFonts w:ascii="Calibri" w:eastAsia="Times New Roman" w:hAnsi="Calibri" w:cs="Times New Roman"/>
      <w:sz w:val="18"/>
      <w:szCs w:val="20"/>
    </w:rPr>
  </w:style>
  <w:style w:type="character" w:customStyle="1" w:styleId="Heading8Char">
    <w:name w:val="Heading 8 Char"/>
    <w:basedOn w:val="DefaultParagraphFont"/>
    <w:link w:val="Heading8"/>
    <w:rsid w:val="00361797"/>
    <w:rPr>
      <w:rFonts w:ascii="Calibri" w:eastAsia="Times New Roman" w:hAnsi="Calibri" w:cs="Times New Roman"/>
      <w:sz w:val="18"/>
      <w:szCs w:val="20"/>
    </w:rPr>
  </w:style>
  <w:style w:type="character" w:customStyle="1" w:styleId="Heading9Char">
    <w:name w:val="Heading 9 Char"/>
    <w:basedOn w:val="DefaultParagraphFont"/>
    <w:link w:val="Heading9"/>
    <w:rsid w:val="00361797"/>
    <w:rPr>
      <w:rFonts w:ascii="Calibri" w:eastAsia="Times New Roman" w:hAnsi="Calibri" w:cs="Times New Roman"/>
      <w:sz w:val="18"/>
      <w:szCs w:val="20"/>
    </w:rPr>
  </w:style>
  <w:style w:type="character" w:styleId="Hyperlink">
    <w:name w:val="Hyperlink"/>
    <w:basedOn w:val="DefaultParagraphFont"/>
    <w:uiPriority w:val="99"/>
    <w:rsid w:val="00361797"/>
    <w:rPr>
      <w:color w:val="0000FF" w:themeColor="hyperlink"/>
      <w:u w:val="single"/>
    </w:rPr>
  </w:style>
  <w:style w:type="character" w:styleId="FollowedHyperlink">
    <w:name w:val="FollowedHyperlink"/>
    <w:basedOn w:val="DefaultParagraphFont"/>
    <w:uiPriority w:val="99"/>
    <w:rsid w:val="00361797"/>
    <w:rPr>
      <w:color w:val="800080" w:themeColor="followedHyperlink"/>
      <w:u w:val="single"/>
    </w:rPr>
  </w:style>
  <w:style w:type="paragraph" w:styleId="TOC1">
    <w:name w:val="toc 1"/>
    <w:basedOn w:val="Normal"/>
    <w:next w:val="Normal"/>
    <w:autoRedefine/>
    <w:uiPriority w:val="39"/>
    <w:rsid w:val="00361797"/>
    <w:pPr>
      <w:tabs>
        <w:tab w:val="left" w:pos="1134"/>
        <w:tab w:val="right" w:leader="dot" w:pos="9628"/>
      </w:tabs>
      <w:spacing w:after="100"/>
    </w:pPr>
    <w:rPr>
      <w:rFonts w:ascii="Arial" w:hAnsi="Arial"/>
      <w:sz w:val="20"/>
    </w:rPr>
  </w:style>
  <w:style w:type="paragraph" w:styleId="TOC2">
    <w:name w:val="toc 2"/>
    <w:basedOn w:val="Normal"/>
    <w:next w:val="Normal"/>
    <w:autoRedefine/>
    <w:semiHidden/>
    <w:rsid w:val="00361797"/>
    <w:pPr>
      <w:spacing w:before="120"/>
      <w:ind w:left="220"/>
    </w:pPr>
    <w:rPr>
      <w:i/>
      <w:iCs/>
      <w:sz w:val="20"/>
    </w:rPr>
  </w:style>
  <w:style w:type="paragraph" w:styleId="TOC3">
    <w:name w:val="toc 3"/>
    <w:basedOn w:val="Normal"/>
    <w:next w:val="Normal"/>
    <w:autoRedefine/>
    <w:uiPriority w:val="39"/>
    <w:rsid w:val="00361797"/>
    <w:pPr>
      <w:ind w:left="440"/>
    </w:pPr>
    <w:rPr>
      <w:sz w:val="20"/>
    </w:rPr>
  </w:style>
  <w:style w:type="paragraph" w:styleId="TOC4">
    <w:name w:val="toc 4"/>
    <w:basedOn w:val="Normal"/>
    <w:next w:val="Normal"/>
    <w:autoRedefine/>
    <w:semiHidden/>
    <w:rsid w:val="00361797"/>
    <w:pPr>
      <w:ind w:left="660"/>
    </w:pPr>
    <w:rPr>
      <w:sz w:val="20"/>
    </w:rPr>
  </w:style>
  <w:style w:type="paragraph" w:styleId="TOC5">
    <w:name w:val="toc 5"/>
    <w:basedOn w:val="Normal"/>
    <w:next w:val="Normal"/>
    <w:autoRedefine/>
    <w:semiHidden/>
    <w:rsid w:val="00361797"/>
    <w:pPr>
      <w:ind w:left="880"/>
    </w:pPr>
    <w:rPr>
      <w:sz w:val="20"/>
    </w:rPr>
  </w:style>
  <w:style w:type="paragraph" w:styleId="TOC6">
    <w:name w:val="toc 6"/>
    <w:basedOn w:val="Normal"/>
    <w:next w:val="Normal"/>
    <w:autoRedefine/>
    <w:semiHidden/>
    <w:rsid w:val="00361797"/>
    <w:pPr>
      <w:ind w:left="1100"/>
    </w:pPr>
    <w:rPr>
      <w:sz w:val="20"/>
    </w:rPr>
  </w:style>
  <w:style w:type="paragraph" w:styleId="TOC7">
    <w:name w:val="toc 7"/>
    <w:basedOn w:val="Normal"/>
    <w:next w:val="Normal"/>
    <w:autoRedefine/>
    <w:semiHidden/>
    <w:rsid w:val="00361797"/>
    <w:pPr>
      <w:ind w:left="1320"/>
    </w:pPr>
    <w:rPr>
      <w:sz w:val="20"/>
    </w:rPr>
  </w:style>
  <w:style w:type="paragraph" w:styleId="TOC8">
    <w:name w:val="toc 8"/>
    <w:basedOn w:val="Normal"/>
    <w:next w:val="Normal"/>
    <w:autoRedefine/>
    <w:semiHidden/>
    <w:rsid w:val="00361797"/>
    <w:pPr>
      <w:ind w:left="1540"/>
    </w:pPr>
    <w:rPr>
      <w:sz w:val="20"/>
    </w:rPr>
  </w:style>
  <w:style w:type="paragraph" w:styleId="TOC9">
    <w:name w:val="toc 9"/>
    <w:basedOn w:val="Normal"/>
    <w:next w:val="Normal"/>
    <w:autoRedefine/>
    <w:semiHidden/>
    <w:rsid w:val="00361797"/>
    <w:pPr>
      <w:ind w:left="1760"/>
    </w:pPr>
    <w:rPr>
      <w:sz w:val="20"/>
    </w:rPr>
  </w:style>
  <w:style w:type="paragraph" w:styleId="FootnoteText">
    <w:name w:val="footnote text"/>
    <w:basedOn w:val="Normal"/>
    <w:link w:val="FootnoteTextChar"/>
    <w:semiHidden/>
    <w:rsid w:val="00361797"/>
    <w:rPr>
      <w:sz w:val="20"/>
    </w:rPr>
  </w:style>
  <w:style w:type="character" w:customStyle="1" w:styleId="FootnoteTextChar">
    <w:name w:val="Footnote Text Char"/>
    <w:basedOn w:val="DefaultParagraphFont"/>
    <w:link w:val="FootnoteText"/>
    <w:semiHidden/>
    <w:rsid w:val="00361797"/>
    <w:rPr>
      <w:rFonts w:ascii="Calibri" w:eastAsia="Times New Roman" w:hAnsi="Calibri" w:cs="Times New Roman"/>
      <w:sz w:val="20"/>
      <w:szCs w:val="20"/>
    </w:rPr>
  </w:style>
  <w:style w:type="paragraph" w:styleId="CommentText">
    <w:name w:val="annotation text"/>
    <w:basedOn w:val="Normal"/>
    <w:link w:val="CommentTextChar"/>
    <w:semiHidden/>
    <w:rsid w:val="00361797"/>
    <w:rPr>
      <w:sz w:val="20"/>
    </w:rPr>
  </w:style>
  <w:style w:type="character" w:customStyle="1" w:styleId="CommentTextChar">
    <w:name w:val="Comment Text Char"/>
    <w:basedOn w:val="DefaultParagraphFont"/>
    <w:link w:val="CommentText"/>
    <w:semiHidden/>
    <w:rsid w:val="00361797"/>
    <w:rPr>
      <w:rFonts w:ascii="Calibri" w:eastAsia="Times New Roman" w:hAnsi="Calibri" w:cs="Times New Roman"/>
      <w:sz w:val="20"/>
      <w:szCs w:val="20"/>
    </w:rPr>
  </w:style>
  <w:style w:type="paragraph" w:styleId="Header">
    <w:name w:val="header"/>
    <w:basedOn w:val="Normal"/>
    <w:link w:val="HeaderChar"/>
    <w:uiPriority w:val="99"/>
    <w:rsid w:val="00361797"/>
    <w:pPr>
      <w:tabs>
        <w:tab w:val="center" w:pos="4513"/>
        <w:tab w:val="right" w:pos="9026"/>
      </w:tabs>
      <w:spacing w:line="240" w:lineRule="auto"/>
    </w:pPr>
  </w:style>
  <w:style w:type="character" w:customStyle="1" w:styleId="HeaderChar">
    <w:name w:val="Header Char"/>
    <w:basedOn w:val="DefaultParagraphFont"/>
    <w:link w:val="Header"/>
    <w:uiPriority w:val="99"/>
    <w:rsid w:val="00361797"/>
    <w:rPr>
      <w:rFonts w:ascii="Calibri" w:eastAsia="Times New Roman" w:hAnsi="Calibri" w:cs="Times New Roman"/>
      <w:sz w:val="18"/>
      <w:szCs w:val="20"/>
    </w:rPr>
  </w:style>
  <w:style w:type="paragraph" w:styleId="Footer">
    <w:name w:val="footer"/>
    <w:basedOn w:val="Normal"/>
    <w:link w:val="FooterChar"/>
    <w:uiPriority w:val="99"/>
    <w:rsid w:val="00361797"/>
    <w:pPr>
      <w:tabs>
        <w:tab w:val="center" w:pos="4513"/>
        <w:tab w:val="right" w:pos="9026"/>
      </w:tabs>
      <w:spacing w:line="240" w:lineRule="auto"/>
    </w:pPr>
  </w:style>
  <w:style w:type="character" w:customStyle="1" w:styleId="FooterChar">
    <w:name w:val="Footer Char"/>
    <w:basedOn w:val="DefaultParagraphFont"/>
    <w:link w:val="Footer"/>
    <w:uiPriority w:val="99"/>
    <w:rsid w:val="00361797"/>
    <w:rPr>
      <w:rFonts w:ascii="Calibri" w:eastAsia="Times New Roman" w:hAnsi="Calibri" w:cs="Times New Roman"/>
      <w:sz w:val="18"/>
      <w:szCs w:val="20"/>
    </w:rPr>
  </w:style>
  <w:style w:type="paragraph" w:styleId="Caption">
    <w:name w:val="caption"/>
    <w:basedOn w:val="Normal"/>
    <w:next w:val="Normal"/>
    <w:qFormat/>
    <w:rsid w:val="00361797"/>
    <w:pPr>
      <w:spacing w:after="200" w:line="240" w:lineRule="auto"/>
    </w:pPr>
    <w:rPr>
      <w:b/>
      <w:bCs/>
      <w:color w:val="4F81BD" w:themeColor="accent1"/>
      <w:szCs w:val="18"/>
    </w:rPr>
  </w:style>
  <w:style w:type="paragraph" w:styleId="TableofFigures">
    <w:name w:val="table of figures"/>
    <w:basedOn w:val="Normal"/>
    <w:next w:val="Normal"/>
    <w:semiHidden/>
    <w:rsid w:val="00361797"/>
  </w:style>
  <w:style w:type="paragraph" w:styleId="MacroText">
    <w:name w:val="macro"/>
    <w:link w:val="MacroTextChar"/>
    <w:semiHidden/>
    <w:rsid w:val="00361797"/>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361797"/>
    <w:rPr>
      <w:rFonts w:ascii="Courier New" w:eastAsia="Times New Roman" w:hAnsi="Courier New" w:cs="Courier New"/>
      <w:sz w:val="18"/>
      <w:szCs w:val="20"/>
      <w:lang w:val="en-GB"/>
    </w:rPr>
  </w:style>
  <w:style w:type="paragraph" w:styleId="Signature">
    <w:name w:val="Signature"/>
    <w:basedOn w:val="Normal"/>
    <w:link w:val="SignatureChar"/>
    <w:rsid w:val="00361797"/>
    <w:pPr>
      <w:spacing w:line="240" w:lineRule="auto"/>
    </w:pPr>
  </w:style>
  <w:style w:type="character" w:customStyle="1" w:styleId="SignatureChar">
    <w:name w:val="Signature Char"/>
    <w:basedOn w:val="DefaultParagraphFont"/>
    <w:link w:val="Signature"/>
    <w:rsid w:val="00361797"/>
    <w:rPr>
      <w:rFonts w:ascii="Calibri" w:eastAsia="Times New Roman" w:hAnsi="Calibri" w:cs="Times New Roman"/>
      <w:sz w:val="18"/>
      <w:szCs w:val="20"/>
    </w:rPr>
  </w:style>
  <w:style w:type="paragraph" w:styleId="DocumentMap">
    <w:name w:val="Document Map"/>
    <w:basedOn w:val="Normal"/>
    <w:link w:val="DocumentMapChar"/>
    <w:semiHidden/>
    <w:rsid w:val="00361797"/>
    <w:pPr>
      <w:shd w:val="clear" w:color="auto" w:fill="000080"/>
      <w:spacing w:line="240" w:lineRule="auto"/>
    </w:pPr>
    <w:rPr>
      <w:rFonts w:ascii="Tahoma" w:hAnsi="Tahoma"/>
      <w:sz w:val="20"/>
      <w:lang w:eastAsia="en-AU"/>
    </w:rPr>
  </w:style>
  <w:style w:type="character" w:customStyle="1" w:styleId="DocumentMapChar">
    <w:name w:val="Document Map Char"/>
    <w:basedOn w:val="DefaultParagraphFont"/>
    <w:link w:val="DocumentMap"/>
    <w:semiHidden/>
    <w:rsid w:val="00361797"/>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361797"/>
    <w:rPr>
      <w:b/>
      <w:bCs/>
    </w:rPr>
  </w:style>
  <w:style w:type="character" w:customStyle="1" w:styleId="CommentSubjectChar">
    <w:name w:val="Comment Subject Char"/>
    <w:basedOn w:val="CommentTextChar"/>
    <w:link w:val="CommentSubject"/>
    <w:semiHidden/>
    <w:rsid w:val="00361797"/>
    <w:rPr>
      <w:rFonts w:ascii="Calibri" w:eastAsia="Times New Roman" w:hAnsi="Calibri" w:cs="Times New Roman"/>
      <w:b/>
      <w:bCs/>
      <w:sz w:val="20"/>
      <w:szCs w:val="20"/>
    </w:rPr>
  </w:style>
  <w:style w:type="paragraph" w:styleId="BalloonText">
    <w:name w:val="Balloon Text"/>
    <w:basedOn w:val="Normal"/>
    <w:link w:val="BalloonTextChar"/>
    <w:semiHidden/>
    <w:rsid w:val="00361797"/>
    <w:rPr>
      <w:rFonts w:ascii="Tahoma" w:hAnsi="Tahoma" w:cs="Tahoma"/>
      <w:sz w:val="16"/>
      <w:szCs w:val="16"/>
    </w:rPr>
  </w:style>
  <w:style w:type="character" w:customStyle="1" w:styleId="BalloonTextChar">
    <w:name w:val="Balloon Text Char"/>
    <w:basedOn w:val="DefaultParagraphFont"/>
    <w:link w:val="BalloonText"/>
    <w:semiHidden/>
    <w:rsid w:val="00361797"/>
    <w:rPr>
      <w:rFonts w:ascii="Tahoma" w:eastAsia="Times New Roman" w:hAnsi="Tahoma" w:cs="Tahoma"/>
      <w:sz w:val="16"/>
      <w:szCs w:val="16"/>
    </w:rPr>
  </w:style>
  <w:style w:type="paragraph" w:styleId="Revision">
    <w:name w:val="Revision"/>
    <w:uiPriority w:val="99"/>
    <w:semiHidden/>
    <w:rsid w:val="00361797"/>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361797"/>
    <w:rPr>
      <w:rFonts w:ascii="Arial" w:hAnsi="Arial" w:cs="Arial"/>
      <w:b/>
      <w:sz w:val="24"/>
      <w:szCs w:val="24"/>
    </w:rPr>
  </w:style>
  <w:style w:type="paragraph" w:customStyle="1" w:styleId="StatementName">
    <w:name w:val="Statement Name"/>
    <w:basedOn w:val="Normal"/>
    <w:next w:val="Normal"/>
    <w:link w:val="StatementNameChar"/>
    <w:autoRedefine/>
    <w:rsid w:val="00361797"/>
    <w:pPr>
      <w:pBdr>
        <w:bottom w:val="single" w:sz="4" w:space="1" w:color="auto"/>
      </w:pBdr>
    </w:pPr>
    <w:rPr>
      <w:rFonts w:ascii="Arial" w:eastAsiaTheme="minorHAnsi" w:hAnsi="Arial" w:cs="Arial"/>
      <w:b/>
      <w:sz w:val="24"/>
      <w:szCs w:val="24"/>
    </w:rPr>
  </w:style>
  <w:style w:type="paragraph" w:customStyle="1" w:styleId="StatementDateHeader">
    <w:name w:val="Statement Date Header"/>
    <w:basedOn w:val="Normal"/>
    <w:next w:val="Normal"/>
    <w:rsid w:val="00361797"/>
    <w:pPr>
      <w:pBdr>
        <w:bottom w:val="single" w:sz="4" w:space="1" w:color="auto"/>
      </w:pBdr>
    </w:pPr>
    <w:rPr>
      <w:rFonts w:ascii="Arial" w:hAnsi="Arial"/>
      <w:i/>
      <w:sz w:val="24"/>
    </w:rPr>
  </w:style>
  <w:style w:type="paragraph" w:customStyle="1" w:styleId="StatementTextLevel3">
    <w:name w:val="Statement Text Level 3"/>
    <w:basedOn w:val="Normal"/>
    <w:next w:val="Normal"/>
    <w:rsid w:val="00361797"/>
    <w:rPr>
      <w:rFonts w:ascii="Arial" w:hAnsi="Arial"/>
    </w:rPr>
  </w:style>
  <w:style w:type="paragraph" w:customStyle="1" w:styleId="TableHeaderLevel1">
    <w:name w:val="Table Header Level 1"/>
    <w:basedOn w:val="Normal"/>
    <w:semiHidden/>
    <w:rsid w:val="00361797"/>
    <w:pPr>
      <w:jc w:val="center"/>
    </w:pPr>
    <w:rPr>
      <w:rFonts w:ascii="Arial" w:hAnsi="Arial"/>
      <w:b/>
      <w:szCs w:val="18"/>
    </w:rPr>
  </w:style>
  <w:style w:type="paragraph" w:customStyle="1" w:styleId="StatementTextLevel1bItalic">
    <w:name w:val="Statement Text Level 1(b) + Italic"/>
    <w:basedOn w:val="Normal"/>
    <w:rsid w:val="00361797"/>
    <w:rPr>
      <w:rFonts w:ascii="Arial" w:hAnsi="Arial"/>
      <w:b/>
      <w:bCs/>
      <w:i/>
      <w:iCs/>
      <w:szCs w:val="18"/>
    </w:rPr>
  </w:style>
  <w:style w:type="paragraph" w:customStyle="1" w:styleId="Graphic">
    <w:name w:val="Graphic"/>
    <w:basedOn w:val="Signature"/>
    <w:rsid w:val="00361797"/>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361797"/>
    <w:pPr>
      <w:ind w:left="139" w:right="57"/>
    </w:pPr>
    <w:rPr>
      <w:b/>
      <w:iCs/>
      <w:sz w:val="20"/>
    </w:rPr>
  </w:style>
  <w:style w:type="paragraph" w:customStyle="1" w:styleId="TitlePage">
    <w:name w:val="Title Page"/>
    <w:basedOn w:val="Normal"/>
    <w:autoRedefine/>
    <w:rsid w:val="00361797"/>
    <w:pPr>
      <w:spacing w:before="1200" w:after="1200"/>
      <w:ind w:left="57" w:right="57"/>
      <w:jc w:val="right"/>
    </w:pPr>
    <w:rPr>
      <w:b/>
      <w:bCs/>
      <w:sz w:val="48"/>
    </w:rPr>
  </w:style>
  <w:style w:type="paragraph" w:customStyle="1" w:styleId="zcontents">
    <w:name w:val="zcontents"/>
    <w:basedOn w:val="Normal"/>
    <w:semiHidden/>
    <w:rsid w:val="00361797"/>
    <w:pPr>
      <w:spacing w:after="260" w:line="240" w:lineRule="auto"/>
    </w:pPr>
    <w:rPr>
      <w:b/>
      <w:sz w:val="32"/>
    </w:rPr>
  </w:style>
  <w:style w:type="paragraph" w:customStyle="1" w:styleId="Normal10pt">
    <w:name w:val="Normal + 10 pt"/>
    <w:aliases w:val="Line spacing:  single"/>
    <w:basedOn w:val="Normal"/>
    <w:rsid w:val="00361797"/>
    <w:pPr>
      <w:spacing w:before="130" w:after="130"/>
    </w:pPr>
    <w:rPr>
      <w:b/>
      <w:sz w:val="20"/>
    </w:rPr>
  </w:style>
  <w:style w:type="paragraph" w:customStyle="1" w:styleId="Normal8pt">
    <w:name w:val="Normal + 8 pt"/>
    <w:basedOn w:val="Normal"/>
    <w:rsid w:val="00361797"/>
    <w:pPr>
      <w:widowControl w:val="0"/>
      <w:autoSpaceDE w:val="0"/>
      <w:autoSpaceDN w:val="0"/>
      <w:spacing w:line="240" w:lineRule="auto"/>
    </w:pPr>
    <w:rPr>
      <w:bCs/>
      <w:iCs/>
      <w:spacing w:val="-6"/>
      <w:sz w:val="16"/>
      <w:szCs w:val="16"/>
      <w:lang w:val="en-US"/>
    </w:rPr>
  </w:style>
  <w:style w:type="paragraph" w:customStyle="1" w:styleId="NormalCalistoMT">
    <w:name w:val="Normal + Calisto MT"/>
    <w:aliases w:val="8 pt,Right"/>
    <w:basedOn w:val="Normal"/>
    <w:rsid w:val="00361797"/>
    <w:pPr>
      <w:framePr w:hSpace="180" w:wrap="around" w:vAnchor="text" w:hAnchor="margin" w:y="1"/>
      <w:ind w:right="212"/>
      <w:jc w:val="right"/>
    </w:pPr>
    <w:rPr>
      <w:rFonts w:ascii="Calisto MT" w:hAnsi="Calisto MT"/>
      <w:sz w:val="16"/>
    </w:rPr>
  </w:style>
  <w:style w:type="character" w:customStyle="1" w:styleId="ReferenceTextChar">
    <w:name w:val="Reference Text Char"/>
    <w:basedOn w:val="DefaultParagraphFont"/>
    <w:link w:val="ReferenceText"/>
    <w:uiPriority w:val="99"/>
    <w:locked/>
    <w:rsid w:val="00361797"/>
    <w:rPr>
      <w:rFonts w:cstheme="minorHAnsi"/>
      <w:sz w:val="18"/>
    </w:rPr>
  </w:style>
  <w:style w:type="paragraph" w:customStyle="1" w:styleId="ReferenceText">
    <w:name w:val="Reference Text"/>
    <w:basedOn w:val="Normal"/>
    <w:link w:val="ReferenceTextChar"/>
    <w:autoRedefine/>
    <w:uiPriority w:val="99"/>
    <w:qFormat/>
    <w:rsid w:val="00361797"/>
    <w:rPr>
      <w:rFonts w:asciiTheme="minorHAnsi" w:eastAsiaTheme="minorHAnsi" w:hAnsiTheme="minorHAnsi" w:cstheme="minorHAnsi"/>
      <w:szCs w:val="22"/>
    </w:rPr>
  </w:style>
  <w:style w:type="character" w:customStyle="1" w:styleId="NotesHeading-Level1Char">
    <w:name w:val="Notes Heading - Level 1 Char"/>
    <w:basedOn w:val="DefaultParagraphFont"/>
    <w:link w:val="NotesHeading-Level1"/>
    <w:locked/>
    <w:rsid w:val="00361797"/>
    <w:rPr>
      <w:b/>
    </w:rPr>
  </w:style>
  <w:style w:type="paragraph" w:customStyle="1" w:styleId="NotesHeading-Level1">
    <w:name w:val="Notes Heading - Level 1"/>
    <w:basedOn w:val="Normal"/>
    <w:link w:val="NotesHeading-Level1Char"/>
    <w:qFormat/>
    <w:rsid w:val="00361797"/>
    <w:pPr>
      <w:numPr>
        <w:numId w:val="13"/>
      </w:numPr>
      <w:ind w:right="607"/>
      <w:outlineLvl w:val="0"/>
    </w:pPr>
    <w:rPr>
      <w:rFonts w:asciiTheme="minorHAnsi" w:eastAsiaTheme="minorHAnsi" w:hAnsiTheme="minorHAnsi" w:cstheme="minorBidi"/>
      <w:b/>
      <w:sz w:val="22"/>
      <w:szCs w:val="22"/>
    </w:rPr>
  </w:style>
  <w:style w:type="paragraph" w:customStyle="1" w:styleId="NotesHeading-Level2">
    <w:name w:val="Notes Heading - Level 2"/>
    <w:basedOn w:val="NotesHeading-Level1"/>
    <w:rsid w:val="00361797"/>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361797"/>
    <w:rPr>
      <w:rFonts w:ascii="Arial" w:hAnsi="Arial"/>
      <w:b/>
      <w:sz w:val="24"/>
    </w:rPr>
  </w:style>
  <w:style w:type="paragraph" w:customStyle="1" w:styleId="GreyShadeTableBreak">
    <w:name w:val="Grey Shade Table Break"/>
    <w:basedOn w:val="Normal"/>
    <w:qFormat/>
    <w:rsid w:val="00361797"/>
    <w:pPr>
      <w:shd w:val="clear" w:color="auto" w:fill="D9D9D9" w:themeFill="background1" w:themeFillShade="D9"/>
      <w:tabs>
        <w:tab w:val="left" w:pos="9214"/>
      </w:tabs>
      <w:ind w:right="607"/>
    </w:pPr>
  </w:style>
  <w:style w:type="paragraph" w:customStyle="1" w:styleId="GreyShadeTableBreaknon-Standard">
    <w:name w:val="Grey Shade Table Break non-Standard"/>
    <w:qFormat/>
    <w:rsid w:val="00361797"/>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361797"/>
    <w:pPr>
      <w:spacing w:line="240" w:lineRule="auto"/>
      <w:ind w:left="567" w:right="567"/>
    </w:pPr>
    <w:rPr>
      <w:rFonts w:cs="Arial"/>
      <w:szCs w:val="18"/>
    </w:rPr>
  </w:style>
  <w:style w:type="paragraph" w:customStyle="1" w:styleId="NotesHeader">
    <w:name w:val="Notes Header"/>
    <w:basedOn w:val="Normal"/>
    <w:next w:val="Normal"/>
    <w:rsid w:val="00361797"/>
    <w:pPr>
      <w:jc w:val="center"/>
    </w:pPr>
    <w:rPr>
      <w:rFonts w:ascii="Arial" w:hAnsi="Arial"/>
      <w:b/>
    </w:rPr>
  </w:style>
  <w:style w:type="paragraph" w:customStyle="1" w:styleId="NotesReferences">
    <w:name w:val="Notes References"/>
    <w:basedOn w:val="Normal"/>
    <w:next w:val="Normal"/>
    <w:rsid w:val="00361797"/>
    <w:pPr>
      <w:jc w:val="center"/>
    </w:pPr>
    <w:rPr>
      <w:rFonts w:ascii="Arial" w:hAnsi="Arial"/>
    </w:rPr>
  </w:style>
  <w:style w:type="paragraph" w:customStyle="1" w:styleId="NotesData">
    <w:name w:val="Notes Data"/>
    <w:basedOn w:val="Normal"/>
    <w:rsid w:val="00361797"/>
    <w:pPr>
      <w:framePr w:hSpace="180" w:wrap="around" w:vAnchor="text" w:hAnchor="margin" w:y="1"/>
      <w:jc w:val="center"/>
    </w:pPr>
    <w:rPr>
      <w:sz w:val="20"/>
    </w:rPr>
  </w:style>
  <w:style w:type="paragraph" w:customStyle="1" w:styleId="NotesTextLevel1">
    <w:name w:val="Notes Text Level 1"/>
    <w:basedOn w:val="Normal"/>
    <w:next w:val="Normal"/>
    <w:rsid w:val="00361797"/>
    <w:rPr>
      <w:rFonts w:ascii="Arial" w:hAnsi="Arial"/>
      <w:b/>
      <w:i/>
      <w:u w:val="single"/>
    </w:rPr>
  </w:style>
  <w:style w:type="character" w:customStyle="1" w:styleId="NotesTextLevel3aboldItalicChar">
    <w:name w:val="Notes Text Level 3(a) bold + Italic Char"/>
    <w:basedOn w:val="DefaultParagraphFont"/>
    <w:link w:val="NotesTextLevel3aboldItalic"/>
    <w:locked/>
    <w:rsid w:val="00361797"/>
    <w:rPr>
      <w:rFonts w:ascii="Arial" w:hAnsi="Arial" w:cs="Arial"/>
      <w:b/>
      <w:bCs/>
      <w:i/>
      <w:iCs/>
      <w:sz w:val="18"/>
    </w:rPr>
  </w:style>
  <w:style w:type="paragraph" w:customStyle="1" w:styleId="NotesTextLevel3aboldItalic">
    <w:name w:val="Notes Text Level 3(a) bold + Italic"/>
    <w:basedOn w:val="Normal"/>
    <w:link w:val="NotesTextLevel3aboldItalicChar"/>
    <w:rsid w:val="00361797"/>
    <w:rPr>
      <w:rFonts w:ascii="Arial" w:eastAsiaTheme="minorHAnsi" w:hAnsi="Arial" w:cs="Arial"/>
      <w:b/>
      <w:bCs/>
      <w:i/>
      <w:iCs/>
      <w:szCs w:val="22"/>
    </w:rPr>
  </w:style>
  <w:style w:type="paragraph" w:customStyle="1" w:styleId="NotesHeading3">
    <w:name w:val="Notes Heading 3"/>
    <w:basedOn w:val="Normal"/>
    <w:autoRedefine/>
    <w:rsid w:val="00361797"/>
    <w:pPr>
      <w:spacing w:before="80" w:after="40"/>
      <w:ind w:left="113" w:right="113"/>
    </w:pPr>
    <w:rPr>
      <w:u w:val="single"/>
      <w:lang w:val="en-US"/>
    </w:rPr>
  </w:style>
  <w:style w:type="paragraph" w:customStyle="1" w:styleId="NotesHeading3a">
    <w:name w:val="Notes Heading 3a"/>
    <w:basedOn w:val="Normal"/>
    <w:autoRedefine/>
    <w:rsid w:val="00361797"/>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361797"/>
    <w:pPr>
      <w:framePr w:hSpace="180" w:wrap="around" w:vAnchor="page" w:hAnchor="margin" w:y="1985"/>
      <w:tabs>
        <w:tab w:val="left" w:pos="593"/>
        <w:tab w:val="left" w:pos="1443"/>
      </w:tabs>
      <w:ind w:left="567" w:right="113"/>
    </w:pPr>
    <w:rPr>
      <w:sz w:val="20"/>
    </w:rPr>
  </w:style>
  <w:style w:type="paragraph" w:customStyle="1" w:styleId="NotesLineItem">
    <w:name w:val="Notes Line Item"/>
    <w:basedOn w:val="Normal"/>
    <w:autoRedefine/>
    <w:rsid w:val="00361797"/>
    <w:pPr>
      <w:ind w:left="34"/>
    </w:pPr>
    <w:rPr>
      <w:iCs/>
      <w:sz w:val="16"/>
      <w:szCs w:val="16"/>
      <w:lang w:eastAsia="en-AU"/>
    </w:rPr>
  </w:style>
  <w:style w:type="paragraph" w:customStyle="1" w:styleId="NoteText">
    <w:name w:val="Note Text"/>
    <w:basedOn w:val="Normal"/>
    <w:autoRedefine/>
    <w:rsid w:val="00361797"/>
    <w:pPr>
      <w:tabs>
        <w:tab w:val="left" w:pos="284"/>
      </w:tabs>
      <w:spacing w:after="120"/>
      <w:ind w:left="567"/>
    </w:pPr>
    <w:rPr>
      <w:sz w:val="20"/>
    </w:rPr>
  </w:style>
  <w:style w:type="paragraph" w:customStyle="1" w:styleId="NotesHeading">
    <w:name w:val="'Notes' Heading"/>
    <w:basedOn w:val="Normal"/>
    <w:autoRedefine/>
    <w:rsid w:val="00361797"/>
    <w:pPr>
      <w:ind w:left="57" w:right="57"/>
      <w:jc w:val="center"/>
    </w:pPr>
    <w:rPr>
      <w:b/>
      <w:sz w:val="20"/>
    </w:rPr>
  </w:style>
  <w:style w:type="paragraph" w:customStyle="1" w:styleId="NotesReference">
    <w:name w:val="'Notes' Reference"/>
    <w:basedOn w:val="Normal"/>
    <w:autoRedefine/>
    <w:rsid w:val="00361797"/>
    <w:pPr>
      <w:ind w:left="57" w:right="57"/>
      <w:jc w:val="center"/>
    </w:pPr>
    <w:rPr>
      <w:sz w:val="20"/>
    </w:rPr>
  </w:style>
  <w:style w:type="paragraph" w:customStyle="1" w:styleId="NotesHeading4">
    <w:name w:val="Notes Heading 4"/>
    <w:basedOn w:val="NoteText"/>
    <w:autoRedefine/>
    <w:rsid w:val="00361797"/>
    <w:pPr>
      <w:keepNext/>
      <w:spacing w:before="200" w:after="80"/>
      <w:ind w:right="57"/>
    </w:pPr>
  </w:style>
  <w:style w:type="paragraph" w:customStyle="1" w:styleId="NotesHeading3NumberingOff">
    <w:name w:val="Notes Heading 3 Numbering Off"/>
    <w:basedOn w:val="NotesHeading3"/>
    <w:autoRedefine/>
    <w:rsid w:val="00361797"/>
    <w:pPr>
      <w:tabs>
        <w:tab w:val="left" w:pos="1132"/>
      </w:tabs>
    </w:pPr>
  </w:style>
  <w:style w:type="paragraph" w:customStyle="1" w:styleId="NotesHeadingPlain">
    <w:name w:val="'Notes' Heading Plain"/>
    <w:basedOn w:val="NotesHeading"/>
    <w:autoRedefine/>
    <w:rsid w:val="00361797"/>
    <w:rPr>
      <w:b w:val="0"/>
    </w:rPr>
  </w:style>
  <w:style w:type="paragraph" w:customStyle="1" w:styleId="NotesHeading5">
    <w:name w:val="Notes Heading 5"/>
    <w:basedOn w:val="Normal"/>
    <w:autoRedefine/>
    <w:rsid w:val="00361797"/>
    <w:pPr>
      <w:spacing w:before="120" w:after="40"/>
      <w:ind w:left="113" w:right="113"/>
      <w:jc w:val="both"/>
    </w:pPr>
    <w:rPr>
      <w:b/>
      <w:sz w:val="20"/>
    </w:rPr>
  </w:style>
  <w:style w:type="paragraph" w:customStyle="1" w:styleId="NoteTextBEFOREDotPoint">
    <w:name w:val="Note Text BEFORE Dot Point"/>
    <w:basedOn w:val="NoteText"/>
    <w:rsid w:val="00361797"/>
    <w:pPr>
      <w:spacing w:after="0"/>
      <w:ind w:left="178" w:right="57"/>
    </w:pPr>
  </w:style>
  <w:style w:type="paragraph" w:customStyle="1" w:styleId="ItalicLineItem">
    <w:name w:val="Italic Line Item"/>
    <w:basedOn w:val="Normal"/>
    <w:rsid w:val="00361797"/>
    <w:pPr>
      <w:tabs>
        <w:tab w:val="left" w:pos="566"/>
      </w:tabs>
      <w:ind w:left="284" w:right="113"/>
      <w:jc w:val="both"/>
    </w:pPr>
    <w:rPr>
      <w:i/>
      <w:sz w:val="20"/>
      <w:lang w:val="en-US"/>
    </w:rPr>
  </w:style>
  <w:style w:type="paragraph" w:customStyle="1" w:styleId="ItalicHeading">
    <w:name w:val="Italic Heading"/>
    <w:basedOn w:val="ItalicLineItem"/>
    <w:rsid w:val="00361797"/>
    <w:pPr>
      <w:ind w:left="57" w:right="0"/>
    </w:pPr>
  </w:style>
  <w:style w:type="paragraph" w:customStyle="1" w:styleId="Notes">
    <w:name w:val="'Notes'"/>
    <w:basedOn w:val="Normal"/>
    <w:rsid w:val="00361797"/>
    <w:pPr>
      <w:jc w:val="center"/>
    </w:pPr>
    <w:rPr>
      <w:b/>
    </w:rPr>
  </w:style>
  <w:style w:type="character" w:customStyle="1" w:styleId="LineitemsChar">
    <w:name w:val="Line items Char"/>
    <w:basedOn w:val="DefaultParagraphFont"/>
    <w:link w:val="Lineitems"/>
    <w:uiPriority w:val="99"/>
    <w:locked/>
    <w:rsid w:val="00361797"/>
  </w:style>
  <w:style w:type="paragraph" w:customStyle="1" w:styleId="Lineitems">
    <w:name w:val="Line items"/>
    <w:basedOn w:val="Normal"/>
    <w:link w:val="LineitemsChar"/>
    <w:autoRedefine/>
    <w:uiPriority w:val="99"/>
    <w:rsid w:val="00361797"/>
    <w:rPr>
      <w:rFonts w:asciiTheme="minorHAnsi" w:eastAsiaTheme="minorHAnsi" w:hAnsiTheme="minorHAnsi" w:cstheme="minorBidi"/>
      <w:sz w:val="22"/>
      <w:szCs w:val="22"/>
    </w:rPr>
  </w:style>
  <w:style w:type="paragraph" w:customStyle="1" w:styleId="Notestext">
    <w:name w:val="Notes text"/>
    <w:basedOn w:val="Notes"/>
    <w:rsid w:val="00361797"/>
    <w:rPr>
      <w:b w:val="0"/>
    </w:rPr>
  </w:style>
  <w:style w:type="paragraph" w:customStyle="1" w:styleId="Lineitemtable">
    <w:name w:val="Line item table"/>
    <w:basedOn w:val="Lineitems"/>
    <w:rsid w:val="00361797"/>
  </w:style>
  <w:style w:type="paragraph" w:customStyle="1" w:styleId="12line">
    <w:name w:val="1/2 line"/>
    <w:basedOn w:val="Normal"/>
    <w:rsid w:val="00361797"/>
    <w:pPr>
      <w:spacing w:before="10" w:after="10" w:line="240" w:lineRule="auto"/>
    </w:pPr>
    <w:rPr>
      <w:sz w:val="20"/>
    </w:rPr>
  </w:style>
  <w:style w:type="paragraph" w:customStyle="1" w:styleId="lineitemitalic">
    <w:name w:val="line item italic"/>
    <w:basedOn w:val="Normal"/>
    <w:rsid w:val="00361797"/>
    <w:rPr>
      <w:i/>
    </w:rPr>
  </w:style>
  <w:style w:type="paragraph" w:customStyle="1" w:styleId="lineitembold">
    <w:name w:val="line item bold"/>
    <w:basedOn w:val="Normal"/>
    <w:rsid w:val="00361797"/>
    <w:rPr>
      <w:b/>
      <w:sz w:val="20"/>
    </w:rPr>
  </w:style>
  <w:style w:type="paragraph" w:customStyle="1" w:styleId="Notesheading0">
    <w:name w:val="Notes heading"/>
    <w:basedOn w:val="Normal"/>
    <w:rsid w:val="00361797"/>
    <w:pPr>
      <w:spacing w:line="240" w:lineRule="auto"/>
    </w:pPr>
    <w:rPr>
      <w:rFonts w:ascii="Calisto MT" w:hAnsi="Calisto MT"/>
      <w:b/>
      <w:sz w:val="14"/>
      <w:lang w:eastAsia="en-AU"/>
    </w:rPr>
  </w:style>
  <w:style w:type="paragraph" w:customStyle="1" w:styleId="Notestothefinancialstatements">
    <w:name w:val="Notes to the financial statements"/>
    <w:aliases w:val="Heading"/>
    <w:basedOn w:val="Normal"/>
    <w:rsid w:val="00361797"/>
    <w:pPr>
      <w:tabs>
        <w:tab w:val="left" w:pos="567"/>
        <w:tab w:val="left" w:pos="1134"/>
        <w:tab w:val="left" w:pos="1701"/>
      </w:tabs>
      <w:spacing w:before="60" w:after="60" w:line="240" w:lineRule="auto"/>
    </w:pPr>
    <w:rPr>
      <w:rFonts w:ascii="Tahoma" w:hAnsi="Tahoma"/>
      <w:b/>
      <w:color w:val="000000"/>
      <w:sz w:val="16"/>
      <w:lang w:eastAsia="en-AU"/>
    </w:rPr>
  </w:style>
  <w:style w:type="paragraph" w:customStyle="1" w:styleId="NotesBulletPoint">
    <w:name w:val="Notes Bullet Point"/>
    <w:basedOn w:val="Normal"/>
    <w:autoRedefine/>
    <w:rsid w:val="00361797"/>
    <w:pPr>
      <w:tabs>
        <w:tab w:val="left" w:pos="413"/>
        <w:tab w:val="num" w:pos="927"/>
      </w:tabs>
      <w:snapToGrid w:val="0"/>
      <w:spacing w:line="240" w:lineRule="auto"/>
      <w:ind w:left="414" w:right="113" w:hanging="301"/>
      <w:jc w:val="both"/>
    </w:pPr>
    <w:rPr>
      <w:sz w:val="20"/>
      <w:lang w:val="en-US" w:eastAsia="en-AU"/>
    </w:rPr>
  </w:style>
  <w:style w:type="paragraph" w:customStyle="1" w:styleId="Headinga">
    <w:name w:val="Heading a"/>
    <w:basedOn w:val="Normal"/>
    <w:rsid w:val="00361797"/>
    <w:pPr>
      <w:spacing w:line="240" w:lineRule="auto"/>
    </w:pPr>
    <w:rPr>
      <w:b/>
      <w:bCs/>
      <w:szCs w:val="18"/>
    </w:rPr>
  </w:style>
  <w:style w:type="character" w:customStyle="1" w:styleId="LineitemsTotalChar">
    <w:name w:val="Line items Total Char"/>
    <w:basedOn w:val="LineitemsChar"/>
    <w:link w:val="LineitemsTotal"/>
    <w:uiPriority w:val="99"/>
    <w:locked/>
    <w:rsid w:val="00361797"/>
    <w:rPr>
      <w:b/>
      <w:i/>
    </w:rPr>
  </w:style>
  <w:style w:type="paragraph" w:customStyle="1" w:styleId="LineitemsTotal">
    <w:name w:val="Line items Total"/>
    <w:basedOn w:val="Lineitems"/>
    <w:link w:val="LineitemsTotalChar"/>
    <w:uiPriority w:val="99"/>
    <w:rsid w:val="00361797"/>
    <w:pPr>
      <w:framePr w:hSpace="180" w:wrap="around" w:vAnchor="text" w:hAnchor="margin" w:y="1"/>
    </w:pPr>
    <w:rPr>
      <w:b/>
      <w:i/>
    </w:rPr>
  </w:style>
  <w:style w:type="paragraph" w:customStyle="1" w:styleId="SAPHeading-Level1">
    <w:name w:val="SAP Heading - Level 1"/>
    <w:basedOn w:val="NotesHeading-Level1"/>
    <w:rsid w:val="00361797"/>
    <w:pPr>
      <w:numPr>
        <w:numId w:val="0"/>
      </w:numPr>
      <w:tabs>
        <w:tab w:val="num" w:pos="851"/>
      </w:tabs>
      <w:ind w:left="851" w:hanging="851"/>
    </w:pPr>
    <w:rPr>
      <w:rFonts w:cstheme="minorHAnsi"/>
    </w:rPr>
  </w:style>
  <w:style w:type="paragraph" w:customStyle="1" w:styleId="SAPHeading-Level2">
    <w:name w:val="SAP Heading - Level 2"/>
    <w:basedOn w:val="SAPHeading-Level1"/>
    <w:rsid w:val="00361797"/>
    <w:pPr>
      <w:spacing w:before="100" w:after="100" w:line="240" w:lineRule="auto"/>
      <w:outlineLvl w:val="9"/>
    </w:pPr>
  </w:style>
  <w:style w:type="paragraph" w:customStyle="1" w:styleId="SAPHeading-Level3">
    <w:name w:val="SAP Heading - Level 3"/>
    <w:basedOn w:val="SAPHeading-Level2"/>
    <w:rsid w:val="00361797"/>
  </w:style>
  <w:style w:type="character" w:customStyle="1" w:styleId="NotesTextChar">
    <w:name w:val="Notes Text Char"/>
    <w:basedOn w:val="ReferenceTextChar"/>
    <w:link w:val="NotesText0"/>
    <w:uiPriority w:val="99"/>
    <w:locked/>
    <w:rsid w:val="00361797"/>
    <w:rPr>
      <w:rFonts w:cs="Arial"/>
      <w:sz w:val="18"/>
      <w:szCs w:val="18"/>
    </w:rPr>
  </w:style>
  <w:style w:type="paragraph" w:customStyle="1" w:styleId="NotesText0">
    <w:name w:val="Notes Text"/>
    <w:basedOn w:val="ReferenceText"/>
    <w:link w:val="NotesTextChar"/>
    <w:uiPriority w:val="99"/>
    <w:rsid w:val="00361797"/>
    <w:pPr>
      <w:spacing w:before="100" w:after="100" w:line="240" w:lineRule="auto"/>
    </w:pPr>
    <w:rPr>
      <w:rFonts w:cs="Arial"/>
      <w:szCs w:val="18"/>
    </w:rPr>
  </w:style>
  <w:style w:type="paragraph" w:customStyle="1" w:styleId="NotesTextHeading">
    <w:name w:val="Notes Text Heading"/>
    <w:basedOn w:val="NotesText0"/>
    <w:uiPriority w:val="99"/>
    <w:rsid w:val="00361797"/>
    <w:rPr>
      <w:b/>
      <w:i/>
    </w:rPr>
  </w:style>
  <w:style w:type="paragraph" w:customStyle="1" w:styleId="NoteHeading-Level1">
    <w:name w:val="Note Heading - Level 1"/>
    <w:basedOn w:val="Normal"/>
    <w:rsid w:val="00361797"/>
  </w:style>
  <w:style w:type="paragraph" w:customStyle="1" w:styleId="NoteHeading-Level2">
    <w:name w:val="Note Heading - Level 2"/>
    <w:basedOn w:val="Normal"/>
    <w:rsid w:val="00361797"/>
  </w:style>
  <w:style w:type="paragraph" w:customStyle="1" w:styleId="Notesreferencetext">
    <w:name w:val="Notes reference text"/>
    <w:basedOn w:val="Normal"/>
    <w:next w:val="Normal"/>
    <w:rsid w:val="00361797"/>
    <w:pPr>
      <w:jc w:val="center"/>
    </w:pPr>
  </w:style>
  <w:style w:type="character" w:customStyle="1" w:styleId="StyleReferenceTextItalicChar">
    <w:name w:val="Style Reference Text + Italic Char"/>
    <w:basedOn w:val="ReferenceTextChar"/>
    <w:link w:val="StyleReferenceTextItalic"/>
    <w:uiPriority w:val="99"/>
    <w:locked/>
    <w:rsid w:val="00361797"/>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361797"/>
    <w:pPr>
      <w:spacing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361797"/>
    <w:rPr>
      <w:rFonts w:cs="Arial"/>
      <w:i/>
      <w:iCs/>
      <w:sz w:val="18"/>
      <w:szCs w:val="18"/>
      <w:u w:val="single"/>
    </w:rPr>
  </w:style>
  <w:style w:type="paragraph" w:customStyle="1" w:styleId="StyleNotesTextItalic">
    <w:name w:val="Style Notes Text + Italic"/>
    <w:basedOn w:val="NotesText0"/>
    <w:link w:val="StyleNotesTextItalicChar"/>
    <w:uiPriority w:val="99"/>
    <w:rsid w:val="00361797"/>
    <w:pPr>
      <w:ind w:right="-54"/>
    </w:pPr>
    <w:rPr>
      <w:i/>
      <w:iCs/>
      <w:u w:val="single"/>
    </w:rPr>
  </w:style>
  <w:style w:type="paragraph" w:customStyle="1" w:styleId="StyleNotesTextPatternClearGray-25">
    <w:name w:val="Style Notes Text + Pattern: Clear (Gray-25%)"/>
    <w:basedOn w:val="NotesText0"/>
    <w:autoRedefine/>
    <w:uiPriority w:val="99"/>
    <w:rsid w:val="00361797"/>
    <w:pPr>
      <w:shd w:val="clear" w:color="auto" w:fill="CCCCCC"/>
      <w:ind w:right="-54"/>
    </w:pPr>
    <w:rPr>
      <w:rFonts w:ascii="Calibri" w:hAnsi="Calibri"/>
      <w:sz w:val="20"/>
      <w:szCs w:val="20"/>
    </w:rPr>
  </w:style>
  <w:style w:type="paragraph" w:customStyle="1" w:styleId="BulletKPMG">
    <w:name w:val="Bullet KPMG"/>
    <w:basedOn w:val="Normal"/>
    <w:uiPriority w:val="99"/>
    <w:rsid w:val="00361797"/>
    <w:pPr>
      <w:tabs>
        <w:tab w:val="num" w:pos="473"/>
      </w:tabs>
      <w:spacing w:before="100" w:after="100" w:line="240" w:lineRule="auto"/>
      <w:ind w:left="357" w:hanging="357"/>
    </w:pPr>
    <w:rPr>
      <w:sz w:val="20"/>
      <w:lang w:val="en-US" w:eastAsia="en-AU"/>
    </w:rPr>
  </w:style>
  <w:style w:type="character" w:customStyle="1" w:styleId="StyleNotesTextBoldChar">
    <w:name w:val="Style Notes Text + Bold Char"/>
    <w:basedOn w:val="NotesTextChar"/>
    <w:link w:val="StyleNotesTextBold"/>
    <w:uiPriority w:val="99"/>
    <w:locked/>
    <w:rsid w:val="00361797"/>
    <w:rPr>
      <w:rFonts w:ascii="Calibri" w:hAnsi="Calibri" w:cs="Arial"/>
      <w:bCs/>
      <w:sz w:val="18"/>
      <w:szCs w:val="18"/>
    </w:rPr>
  </w:style>
  <w:style w:type="paragraph" w:customStyle="1" w:styleId="StyleNotesTextBold">
    <w:name w:val="Style Notes Text + Bold"/>
    <w:basedOn w:val="NotesText0"/>
    <w:link w:val="StyleNotesTextBoldChar"/>
    <w:uiPriority w:val="99"/>
    <w:rsid w:val="00361797"/>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361797"/>
    <w:rPr>
      <w:rFonts w:ascii="Calibri" w:hAnsi="Calibri" w:cs="Arial"/>
      <w:bCs/>
      <w:sz w:val="18"/>
      <w:szCs w:val="18"/>
    </w:rPr>
  </w:style>
  <w:style w:type="paragraph" w:customStyle="1" w:styleId="StyleNotesTextBold1">
    <w:name w:val="Style Notes Text + Bold1"/>
    <w:basedOn w:val="NotesText0"/>
    <w:link w:val="StyleNotesTextBold1Char"/>
    <w:uiPriority w:val="99"/>
    <w:rsid w:val="00361797"/>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361797"/>
    <w:rPr>
      <w:rFonts w:ascii="Arial" w:hAnsi="Arial" w:cs="Arial"/>
      <w:b/>
      <w:sz w:val="18"/>
      <w:szCs w:val="18"/>
    </w:rPr>
  </w:style>
  <w:style w:type="paragraph" w:customStyle="1" w:styleId="StatementTextLevel1b">
    <w:name w:val="Statement Text Level 1(b)"/>
    <w:basedOn w:val="Normal"/>
    <w:link w:val="StatementTextLevel1bChar"/>
    <w:uiPriority w:val="99"/>
    <w:rsid w:val="00361797"/>
    <w:rPr>
      <w:rFonts w:ascii="Arial" w:eastAsiaTheme="minorHAnsi" w:hAnsi="Arial" w:cs="Arial"/>
      <w:b/>
      <w:szCs w:val="18"/>
    </w:rPr>
  </w:style>
  <w:style w:type="paragraph" w:customStyle="1" w:styleId="PrimaryStatementsHeading">
    <w:name w:val="Primary Statements Heading"/>
    <w:basedOn w:val="Normal"/>
    <w:autoRedefine/>
    <w:uiPriority w:val="99"/>
    <w:rsid w:val="00361797"/>
    <w:pPr>
      <w:spacing w:line="300" w:lineRule="exact"/>
    </w:pPr>
    <w:rPr>
      <w:b/>
      <w:sz w:val="24"/>
      <w:lang w:val="en-US"/>
    </w:rPr>
  </w:style>
  <w:style w:type="paragraph" w:customStyle="1" w:styleId="PeriodHeading">
    <w:name w:val="Period Heading"/>
    <w:basedOn w:val="PrimaryStatementsHeading"/>
    <w:uiPriority w:val="99"/>
    <w:rsid w:val="00361797"/>
    <w:rPr>
      <w:i/>
      <w:sz w:val="22"/>
    </w:rPr>
  </w:style>
  <w:style w:type="paragraph" w:customStyle="1" w:styleId="CurrentYearDataTotalLevel1">
    <w:name w:val="Current Year Data Total Level 1"/>
    <w:basedOn w:val="Normal"/>
    <w:next w:val="Normal"/>
    <w:autoRedefine/>
    <w:uiPriority w:val="99"/>
    <w:rsid w:val="00361797"/>
    <w:pPr>
      <w:pBdr>
        <w:top w:val="single" w:sz="4" w:space="1" w:color="auto"/>
        <w:bottom w:val="double" w:sz="6" w:space="1" w:color="auto"/>
      </w:pBdr>
      <w:jc w:val="right"/>
    </w:pPr>
    <w:rPr>
      <w:b/>
      <w:szCs w:val="16"/>
    </w:rPr>
  </w:style>
  <w:style w:type="character" w:customStyle="1" w:styleId="LineitemsHeadingChar">
    <w:name w:val="Line items Heading Char"/>
    <w:basedOn w:val="LineitemsChar"/>
    <w:link w:val="LineitemsHeading"/>
    <w:uiPriority w:val="99"/>
    <w:locked/>
    <w:rsid w:val="00361797"/>
    <w:rPr>
      <w:rFonts w:ascii="Calibri" w:hAnsi="Calibri" w:cs="Calibri"/>
      <w:b/>
      <w:sz w:val="18"/>
    </w:rPr>
  </w:style>
  <w:style w:type="paragraph" w:customStyle="1" w:styleId="LineitemsHeading">
    <w:name w:val="Line items Heading"/>
    <w:basedOn w:val="Lineitems"/>
    <w:link w:val="LineitemsHeadingChar"/>
    <w:uiPriority w:val="99"/>
    <w:rsid w:val="00361797"/>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361797"/>
    <w:pPr>
      <w:pBdr>
        <w:top w:val="single" w:sz="4" w:space="1" w:color="auto"/>
        <w:bottom w:val="double" w:sz="6" w:space="1" w:color="auto"/>
      </w:pBdr>
      <w:jc w:val="right"/>
    </w:pPr>
  </w:style>
  <w:style w:type="paragraph" w:customStyle="1" w:styleId="StyleNotesTextItalic1">
    <w:name w:val="Style Notes Text + Italic1"/>
    <w:basedOn w:val="NotesText0"/>
    <w:uiPriority w:val="99"/>
    <w:rsid w:val="00361797"/>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361797"/>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361797"/>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361797"/>
    <w:pPr>
      <w:pBdr>
        <w:top w:val="single" w:sz="4" w:space="1" w:color="auto"/>
        <w:bottom w:val="single" w:sz="4" w:space="1" w:color="auto"/>
      </w:pBdr>
      <w:jc w:val="right"/>
    </w:pPr>
    <w:rPr>
      <w:rFonts w:eastAsiaTheme="minorHAnsi" w:cs="Calibri"/>
      <w:szCs w:val="22"/>
    </w:rPr>
  </w:style>
  <w:style w:type="character" w:customStyle="1" w:styleId="CurrentYearDataTotalLevel2Char">
    <w:name w:val="Current Year Data Total Level 2 Char"/>
    <w:basedOn w:val="DefaultParagraphFont"/>
    <w:link w:val="CurrentYearDataTotalLevel2"/>
    <w:uiPriority w:val="99"/>
    <w:locked/>
    <w:rsid w:val="00361797"/>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361797"/>
    <w:pPr>
      <w:pBdr>
        <w:top w:val="single" w:sz="4" w:space="1" w:color="auto"/>
        <w:bottom w:val="single" w:sz="4" w:space="1" w:color="auto"/>
      </w:pBdr>
      <w:jc w:val="right"/>
    </w:pPr>
    <w:rPr>
      <w:rFonts w:eastAsiaTheme="minorHAnsi" w:cs="Calibri"/>
      <w:b/>
      <w:szCs w:val="22"/>
    </w:rPr>
  </w:style>
  <w:style w:type="paragraph" w:customStyle="1" w:styleId="DeptCurrentYearHeader">
    <w:name w:val="Dept Current Year Header"/>
    <w:basedOn w:val="Normal"/>
    <w:qFormat/>
    <w:rsid w:val="00361797"/>
    <w:pPr>
      <w:spacing w:line="240" w:lineRule="auto"/>
      <w:jc w:val="right"/>
    </w:pPr>
    <w:rPr>
      <w:rFonts w:asciiTheme="minorHAnsi" w:hAnsiTheme="minorHAnsi" w:cstheme="minorHAnsi"/>
      <w:b/>
      <w:szCs w:val="18"/>
      <w:lang w:eastAsia="en-AU"/>
    </w:rPr>
  </w:style>
  <w:style w:type="paragraph" w:customStyle="1" w:styleId="DeptPreviousYearHeader">
    <w:name w:val="Dept Previous Year Header"/>
    <w:qFormat/>
    <w:rsid w:val="00361797"/>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361797"/>
    <w:pPr>
      <w:spacing w:line="240" w:lineRule="auto"/>
      <w:jc w:val="right"/>
    </w:pPr>
    <w:rPr>
      <w:rFonts w:asciiTheme="minorHAnsi" w:hAnsiTheme="minorHAnsi" w:cstheme="minorHAnsi"/>
      <w:b/>
      <w:szCs w:val="18"/>
      <w:lang w:eastAsia="en-AU"/>
    </w:rPr>
  </w:style>
  <w:style w:type="paragraph" w:customStyle="1" w:styleId="DeptManualEntryCellUnBold">
    <w:name w:val="Dept Manual Entry Cell UnBold"/>
    <w:basedOn w:val="DeptManualEntryCell"/>
    <w:qFormat/>
    <w:rsid w:val="00361797"/>
    <w:rPr>
      <w:b w:val="0"/>
    </w:rPr>
  </w:style>
  <w:style w:type="paragraph" w:customStyle="1" w:styleId="DeptCurrentYearTotal">
    <w:name w:val="Dept Current Year Total"/>
    <w:qFormat/>
    <w:rsid w:val="00361797"/>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361797"/>
    <w:pPr>
      <w:spacing w:after="0" w:line="240" w:lineRule="auto"/>
      <w:jc w:val="right"/>
    </w:pPr>
    <w:rPr>
      <w:rFonts w:eastAsia="Times New Roman" w:cstheme="minorHAnsi"/>
      <w:sz w:val="18"/>
      <w:szCs w:val="18"/>
      <w:lang w:eastAsia="en-AU"/>
    </w:rPr>
  </w:style>
  <w:style w:type="paragraph" w:customStyle="1" w:styleId="DeptRowText">
    <w:name w:val="Dept Row Text"/>
    <w:qFormat/>
    <w:rsid w:val="00361797"/>
    <w:pPr>
      <w:spacing w:after="0" w:line="240" w:lineRule="auto"/>
    </w:pPr>
    <w:rPr>
      <w:rFonts w:eastAsia="Times New Roman" w:cstheme="minorHAnsi"/>
      <w:sz w:val="18"/>
      <w:szCs w:val="18"/>
      <w:lang w:eastAsia="en-AU"/>
    </w:rPr>
  </w:style>
  <w:style w:type="paragraph" w:customStyle="1" w:styleId="DeptRowTextTotal">
    <w:name w:val="Dept Row Text Total"/>
    <w:qFormat/>
    <w:rsid w:val="00361797"/>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361797"/>
  </w:style>
  <w:style w:type="paragraph" w:customStyle="1" w:styleId="DeptRowTextIndent">
    <w:name w:val="Dept Row Text Indent"/>
    <w:basedOn w:val="DeptRowText"/>
    <w:qFormat/>
    <w:rsid w:val="00361797"/>
    <w:pPr>
      <w:ind w:left="204"/>
    </w:pPr>
  </w:style>
  <w:style w:type="paragraph" w:customStyle="1" w:styleId="AdminRowTextIndent">
    <w:name w:val="Admin Row Text Indent"/>
    <w:basedOn w:val="DeptRowTextIndent"/>
    <w:qFormat/>
    <w:rsid w:val="00361797"/>
  </w:style>
  <w:style w:type="paragraph" w:customStyle="1" w:styleId="AdminRowTextIndentGrey">
    <w:name w:val="Admin Row Text Indent Grey"/>
    <w:basedOn w:val="AdminRowTextIndent"/>
    <w:qFormat/>
    <w:rsid w:val="00361797"/>
  </w:style>
  <w:style w:type="paragraph" w:customStyle="1" w:styleId="AdminCurrentYearDataGrey">
    <w:name w:val="Admin Current Year Data Grey"/>
    <w:qFormat/>
    <w:rsid w:val="00361797"/>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361797"/>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361797"/>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361797"/>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361797"/>
  </w:style>
  <w:style w:type="paragraph" w:customStyle="1" w:styleId="AdminBlankGreyShade">
    <w:name w:val="Admin Blank Grey Shade"/>
    <w:next w:val="12line"/>
    <w:qFormat/>
    <w:rsid w:val="00361797"/>
    <w:pPr>
      <w:spacing w:after="0" w:line="240" w:lineRule="auto"/>
    </w:pPr>
    <w:rPr>
      <w:rFonts w:eastAsia="Times New Roman" w:cstheme="minorHAnsi"/>
      <w:sz w:val="18"/>
      <w:szCs w:val="18"/>
      <w:lang w:eastAsia="en-AU"/>
    </w:rPr>
  </w:style>
  <w:style w:type="paragraph" w:customStyle="1" w:styleId="AdminRowTextGrey">
    <w:name w:val="Admin Row Text Grey"/>
    <w:qFormat/>
    <w:rsid w:val="00361797"/>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361797"/>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361797"/>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361797"/>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361797"/>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361797"/>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361797"/>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361797"/>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361797"/>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361797"/>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361797"/>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361797"/>
    <w:pPr>
      <w:jc w:val="center"/>
    </w:pPr>
    <w:rPr>
      <w:b w:val="0"/>
    </w:rPr>
  </w:style>
  <w:style w:type="paragraph" w:customStyle="1" w:styleId="DeptRowTextDoubleIndent">
    <w:name w:val="Dept Row Text Double Indent"/>
    <w:basedOn w:val="DeptNoteReference"/>
    <w:qFormat/>
    <w:rsid w:val="00361797"/>
    <w:pPr>
      <w:tabs>
        <w:tab w:val="left" w:pos="204"/>
      </w:tabs>
      <w:ind w:left="487"/>
      <w:jc w:val="left"/>
    </w:pPr>
  </w:style>
  <w:style w:type="paragraph" w:customStyle="1" w:styleId="AdminRowTextSubTotal">
    <w:name w:val="Admin Row Text SubTotal"/>
    <w:qFormat/>
    <w:rsid w:val="00361797"/>
    <w:pPr>
      <w:spacing w:after="0" w:line="240" w:lineRule="auto"/>
    </w:pPr>
    <w:rPr>
      <w:rFonts w:eastAsia="Times New Roman" w:cstheme="minorHAnsi"/>
      <w:sz w:val="18"/>
      <w:szCs w:val="18"/>
      <w:lang w:eastAsia="en-AU"/>
    </w:rPr>
  </w:style>
  <w:style w:type="paragraph" w:customStyle="1" w:styleId="DeptRowTextHeader">
    <w:name w:val="Dept Row Text Header"/>
    <w:qFormat/>
    <w:rsid w:val="00361797"/>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361797"/>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361797"/>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361797"/>
  </w:style>
  <w:style w:type="paragraph" w:customStyle="1" w:styleId="AdminHeaderUnderlineGrey">
    <w:name w:val="Admin Header Underline Grey"/>
    <w:qFormat/>
    <w:rsid w:val="00361797"/>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361797"/>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361797"/>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361797"/>
    <w:rPr>
      <w:rFonts w:cs="Calibri"/>
      <w:b/>
      <w:bCs/>
      <w:i/>
      <w:iCs/>
      <w:szCs w:val="18"/>
    </w:rPr>
  </w:style>
  <w:style w:type="paragraph" w:customStyle="1" w:styleId="DeptRowTextSubTotal">
    <w:name w:val="Dept Row Text SubTotal"/>
    <w:basedOn w:val="Normal"/>
    <w:qFormat/>
    <w:rsid w:val="00361797"/>
    <w:rPr>
      <w:rFonts w:cs="Calibri"/>
      <w:b/>
      <w:bCs/>
      <w:szCs w:val="18"/>
    </w:rPr>
  </w:style>
  <w:style w:type="paragraph" w:customStyle="1" w:styleId="DeptManualEntryBoldGreyShade">
    <w:name w:val="Dept Manual Entry Bold Grey Shade"/>
    <w:qFormat/>
    <w:rsid w:val="00361797"/>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361797"/>
    <w:rPr>
      <w:b w:val="0"/>
    </w:rPr>
  </w:style>
  <w:style w:type="paragraph" w:customStyle="1" w:styleId="AdminHeaderCentered">
    <w:name w:val="Admin Header Centered"/>
    <w:basedOn w:val="AdminRowTextHeaderBoldGrey"/>
    <w:qFormat/>
    <w:rsid w:val="00361797"/>
    <w:pPr>
      <w:jc w:val="center"/>
    </w:pPr>
  </w:style>
  <w:style w:type="paragraph" w:customStyle="1" w:styleId="AdminNoteReferenceGrey">
    <w:name w:val="Admin Note Reference Grey"/>
    <w:qFormat/>
    <w:rsid w:val="00361797"/>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361797"/>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361797"/>
    <w:pPr>
      <w:numPr>
        <w:numId w:val="15"/>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361797"/>
    <w:rPr>
      <w:i/>
      <w:u w:val="single"/>
    </w:rPr>
  </w:style>
  <w:style w:type="paragraph" w:customStyle="1" w:styleId="Default">
    <w:name w:val="Default"/>
    <w:rsid w:val="00361797"/>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361797"/>
    <w:rPr>
      <w:vertAlign w:val="superscript"/>
    </w:rPr>
  </w:style>
  <w:style w:type="character" w:styleId="CommentReference">
    <w:name w:val="annotation reference"/>
    <w:basedOn w:val="DefaultParagraphFont"/>
    <w:semiHidden/>
    <w:rsid w:val="00361797"/>
    <w:rPr>
      <w:sz w:val="16"/>
      <w:szCs w:val="16"/>
    </w:rPr>
  </w:style>
  <w:style w:type="character" w:styleId="PageNumber">
    <w:name w:val="page number"/>
    <w:basedOn w:val="DefaultParagraphFont"/>
    <w:uiPriority w:val="99"/>
    <w:rsid w:val="00361797"/>
    <w:rPr>
      <w:rFonts w:ascii="Times New Roman" w:hAnsi="Times New Roman" w:cs="Times New Roman" w:hint="default"/>
      <w:sz w:val="22"/>
    </w:rPr>
  </w:style>
  <w:style w:type="character" w:customStyle="1" w:styleId="A18">
    <w:name w:val="A18"/>
    <w:uiPriority w:val="99"/>
    <w:rsid w:val="00361797"/>
    <w:rPr>
      <w:i/>
      <w:iCs/>
      <w:color w:val="000000"/>
      <w:sz w:val="14"/>
      <w:szCs w:val="14"/>
      <w:u w:val="single"/>
    </w:rPr>
  </w:style>
  <w:style w:type="table" w:styleId="TableGrid">
    <w:name w:val="Table Grid"/>
    <w:basedOn w:val="TableNormal"/>
    <w:uiPriority w:val="59"/>
    <w:rsid w:val="00361797"/>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36179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361797"/>
    <w:pPr>
      <w:numPr>
        <w:numId w:val="0"/>
      </w:numPr>
      <w:spacing w:line="240" w:lineRule="auto"/>
      <w:outlineLvl w:val="9"/>
    </w:pPr>
  </w:style>
  <w:style w:type="numbering" w:customStyle="1" w:styleId="CurrentList2">
    <w:name w:val="Current List2"/>
    <w:rsid w:val="00361797"/>
    <w:pPr>
      <w:numPr>
        <w:numId w:val="26"/>
      </w:numPr>
    </w:pPr>
  </w:style>
  <w:style w:type="numbering" w:customStyle="1" w:styleId="Style2">
    <w:name w:val="Style2"/>
    <w:rsid w:val="00361797"/>
    <w:pPr>
      <w:numPr>
        <w:numId w:val="27"/>
      </w:numPr>
    </w:pPr>
  </w:style>
  <w:style w:type="numbering" w:customStyle="1" w:styleId="CurrentList1">
    <w:name w:val="Current List1"/>
    <w:rsid w:val="0036179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macro" w:uiPriority="0"/>
    <w:lsdException w:name="List Bullet" w:qFormat="1"/>
    <w:lsdException w:name="List Number" w:qFormat="1"/>
    <w:lsdException w:name="Title" w:semiHidden="0" w:uiPriority="10" w:unhideWhenUsed="0" w:qFormat="1"/>
    <w:lsdException w:name="Signature" w:uiPriority="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1797"/>
    <w:pPr>
      <w:spacing w:after="0" w:line="260" w:lineRule="atLeast"/>
    </w:pPr>
    <w:rPr>
      <w:rFonts w:ascii="Calibri" w:eastAsia="Times New Roman" w:hAnsi="Calibri" w:cs="Times New Roman"/>
      <w:sz w:val="18"/>
      <w:szCs w:val="20"/>
    </w:rPr>
  </w:style>
  <w:style w:type="paragraph" w:styleId="Heading1">
    <w:name w:val="heading 1"/>
    <w:aliases w:val="Heading 1 do not use,Section heading 1,Front Page Title,1.,Para 1,Para 11"/>
    <w:basedOn w:val="Normal"/>
    <w:next w:val="Normal"/>
    <w:link w:val="Heading1Char"/>
    <w:qFormat/>
    <w:rsid w:val="005536B7"/>
    <w:pPr>
      <w:spacing w:before="480" w:after="120"/>
      <w:contextualSpacing/>
      <w:outlineLvl w:val="0"/>
    </w:pPr>
    <w:rPr>
      <w:rFonts w:eastAsiaTheme="majorEastAsia" w:cstheme="majorBidi"/>
      <w:b/>
      <w:bCs/>
      <w:sz w:val="28"/>
      <w:szCs w:val="28"/>
    </w:rPr>
  </w:style>
  <w:style w:type="paragraph" w:styleId="Heading2">
    <w:name w:val="heading 2"/>
    <w:aliases w:val="Heading 2 do not use,Front Page List of Sections"/>
    <w:basedOn w:val="Normal"/>
    <w:next w:val="Normal"/>
    <w:link w:val="Heading2Char"/>
    <w:qFormat/>
    <w:rsid w:val="00361797"/>
    <w:pPr>
      <w:keepNext/>
      <w:spacing w:before="240" w:after="60"/>
      <w:outlineLvl w:val="1"/>
    </w:pPr>
    <w:rPr>
      <w:rFonts w:ascii="Arial" w:eastAsiaTheme="minorEastAsia" w:hAnsi="Arial" w:cs="Arial"/>
      <w:i/>
      <w:iCs/>
      <w:sz w:val="28"/>
      <w:szCs w:val="28"/>
    </w:rPr>
  </w:style>
  <w:style w:type="paragraph" w:styleId="Heading3">
    <w:name w:val="heading 3"/>
    <w:aliases w:val="Heading 3 do not use"/>
    <w:basedOn w:val="Normal"/>
    <w:next w:val="Normal"/>
    <w:link w:val="Heading3Char"/>
    <w:qFormat/>
    <w:rsid w:val="00361797"/>
    <w:pPr>
      <w:keepNext/>
      <w:spacing w:before="240" w:after="60"/>
      <w:outlineLvl w:val="2"/>
    </w:pPr>
    <w:rPr>
      <w:rFonts w:ascii="Arial" w:eastAsiaTheme="minorEastAsia" w:hAnsi="Arial" w:cs="Arial"/>
      <w:sz w:val="26"/>
      <w:szCs w:val="26"/>
    </w:rPr>
  </w:style>
  <w:style w:type="paragraph" w:styleId="Heading4">
    <w:name w:val="heading 4"/>
    <w:basedOn w:val="Normal"/>
    <w:link w:val="Heading4Char"/>
    <w:qFormat/>
    <w:rsid w:val="00361797"/>
    <w:pPr>
      <w:spacing w:before="130" w:after="130"/>
      <w:outlineLvl w:val="3"/>
    </w:pPr>
    <w:rPr>
      <w:rFonts w:eastAsiaTheme="minorEastAsia"/>
    </w:rPr>
  </w:style>
  <w:style w:type="paragraph" w:styleId="Heading5">
    <w:name w:val="heading 5"/>
    <w:basedOn w:val="Normal"/>
    <w:next w:val="Normal"/>
    <w:link w:val="Heading5Char"/>
    <w:qFormat/>
    <w:rsid w:val="00361797"/>
    <w:pPr>
      <w:outlineLvl w:val="4"/>
    </w:pPr>
    <w:rPr>
      <w:rFonts w:eastAsiaTheme="minorEastAsia"/>
    </w:rPr>
  </w:style>
  <w:style w:type="paragraph" w:styleId="Heading6">
    <w:name w:val="heading 6"/>
    <w:basedOn w:val="Normal"/>
    <w:next w:val="Normal"/>
    <w:link w:val="Heading6Char"/>
    <w:qFormat/>
    <w:rsid w:val="00361797"/>
    <w:pPr>
      <w:outlineLvl w:val="5"/>
    </w:pPr>
    <w:rPr>
      <w:rFonts w:eastAsiaTheme="minorEastAsia"/>
    </w:rPr>
  </w:style>
  <w:style w:type="paragraph" w:styleId="Heading7">
    <w:name w:val="heading 7"/>
    <w:aliases w:val="Section Sub-Heading 4"/>
    <w:basedOn w:val="Normal"/>
    <w:next w:val="Normal"/>
    <w:link w:val="Heading7Char"/>
    <w:qFormat/>
    <w:rsid w:val="00361797"/>
    <w:pPr>
      <w:outlineLvl w:val="6"/>
    </w:pPr>
  </w:style>
  <w:style w:type="paragraph" w:styleId="Heading8">
    <w:name w:val="heading 8"/>
    <w:basedOn w:val="Normal"/>
    <w:next w:val="Normal"/>
    <w:link w:val="Heading8Char"/>
    <w:qFormat/>
    <w:rsid w:val="00361797"/>
    <w:pPr>
      <w:outlineLvl w:val="7"/>
    </w:pPr>
  </w:style>
  <w:style w:type="paragraph" w:styleId="Heading9">
    <w:name w:val="heading 9"/>
    <w:basedOn w:val="Normal"/>
    <w:next w:val="Normal"/>
    <w:link w:val="Heading9Char"/>
    <w:qFormat/>
    <w:rsid w:val="0036179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color w:val="auto"/>
      <w:sz w:val="20"/>
    </w:rPr>
  </w:style>
  <w:style w:type="paragraph" w:styleId="Quote">
    <w:name w:val="Quote"/>
    <w:basedOn w:val="Normal"/>
    <w:next w:val="Normal"/>
    <w:link w:val="QuoteChar"/>
    <w:uiPriority w:val="29"/>
    <w:qFormat/>
    <w:rsid w:val="006E3E34"/>
    <w:rPr>
      <w:i/>
      <w:iCs/>
      <w:color w:val="000000" w:themeColor="text1"/>
    </w:rPr>
  </w:style>
  <w:style w:type="character" w:customStyle="1" w:styleId="QuoteChar">
    <w:name w:val="Quote Char"/>
    <w:basedOn w:val="DefaultParagraphFont"/>
    <w:link w:val="Quote"/>
    <w:uiPriority w:val="29"/>
    <w:rsid w:val="006E3E34"/>
    <w:rPr>
      <w:i/>
      <w:iCs/>
      <w:color w:val="000000" w:themeColor="text1"/>
    </w:rPr>
  </w:style>
  <w:style w:type="paragraph" w:styleId="ListNumber">
    <w:name w:val="List Number"/>
    <w:basedOn w:val="Normal"/>
    <w:uiPriority w:val="99"/>
    <w:unhideWhenUsed/>
    <w:qFormat/>
    <w:rsid w:val="009A4A46"/>
    <w:pPr>
      <w:numPr>
        <w:numId w:val="8"/>
      </w:numPr>
      <w:contextualSpacing/>
    </w:pPr>
  </w:style>
  <w:style w:type="paragraph" w:styleId="ListBullet">
    <w:name w:val="List Bullet"/>
    <w:basedOn w:val="Normal"/>
    <w:uiPriority w:val="99"/>
    <w:unhideWhenUsed/>
    <w:qFormat/>
    <w:rsid w:val="009A4A46"/>
    <w:pPr>
      <w:numPr>
        <w:numId w:val="3"/>
      </w:numPr>
      <w:contextualSpacing/>
    </w:pPr>
  </w:style>
  <w:style w:type="paragraph" w:styleId="NoSpacing">
    <w:name w:val="No Spacing"/>
    <w:basedOn w:val="Normal"/>
    <w:uiPriority w:val="1"/>
    <w:rsid w:val="006E3E34"/>
    <w:pPr>
      <w:spacing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5536B7"/>
    <w:rPr>
      <w:rFonts w:eastAsiaTheme="majorEastAsia"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5536B7"/>
    <w:pPr>
      <w:ind w:left="720"/>
      <w:contextualSpacing/>
    </w:pPr>
  </w:style>
  <w:style w:type="paragraph" w:styleId="Title">
    <w:name w:val="Title"/>
    <w:basedOn w:val="Normal"/>
    <w:next w:val="Normal"/>
    <w:link w:val="TitleChar"/>
    <w:uiPriority w:val="10"/>
    <w:rsid w:val="005536B7"/>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5536B7"/>
    <w:rPr>
      <w:rFonts w:eastAsiaTheme="majorEastAsia" w:cstheme="majorBidi"/>
      <w:spacing w:val="5"/>
      <w:sz w:val="52"/>
      <w:szCs w:val="52"/>
    </w:rPr>
  </w:style>
  <w:style w:type="character" w:styleId="Strong">
    <w:name w:val="Strong"/>
    <w:uiPriority w:val="22"/>
    <w:rsid w:val="005536B7"/>
    <w:rPr>
      <w:b/>
      <w:bCs/>
    </w:rPr>
  </w:style>
  <w:style w:type="character" w:customStyle="1" w:styleId="Heading2Char">
    <w:name w:val="Heading 2 Char"/>
    <w:aliases w:val="Heading 2 do not use Char,Front Page List of Sections Char"/>
    <w:basedOn w:val="DefaultParagraphFont"/>
    <w:link w:val="Heading2"/>
    <w:rsid w:val="00361797"/>
    <w:rPr>
      <w:rFonts w:ascii="Arial" w:eastAsiaTheme="minorEastAsia" w:hAnsi="Arial" w:cs="Arial"/>
      <w:i/>
      <w:iCs/>
      <w:sz w:val="28"/>
      <w:szCs w:val="28"/>
    </w:rPr>
  </w:style>
  <w:style w:type="character" w:customStyle="1" w:styleId="Heading3Char">
    <w:name w:val="Heading 3 Char"/>
    <w:aliases w:val="Heading 3 do not use Char"/>
    <w:basedOn w:val="DefaultParagraphFont"/>
    <w:link w:val="Heading3"/>
    <w:rsid w:val="00361797"/>
    <w:rPr>
      <w:rFonts w:ascii="Arial" w:eastAsiaTheme="minorEastAsia" w:hAnsi="Arial" w:cs="Arial"/>
      <w:sz w:val="26"/>
      <w:szCs w:val="26"/>
    </w:rPr>
  </w:style>
  <w:style w:type="character" w:customStyle="1" w:styleId="Heading4Char">
    <w:name w:val="Heading 4 Char"/>
    <w:basedOn w:val="DefaultParagraphFont"/>
    <w:link w:val="Heading4"/>
    <w:rsid w:val="00361797"/>
    <w:rPr>
      <w:rFonts w:ascii="Calibri" w:eastAsiaTheme="minorEastAsia" w:hAnsi="Calibri" w:cs="Times New Roman"/>
      <w:sz w:val="18"/>
      <w:szCs w:val="20"/>
    </w:rPr>
  </w:style>
  <w:style w:type="character" w:customStyle="1" w:styleId="Heading5Char">
    <w:name w:val="Heading 5 Char"/>
    <w:basedOn w:val="DefaultParagraphFont"/>
    <w:link w:val="Heading5"/>
    <w:rsid w:val="00361797"/>
    <w:rPr>
      <w:rFonts w:ascii="Calibri" w:eastAsiaTheme="minorEastAsia" w:hAnsi="Calibri" w:cs="Times New Roman"/>
      <w:sz w:val="18"/>
      <w:szCs w:val="20"/>
    </w:rPr>
  </w:style>
  <w:style w:type="character" w:customStyle="1" w:styleId="Heading6Char">
    <w:name w:val="Heading 6 Char"/>
    <w:basedOn w:val="DefaultParagraphFont"/>
    <w:link w:val="Heading6"/>
    <w:rsid w:val="00361797"/>
    <w:rPr>
      <w:rFonts w:ascii="Calibri" w:eastAsiaTheme="minorEastAsia" w:hAnsi="Calibri" w:cs="Times New Roman"/>
      <w:sz w:val="18"/>
      <w:szCs w:val="20"/>
    </w:rPr>
  </w:style>
  <w:style w:type="character" w:customStyle="1" w:styleId="Heading7Char">
    <w:name w:val="Heading 7 Char"/>
    <w:aliases w:val="Section Sub-Heading 4 Char"/>
    <w:basedOn w:val="DefaultParagraphFont"/>
    <w:link w:val="Heading7"/>
    <w:rsid w:val="00361797"/>
    <w:rPr>
      <w:rFonts w:ascii="Calibri" w:eastAsia="Times New Roman" w:hAnsi="Calibri" w:cs="Times New Roman"/>
      <w:sz w:val="18"/>
      <w:szCs w:val="20"/>
    </w:rPr>
  </w:style>
  <w:style w:type="character" w:customStyle="1" w:styleId="Heading8Char">
    <w:name w:val="Heading 8 Char"/>
    <w:basedOn w:val="DefaultParagraphFont"/>
    <w:link w:val="Heading8"/>
    <w:rsid w:val="00361797"/>
    <w:rPr>
      <w:rFonts w:ascii="Calibri" w:eastAsia="Times New Roman" w:hAnsi="Calibri" w:cs="Times New Roman"/>
      <w:sz w:val="18"/>
      <w:szCs w:val="20"/>
    </w:rPr>
  </w:style>
  <w:style w:type="character" w:customStyle="1" w:styleId="Heading9Char">
    <w:name w:val="Heading 9 Char"/>
    <w:basedOn w:val="DefaultParagraphFont"/>
    <w:link w:val="Heading9"/>
    <w:rsid w:val="00361797"/>
    <w:rPr>
      <w:rFonts w:ascii="Calibri" w:eastAsia="Times New Roman" w:hAnsi="Calibri" w:cs="Times New Roman"/>
      <w:sz w:val="18"/>
      <w:szCs w:val="20"/>
    </w:rPr>
  </w:style>
  <w:style w:type="character" w:styleId="Hyperlink">
    <w:name w:val="Hyperlink"/>
    <w:basedOn w:val="DefaultParagraphFont"/>
    <w:uiPriority w:val="99"/>
    <w:rsid w:val="00361797"/>
    <w:rPr>
      <w:color w:val="0000FF" w:themeColor="hyperlink"/>
      <w:u w:val="single"/>
    </w:rPr>
  </w:style>
  <w:style w:type="character" w:styleId="FollowedHyperlink">
    <w:name w:val="FollowedHyperlink"/>
    <w:basedOn w:val="DefaultParagraphFont"/>
    <w:uiPriority w:val="99"/>
    <w:rsid w:val="00361797"/>
    <w:rPr>
      <w:color w:val="800080" w:themeColor="followedHyperlink"/>
      <w:u w:val="single"/>
    </w:rPr>
  </w:style>
  <w:style w:type="paragraph" w:styleId="TOC1">
    <w:name w:val="toc 1"/>
    <w:basedOn w:val="Normal"/>
    <w:next w:val="Normal"/>
    <w:autoRedefine/>
    <w:uiPriority w:val="39"/>
    <w:rsid w:val="00361797"/>
    <w:pPr>
      <w:tabs>
        <w:tab w:val="left" w:pos="1134"/>
        <w:tab w:val="right" w:leader="dot" w:pos="9628"/>
      </w:tabs>
      <w:spacing w:after="100"/>
    </w:pPr>
    <w:rPr>
      <w:rFonts w:ascii="Arial" w:hAnsi="Arial"/>
      <w:sz w:val="20"/>
    </w:rPr>
  </w:style>
  <w:style w:type="paragraph" w:styleId="TOC2">
    <w:name w:val="toc 2"/>
    <w:basedOn w:val="Normal"/>
    <w:next w:val="Normal"/>
    <w:autoRedefine/>
    <w:semiHidden/>
    <w:rsid w:val="00361797"/>
    <w:pPr>
      <w:spacing w:before="120"/>
      <w:ind w:left="220"/>
    </w:pPr>
    <w:rPr>
      <w:i/>
      <w:iCs/>
      <w:sz w:val="20"/>
    </w:rPr>
  </w:style>
  <w:style w:type="paragraph" w:styleId="TOC3">
    <w:name w:val="toc 3"/>
    <w:basedOn w:val="Normal"/>
    <w:next w:val="Normal"/>
    <w:autoRedefine/>
    <w:uiPriority w:val="39"/>
    <w:rsid w:val="00361797"/>
    <w:pPr>
      <w:ind w:left="440"/>
    </w:pPr>
    <w:rPr>
      <w:sz w:val="20"/>
    </w:rPr>
  </w:style>
  <w:style w:type="paragraph" w:styleId="TOC4">
    <w:name w:val="toc 4"/>
    <w:basedOn w:val="Normal"/>
    <w:next w:val="Normal"/>
    <w:autoRedefine/>
    <w:semiHidden/>
    <w:rsid w:val="00361797"/>
    <w:pPr>
      <w:ind w:left="660"/>
    </w:pPr>
    <w:rPr>
      <w:sz w:val="20"/>
    </w:rPr>
  </w:style>
  <w:style w:type="paragraph" w:styleId="TOC5">
    <w:name w:val="toc 5"/>
    <w:basedOn w:val="Normal"/>
    <w:next w:val="Normal"/>
    <w:autoRedefine/>
    <w:semiHidden/>
    <w:rsid w:val="00361797"/>
    <w:pPr>
      <w:ind w:left="880"/>
    </w:pPr>
    <w:rPr>
      <w:sz w:val="20"/>
    </w:rPr>
  </w:style>
  <w:style w:type="paragraph" w:styleId="TOC6">
    <w:name w:val="toc 6"/>
    <w:basedOn w:val="Normal"/>
    <w:next w:val="Normal"/>
    <w:autoRedefine/>
    <w:semiHidden/>
    <w:rsid w:val="00361797"/>
    <w:pPr>
      <w:ind w:left="1100"/>
    </w:pPr>
    <w:rPr>
      <w:sz w:val="20"/>
    </w:rPr>
  </w:style>
  <w:style w:type="paragraph" w:styleId="TOC7">
    <w:name w:val="toc 7"/>
    <w:basedOn w:val="Normal"/>
    <w:next w:val="Normal"/>
    <w:autoRedefine/>
    <w:semiHidden/>
    <w:rsid w:val="00361797"/>
    <w:pPr>
      <w:ind w:left="1320"/>
    </w:pPr>
    <w:rPr>
      <w:sz w:val="20"/>
    </w:rPr>
  </w:style>
  <w:style w:type="paragraph" w:styleId="TOC8">
    <w:name w:val="toc 8"/>
    <w:basedOn w:val="Normal"/>
    <w:next w:val="Normal"/>
    <w:autoRedefine/>
    <w:semiHidden/>
    <w:rsid w:val="00361797"/>
    <w:pPr>
      <w:ind w:left="1540"/>
    </w:pPr>
    <w:rPr>
      <w:sz w:val="20"/>
    </w:rPr>
  </w:style>
  <w:style w:type="paragraph" w:styleId="TOC9">
    <w:name w:val="toc 9"/>
    <w:basedOn w:val="Normal"/>
    <w:next w:val="Normal"/>
    <w:autoRedefine/>
    <w:semiHidden/>
    <w:rsid w:val="00361797"/>
    <w:pPr>
      <w:ind w:left="1760"/>
    </w:pPr>
    <w:rPr>
      <w:sz w:val="20"/>
    </w:rPr>
  </w:style>
  <w:style w:type="paragraph" w:styleId="FootnoteText">
    <w:name w:val="footnote text"/>
    <w:basedOn w:val="Normal"/>
    <w:link w:val="FootnoteTextChar"/>
    <w:semiHidden/>
    <w:rsid w:val="00361797"/>
    <w:rPr>
      <w:sz w:val="20"/>
    </w:rPr>
  </w:style>
  <w:style w:type="character" w:customStyle="1" w:styleId="FootnoteTextChar">
    <w:name w:val="Footnote Text Char"/>
    <w:basedOn w:val="DefaultParagraphFont"/>
    <w:link w:val="FootnoteText"/>
    <w:semiHidden/>
    <w:rsid w:val="00361797"/>
    <w:rPr>
      <w:rFonts w:ascii="Calibri" w:eastAsia="Times New Roman" w:hAnsi="Calibri" w:cs="Times New Roman"/>
      <w:sz w:val="20"/>
      <w:szCs w:val="20"/>
    </w:rPr>
  </w:style>
  <w:style w:type="paragraph" w:styleId="CommentText">
    <w:name w:val="annotation text"/>
    <w:basedOn w:val="Normal"/>
    <w:link w:val="CommentTextChar"/>
    <w:semiHidden/>
    <w:rsid w:val="00361797"/>
    <w:rPr>
      <w:sz w:val="20"/>
    </w:rPr>
  </w:style>
  <w:style w:type="character" w:customStyle="1" w:styleId="CommentTextChar">
    <w:name w:val="Comment Text Char"/>
    <w:basedOn w:val="DefaultParagraphFont"/>
    <w:link w:val="CommentText"/>
    <w:semiHidden/>
    <w:rsid w:val="00361797"/>
    <w:rPr>
      <w:rFonts w:ascii="Calibri" w:eastAsia="Times New Roman" w:hAnsi="Calibri" w:cs="Times New Roman"/>
      <w:sz w:val="20"/>
      <w:szCs w:val="20"/>
    </w:rPr>
  </w:style>
  <w:style w:type="paragraph" w:styleId="Header">
    <w:name w:val="header"/>
    <w:basedOn w:val="Normal"/>
    <w:link w:val="HeaderChar"/>
    <w:uiPriority w:val="99"/>
    <w:rsid w:val="00361797"/>
    <w:pPr>
      <w:tabs>
        <w:tab w:val="center" w:pos="4513"/>
        <w:tab w:val="right" w:pos="9026"/>
      </w:tabs>
      <w:spacing w:line="240" w:lineRule="auto"/>
    </w:pPr>
  </w:style>
  <w:style w:type="character" w:customStyle="1" w:styleId="HeaderChar">
    <w:name w:val="Header Char"/>
    <w:basedOn w:val="DefaultParagraphFont"/>
    <w:link w:val="Header"/>
    <w:uiPriority w:val="99"/>
    <w:rsid w:val="00361797"/>
    <w:rPr>
      <w:rFonts w:ascii="Calibri" w:eastAsia="Times New Roman" w:hAnsi="Calibri" w:cs="Times New Roman"/>
      <w:sz w:val="18"/>
      <w:szCs w:val="20"/>
    </w:rPr>
  </w:style>
  <w:style w:type="paragraph" w:styleId="Footer">
    <w:name w:val="footer"/>
    <w:basedOn w:val="Normal"/>
    <w:link w:val="FooterChar"/>
    <w:uiPriority w:val="99"/>
    <w:rsid w:val="00361797"/>
    <w:pPr>
      <w:tabs>
        <w:tab w:val="center" w:pos="4513"/>
        <w:tab w:val="right" w:pos="9026"/>
      </w:tabs>
      <w:spacing w:line="240" w:lineRule="auto"/>
    </w:pPr>
  </w:style>
  <w:style w:type="character" w:customStyle="1" w:styleId="FooterChar">
    <w:name w:val="Footer Char"/>
    <w:basedOn w:val="DefaultParagraphFont"/>
    <w:link w:val="Footer"/>
    <w:uiPriority w:val="99"/>
    <w:rsid w:val="00361797"/>
    <w:rPr>
      <w:rFonts w:ascii="Calibri" w:eastAsia="Times New Roman" w:hAnsi="Calibri" w:cs="Times New Roman"/>
      <w:sz w:val="18"/>
      <w:szCs w:val="20"/>
    </w:rPr>
  </w:style>
  <w:style w:type="paragraph" w:styleId="Caption">
    <w:name w:val="caption"/>
    <w:basedOn w:val="Normal"/>
    <w:next w:val="Normal"/>
    <w:qFormat/>
    <w:rsid w:val="00361797"/>
    <w:pPr>
      <w:spacing w:after="200" w:line="240" w:lineRule="auto"/>
    </w:pPr>
    <w:rPr>
      <w:b/>
      <w:bCs/>
      <w:color w:val="4F81BD" w:themeColor="accent1"/>
      <w:szCs w:val="18"/>
    </w:rPr>
  </w:style>
  <w:style w:type="paragraph" w:styleId="TableofFigures">
    <w:name w:val="table of figures"/>
    <w:basedOn w:val="Normal"/>
    <w:next w:val="Normal"/>
    <w:semiHidden/>
    <w:rsid w:val="00361797"/>
  </w:style>
  <w:style w:type="paragraph" w:styleId="MacroText">
    <w:name w:val="macro"/>
    <w:link w:val="MacroTextChar"/>
    <w:semiHidden/>
    <w:rsid w:val="00361797"/>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361797"/>
    <w:rPr>
      <w:rFonts w:ascii="Courier New" w:eastAsia="Times New Roman" w:hAnsi="Courier New" w:cs="Courier New"/>
      <w:sz w:val="18"/>
      <w:szCs w:val="20"/>
      <w:lang w:val="en-GB"/>
    </w:rPr>
  </w:style>
  <w:style w:type="paragraph" w:styleId="Signature">
    <w:name w:val="Signature"/>
    <w:basedOn w:val="Normal"/>
    <w:link w:val="SignatureChar"/>
    <w:rsid w:val="00361797"/>
    <w:pPr>
      <w:spacing w:line="240" w:lineRule="auto"/>
    </w:pPr>
  </w:style>
  <w:style w:type="character" w:customStyle="1" w:styleId="SignatureChar">
    <w:name w:val="Signature Char"/>
    <w:basedOn w:val="DefaultParagraphFont"/>
    <w:link w:val="Signature"/>
    <w:rsid w:val="00361797"/>
    <w:rPr>
      <w:rFonts w:ascii="Calibri" w:eastAsia="Times New Roman" w:hAnsi="Calibri" w:cs="Times New Roman"/>
      <w:sz w:val="18"/>
      <w:szCs w:val="20"/>
    </w:rPr>
  </w:style>
  <w:style w:type="paragraph" w:styleId="DocumentMap">
    <w:name w:val="Document Map"/>
    <w:basedOn w:val="Normal"/>
    <w:link w:val="DocumentMapChar"/>
    <w:semiHidden/>
    <w:rsid w:val="00361797"/>
    <w:pPr>
      <w:shd w:val="clear" w:color="auto" w:fill="000080"/>
      <w:spacing w:line="240" w:lineRule="auto"/>
    </w:pPr>
    <w:rPr>
      <w:rFonts w:ascii="Tahoma" w:hAnsi="Tahoma"/>
      <w:sz w:val="20"/>
      <w:lang w:eastAsia="en-AU"/>
    </w:rPr>
  </w:style>
  <w:style w:type="character" w:customStyle="1" w:styleId="DocumentMapChar">
    <w:name w:val="Document Map Char"/>
    <w:basedOn w:val="DefaultParagraphFont"/>
    <w:link w:val="DocumentMap"/>
    <w:semiHidden/>
    <w:rsid w:val="00361797"/>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361797"/>
    <w:rPr>
      <w:b/>
      <w:bCs/>
    </w:rPr>
  </w:style>
  <w:style w:type="character" w:customStyle="1" w:styleId="CommentSubjectChar">
    <w:name w:val="Comment Subject Char"/>
    <w:basedOn w:val="CommentTextChar"/>
    <w:link w:val="CommentSubject"/>
    <w:semiHidden/>
    <w:rsid w:val="00361797"/>
    <w:rPr>
      <w:rFonts w:ascii="Calibri" w:eastAsia="Times New Roman" w:hAnsi="Calibri" w:cs="Times New Roman"/>
      <w:b/>
      <w:bCs/>
      <w:sz w:val="20"/>
      <w:szCs w:val="20"/>
    </w:rPr>
  </w:style>
  <w:style w:type="paragraph" w:styleId="BalloonText">
    <w:name w:val="Balloon Text"/>
    <w:basedOn w:val="Normal"/>
    <w:link w:val="BalloonTextChar"/>
    <w:semiHidden/>
    <w:rsid w:val="00361797"/>
    <w:rPr>
      <w:rFonts w:ascii="Tahoma" w:hAnsi="Tahoma" w:cs="Tahoma"/>
      <w:sz w:val="16"/>
      <w:szCs w:val="16"/>
    </w:rPr>
  </w:style>
  <w:style w:type="character" w:customStyle="1" w:styleId="BalloonTextChar">
    <w:name w:val="Balloon Text Char"/>
    <w:basedOn w:val="DefaultParagraphFont"/>
    <w:link w:val="BalloonText"/>
    <w:semiHidden/>
    <w:rsid w:val="00361797"/>
    <w:rPr>
      <w:rFonts w:ascii="Tahoma" w:eastAsia="Times New Roman" w:hAnsi="Tahoma" w:cs="Tahoma"/>
      <w:sz w:val="16"/>
      <w:szCs w:val="16"/>
    </w:rPr>
  </w:style>
  <w:style w:type="paragraph" w:styleId="Revision">
    <w:name w:val="Revision"/>
    <w:uiPriority w:val="99"/>
    <w:semiHidden/>
    <w:rsid w:val="00361797"/>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361797"/>
    <w:rPr>
      <w:rFonts w:ascii="Arial" w:hAnsi="Arial" w:cs="Arial"/>
      <w:b/>
      <w:sz w:val="24"/>
      <w:szCs w:val="24"/>
    </w:rPr>
  </w:style>
  <w:style w:type="paragraph" w:customStyle="1" w:styleId="StatementName">
    <w:name w:val="Statement Name"/>
    <w:basedOn w:val="Normal"/>
    <w:next w:val="Normal"/>
    <w:link w:val="StatementNameChar"/>
    <w:autoRedefine/>
    <w:rsid w:val="00361797"/>
    <w:pPr>
      <w:pBdr>
        <w:bottom w:val="single" w:sz="4" w:space="1" w:color="auto"/>
      </w:pBdr>
    </w:pPr>
    <w:rPr>
      <w:rFonts w:ascii="Arial" w:eastAsiaTheme="minorHAnsi" w:hAnsi="Arial" w:cs="Arial"/>
      <w:b/>
      <w:sz w:val="24"/>
      <w:szCs w:val="24"/>
    </w:rPr>
  </w:style>
  <w:style w:type="paragraph" w:customStyle="1" w:styleId="StatementDateHeader">
    <w:name w:val="Statement Date Header"/>
    <w:basedOn w:val="Normal"/>
    <w:next w:val="Normal"/>
    <w:rsid w:val="00361797"/>
    <w:pPr>
      <w:pBdr>
        <w:bottom w:val="single" w:sz="4" w:space="1" w:color="auto"/>
      </w:pBdr>
    </w:pPr>
    <w:rPr>
      <w:rFonts w:ascii="Arial" w:hAnsi="Arial"/>
      <w:i/>
      <w:sz w:val="24"/>
    </w:rPr>
  </w:style>
  <w:style w:type="paragraph" w:customStyle="1" w:styleId="StatementTextLevel3">
    <w:name w:val="Statement Text Level 3"/>
    <w:basedOn w:val="Normal"/>
    <w:next w:val="Normal"/>
    <w:rsid w:val="00361797"/>
    <w:rPr>
      <w:rFonts w:ascii="Arial" w:hAnsi="Arial"/>
    </w:rPr>
  </w:style>
  <w:style w:type="paragraph" w:customStyle="1" w:styleId="TableHeaderLevel1">
    <w:name w:val="Table Header Level 1"/>
    <w:basedOn w:val="Normal"/>
    <w:semiHidden/>
    <w:rsid w:val="00361797"/>
    <w:pPr>
      <w:jc w:val="center"/>
    </w:pPr>
    <w:rPr>
      <w:rFonts w:ascii="Arial" w:hAnsi="Arial"/>
      <w:b/>
      <w:szCs w:val="18"/>
    </w:rPr>
  </w:style>
  <w:style w:type="paragraph" w:customStyle="1" w:styleId="StatementTextLevel1bItalic">
    <w:name w:val="Statement Text Level 1(b) + Italic"/>
    <w:basedOn w:val="Normal"/>
    <w:rsid w:val="00361797"/>
    <w:rPr>
      <w:rFonts w:ascii="Arial" w:hAnsi="Arial"/>
      <w:b/>
      <w:bCs/>
      <w:i/>
      <w:iCs/>
      <w:szCs w:val="18"/>
    </w:rPr>
  </w:style>
  <w:style w:type="paragraph" w:customStyle="1" w:styleId="Graphic">
    <w:name w:val="Graphic"/>
    <w:basedOn w:val="Signature"/>
    <w:rsid w:val="00361797"/>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361797"/>
    <w:pPr>
      <w:ind w:left="139" w:right="57"/>
    </w:pPr>
    <w:rPr>
      <w:b/>
      <w:iCs/>
      <w:sz w:val="20"/>
    </w:rPr>
  </w:style>
  <w:style w:type="paragraph" w:customStyle="1" w:styleId="TitlePage">
    <w:name w:val="Title Page"/>
    <w:basedOn w:val="Normal"/>
    <w:autoRedefine/>
    <w:rsid w:val="00361797"/>
    <w:pPr>
      <w:spacing w:before="1200" w:after="1200"/>
      <w:ind w:left="57" w:right="57"/>
      <w:jc w:val="right"/>
    </w:pPr>
    <w:rPr>
      <w:b/>
      <w:bCs/>
      <w:sz w:val="48"/>
    </w:rPr>
  </w:style>
  <w:style w:type="paragraph" w:customStyle="1" w:styleId="zcontents">
    <w:name w:val="zcontents"/>
    <w:basedOn w:val="Normal"/>
    <w:semiHidden/>
    <w:rsid w:val="00361797"/>
    <w:pPr>
      <w:spacing w:after="260" w:line="240" w:lineRule="auto"/>
    </w:pPr>
    <w:rPr>
      <w:b/>
      <w:sz w:val="32"/>
    </w:rPr>
  </w:style>
  <w:style w:type="paragraph" w:customStyle="1" w:styleId="Normal10pt">
    <w:name w:val="Normal + 10 pt"/>
    <w:aliases w:val="Line spacing:  single"/>
    <w:basedOn w:val="Normal"/>
    <w:rsid w:val="00361797"/>
    <w:pPr>
      <w:spacing w:before="130" w:after="130"/>
    </w:pPr>
    <w:rPr>
      <w:b/>
      <w:sz w:val="20"/>
    </w:rPr>
  </w:style>
  <w:style w:type="paragraph" w:customStyle="1" w:styleId="Normal8pt">
    <w:name w:val="Normal + 8 pt"/>
    <w:basedOn w:val="Normal"/>
    <w:rsid w:val="00361797"/>
    <w:pPr>
      <w:widowControl w:val="0"/>
      <w:autoSpaceDE w:val="0"/>
      <w:autoSpaceDN w:val="0"/>
      <w:spacing w:line="240" w:lineRule="auto"/>
    </w:pPr>
    <w:rPr>
      <w:bCs/>
      <w:iCs/>
      <w:spacing w:val="-6"/>
      <w:sz w:val="16"/>
      <w:szCs w:val="16"/>
      <w:lang w:val="en-US"/>
    </w:rPr>
  </w:style>
  <w:style w:type="paragraph" w:customStyle="1" w:styleId="NormalCalistoMT">
    <w:name w:val="Normal + Calisto MT"/>
    <w:aliases w:val="8 pt,Right"/>
    <w:basedOn w:val="Normal"/>
    <w:rsid w:val="00361797"/>
    <w:pPr>
      <w:framePr w:hSpace="180" w:wrap="around" w:vAnchor="text" w:hAnchor="margin" w:y="1"/>
      <w:ind w:right="212"/>
      <w:jc w:val="right"/>
    </w:pPr>
    <w:rPr>
      <w:rFonts w:ascii="Calisto MT" w:hAnsi="Calisto MT"/>
      <w:sz w:val="16"/>
    </w:rPr>
  </w:style>
  <w:style w:type="character" w:customStyle="1" w:styleId="ReferenceTextChar">
    <w:name w:val="Reference Text Char"/>
    <w:basedOn w:val="DefaultParagraphFont"/>
    <w:link w:val="ReferenceText"/>
    <w:uiPriority w:val="99"/>
    <w:locked/>
    <w:rsid w:val="00361797"/>
    <w:rPr>
      <w:rFonts w:cstheme="minorHAnsi"/>
      <w:sz w:val="18"/>
    </w:rPr>
  </w:style>
  <w:style w:type="paragraph" w:customStyle="1" w:styleId="ReferenceText">
    <w:name w:val="Reference Text"/>
    <w:basedOn w:val="Normal"/>
    <w:link w:val="ReferenceTextChar"/>
    <w:autoRedefine/>
    <w:uiPriority w:val="99"/>
    <w:qFormat/>
    <w:rsid w:val="00361797"/>
    <w:rPr>
      <w:rFonts w:asciiTheme="minorHAnsi" w:eastAsiaTheme="minorHAnsi" w:hAnsiTheme="minorHAnsi" w:cstheme="minorHAnsi"/>
      <w:szCs w:val="22"/>
    </w:rPr>
  </w:style>
  <w:style w:type="character" w:customStyle="1" w:styleId="NotesHeading-Level1Char">
    <w:name w:val="Notes Heading - Level 1 Char"/>
    <w:basedOn w:val="DefaultParagraphFont"/>
    <w:link w:val="NotesHeading-Level1"/>
    <w:locked/>
    <w:rsid w:val="00361797"/>
    <w:rPr>
      <w:b/>
    </w:rPr>
  </w:style>
  <w:style w:type="paragraph" w:customStyle="1" w:styleId="NotesHeading-Level1">
    <w:name w:val="Notes Heading - Level 1"/>
    <w:basedOn w:val="Normal"/>
    <w:link w:val="NotesHeading-Level1Char"/>
    <w:qFormat/>
    <w:rsid w:val="00361797"/>
    <w:pPr>
      <w:numPr>
        <w:numId w:val="13"/>
      </w:numPr>
      <w:ind w:right="607"/>
      <w:outlineLvl w:val="0"/>
    </w:pPr>
    <w:rPr>
      <w:rFonts w:asciiTheme="minorHAnsi" w:eastAsiaTheme="minorHAnsi" w:hAnsiTheme="minorHAnsi" w:cstheme="minorBidi"/>
      <w:b/>
      <w:sz w:val="22"/>
      <w:szCs w:val="22"/>
    </w:rPr>
  </w:style>
  <w:style w:type="paragraph" w:customStyle="1" w:styleId="NotesHeading-Level2">
    <w:name w:val="Notes Heading - Level 2"/>
    <w:basedOn w:val="NotesHeading-Level1"/>
    <w:rsid w:val="00361797"/>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361797"/>
    <w:rPr>
      <w:rFonts w:ascii="Arial" w:hAnsi="Arial"/>
      <w:b/>
      <w:sz w:val="24"/>
    </w:rPr>
  </w:style>
  <w:style w:type="paragraph" w:customStyle="1" w:styleId="GreyShadeTableBreak">
    <w:name w:val="Grey Shade Table Break"/>
    <w:basedOn w:val="Normal"/>
    <w:qFormat/>
    <w:rsid w:val="00361797"/>
    <w:pPr>
      <w:shd w:val="clear" w:color="auto" w:fill="D9D9D9" w:themeFill="background1" w:themeFillShade="D9"/>
      <w:tabs>
        <w:tab w:val="left" w:pos="9214"/>
      </w:tabs>
      <w:ind w:right="607"/>
    </w:pPr>
  </w:style>
  <w:style w:type="paragraph" w:customStyle="1" w:styleId="GreyShadeTableBreaknon-Standard">
    <w:name w:val="Grey Shade Table Break non-Standard"/>
    <w:qFormat/>
    <w:rsid w:val="00361797"/>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361797"/>
    <w:pPr>
      <w:spacing w:line="240" w:lineRule="auto"/>
      <w:ind w:left="567" w:right="567"/>
    </w:pPr>
    <w:rPr>
      <w:rFonts w:cs="Arial"/>
      <w:szCs w:val="18"/>
    </w:rPr>
  </w:style>
  <w:style w:type="paragraph" w:customStyle="1" w:styleId="NotesHeader">
    <w:name w:val="Notes Header"/>
    <w:basedOn w:val="Normal"/>
    <w:next w:val="Normal"/>
    <w:rsid w:val="00361797"/>
    <w:pPr>
      <w:jc w:val="center"/>
    </w:pPr>
    <w:rPr>
      <w:rFonts w:ascii="Arial" w:hAnsi="Arial"/>
      <w:b/>
    </w:rPr>
  </w:style>
  <w:style w:type="paragraph" w:customStyle="1" w:styleId="NotesReferences">
    <w:name w:val="Notes References"/>
    <w:basedOn w:val="Normal"/>
    <w:next w:val="Normal"/>
    <w:rsid w:val="00361797"/>
    <w:pPr>
      <w:jc w:val="center"/>
    </w:pPr>
    <w:rPr>
      <w:rFonts w:ascii="Arial" w:hAnsi="Arial"/>
    </w:rPr>
  </w:style>
  <w:style w:type="paragraph" w:customStyle="1" w:styleId="NotesData">
    <w:name w:val="Notes Data"/>
    <w:basedOn w:val="Normal"/>
    <w:rsid w:val="00361797"/>
    <w:pPr>
      <w:framePr w:hSpace="180" w:wrap="around" w:vAnchor="text" w:hAnchor="margin" w:y="1"/>
      <w:jc w:val="center"/>
    </w:pPr>
    <w:rPr>
      <w:sz w:val="20"/>
    </w:rPr>
  </w:style>
  <w:style w:type="paragraph" w:customStyle="1" w:styleId="NotesTextLevel1">
    <w:name w:val="Notes Text Level 1"/>
    <w:basedOn w:val="Normal"/>
    <w:next w:val="Normal"/>
    <w:rsid w:val="00361797"/>
    <w:rPr>
      <w:rFonts w:ascii="Arial" w:hAnsi="Arial"/>
      <w:b/>
      <w:i/>
      <w:u w:val="single"/>
    </w:rPr>
  </w:style>
  <w:style w:type="character" w:customStyle="1" w:styleId="NotesTextLevel3aboldItalicChar">
    <w:name w:val="Notes Text Level 3(a) bold + Italic Char"/>
    <w:basedOn w:val="DefaultParagraphFont"/>
    <w:link w:val="NotesTextLevel3aboldItalic"/>
    <w:locked/>
    <w:rsid w:val="00361797"/>
    <w:rPr>
      <w:rFonts w:ascii="Arial" w:hAnsi="Arial" w:cs="Arial"/>
      <w:b/>
      <w:bCs/>
      <w:i/>
      <w:iCs/>
      <w:sz w:val="18"/>
    </w:rPr>
  </w:style>
  <w:style w:type="paragraph" w:customStyle="1" w:styleId="NotesTextLevel3aboldItalic">
    <w:name w:val="Notes Text Level 3(a) bold + Italic"/>
    <w:basedOn w:val="Normal"/>
    <w:link w:val="NotesTextLevel3aboldItalicChar"/>
    <w:rsid w:val="00361797"/>
    <w:rPr>
      <w:rFonts w:ascii="Arial" w:eastAsiaTheme="minorHAnsi" w:hAnsi="Arial" w:cs="Arial"/>
      <w:b/>
      <w:bCs/>
      <w:i/>
      <w:iCs/>
      <w:szCs w:val="22"/>
    </w:rPr>
  </w:style>
  <w:style w:type="paragraph" w:customStyle="1" w:styleId="NotesHeading3">
    <w:name w:val="Notes Heading 3"/>
    <w:basedOn w:val="Normal"/>
    <w:autoRedefine/>
    <w:rsid w:val="00361797"/>
    <w:pPr>
      <w:spacing w:before="80" w:after="40"/>
      <w:ind w:left="113" w:right="113"/>
    </w:pPr>
    <w:rPr>
      <w:u w:val="single"/>
      <w:lang w:val="en-US"/>
    </w:rPr>
  </w:style>
  <w:style w:type="paragraph" w:customStyle="1" w:styleId="NotesHeading3a">
    <w:name w:val="Notes Heading 3a"/>
    <w:basedOn w:val="Normal"/>
    <w:autoRedefine/>
    <w:rsid w:val="00361797"/>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361797"/>
    <w:pPr>
      <w:framePr w:hSpace="180" w:wrap="around" w:vAnchor="page" w:hAnchor="margin" w:y="1985"/>
      <w:tabs>
        <w:tab w:val="left" w:pos="593"/>
        <w:tab w:val="left" w:pos="1443"/>
      </w:tabs>
      <w:ind w:left="567" w:right="113"/>
    </w:pPr>
    <w:rPr>
      <w:sz w:val="20"/>
    </w:rPr>
  </w:style>
  <w:style w:type="paragraph" w:customStyle="1" w:styleId="NotesLineItem">
    <w:name w:val="Notes Line Item"/>
    <w:basedOn w:val="Normal"/>
    <w:autoRedefine/>
    <w:rsid w:val="00361797"/>
    <w:pPr>
      <w:ind w:left="34"/>
    </w:pPr>
    <w:rPr>
      <w:iCs/>
      <w:sz w:val="16"/>
      <w:szCs w:val="16"/>
      <w:lang w:eastAsia="en-AU"/>
    </w:rPr>
  </w:style>
  <w:style w:type="paragraph" w:customStyle="1" w:styleId="NoteText">
    <w:name w:val="Note Text"/>
    <w:basedOn w:val="Normal"/>
    <w:autoRedefine/>
    <w:rsid w:val="00361797"/>
    <w:pPr>
      <w:tabs>
        <w:tab w:val="left" w:pos="284"/>
      </w:tabs>
      <w:spacing w:after="120"/>
      <w:ind w:left="567"/>
    </w:pPr>
    <w:rPr>
      <w:sz w:val="20"/>
    </w:rPr>
  </w:style>
  <w:style w:type="paragraph" w:customStyle="1" w:styleId="NotesHeading">
    <w:name w:val="'Notes' Heading"/>
    <w:basedOn w:val="Normal"/>
    <w:autoRedefine/>
    <w:rsid w:val="00361797"/>
    <w:pPr>
      <w:ind w:left="57" w:right="57"/>
      <w:jc w:val="center"/>
    </w:pPr>
    <w:rPr>
      <w:b/>
      <w:sz w:val="20"/>
    </w:rPr>
  </w:style>
  <w:style w:type="paragraph" w:customStyle="1" w:styleId="NotesReference">
    <w:name w:val="'Notes' Reference"/>
    <w:basedOn w:val="Normal"/>
    <w:autoRedefine/>
    <w:rsid w:val="00361797"/>
    <w:pPr>
      <w:ind w:left="57" w:right="57"/>
      <w:jc w:val="center"/>
    </w:pPr>
    <w:rPr>
      <w:sz w:val="20"/>
    </w:rPr>
  </w:style>
  <w:style w:type="paragraph" w:customStyle="1" w:styleId="NotesHeading4">
    <w:name w:val="Notes Heading 4"/>
    <w:basedOn w:val="NoteText"/>
    <w:autoRedefine/>
    <w:rsid w:val="00361797"/>
    <w:pPr>
      <w:keepNext/>
      <w:spacing w:before="200" w:after="80"/>
      <w:ind w:right="57"/>
    </w:pPr>
  </w:style>
  <w:style w:type="paragraph" w:customStyle="1" w:styleId="NotesHeading3NumberingOff">
    <w:name w:val="Notes Heading 3 Numbering Off"/>
    <w:basedOn w:val="NotesHeading3"/>
    <w:autoRedefine/>
    <w:rsid w:val="00361797"/>
    <w:pPr>
      <w:tabs>
        <w:tab w:val="left" w:pos="1132"/>
      </w:tabs>
    </w:pPr>
  </w:style>
  <w:style w:type="paragraph" w:customStyle="1" w:styleId="NotesHeadingPlain">
    <w:name w:val="'Notes' Heading Plain"/>
    <w:basedOn w:val="NotesHeading"/>
    <w:autoRedefine/>
    <w:rsid w:val="00361797"/>
    <w:rPr>
      <w:b w:val="0"/>
    </w:rPr>
  </w:style>
  <w:style w:type="paragraph" w:customStyle="1" w:styleId="NotesHeading5">
    <w:name w:val="Notes Heading 5"/>
    <w:basedOn w:val="Normal"/>
    <w:autoRedefine/>
    <w:rsid w:val="00361797"/>
    <w:pPr>
      <w:spacing w:before="120" w:after="40"/>
      <w:ind w:left="113" w:right="113"/>
      <w:jc w:val="both"/>
    </w:pPr>
    <w:rPr>
      <w:b/>
      <w:sz w:val="20"/>
    </w:rPr>
  </w:style>
  <w:style w:type="paragraph" w:customStyle="1" w:styleId="NoteTextBEFOREDotPoint">
    <w:name w:val="Note Text BEFORE Dot Point"/>
    <w:basedOn w:val="NoteText"/>
    <w:rsid w:val="00361797"/>
    <w:pPr>
      <w:spacing w:after="0"/>
      <w:ind w:left="178" w:right="57"/>
    </w:pPr>
  </w:style>
  <w:style w:type="paragraph" w:customStyle="1" w:styleId="ItalicLineItem">
    <w:name w:val="Italic Line Item"/>
    <w:basedOn w:val="Normal"/>
    <w:rsid w:val="00361797"/>
    <w:pPr>
      <w:tabs>
        <w:tab w:val="left" w:pos="566"/>
      </w:tabs>
      <w:ind w:left="284" w:right="113"/>
      <w:jc w:val="both"/>
    </w:pPr>
    <w:rPr>
      <w:i/>
      <w:sz w:val="20"/>
      <w:lang w:val="en-US"/>
    </w:rPr>
  </w:style>
  <w:style w:type="paragraph" w:customStyle="1" w:styleId="ItalicHeading">
    <w:name w:val="Italic Heading"/>
    <w:basedOn w:val="ItalicLineItem"/>
    <w:rsid w:val="00361797"/>
    <w:pPr>
      <w:ind w:left="57" w:right="0"/>
    </w:pPr>
  </w:style>
  <w:style w:type="paragraph" w:customStyle="1" w:styleId="Notes">
    <w:name w:val="'Notes'"/>
    <w:basedOn w:val="Normal"/>
    <w:rsid w:val="00361797"/>
    <w:pPr>
      <w:jc w:val="center"/>
    </w:pPr>
    <w:rPr>
      <w:b/>
    </w:rPr>
  </w:style>
  <w:style w:type="character" w:customStyle="1" w:styleId="LineitemsChar">
    <w:name w:val="Line items Char"/>
    <w:basedOn w:val="DefaultParagraphFont"/>
    <w:link w:val="Lineitems"/>
    <w:uiPriority w:val="99"/>
    <w:locked/>
    <w:rsid w:val="00361797"/>
  </w:style>
  <w:style w:type="paragraph" w:customStyle="1" w:styleId="Lineitems">
    <w:name w:val="Line items"/>
    <w:basedOn w:val="Normal"/>
    <w:link w:val="LineitemsChar"/>
    <w:autoRedefine/>
    <w:uiPriority w:val="99"/>
    <w:rsid w:val="00361797"/>
    <w:rPr>
      <w:rFonts w:asciiTheme="minorHAnsi" w:eastAsiaTheme="minorHAnsi" w:hAnsiTheme="minorHAnsi" w:cstheme="minorBidi"/>
      <w:sz w:val="22"/>
      <w:szCs w:val="22"/>
    </w:rPr>
  </w:style>
  <w:style w:type="paragraph" w:customStyle="1" w:styleId="Notestext">
    <w:name w:val="Notes text"/>
    <w:basedOn w:val="Notes"/>
    <w:rsid w:val="00361797"/>
    <w:rPr>
      <w:b w:val="0"/>
    </w:rPr>
  </w:style>
  <w:style w:type="paragraph" w:customStyle="1" w:styleId="Lineitemtable">
    <w:name w:val="Line item table"/>
    <w:basedOn w:val="Lineitems"/>
    <w:rsid w:val="00361797"/>
  </w:style>
  <w:style w:type="paragraph" w:customStyle="1" w:styleId="12line">
    <w:name w:val="1/2 line"/>
    <w:basedOn w:val="Normal"/>
    <w:rsid w:val="00361797"/>
    <w:pPr>
      <w:spacing w:before="10" w:after="10" w:line="240" w:lineRule="auto"/>
    </w:pPr>
    <w:rPr>
      <w:sz w:val="20"/>
    </w:rPr>
  </w:style>
  <w:style w:type="paragraph" w:customStyle="1" w:styleId="lineitemitalic">
    <w:name w:val="line item italic"/>
    <w:basedOn w:val="Normal"/>
    <w:rsid w:val="00361797"/>
    <w:rPr>
      <w:i/>
    </w:rPr>
  </w:style>
  <w:style w:type="paragraph" w:customStyle="1" w:styleId="lineitembold">
    <w:name w:val="line item bold"/>
    <w:basedOn w:val="Normal"/>
    <w:rsid w:val="00361797"/>
    <w:rPr>
      <w:b/>
      <w:sz w:val="20"/>
    </w:rPr>
  </w:style>
  <w:style w:type="paragraph" w:customStyle="1" w:styleId="Notesheading0">
    <w:name w:val="Notes heading"/>
    <w:basedOn w:val="Normal"/>
    <w:rsid w:val="00361797"/>
    <w:pPr>
      <w:spacing w:line="240" w:lineRule="auto"/>
    </w:pPr>
    <w:rPr>
      <w:rFonts w:ascii="Calisto MT" w:hAnsi="Calisto MT"/>
      <w:b/>
      <w:sz w:val="14"/>
      <w:lang w:eastAsia="en-AU"/>
    </w:rPr>
  </w:style>
  <w:style w:type="paragraph" w:customStyle="1" w:styleId="Notestothefinancialstatements">
    <w:name w:val="Notes to the financial statements"/>
    <w:aliases w:val="Heading"/>
    <w:basedOn w:val="Normal"/>
    <w:rsid w:val="00361797"/>
    <w:pPr>
      <w:tabs>
        <w:tab w:val="left" w:pos="567"/>
        <w:tab w:val="left" w:pos="1134"/>
        <w:tab w:val="left" w:pos="1701"/>
      </w:tabs>
      <w:spacing w:before="60" w:after="60" w:line="240" w:lineRule="auto"/>
    </w:pPr>
    <w:rPr>
      <w:rFonts w:ascii="Tahoma" w:hAnsi="Tahoma"/>
      <w:b/>
      <w:color w:val="000000"/>
      <w:sz w:val="16"/>
      <w:lang w:eastAsia="en-AU"/>
    </w:rPr>
  </w:style>
  <w:style w:type="paragraph" w:customStyle="1" w:styleId="NotesBulletPoint">
    <w:name w:val="Notes Bullet Point"/>
    <w:basedOn w:val="Normal"/>
    <w:autoRedefine/>
    <w:rsid w:val="00361797"/>
    <w:pPr>
      <w:tabs>
        <w:tab w:val="left" w:pos="413"/>
        <w:tab w:val="num" w:pos="927"/>
      </w:tabs>
      <w:snapToGrid w:val="0"/>
      <w:spacing w:line="240" w:lineRule="auto"/>
      <w:ind w:left="414" w:right="113" w:hanging="301"/>
      <w:jc w:val="both"/>
    </w:pPr>
    <w:rPr>
      <w:sz w:val="20"/>
      <w:lang w:val="en-US" w:eastAsia="en-AU"/>
    </w:rPr>
  </w:style>
  <w:style w:type="paragraph" w:customStyle="1" w:styleId="Headinga">
    <w:name w:val="Heading a"/>
    <w:basedOn w:val="Normal"/>
    <w:rsid w:val="00361797"/>
    <w:pPr>
      <w:spacing w:line="240" w:lineRule="auto"/>
    </w:pPr>
    <w:rPr>
      <w:b/>
      <w:bCs/>
      <w:szCs w:val="18"/>
    </w:rPr>
  </w:style>
  <w:style w:type="character" w:customStyle="1" w:styleId="LineitemsTotalChar">
    <w:name w:val="Line items Total Char"/>
    <w:basedOn w:val="LineitemsChar"/>
    <w:link w:val="LineitemsTotal"/>
    <w:uiPriority w:val="99"/>
    <w:locked/>
    <w:rsid w:val="00361797"/>
    <w:rPr>
      <w:b/>
      <w:i/>
    </w:rPr>
  </w:style>
  <w:style w:type="paragraph" w:customStyle="1" w:styleId="LineitemsTotal">
    <w:name w:val="Line items Total"/>
    <w:basedOn w:val="Lineitems"/>
    <w:link w:val="LineitemsTotalChar"/>
    <w:uiPriority w:val="99"/>
    <w:rsid w:val="00361797"/>
    <w:pPr>
      <w:framePr w:hSpace="180" w:wrap="around" w:vAnchor="text" w:hAnchor="margin" w:y="1"/>
    </w:pPr>
    <w:rPr>
      <w:b/>
      <w:i/>
    </w:rPr>
  </w:style>
  <w:style w:type="paragraph" w:customStyle="1" w:styleId="SAPHeading-Level1">
    <w:name w:val="SAP Heading - Level 1"/>
    <w:basedOn w:val="NotesHeading-Level1"/>
    <w:rsid w:val="00361797"/>
    <w:pPr>
      <w:numPr>
        <w:numId w:val="0"/>
      </w:numPr>
      <w:tabs>
        <w:tab w:val="num" w:pos="851"/>
      </w:tabs>
      <w:ind w:left="851" w:hanging="851"/>
    </w:pPr>
    <w:rPr>
      <w:rFonts w:cstheme="minorHAnsi"/>
    </w:rPr>
  </w:style>
  <w:style w:type="paragraph" w:customStyle="1" w:styleId="SAPHeading-Level2">
    <w:name w:val="SAP Heading - Level 2"/>
    <w:basedOn w:val="SAPHeading-Level1"/>
    <w:rsid w:val="00361797"/>
    <w:pPr>
      <w:spacing w:before="100" w:after="100" w:line="240" w:lineRule="auto"/>
      <w:outlineLvl w:val="9"/>
    </w:pPr>
  </w:style>
  <w:style w:type="paragraph" w:customStyle="1" w:styleId="SAPHeading-Level3">
    <w:name w:val="SAP Heading - Level 3"/>
    <w:basedOn w:val="SAPHeading-Level2"/>
    <w:rsid w:val="00361797"/>
  </w:style>
  <w:style w:type="character" w:customStyle="1" w:styleId="NotesTextChar">
    <w:name w:val="Notes Text Char"/>
    <w:basedOn w:val="ReferenceTextChar"/>
    <w:link w:val="NotesText0"/>
    <w:uiPriority w:val="99"/>
    <w:locked/>
    <w:rsid w:val="00361797"/>
    <w:rPr>
      <w:rFonts w:cs="Arial"/>
      <w:sz w:val="18"/>
      <w:szCs w:val="18"/>
    </w:rPr>
  </w:style>
  <w:style w:type="paragraph" w:customStyle="1" w:styleId="NotesText0">
    <w:name w:val="Notes Text"/>
    <w:basedOn w:val="ReferenceText"/>
    <w:link w:val="NotesTextChar"/>
    <w:uiPriority w:val="99"/>
    <w:rsid w:val="00361797"/>
    <w:pPr>
      <w:spacing w:before="100" w:after="100" w:line="240" w:lineRule="auto"/>
    </w:pPr>
    <w:rPr>
      <w:rFonts w:cs="Arial"/>
      <w:szCs w:val="18"/>
    </w:rPr>
  </w:style>
  <w:style w:type="paragraph" w:customStyle="1" w:styleId="NotesTextHeading">
    <w:name w:val="Notes Text Heading"/>
    <w:basedOn w:val="NotesText0"/>
    <w:uiPriority w:val="99"/>
    <w:rsid w:val="00361797"/>
    <w:rPr>
      <w:b/>
      <w:i/>
    </w:rPr>
  </w:style>
  <w:style w:type="paragraph" w:customStyle="1" w:styleId="NoteHeading-Level1">
    <w:name w:val="Note Heading - Level 1"/>
    <w:basedOn w:val="Normal"/>
    <w:rsid w:val="00361797"/>
  </w:style>
  <w:style w:type="paragraph" w:customStyle="1" w:styleId="NoteHeading-Level2">
    <w:name w:val="Note Heading - Level 2"/>
    <w:basedOn w:val="Normal"/>
    <w:rsid w:val="00361797"/>
  </w:style>
  <w:style w:type="paragraph" w:customStyle="1" w:styleId="Notesreferencetext">
    <w:name w:val="Notes reference text"/>
    <w:basedOn w:val="Normal"/>
    <w:next w:val="Normal"/>
    <w:rsid w:val="00361797"/>
    <w:pPr>
      <w:jc w:val="center"/>
    </w:pPr>
  </w:style>
  <w:style w:type="character" w:customStyle="1" w:styleId="StyleReferenceTextItalicChar">
    <w:name w:val="Style Reference Text + Italic Char"/>
    <w:basedOn w:val="ReferenceTextChar"/>
    <w:link w:val="StyleReferenceTextItalic"/>
    <w:uiPriority w:val="99"/>
    <w:locked/>
    <w:rsid w:val="00361797"/>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361797"/>
    <w:pPr>
      <w:spacing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361797"/>
    <w:rPr>
      <w:rFonts w:cs="Arial"/>
      <w:i/>
      <w:iCs/>
      <w:sz w:val="18"/>
      <w:szCs w:val="18"/>
      <w:u w:val="single"/>
    </w:rPr>
  </w:style>
  <w:style w:type="paragraph" w:customStyle="1" w:styleId="StyleNotesTextItalic">
    <w:name w:val="Style Notes Text + Italic"/>
    <w:basedOn w:val="NotesText0"/>
    <w:link w:val="StyleNotesTextItalicChar"/>
    <w:uiPriority w:val="99"/>
    <w:rsid w:val="00361797"/>
    <w:pPr>
      <w:ind w:right="-54"/>
    </w:pPr>
    <w:rPr>
      <w:i/>
      <w:iCs/>
      <w:u w:val="single"/>
    </w:rPr>
  </w:style>
  <w:style w:type="paragraph" w:customStyle="1" w:styleId="StyleNotesTextPatternClearGray-25">
    <w:name w:val="Style Notes Text + Pattern: Clear (Gray-25%)"/>
    <w:basedOn w:val="NotesText0"/>
    <w:autoRedefine/>
    <w:uiPriority w:val="99"/>
    <w:rsid w:val="00361797"/>
    <w:pPr>
      <w:shd w:val="clear" w:color="auto" w:fill="CCCCCC"/>
      <w:ind w:right="-54"/>
    </w:pPr>
    <w:rPr>
      <w:rFonts w:ascii="Calibri" w:hAnsi="Calibri"/>
      <w:sz w:val="20"/>
      <w:szCs w:val="20"/>
    </w:rPr>
  </w:style>
  <w:style w:type="paragraph" w:customStyle="1" w:styleId="BulletKPMG">
    <w:name w:val="Bullet KPMG"/>
    <w:basedOn w:val="Normal"/>
    <w:uiPriority w:val="99"/>
    <w:rsid w:val="00361797"/>
    <w:pPr>
      <w:tabs>
        <w:tab w:val="num" w:pos="473"/>
      </w:tabs>
      <w:spacing w:before="100" w:after="100" w:line="240" w:lineRule="auto"/>
      <w:ind w:left="357" w:hanging="357"/>
    </w:pPr>
    <w:rPr>
      <w:sz w:val="20"/>
      <w:lang w:val="en-US" w:eastAsia="en-AU"/>
    </w:rPr>
  </w:style>
  <w:style w:type="character" w:customStyle="1" w:styleId="StyleNotesTextBoldChar">
    <w:name w:val="Style Notes Text + Bold Char"/>
    <w:basedOn w:val="NotesTextChar"/>
    <w:link w:val="StyleNotesTextBold"/>
    <w:uiPriority w:val="99"/>
    <w:locked/>
    <w:rsid w:val="00361797"/>
    <w:rPr>
      <w:rFonts w:ascii="Calibri" w:hAnsi="Calibri" w:cs="Arial"/>
      <w:bCs/>
      <w:sz w:val="18"/>
      <w:szCs w:val="18"/>
    </w:rPr>
  </w:style>
  <w:style w:type="paragraph" w:customStyle="1" w:styleId="StyleNotesTextBold">
    <w:name w:val="Style Notes Text + Bold"/>
    <w:basedOn w:val="NotesText0"/>
    <w:link w:val="StyleNotesTextBoldChar"/>
    <w:uiPriority w:val="99"/>
    <w:rsid w:val="00361797"/>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361797"/>
    <w:rPr>
      <w:rFonts w:ascii="Calibri" w:hAnsi="Calibri" w:cs="Arial"/>
      <w:bCs/>
      <w:sz w:val="18"/>
      <w:szCs w:val="18"/>
    </w:rPr>
  </w:style>
  <w:style w:type="paragraph" w:customStyle="1" w:styleId="StyleNotesTextBold1">
    <w:name w:val="Style Notes Text + Bold1"/>
    <w:basedOn w:val="NotesText0"/>
    <w:link w:val="StyleNotesTextBold1Char"/>
    <w:uiPriority w:val="99"/>
    <w:rsid w:val="00361797"/>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361797"/>
    <w:rPr>
      <w:rFonts w:ascii="Arial" w:hAnsi="Arial" w:cs="Arial"/>
      <w:b/>
      <w:sz w:val="18"/>
      <w:szCs w:val="18"/>
    </w:rPr>
  </w:style>
  <w:style w:type="paragraph" w:customStyle="1" w:styleId="StatementTextLevel1b">
    <w:name w:val="Statement Text Level 1(b)"/>
    <w:basedOn w:val="Normal"/>
    <w:link w:val="StatementTextLevel1bChar"/>
    <w:uiPriority w:val="99"/>
    <w:rsid w:val="00361797"/>
    <w:rPr>
      <w:rFonts w:ascii="Arial" w:eastAsiaTheme="minorHAnsi" w:hAnsi="Arial" w:cs="Arial"/>
      <w:b/>
      <w:szCs w:val="18"/>
    </w:rPr>
  </w:style>
  <w:style w:type="paragraph" w:customStyle="1" w:styleId="PrimaryStatementsHeading">
    <w:name w:val="Primary Statements Heading"/>
    <w:basedOn w:val="Normal"/>
    <w:autoRedefine/>
    <w:uiPriority w:val="99"/>
    <w:rsid w:val="00361797"/>
    <w:pPr>
      <w:spacing w:line="300" w:lineRule="exact"/>
    </w:pPr>
    <w:rPr>
      <w:b/>
      <w:sz w:val="24"/>
      <w:lang w:val="en-US"/>
    </w:rPr>
  </w:style>
  <w:style w:type="paragraph" w:customStyle="1" w:styleId="PeriodHeading">
    <w:name w:val="Period Heading"/>
    <w:basedOn w:val="PrimaryStatementsHeading"/>
    <w:uiPriority w:val="99"/>
    <w:rsid w:val="00361797"/>
    <w:rPr>
      <w:i/>
      <w:sz w:val="22"/>
    </w:rPr>
  </w:style>
  <w:style w:type="paragraph" w:customStyle="1" w:styleId="CurrentYearDataTotalLevel1">
    <w:name w:val="Current Year Data Total Level 1"/>
    <w:basedOn w:val="Normal"/>
    <w:next w:val="Normal"/>
    <w:autoRedefine/>
    <w:uiPriority w:val="99"/>
    <w:rsid w:val="00361797"/>
    <w:pPr>
      <w:pBdr>
        <w:top w:val="single" w:sz="4" w:space="1" w:color="auto"/>
        <w:bottom w:val="double" w:sz="6" w:space="1" w:color="auto"/>
      </w:pBdr>
      <w:jc w:val="right"/>
    </w:pPr>
    <w:rPr>
      <w:b/>
      <w:szCs w:val="16"/>
    </w:rPr>
  </w:style>
  <w:style w:type="character" w:customStyle="1" w:styleId="LineitemsHeadingChar">
    <w:name w:val="Line items Heading Char"/>
    <w:basedOn w:val="LineitemsChar"/>
    <w:link w:val="LineitemsHeading"/>
    <w:uiPriority w:val="99"/>
    <w:locked/>
    <w:rsid w:val="00361797"/>
    <w:rPr>
      <w:rFonts w:ascii="Calibri" w:hAnsi="Calibri" w:cs="Calibri"/>
      <w:b/>
      <w:sz w:val="18"/>
    </w:rPr>
  </w:style>
  <w:style w:type="paragraph" w:customStyle="1" w:styleId="LineitemsHeading">
    <w:name w:val="Line items Heading"/>
    <w:basedOn w:val="Lineitems"/>
    <w:link w:val="LineitemsHeadingChar"/>
    <w:uiPriority w:val="99"/>
    <w:rsid w:val="00361797"/>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361797"/>
    <w:pPr>
      <w:pBdr>
        <w:top w:val="single" w:sz="4" w:space="1" w:color="auto"/>
        <w:bottom w:val="double" w:sz="6" w:space="1" w:color="auto"/>
      </w:pBdr>
      <w:jc w:val="right"/>
    </w:pPr>
  </w:style>
  <w:style w:type="paragraph" w:customStyle="1" w:styleId="StyleNotesTextItalic1">
    <w:name w:val="Style Notes Text + Italic1"/>
    <w:basedOn w:val="NotesText0"/>
    <w:uiPriority w:val="99"/>
    <w:rsid w:val="00361797"/>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361797"/>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361797"/>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361797"/>
    <w:pPr>
      <w:pBdr>
        <w:top w:val="single" w:sz="4" w:space="1" w:color="auto"/>
        <w:bottom w:val="single" w:sz="4" w:space="1" w:color="auto"/>
      </w:pBdr>
      <w:jc w:val="right"/>
    </w:pPr>
    <w:rPr>
      <w:rFonts w:eastAsiaTheme="minorHAnsi" w:cs="Calibri"/>
      <w:szCs w:val="22"/>
    </w:rPr>
  </w:style>
  <w:style w:type="character" w:customStyle="1" w:styleId="CurrentYearDataTotalLevel2Char">
    <w:name w:val="Current Year Data Total Level 2 Char"/>
    <w:basedOn w:val="DefaultParagraphFont"/>
    <w:link w:val="CurrentYearDataTotalLevel2"/>
    <w:uiPriority w:val="99"/>
    <w:locked/>
    <w:rsid w:val="00361797"/>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361797"/>
    <w:pPr>
      <w:pBdr>
        <w:top w:val="single" w:sz="4" w:space="1" w:color="auto"/>
        <w:bottom w:val="single" w:sz="4" w:space="1" w:color="auto"/>
      </w:pBdr>
      <w:jc w:val="right"/>
    </w:pPr>
    <w:rPr>
      <w:rFonts w:eastAsiaTheme="minorHAnsi" w:cs="Calibri"/>
      <w:b/>
      <w:szCs w:val="22"/>
    </w:rPr>
  </w:style>
  <w:style w:type="paragraph" w:customStyle="1" w:styleId="DeptCurrentYearHeader">
    <w:name w:val="Dept Current Year Header"/>
    <w:basedOn w:val="Normal"/>
    <w:qFormat/>
    <w:rsid w:val="00361797"/>
    <w:pPr>
      <w:spacing w:line="240" w:lineRule="auto"/>
      <w:jc w:val="right"/>
    </w:pPr>
    <w:rPr>
      <w:rFonts w:asciiTheme="minorHAnsi" w:hAnsiTheme="minorHAnsi" w:cstheme="minorHAnsi"/>
      <w:b/>
      <w:szCs w:val="18"/>
      <w:lang w:eastAsia="en-AU"/>
    </w:rPr>
  </w:style>
  <w:style w:type="paragraph" w:customStyle="1" w:styleId="DeptPreviousYearHeader">
    <w:name w:val="Dept Previous Year Header"/>
    <w:qFormat/>
    <w:rsid w:val="00361797"/>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361797"/>
    <w:pPr>
      <w:spacing w:line="240" w:lineRule="auto"/>
      <w:jc w:val="right"/>
    </w:pPr>
    <w:rPr>
      <w:rFonts w:asciiTheme="minorHAnsi" w:hAnsiTheme="minorHAnsi" w:cstheme="minorHAnsi"/>
      <w:b/>
      <w:szCs w:val="18"/>
      <w:lang w:eastAsia="en-AU"/>
    </w:rPr>
  </w:style>
  <w:style w:type="paragraph" w:customStyle="1" w:styleId="DeptManualEntryCellUnBold">
    <w:name w:val="Dept Manual Entry Cell UnBold"/>
    <w:basedOn w:val="DeptManualEntryCell"/>
    <w:qFormat/>
    <w:rsid w:val="00361797"/>
    <w:rPr>
      <w:b w:val="0"/>
    </w:rPr>
  </w:style>
  <w:style w:type="paragraph" w:customStyle="1" w:styleId="DeptCurrentYearTotal">
    <w:name w:val="Dept Current Year Total"/>
    <w:qFormat/>
    <w:rsid w:val="00361797"/>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361797"/>
    <w:pPr>
      <w:spacing w:after="0" w:line="240" w:lineRule="auto"/>
      <w:jc w:val="right"/>
    </w:pPr>
    <w:rPr>
      <w:rFonts w:eastAsia="Times New Roman" w:cstheme="minorHAnsi"/>
      <w:sz w:val="18"/>
      <w:szCs w:val="18"/>
      <w:lang w:eastAsia="en-AU"/>
    </w:rPr>
  </w:style>
  <w:style w:type="paragraph" w:customStyle="1" w:styleId="DeptRowText">
    <w:name w:val="Dept Row Text"/>
    <w:qFormat/>
    <w:rsid w:val="00361797"/>
    <w:pPr>
      <w:spacing w:after="0" w:line="240" w:lineRule="auto"/>
    </w:pPr>
    <w:rPr>
      <w:rFonts w:eastAsia="Times New Roman" w:cstheme="minorHAnsi"/>
      <w:sz w:val="18"/>
      <w:szCs w:val="18"/>
      <w:lang w:eastAsia="en-AU"/>
    </w:rPr>
  </w:style>
  <w:style w:type="paragraph" w:customStyle="1" w:styleId="DeptRowTextTotal">
    <w:name w:val="Dept Row Text Total"/>
    <w:qFormat/>
    <w:rsid w:val="00361797"/>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361797"/>
  </w:style>
  <w:style w:type="paragraph" w:customStyle="1" w:styleId="DeptRowTextIndent">
    <w:name w:val="Dept Row Text Indent"/>
    <w:basedOn w:val="DeptRowText"/>
    <w:qFormat/>
    <w:rsid w:val="00361797"/>
    <w:pPr>
      <w:ind w:left="204"/>
    </w:pPr>
  </w:style>
  <w:style w:type="paragraph" w:customStyle="1" w:styleId="AdminRowTextIndent">
    <w:name w:val="Admin Row Text Indent"/>
    <w:basedOn w:val="DeptRowTextIndent"/>
    <w:qFormat/>
    <w:rsid w:val="00361797"/>
  </w:style>
  <w:style w:type="paragraph" w:customStyle="1" w:styleId="AdminRowTextIndentGrey">
    <w:name w:val="Admin Row Text Indent Grey"/>
    <w:basedOn w:val="AdminRowTextIndent"/>
    <w:qFormat/>
    <w:rsid w:val="00361797"/>
  </w:style>
  <w:style w:type="paragraph" w:customStyle="1" w:styleId="AdminCurrentYearDataGrey">
    <w:name w:val="Admin Current Year Data Grey"/>
    <w:qFormat/>
    <w:rsid w:val="00361797"/>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361797"/>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361797"/>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361797"/>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361797"/>
  </w:style>
  <w:style w:type="paragraph" w:customStyle="1" w:styleId="AdminBlankGreyShade">
    <w:name w:val="Admin Blank Grey Shade"/>
    <w:next w:val="12line"/>
    <w:qFormat/>
    <w:rsid w:val="00361797"/>
    <w:pPr>
      <w:spacing w:after="0" w:line="240" w:lineRule="auto"/>
    </w:pPr>
    <w:rPr>
      <w:rFonts w:eastAsia="Times New Roman" w:cstheme="minorHAnsi"/>
      <w:sz w:val="18"/>
      <w:szCs w:val="18"/>
      <w:lang w:eastAsia="en-AU"/>
    </w:rPr>
  </w:style>
  <w:style w:type="paragraph" w:customStyle="1" w:styleId="AdminRowTextGrey">
    <w:name w:val="Admin Row Text Grey"/>
    <w:qFormat/>
    <w:rsid w:val="00361797"/>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361797"/>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361797"/>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361797"/>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361797"/>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361797"/>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361797"/>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361797"/>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361797"/>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361797"/>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361797"/>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361797"/>
    <w:pPr>
      <w:jc w:val="center"/>
    </w:pPr>
    <w:rPr>
      <w:b w:val="0"/>
    </w:rPr>
  </w:style>
  <w:style w:type="paragraph" w:customStyle="1" w:styleId="DeptRowTextDoubleIndent">
    <w:name w:val="Dept Row Text Double Indent"/>
    <w:basedOn w:val="DeptNoteReference"/>
    <w:qFormat/>
    <w:rsid w:val="00361797"/>
    <w:pPr>
      <w:tabs>
        <w:tab w:val="left" w:pos="204"/>
      </w:tabs>
      <w:ind w:left="487"/>
      <w:jc w:val="left"/>
    </w:pPr>
  </w:style>
  <w:style w:type="paragraph" w:customStyle="1" w:styleId="AdminRowTextSubTotal">
    <w:name w:val="Admin Row Text SubTotal"/>
    <w:qFormat/>
    <w:rsid w:val="00361797"/>
    <w:pPr>
      <w:spacing w:after="0" w:line="240" w:lineRule="auto"/>
    </w:pPr>
    <w:rPr>
      <w:rFonts w:eastAsia="Times New Roman" w:cstheme="minorHAnsi"/>
      <w:sz w:val="18"/>
      <w:szCs w:val="18"/>
      <w:lang w:eastAsia="en-AU"/>
    </w:rPr>
  </w:style>
  <w:style w:type="paragraph" w:customStyle="1" w:styleId="DeptRowTextHeader">
    <w:name w:val="Dept Row Text Header"/>
    <w:qFormat/>
    <w:rsid w:val="00361797"/>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361797"/>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361797"/>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361797"/>
  </w:style>
  <w:style w:type="paragraph" w:customStyle="1" w:styleId="AdminHeaderUnderlineGrey">
    <w:name w:val="Admin Header Underline Grey"/>
    <w:qFormat/>
    <w:rsid w:val="00361797"/>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361797"/>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361797"/>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361797"/>
    <w:rPr>
      <w:rFonts w:cs="Calibri"/>
      <w:b/>
      <w:bCs/>
      <w:i/>
      <w:iCs/>
      <w:szCs w:val="18"/>
    </w:rPr>
  </w:style>
  <w:style w:type="paragraph" w:customStyle="1" w:styleId="DeptRowTextSubTotal">
    <w:name w:val="Dept Row Text SubTotal"/>
    <w:basedOn w:val="Normal"/>
    <w:qFormat/>
    <w:rsid w:val="00361797"/>
    <w:rPr>
      <w:rFonts w:cs="Calibri"/>
      <w:b/>
      <w:bCs/>
      <w:szCs w:val="18"/>
    </w:rPr>
  </w:style>
  <w:style w:type="paragraph" w:customStyle="1" w:styleId="DeptManualEntryBoldGreyShade">
    <w:name w:val="Dept Manual Entry Bold Grey Shade"/>
    <w:qFormat/>
    <w:rsid w:val="00361797"/>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361797"/>
    <w:rPr>
      <w:b w:val="0"/>
    </w:rPr>
  </w:style>
  <w:style w:type="paragraph" w:customStyle="1" w:styleId="AdminHeaderCentered">
    <w:name w:val="Admin Header Centered"/>
    <w:basedOn w:val="AdminRowTextHeaderBoldGrey"/>
    <w:qFormat/>
    <w:rsid w:val="00361797"/>
    <w:pPr>
      <w:jc w:val="center"/>
    </w:pPr>
  </w:style>
  <w:style w:type="paragraph" w:customStyle="1" w:styleId="AdminNoteReferenceGrey">
    <w:name w:val="Admin Note Reference Grey"/>
    <w:qFormat/>
    <w:rsid w:val="00361797"/>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361797"/>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361797"/>
    <w:pPr>
      <w:numPr>
        <w:numId w:val="15"/>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361797"/>
    <w:rPr>
      <w:i/>
      <w:u w:val="single"/>
    </w:rPr>
  </w:style>
  <w:style w:type="paragraph" w:customStyle="1" w:styleId="Default">
    <w:name w:val="Default"/>
    <w:rsid w:val="00361797"/>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361797"/>
    <w:rPr>
      <w:vertAlign w:val="superscript"/>
    </w:rPr>
  </w:style>
  <w:style w:type="character" w:styleId="CommentReference">
    <w:name w:val="annotation reference"/>
    <w:basedOn w:val="DefaultParagraphFont"/>
    <w:semiHidden/>
    <w:rsid w:val="00361797"/>
    <w:rPr>
      <w:sz w:val="16"/>
      <w:szCs w:val="16"/>
    </w:rPr>
  </w:style>
  <w:style w:type="character" w:styleId="PageNumber">
    <w:name w:val="page number"/>
    <w:basedOn w:val="DefaultParagraphFont"/>
    <w:uiPriority w:val="99"/>
    <w:rsid w:val="00361797"/>
    <w:rPr>
      <w:rFonts w:ascii="Times New Roman" w:hAnsi="Times New Roman" w:cs="Times New Roman" w:hint="default"/>
      <w:sz w:val="22"/>
    </w:rPr>
  </w:style>
  <w:style w:type="character" w:customStyle="1" w:styleId="A18">
    <w:name w:val="A18"/>
    <w:uiPriority w:val="99"/>
    <w:rsid w:val="00361797"/>
    <w:rPr>
      <w:i/>
      <w:iCs/>
      <w:color w:val="000000"/>
      <w:sz w:val="14"/>
      <w:szCs w:val="14"/>
      <w:u w:val="single"/>
    </w:rPr>
  </w:style>
  <w:style w:type="table" w:styleId="TableGrid">
    <w:name w:val="Table Grid"/>
    <w:basedOn w:val="TableNormal"/>
    <w:uiPriority w:val="59"/>
    <w:rsid w:val="00361797"/>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36179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361797"/>
    <w:pPr>
      <w:numPr>
        <w:numId w:val="0"/>
      </w:numPr>
      <w:spacing w:line="240" w:lineRule="auto"/>
      <w:outlineLvl w:val="9"/>
    </w:pPr>
  </w:style>
  <w:style w:type="numbering" w:customStyle="1" w:styleId="CurrentList2">
    <w:name w:val="Current List2"/>
    <w:rsid w:val="00361797"/>
    <w:pPr>
      <w:numPr>
        <w:numId w:val="26"/>
      </w:numPr>
    </w:pPr>
  </w:style>
  <w:style w:type="numbering" w:customStyle="1" w:styleId="Style2">
    <w:name w:val="Style2"/>
    <w:rsid w:val="00361797"/>
    <w:pPr>
      <w:numPr>
        <w:numId w:val="27"/>
      </w:numPr>
    </w:pPr>
  </w:style>
  <w:style w:type="numbering" w:customStyle="1" w:styleId="CurrentList1">
    <w:name w:val="Current List1"/>
    <w:rsid w:val="0036179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6B7B87A4.dotm</Template>
  <TotalTime>12</TotalTime>
  <Pages>94</Pages>
  <Words>23491</Words>
  <Characters>130848</Characters>
  <Application>Microsoft Office Word</Application>
  <DocSecurity>0</DocSecurity>
  <Lines>11895</Lines>
  <Paragraphs>7349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Suzanne Cooper</cp:lastModifiedBy>
  <cp:revision>4</cp:revision>
  <dcterms:created xsi:type="dcterms:W3CDTF">2014-10-29T03:46:00Z</dcterms:created>
  <dcterms:modified xsi:type="dcterms:W3CDTF">2014-10-29T04:35:00Z</dcterms:modified>
</cp:coreProperties>
</file>