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E1E" w:rsidRDefault="007E1E1E" w:rsidP="007E1E1E">
      <w:pPr>
        <w:spacing w:line="240" w:lineRule="auto"/>
      </w:pPr>
    </w:p>
    <w:p w:rsidR="007E1E1E" w:rsidRDefault="007E1E1E" w:rsidP="007E1E1E">
      <w:pPr>
        <w:pStyle w:val="TOC1"/>
        <w:rPr>
          <w:rFonts w:asciiTheme="minorHAnsi" w:eastAsiaTheme="minorEastAsia" w:hAnsiTheme="minorHAnsi" w:cstheme="minorBidi"/>
          <w:noProof/>
          <w:sz w:val="22"/>
          <w:szCs w:val="22"/>
          <w:lang w:eastAsia="en-AU"/>
        </w:rPr>
      </w:pPr>
      <w:r w:rsidRPr="005F1B77">
        <w:rPr>
          <w:rFonts w:asciiTheme="minorHAnsi" w:hAnsiTheme="minorHAnsi" w:cstheme="minorHAnsi"/>
          <w:b/>
        </w:rPr>
        <w:fldChar w:fldCharType="begin"/>
      </w:r>
      <w:r w:rsidRPr="005F1B77">
        <w:rPr>
          <w:rFonts w:asciiTheme="minorHAnsi" w:hAnsiTheme="minorHAnsi" w:cstheme="minorHAnsi"/>
          <w:b/>
        </w:rPr>
        <w:instrText xml:space="preserve"> TOC \o "1-3" \h \z \u </w:instrText>
      </w:r>
      <w:r w:rsidRPr="005F1B77">
        <w:rPr>
          <w:rFonts w:asciiTheme="minorHAnsi" w:hAnsiTheme="minorHAnsi" w:cstheme="minorHAnsi"/>
          <w:b/>
        </w:rPr>
        <w:fldChar w:fldCharType="separate"/>
      </w:r>
      <w:hyperlink w:anchor="_Toc400713244" w:history="1">
        <w:r w:rsidRPr="00AA4FF2">
          <w:rPr>
            <w:rStyle w:val="Hyperlink"/>
            <w:rFonts w:eastAsiaTheme="majorEastAsia" w:cstheme="minorHAnsi"/>
            <w:noProof/>
          </w:rPr>
          <w:t>Note 1:</w:t>
        </w:r>
        <w:r>
          <w:rPr>
            <w:rFonts w:asciiTheme="minorHAnsi" w:eastAsiaTheme="minorEastAsia" w:hAnsiTheme="minorHAnsi" w:cstheme="minorBidi"/>
            <w:noProof/>
            <w:sz w:val="22"/>
            <w:szCs w:val="22"/>
            <w:lang w:eastAsia="en-AU"/>
          </w:rPr>
          <w:tab/>
        </w:r>
        <w:r w:rsidRPr="00AA4FF2">
          <w:rPr>
            <w:rStyle w:val="Hyperlink"/>
            <w:rFonts w:eastAsiaTheme="majorEastAsia" w:cstheme="minorHAnsi"/>
            <w:noProof/>
          </w:rPr>
          <w:t>Summary of Significant Accounting Policies</w:t>
        </w:r>
        <w:r>
          <w:rPr>
            <w:noProof/>
            <w:webHidden/>
          </w:rPr>
          <w:tab/>
        </w:r>
        <w:r>
          <w:rPr>
            <w:noProof/>
            <w:webHidden/>
          </w:rPr>
          <w:fldChar w:fldCharType="begin"/>
        </w:r>
        <w:r>
          <w:rPr>
            <w:noProof/>
            <w:webHidden/>
          </w:rPr>
          <w:instrText xml:space="preserve"> PAGEREF _Toc400713244 \h </w:instrText>
        </w:r>
        <w:r>
          <w:rPr>
            <w:noProof/>
            <w:webHidden/>
          </w:rPr>
        </w:r>
        <w:r>
          <w:rPr>
            <w:noProof/>
            <w:webHidden/>
          </w:rPr>
          <w:fldChar w:fldCharType="separate"/>
        </w:r>
        <w:r>
          <w:rPr>
            <w:noProof/>
            <w:webHidden/>
          </w:rPr>
          <w:t>2</w:t>
        </w:r>
        <w:r>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45" w:history="1">
        <w:r w:rsidR="007E1E1E" w:rsidRPr="00AA4FF2">
          <w:rPr>
            <w:rStyle w:val="Hyperlink"/>
            <w:rFonts w:eastAsiaTheme="majorEastAsia" w:cstheme="minorHAnsi"/>
            <w:noProof/>
          </w:rPr>
          <w:t>Note 2:</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noProof/>
          </w:rPr>
          <w:t>Events After the Reporting Period</w:t>
        </w:r>
        <w:r w:rsidR="007E1E1E">
          <w:rPr>
            <w:noProof/>
            <w:webHidden/>
          </w:rPr>
          <w:tab/>
        </w:r>
        <w:r w:rsidR="007E1E1E">
          <w:rPr>
            <w:noProof/>
            <w:webHidden/>
          </w:rPr>
          <w:fldChar w:fldCharType="begin"/>
        </w:r>
        <w:r w:rsidR="007E1E1E">
          <w:rPr>
            <w:noProof/>
            <w:webHidden/>
          </w:rPr>
          <w:instrText xml:space="preserve"> PAGEREF _Toc400713245 \h </w:instrText>
        </w:r>
        <w:r w:rsidR="007E1E1E">
          <w:rPr>
            <w:noProof/>
            <w:webHidden/>
          </w:rPr>
        </w:r>
        <w:r w:rsidR="007E1E1E">
          <w:rPr>
            <w:noProof/>
            <w:webHidden/>
          </w:rPr>
          <w:fldChar w:fldCharType="separate"/>
        </w:r>
        <w:r w:rsidR="007E1E1E">
          <w:rPr>
            <w:noProof/>
            <w:webHidden/>
          </w:rPr>
          <w:t>12</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46" w:history="1">
        <w:r w:rsidR="007E1E1E" w:rsidRPr="00AA4FF2">
          <w:rPr>
            <w:rStyle w:val="Hyperlink"/>
            <w:rFonts w:eastAsiaTheme="majorEastAsia" w:cstheme="minorHAnsi"/>
            <w:noProof/>
          </w:rPr>
          <w:t>Note 3:</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cstheme="minorHAnsi"/>
            <w:noProof/>
          </w:rPr>
          <w:t>Expenses</w:t>
        </w:r>
        <w:r w:rsidR="007E1E1E">
          <w:rPr>
            <w:noProof/>
            <w:webHidden/>
          </w:rPr>
          <w:tab/>
        </w:r>
        <w:r w:rsidR="007E1E1E">
          <w:rPr>
            <w:noProof/>
            <w:webHidden/>
          </w:rPr>
          <w:fldChar w:fldCharType="begin"/>
        </w:r>
        <w:r w:rsidR="007E1E1E">
          <w:rPr>
            <w:noProof/>
            <w:webHidden/>
          </w:rPr>
          <w:instrText xml:space="preserve"> PAGEREF _Toc400713246 \h </w:instrText>
        </w:r>
        <w:r w:rsidR="007E1E1E">
          <w:rPr>
            <w:noProof/>
            <w:webHidden/>
          </w:rPr>
        </w:r>
        <w:r w:rsidR="007E1E1E">
          <w:rPr>
            <w:noProof/>
            <w:webHidden/>
          </w:rPr>
          <w:fldChar w:fldCharType="separate"/>
        </w:r>
        <w:r w:rsidR="007E1E1E">
          <w:rPr>
            <w:noProof/>
            <w:webHidden/>
          </w:rPr>
          <w:t>13</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47" w:history="1">
        <w:r w:rsidR="007E1E1E" w:rsidRPr="00AA4FF2">
          <w:rPr>
            <w:rStyle w:val="Hyperlink"/>
            <w:rFonts w:eastAsiaTheme="majorEastAsia" w:cstheme="minorHAnsi"/>
            <w:noProof/>
          </w:rPr>
          <w:t>Note 4:</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cstheme="minorHAnsi"/>
            <w:noProof/>
          </w:rPr>
          <w:t>Income</w:t>
        </w:r>
        <w:r w:rsidR="007E1E1E">
          <w:rPr>
            <w:noProof/>
            <w:webHidden/>
          </w:rPr>
          <w:tab/>
        </w:r>
        <w:r w:rsidR="007E1E1E">
          <w:rPr>
            <w:noProof/>
            <w:webHidden/>
          </w:rPr>
          <w:fldChar w:fldCharType="begin"/>
        </w:r>
        <w:r w:rsidR="007E1E1E">
          <w:rPr>
            <w:noProof/>
            <w:webHidden/>
          </w:rPr>
          <w:instrText xml:space="preserve"> PAGEREF _Toc400713247 \h </w:instrText>
        </w:r>
        <w:r w:rsidR="007E1E1E">
          <w:rPr>
            <w:noProof/>
            <w:webHidden/>
          </w:rPr>
        </w:r>
        <w:r w:rsidR="007E1E1E">
          <w:rPr>
            <w:noProof/>
            <w:webHidden/>
          </w:rPr>
          <w:fldChar w:fldCharType="separate"/>
        </w:r>
        <w:r w:rsidR="007E1E1E">
          <w:rPr>
            <w:noProof/>
            <w:webHidden/>
          </w:rPr>
          <w:t>15</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48" w:history="1">
        <w:r w:rsidR="007E1E1E" w:rsidRPr="00AA4FF2">
          <w:rPr>
            <w:rStyle w:val="Hyperlink"/>
            <w:rFonts w:eastAsiaTheme="majorEastAsia" w:cstheme="minorHAnsi"/>
            <w:noProof/>
          </w:rPr>
          <w:t>Note 5:</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cstheme="minorHAnsi"/>
            <w:noProof/>
          </w:rPr>
          <w:t>Fair Value Measurement</w:t>
        </w:r>
        <w:r w:rsidR="007E1E1E">
          <w:rPr>
            <w:noProof/>
            <w:webHidden/>
          </w:rPr>
          <w:tab/>
        </w:r>
        <w:r w:rsidR="007E1E1E">
          <w:rPr>
            <w:noProof/>
            <w:webHidden/>
          </w:rPr>
          <w:fldChar w:fldCharType="begin"/>
        </w:r>
        <w:r w:rsidR="007E1E1E">
          <w:rPr>
            <w:noProof/>
            <w:webHidden/>
          </w:rPr>
          <w:instrText xml:space="preserve"> PAGEREF _Toc400713248 \h </w:instrText>
        </w:r>
        <w:r w:rsidR="007E1E1E">
          <w:rPr>
            <w:noProof/>
            <w:webHidden/>
          </w:rPr>
        </w:r>
        <w:r w:rsidR="007E1E1E">
          <w:rPr>
            <w:noProof/>
            <w:webHidden/>
          </w:rPr>
          <w:fldChar w:fldCharType="separate"/>
        </w:r>
        <w:r w:rsidR="007E1E1E">
          <w:rPr>
            <w:noProof/>
            <w:webHidden/>
          </w:rPr>
          <w:t>16</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49" w:history="1">
        <w:r w:rsidR="007E1E1E" w:rsidRPr="00AA4FF2">
          <w:rPr>
            <w:rStyle w:val="Hyperlink"/>
            <w:rFonts w:eastAsiaTheme="majorEastAsia" w:cstheme="minorHAnsi"/>
            <w:noProof/>
          </w:rPr>
          <w:t>Note 6:</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cstheme="minorHAnsi"/>
            <w:noProof/>
          </w:rPr>
          <w:t>Financial Assets</w:t>
        </w:r>
        <w:r w:rsidR="007E1E1E">
          <w:rPr>
            <w:noProof/>
            <w:webHidden/>
          </w:rPr>
          <w:tab/>
        </w:r>
        <w:r w:rsidR="007E1E1E">
          <w:rPr>
            <w:noProof/>
            <w:webHidden/>
          </w:rPr>
          <w:fldChar w:fldCharType="begin"/>
        </w:r>
        <w:r w:rsidR="007E1E1E">
          <w:rPr>
            <w:noProof/>
            <w:webHidden/>
          </w:rPr>
          <w:instrText xml:space="preserve"> PAGEREF _Toc400713249 \h </w:instrText>
        </w:r>
        <w:r w:rsidR="007E1E1E">
          <w:rPr>
            <w:noProof/>
            <w:webHidden/>
          </w:rPr>
        </w:r>
        <w:r w:rsidR="007E1E1E">
          <w:rPr>
            <w:noProof/>
            <w:webHidden/>
          </w:rPr>
          <w:fldChar w:fldCharType="separate"/>
        </w:r>
        <w:r w:rsidR="007E1E1E">
          <w:rPr>
            <w:noProof/>
            <w:webHidden/>
          </w:rPr>
          <w:t>19</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50" w:history="1">
        <w:r w:rsidR="007E1E1E" w:rsidRPr="00AA4FF2">
          <w:rPr>
            <w:rStyle w:val="Hyperlink"/>
            <w:rFonts w:eastAsiaTheme="majorEastAsia" w:cstheme="minorHAnsi"/>
            <w:noProof/>
          </w:rPr>
          <w:t>Note 7:</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cstheme="minorHAnsi"/>
            <w:noProof/>
          </w:rPr>
          <w:t>Non-Financial Assets</w:t>
        </w:r>
        <w:r w:rsidR="007E1E1E">
          <w:rPr>
            <w:noProof/>
            <w:webHidden/>
          </w:rPr>
          <w:tab/>
        </w:r>
        <w:r w:rsidR="007E1E1E">
          <w:rPr>
            <w:noProof/>
            <w:webHidden/>
          </w:rPr>
          <w:fldChar w:fldCharType="begin"/>
        </w:r>
        <w:r w:rsidR="007E1E1E">
          <w:rPr>
            <w:noProof/>
            <w:webHidden/>
          </w:rPr>
          <w:instrText xml:space="preserve"> PAGEREF _Toc400713250 \h </w:instrText>
        </w:r>
        <w:r w:rsidR="007E1E1E">
          <w:rPr>
            <w:noProof/>
            <w:webHidden/>
          </w:rPr>
        </w:r>
        <w:r w:rsidR="007E1E1E">
          <w:rPr>
            <w:noProof/>
            <w:webHidden/>
          </w:rPr>
          <w:fldChar w:fldCharType="separate"/>
        </w:r>
        <w:r w:rsidR="007E1E1E">
          <w:rPr>
            <w:noProof/>
            <w:webHidden/>
          </w:rPr>
          <w:t>22</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51" w:history="1">
        <w:r w:rsidR="007E1E1E" w:rsidRPr="00AA4FF2">
          <w:rPr>
            <w:rStyle w:val="Hyperlink"/>
            <w:rFonts w:eastAsiaTheme="majorEastAsia" w:cstheme="minorHAnsi"/>
            <w:noProof/>
          </w:rPr>
          <w:t>Note 8:</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cstheme="minorHAnsi"/>
            <w:noProof/>
          </w:rPr>
          <w:t>Payables</w:t>
        </w:r>
        <w:r w:rsidR="007E1E1E">
          <w:rPr>
            <w:noProof/>
            <w:webHidden/>
          </w:rPr>
          <w:tab/>
        </w:r>
        <w:r w:rsidR="007E1E1E">
          <w:rPr>
            <w:noProof/>
            <w:webHidden/>
          </w:rPr>
          <w:fldChar w:fldCharType="begin"/>
        </w:r>
        <w:r w:rsidR="007E1E1E">
          <w:rPr>
            <w:noProof/>
            <w:webHidden/>
          </w:rPr>
          <w:instrText xml:space="preserve"> PAGEREF _Toc400713251 \h </w:instrText>
        </w:r>
        <w:r w:rsidR="007E1E1E">
          <w:rPr>
            <w:noProof/>
            <w:webHidden/>
          </w:rPr>
        </w:r>
        <w:r w:rsidR="007E1E1E">
          <w:rPr>
            <w:noProof/>
            <w:webHidden/>
          </w:rPr>
          <w:fldChar w:fldCharType="separate"/>
        </w:r>
        <w:r w:rsidR="007E1E1E">
          <w:rPr>
            <w:noProof/>
            <w:webHidden/>
          </w:rPr>
          <w:t>27</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52" w:history="1">
        <w:r w:rsidR="007E1E1E" w:rsidRPr="00AA4FF2">
          <w:rPr>
            <w:rStyle w:val="Hyperlink"/>
            <w:rFonts w:eastAsiaTheme="majorEastAsia" w:cstheme="minorHAnsi"/>
            <w:noProof/>
          </w:rPr>
          <w:t>Note 9:</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cstheme="minorHAnsi"/>
            <w:noProof/>
          </w:rPr>
          <w:t>Provisions</w:t>
        </w:r>
        <w:r w:rsidR="007E1E1E">
          <w:rPr>
            <w:noProof/>
            <w:webHidden/>
          </w:rPr>
          <w:tab/>
        </w:r>
        <w:r w:rsidR="007E1E1E">
          <w:rPr>
            <w:noProof/>
            <w:webHidden/>
          </w:rPr>
          <w:fldChar w:fldCharType="begin"/>
        </w:r>
        <w:r w:rsidR="007E1E1E">
          <w:rPr>
            <w:noProof/>
            <w:webHidden/>
          </w:rPr>
          <w:instrText xml:space="preserve"> PAGEREF _Toc400713252 \h </w:instrText>
        </w:r>
        <w:r w:rsidR="007E1E1E">
          <w:rPr>
            <w:noProof/>
            <w:webHidden/>
          </w:rPr>
        </w:r>
        <w:r w:rsidR="007E1E1E">
          <w:rPr>
            <w:noProof/>
            <w:webHidden/>
          </w:rPr>
          <w:fldChar w:fldCharType="separate"/>
        </w:r>
        <w:r w:rsidR="007E1E1E">
          <w:rPr>
            <w:noProof/>
            <w:webHidden/>
          </w:rPr>
          <w:t>28</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53" w:history="1">
        <w:r w:rsidR="007E1E1E" w:rsidRPr="00AA4FF2">
          <w:rPr>
            <w:rStyle w:val="Hyperlink"/>
            <w:rFonts w:eastAsiaTheme="majorEastAsia" w:cstheme="minorHAnsi"/>
            <w:noProof/>
          </w:rPr>
          <w:t>Note 10:</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cstheme="minorHAnsi"/>
            <w:noProof/>
          </w:rPr>
          <w:t>Restructuring</w:t>
        </w:r>
        <w:r w:rsidR="007E1E1E">
          <w:rPr>
            <w:noProof/>
            <w:webHidden/>
          </w:rPr>
          <w:tab/>
        </w:r>
        <w:r w:rsidR="007E1E1E">
          <w:rPr>
            <w:noProof/>
            <w:webHidden/>
          </w:rPr>
          <w:fldChar w:fldCharType="begin"/>
        </w:r>
        <w:r w:rsidR="007E1E1E">
          <w:rPr>
            <w:noProof/>
            <w:webHidden/>
          </w:rPr>
          <w:instrText xml:space="preserve"> PAGEREF _Toc400713253 \h </w:instrText>
        </w:r>
        <w:r w:rsidR="007E1E1E">
          <w:rPr>
            <w:noProof/>
            <w:webHidden/>
          </w:rPr>
        </w:r>
        <w:r w:rsidR="007E1E1E">
          <w:rPr>
            <w:noProof/>
            <w:webHidden/>
          </w:rPr>
          <w:fldChar w:fldCharType="separate"/>
        </w:r>
        <w:r w:rsidR="007E1E1E">
          <w:rPr>
            <w:noProof/>
            <w:webHidden/>
          </w:rPr>
          <w:t>29</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54" w:history="1">
        <w:r w:rsidR="007E1E1E" w:rsidRPr="00AA4FF2">
          <w:rPr>
            <w:rStyle w:val="Hyperlink"/>
            <w:rFonts w:eastAsiaTheme="majorEastAsia" w:cstheme="minorHAnsi"/>
            <w:noProof/>
          </w:rPr>
          <w:t>Note 11:</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cstheme="minorHAnsi"/>
            <w:noProof/>
          </w:rPr>
          <w:t>Cash Flow Reconciliation</w:t>
        </w:r>
        <w:r w:rsidR="007E1E1E">
          <w:rPr>
            <w:noProof/>
            <w:webHidden/>
          </w:rPr>
          <w:tab/>
        </w:r>
        <w:r w:rsidR="007E1E1E">
          <w:rPr>
            <w:noProof/>
            <w:webHidden/>
          </w:rPr>
          <w:fldChar w:fldCharType="begin"/>
        </w:r>
        <w:r w:rsidR="007E1E1E">
          <w:rPr>
            <w:noProof/>
            <w:webHidden/>
          </w:rPr>
          <w:instrText xml:space="preserve"> PAGEREF _Toc400713254 \h </w:instrText>
        </w:r>
        <w:r w:rsidR="007E1E1E">
          <w:rPr>
            <w:noProof/>
            <w:webHidden/>
          </w:rPr>
        </w:r>
        <w:r w:rsidR="007E1E1E">
          <w:rPr>
            <w:noProof/>
            <w:webHidden/>
          </w:rPr>
          <w:fldChar w:fldCharType="separate"/>
        </w:r>
        <w:r w:rsidR="007E1E1E">
          <w:rPr>
            <w:noProof/>
            <w:webHidden/>
          </w:rPr>
          <w:t>35</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55" w:history="1">
        <w:r w:rsidR="007E1E1E" w:rsidRPr="00AA4FF2">
          <w:rPr>
            <w:rStyle w:val="Hyperlink"/>
            <w:rFonts w:eastAsiaTheme="majorEastAsia" w:cstheme="minorHAnsi"/>
            <w:noProof/>
          </w:rPr>
          <w:t>Note 12:</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cstheme="minorHAnsi"/>
            <w:noProof/>
          </w:rPr>
          <w:t>Contingent Assets and Liabilities</w:t>
        </w:r>
        <w:r w:rsidR="007E1E1E">
          <w:rPr>
            <w:noProof/>
            <w:webHidden/>
          </w:rPr>
          <w:tab/>
        </w:r>
        <w:r w:rsidR="007E1E1E">
          <w:rPr>
            <w:noProof/>
            <w:webHidden/>
          </w:rPr>
          <w:fldChar w:fldCharType="begin"/>
        </w:r>
        <w:r w:rsidR="007E1E1E">
          <w:rPr>
            <w:noProof/>
            <w:webHidden/>
          </w:rPr>
          <w:instrText xml:space="preserve"> PAGEREF _Toc400713255 \h </w:instrText>
        </w:r>
        <w:r w:rsidR="007E1E1E">
          <w:rPr>
            <w:noProof/>
            <w:webHidden/>
          </w:rPr>
        </w:r>
        <w:r w:rsidR="007E1E1E">
          <w:rPr>
            <w:noProof/>
            <w:webHidden/>
          </w:rPr>
          <w:fldChar w:fldCharType="separate"/>
        </w:r>
        <w:r w:rsidR="007E1E1E">
          <w:rPr>
            <w:noProof/>
            <w:webHidden/>
          </w:rPr>
          <w:t>36</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56" w:history="1">
        <w:r w:rsidR="007E1E1E" w:rsidRPr="00AA4FF2">
          <w:rPr>
            <w:rStyle w:val="Hyperlink"/>
            <w:rFonts w:eastAsiaTheme="majorEastAsia" w:cstheme="minorHAnsi"/>
            <w:noProof/>
          </w:rPr>
          <w:t>Note 13:</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cstheme="minorHAnsi"/>
            <w:noProof/>
          </w:rPr>
          <w:t>Senior Executive Remuneration</w:t>
        </w:r>
        <w:r w:rsidR="007E1E1E">
          <w:rPr>
            <w:noProof/>
            <w:webHidden/>
          </w:rPr>
          <w:tab/>
        </w:r>
        <w:r w:rsidR="007E1E1E">
          <w:rPr>
            <w:noProof/>
            <w:webHidden/>
          </w:rPr>
          <w:fldChar w:fldCharType="begin"/>
        </w:r>
        <w:r w:rsidR="007E1E1E">
          <w:rPr>
            <w:noProof/>
            <w:webHidden/>
          </w:rPr>
          <w:instrText xml:space="preserve"> PAGEREF _Toc400713256 \h </w:instrText>
        </w:r>
        <w:r w:rsidR="007E1E1E">
          <w:rPr>
            <w:noProof/>
            <w:webHidden/>
          </w:rPr>
        </w:r>
        <w:r w:rsidR="007E1E1E">
          <w:rPr>
            <w:noProof/>
            <w:webHidden/>
          </w:rPr>
          <w:fldChar w:fldCharType="separate"/>
        </w:r>
        <w:r w:rsidR="007E1E1E">
          <w:rPr>
            <w:noProof/>
            <w:webHidden/>
          </w:rPr>
          <w:t>37</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57" w:history="1">
        <w:r w:rsidR="007E1E1E" w:rsidRPr="00AA4FF2">
          <w:rPr>
            <w:rStyle w:val="Hyperlink"/>
            <w:rFonts w:eastAsiaTheme="majorEastAsia" w:cstheme="minorHAnsi"/>
            <w:noProof/>
          </w:rPr>
          <w:t>Note 14:</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cstheme="minorHAnsi"/>
            <w:noProof/>
          </w:rPr>
          <w:t>Remuneration of Auditors</w:t>
        </w:r>
        <w:r w:rsidR="007E1E1E">
          <w:rPr>
            <w:noProof/>
            <w:webHidden/>
          </w:rPr>
          <w:tab/>
        </w:r>
        <w:r w:rsidR="007E1E1E">
          <w:rPr>
            <w:noProof/>
            <w:webHidden/>
          </w:rPr>
          <w:fldChar w:fldCharType="begin"/>
        </w:r>
        <w:r w:rsidR="007E1E1E">
          <w:rPr>
            <w:noProof/>
            <w:webHidden/>
          </w:rPr>
          <w:instrText xml:space="preserve"> PAGEREF _Toc400713257 \h </w:instrText>
        </w:r>
        <w:r w:rsidR="007E1E1E">
          <w:rPr>
            <w:noProof/>
            <w:webHidden/>
          </w:rPr>
        </w:r>
        <w:r w:rsidR="007E1E1E">
          <w:rPr>
            <w:noProof/>
            <w:webHidden/>
          </w:rPr>
          <w:fldChar w:fldCharType="separate"/>
        </w:r>
        <w:r w:rsidR="007E1E1E">
          <w:rPr>
            <w:noProof/>
            <w:webHidden/>
          </w:rPr>
          <w:t>39</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58" w:history="1">
        <w:r w:rsidR="007E1E1E" w:rsidRPr="00AA4FF2">
          <w:rPr>
            <w:rStyle w:val="Hyperlink"/>
            <w:rFonts w:eastAsiaTheme="majorEastAsia" w:cstheme="minorHAnsi"/>
            <w:noProof/>
          </w:rPr>
          <w:t>Note 15:</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cstheme="minorHAnsi"/>
            <w:noProof/>
          </w:rPr>
          <w:t>Financial Instruments</w:t>
        </w:r>
        <w:r w:rsidR="007E1E1E">
          <w:rPr>
            <w:noProof/>
            <w:webHidden/>
          </w:rPr>
          <w:tab/>
        </w:r>
        <w:r w:rsidR="007E1E1E">
          <w:rPr>
            <w:noProof/>
            <w:webHidden/>
          </w:rPr>
          <w:fldChar w:fldCharType="begin"/>
        </w:r>
        <w:r w:rsidR="007E1E1E">
          <w:rPr>
            <w:noProof/>
            <w:webHidden/>
          </w:rPr>
          <w:instrText xml:space="preserve"> PAGEREF _Toc400713258 \h </w:instrText>
        </w:r>
        <w:r w:rsidR="007E1E1E">
          <w:rPr>
            <w:noProof/>
            <w:webHidden/>
          </w:rPr>
        </w:r>
        <w:r w:rsidR="007E1E1E">
          <w:rPr>
            <w:noProof/>
            <w:webHidden/>
          </w:rPr>
          <w:fldChar w:fldCharType="separate"/>
        </w:r>
        <w:r w:rsidR="007E1E1E">
          <w:rPr>
            <w:noProof/>
            <w:webHidden/>
          </w:rPr>
          <w:t>39</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59" w:history="1">
        <w:r w:rsidR="007E1E1E" w:rsidRPr="00AA4FF2">
          <w:rPr>
            <w:rStyle w:val="Hyperlink"/>
            <w:rFonts w:eastAsiaTheme="majorEastAsia" w:cstheme="minorHAnsi"/>
            <w:noProof/>
          </w:rPr>
          <w:t>Note 16:</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cstheme="minorHAnsi"/>
            <w:noProof/>
          </w:rPr>
          <w:t>Financial Assets Reconciliation</w:t>
        </w:r>
        <w:r w:rsidR="007E1E1E">
          <w:rPr>
            <w:noProof/>
            <w:webHidden/>
          </w:rPr>
          <w:tab/>
        </w:r>
        <w:r w:rsidR="007E1E1E">
          <w:rPr>
            <w:noProof/>
            <w:webHidden/>
          </w:rPr>
          <w:fldChar w:fldCharType="begin"/>
        </w:r>
        <w:r w:rsidR="007E1E1E">
          <w:rPr>
            <w:noProof/>
            <w:webHidden/>
          </w:rPr>
          <w:instrText xml:space="preserve"> PAGEREF _Toc400713259 \h </w:instrText>
        </w:r>
        <w:r w:rsidR="007E1E1E">
          <w:rPr>
            <w:noProof/>
            <w:webHidden/>
          </w:rPr>
        </w:r>
        <w:r w:rsidR="007E1E1E">
          <w:rPr>
            <w:noProof/>
            <w:webHidden/>
          </w:rPr>
          <w:fldChar w:fldCharType="separate"/>
        </w:r>
        <w:r w:rsidR="007E1E1E">
          <w:rPr>
            <w:noProof/>
            <w:webHidden/>
          </w:rPr>
          <w:t>42</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60" w:history="1">
        <w:r w:rsidR="007E1E1E" w:rsidRPr="00AA4FF2">
          <w:rPr>
            <w:rStyle w:val="Hyperlink"/>
            <w:rFonts w:eastAsiaTheme="majorEastAsia"/>
            <w:noProof/>
          </w:rPr>
          <w:t>Note 17:</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noProof/>
          </w:rPr>
          <w:t>Administered Expenses</w:t>
        </w:r>
        <w:r w:rsidR="007E1E1E">
          <w:rPr>
            <w:noProof/>
            <w:webHidden/>
          </w:rPr>
          <w:tab/>
        </w:r>
        <w:r w:rsidR="007E1E1E">
          <w:rPr>
            <w:noProof/>
            <w:webHidden/>
          </w:rPr>
          <w:fldChar w:fldCharType="begin"/>
        </w:r>
        <w:r w:rsidR="007E1E1E">
          <w:rPr>
            <w:noProof/>
            <w:webHidden/>
          </w:rPr>
          <w:instrText xml:space="preserve"> PAGEREF _Toc400713260 \h </w:instrText>
        </w:r>
        <w:r w:rsidR="007E1E1E">
          <w:rPr>
            <w:noProof/>
            <w:webHidden/>
          </w:rPr>
        </w:r>
        <w:r w:rsidR="007E1E1E">
          <w:rPr>
            <w:noProof/>
            <w:webHidden/>
          </w:rPr>
          <w:fldChar w:fldCharType="separate"/>
        </w:r>
        <w:r w:rsidR="007E1E1E">
          <w:rPr>
            <w:noProof/>
            <w:webHidden/>
          </w:rPr>
          <w:t>43</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61" w:history="1">
        <w:r w:rsidR="007E1E1E" w:rsidRPr="00AA4FF2">
          <w:rPr>
            <w:rStyle w:val="Hyperlink"/>
            <w:rFonts w:eastAsiaTheme="majorEastAsia"/>
            <w:noProof/>
          </w:rPr>
          <w:t>Note 18:</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noProof/>
          </w:rPr>
          <w:t>Administered Income</w:t>
        </w:r>
        <w:r w:rsidR="007E1E1E">
          <w:rPr>
            <w:noProof/>
            <w:webHidden/>
          </w:rPr>
          <w:tab/>
        </w:r>
        <w:r w:rsidR="007E1E1E">
          <w:rPr>
            <w:noProof/>
            <w:webHidden/>
          </w:rPr>
          <w:fldChar w:fldCharType="begin"/>
        </w:r>
        <w:r w:rsidR="007E1E1E">
          <w:rPr>
            <w:noProof/>
            <w:webHidden/>
          </w:rPr>
          <w:instrText xml:space="preserve"> PAGEREF _Toc400713261 \h </w:instrText>
        </w:r>
        <w:r w:rsidR="007E1E1E">
          <w:rPr>
            <w:noProof/>
            <w:webHidden/>
          </w:rPr>
        </w:r>
        <w:r w:rsidR="007E1E1E">
          <w:rPr>
            <w:noProof/>
            <w:webHidden/>
          </w:rPr>
          <w:fldChar w:fldCharType="separate"/>
        </w:r>
        <w:r w:rsidR="007E1E1E">
          <w:rPr>
            <w:noProof/>
            <w:webHidden/>
          </w:rPr>
          <w:t>45</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62" w:history="1">
        <w:r w:rsidR="007E1E1E" w:rsidRPr="00AA4FF2">
          <w:rPr>
            <w:rStyle w:val="Hyperlink"/>
            <w:rFonts w:eastAsiaTheme="majorEastAsia"/>
            <w:noProof/>
          </w:rPr>
          <w:t>Note 19:</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noProof/>
          </w:rPr>
          <w:t>Administered Fair Value Measurement</w:t>
        </w:r>
        <w:r w:rsidR="007E1E1E">
          <w:rPr>
            <w:noProof/>
            <w:webHidden/>
          </w:rPr>
          <w:tab/>
        </w:r>
        <w:r w:rsidR="007E1E1E">
          <w:rPr>
            <w:noProof/>
            <w:webHidden/>
          </w:rPr>
          <w:fldChar w:fldCharType="begin"/>
        </w:r>
        <w:r w:rsidR="007E1E1E">
          <w:rPr>
            <w:noProof/>
            <w:webHidden/>
          </w:rPr>
          <w:instrText xml:space="preserve"> PAGEREF _Toc400713262 \h </w:instrText>
        </w:r>
        <w:r w:rsidR="007E1E1E">
          <w:rPr>
            <w:noProof/>
            <w:webHidden/>
          </w:rPr>
        </w:r>
        <w:r w:rsidR="007E1E1E">
          <w:rPr>
            <w:noProof/>
            <w:webHidden/>
          </w:rPr>
          <w:fldChar w:fldCharType="separate"/>
        </w:r>
        <w:r w:rsidR="007E1E1E">
          <w:rPr>
            <w:noProof/>
            <w:webHidden/>
          </w:rPr>
          <w:t>46</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63" w:history="1">
        <w:r w:rsidR="007E1E1E" w:rsidRPr="00AA4FF2">
          <w:rPr>
            <w:rStyle w:val="Hyperlink"/>
            <w:rFonts w:eastAsiaTheme="majorEastAsia"/>
            <w:noProof/>
          </w:rPr>
          <w:t>Note 20:</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noProof/>
          </w:rPr>
          <w:t>Administered Financial Assets</w:t>
        </w:r>
        <w:r w:rsidR="007E1E1E">
          <w:rPr>
            <w:noProof/>
            <w:webHidden/>
          </w:rPr>
          <w:tab/>
        </w:r>
        <w:r w:rsidR="007E1E1E">
          <w:rPr>
            <w:noProof/>
            <w:webHidden/>
          </w:rPr>
          <w:fldChar w:fldCharType="begin"/>
        </w:r>
        <w:r w:rsidR="007E1E1E">
          <w:rPr>
            <w:noProof/>
            <w:webHidden/>
          </w:rPr>
          <w:instrText xml:space="preserve"> PAGEREF _Toc400713263 \h </w:instrText>
        </w:r>
        <w:r w:rsidR="007E1E1E">
          <w:rPr>
            <w:noProof/>
            <w:webHidden/>
          </w:rPr>
        </w:r>
        <w:r w:rsidR="007E1E1E">
          <w:rPr>
            <w:noProof/>
            <w:webHidden/>
          </w:rPr>
          <w:fldChar w:fldCharType="separate"/>
        </w:r>
        <w:r w:rsidR="007E1E1E">
          <w:rPr>
            <w:noProof/>
            <w:webHidden/>
          </w:rPr>
          <w:t>48</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64" w:history="1">
        <w:r w:rsidR="007E1E1E" w:rsidRPr="00AA4FF2">
          <w:rPr>
            <w:rStyle w:val="Hyperlink"/>
            <w:rFonts w:eastAsiaTheme="majorEastAsia"/>
            <w:noProof/>
          </w:rPr>
          <w:t>Note 21:</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noProof/>
          </w:rPr>
          <w:t>Administered Non-Financial Assets</w:t>
        </w:r>
        <w:r w:rsidR="007E1E1E">
          <w:rPr>
            <w:noProof/>
            <w:webHidden/>
          </w:rPr>
          <w:tab/>
        </w:r>
        <w:r w:rsidR="007E1E1E">
          <w:rPr>
            <w:noProof/>
            <w:webHidden/>
          </w:rPr>
          <w:fldChar w:fldCharType="begin"/>
        </w:r>
        <w:r w:rsidR="007E1E1E">
          <w:rPr>
            <w:noProof/>
            <w:webHidden/>
          </w:rPr>
          <w:instrText xml:space="preserve"> PAGEREF _Toc400713264 \h </w:instrText>
        </w:r>
        <w:r w:rsidR="007E1E1E">
          <w:rPr>
            <w:noProof/>
            <w:webHidden/>
          </w:rPr>
        </w:r>
        <w:r w:rsidR="007E1E1E">
          <w:rPr>
            <w:noProof/>
            <w:webHidden/>
          </w:rPr>
          <w:fldChar w:fldCharType="separate"/>
        </w:r>
        <w:r w:rsidR="007E1E1E">
          <w:rPr>
            <w:noProof/>
            <w:webHidden/>
          </w:rPr>
          <w:t>51</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65" w:history="1">
        <w:r w:rsidR="007E1E1E" w:rsidRPr="00AA4FF2">
          <w:rPr>
            <w:rStyle w:val="Hyperlink"/>
            <w:rFonts w:eastAsiaTheme="majorEastAsia"/>
            <w:noProof/>
          </w:rPr>
          <w:t>Note 22:</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noProof/>
          </w:rPr>
          <w:t>Administered Payables</w:t>
        </w:r>
        <w:r w:rsidR="007E1E1E">
          <w:rPr>
            <w:noProof/>
            <w:webHidden/>
          </w:rPr>
          <w:tab/>
        </w:r>
        <w:r w:rsidR="007E1E1E">
          <w:rPr>
            <w:noProof/>
            <w:webHidden/>
          </w:rPr>
          <w:fldChar w:fldCharType="begin"/>
        </w:r>
        <w:r w:rsidR="007E1E1E">
          <w:rPr>
            <w:noProof/>
            <w:webHidden/>
          </w:rPr>
          <w:instrText xml:space="preserve"> PAGEREF _Toc400713265 \h </w:instrText>
        </w:r>
        <w:r w:rsidR="007E1E1E">
          <w:rPr>
            <w:noProof/>
            <w:webHidden/>
          </w:rPr>
        </w:r>
        <w:r w:rsidR="007E1E1E">
          <w:rPr>
            <w:noProof/>
            <w:webHidden/>
          </w:rPr>
          <w:fldChar w:fldCharType="separate"/>
        </w:r>
        <w:r w:rsidR="007E1E1E">
          <w:rPr>
            <w:noProof/>
            <w:webHidden/>
          </w:rPr>
          <w:t>52</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66" w:history="1">
        <w:r w:rsidR="007E1E1E" w:rsidRPr="00AA4FF2">
          <w:rPr>
            <w:rStyle w:val="Hyperlink"/>
            <w:rFonts w:eastAsiaTheme="majorEastAsia"/>
            <w:noProof/>
          </w:rPr>
          <w:t>Note 23:</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noProof/>
          </w:rPr>
          <w:t>Administered Provisions</w:t>
        </w:r>
        <w:r w:rsidR="007E1E1E">
          <w:rPr>
            <w:noProof/>
            <w:webHidden/>
          </w:rPr>
          <w:tab/>
        </w:r>
        <w:r w:rsidR="007E1E1E">
          <w:rPr>
            <w:noProof/>
            <w:webHidden/>
          </w:rPr>
          <w:fldChar w:fldCharType="begin"/>
        </w:r>
        <w:r w:rsidR="007E1E1E">
          <w:rPr>
            <w:noProof/>
            <w:webHidden/>
          </w:rPr>
          <w:instrText xml:space="preserve"> PAGEREF _Toc400713266 \h </w:instrText>
        </w:r>
        <w:r w:rsidR="007E1E1E">
          <w:rPr>
            <w:noProof/>
            <w:webHidden/>
          </w:rPr>
        </w:r>
        <w:r w:rsidR="007E1E1E">
          <w:rPr>
            <w:noProof/>
            <w:webHidden/>
          </w:rPr>
          <w:fldChar w:fldCharType="separate"/>
        </w:r>
        <w:r w:rsidR="007E1E1E">
          <w:rPr>
            <w:noProof/>
            <w:webHidden/>
          </w:rPr>
          <w:t>54</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67" w:history="1">
        <w:r w:rsidR="007E1E1E" w:rsidRPr="00AA4FF2">
          <w:rPr>
            <w:rStyle w:val="Hyperlink"/>
            <w:rFonts w:eastAsiaTheme="majorEastAsia"/>
            <w:noProof/>
          </w:rPr>
          <w:t>Note 24:</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noProof/>
          </w:rPr>
          <w:t>Administered Cash Flow Reconciliation</w:t>
        </w:r>
        <w:r w:rsidR="007E1E1E">
          <w:rPr>
            <w:noProof/>
            <w:webHidden/>
          </w:rPr>
          <w:tab/>
        </w:r>
        <w:r w:rsidR="007E1E1E">
          <w:rPr>
            <w:noProof/>
            <w:webHidden/>
          </w:rPr>
          <w:fldChar w:fldCharType="begin"/>
        </w:r>
        <w:r w:rsidR="007E1E1E">
          <w:rPr>
            <w:noProof/>
            <w:webHidden/>
          </w:rPr>
          <w:instrText xml:space="preserve"> PAGEREF _Toc400713267 \h </w:instrText>
        </w:r>
        <w:r w:rsidR="007E1E1E">
          <w:rPr>
            <w:noProof/>
            <w:webHidden/>
          </w:rPr>
        </w:r>
        <w:r w:rsidR="007E1E1E">
          <w:rPr>
            <w:noProof/>
            <w:webHidden/>
          </w:rPr>
          <w:fldChar w:fldCharType="separate"/>
        </w:r>
        <w:r w:rsidR="007E1E1E">
          <w:rPr>
            <w:noProof/>
            <w:webHidden/>
          </w:rPr>
          <w:t>55</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68" w:history="1">
        <w:r w:rsidR="007E1E1E" w:rsidRPr="00AA4FF2">
          <w:rPr>
            <w:rStyle w:val="Hyperlink"/>
            <w:rFonts w:eastAsiaTheme="majorEastAsia"/>
            <w:noProof/>
          </w:rPr>
          <w:t>Note 25:</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noProof/>
          </w:rPr>
          <w:t>Administered Contingent Assets and Liabilities</w:t>
        </w:r>
        <w:r w:rsidR="007E1E1E">
          <w:rPr>
            <w:noProof/>
            <w:webHidden/>
          </w:rPr>
          <w:tab/>
        </w:r>
        <w:r w:rsidR="007E1E1E">
          <w:rPr>
            <w:noProof/>
            <w:webHidden/>
          </w:rPr>
          <w:fldChar w:fldCharType="begin"/>
        </w:r>
        <w:r w:rsidR="007E1E1E">
          <w:rPr>
            <w:noProof/>
            <w:webHidden/>
          </w:rPr>
          <w:instrText xml:space="preserve"> PAGEREF _Toc400713268 \h </w:instrText>
        </w:r>
        <w:r w:rsidR="007E1E1E">
          <w:rPr>
            <w:noProof/>
            <w:webHidden/>
          </w:rPr>
        </w:r>
        <w:r w:rsidR="007E1E1E">
          <w:rPr>
            <w:noProof/>
            <w:webHidden/>
          </w:rPr>
          <w:fldChar w:fldCharType="separate"/>
        </w:r>
        <w:r w:rsidR="007E1E1E">
          <w:rPr>
            <w:noProof/>
            <w:webHidden/>
          </w:rPr>
          <w:t>56</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69" w:history="1">
        <w:r w:rsidR="007E1E1E" w:rsidRPr="00AA4FF2">
          <w:rPr>
            <w:rStyle w:val="Hyperlink"/>
            <w:rFonts w:eastAsiaTheme="majorEastAsia"/>
            <w:noProof/>
          </w:rPr>
          <w:t>Note 26:</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noProof/>
          </w:rPr>
          <w:t>Administered Financial Instruments</w:t>
        </w:r>
        <w:r w:rsidR="007E1E1E">
          <w:rPr>
            <w:noProof/>
            <w:webHidden/>
          </w:rPr>
          <w:tab/>
        </w:r>
        <w:r w:rsidR="007E1E1E">
          <w:rPr>
            <w:noProof/>
            <w:webHidden/>
          </w:rPr>
          <w:fldChar w:fldCharType="begin"/>
        </w:r>
        <w:r w:rsidR="007E1E1E">
          <w:rPr>
            <w:noProof/>
            <w:webHidden/>
          </w:rPr>
          <w:instrText xml:space="preserve"> PAGEREF _Toc400713269 \h </w:instrText>
        </w:r>
        <w:r w:rsidR="007E1E1E">
          <w:rPr>
            <w:noProof/>
            <w:webHidden/>
          </w:rPr>
        </w:r>
        <w:r w:rsidR="007E1E1E">
          <w:rPr>
            <w:noProof/>
            <w:webHidden/>
          </w:rPr>
          <w:fldChar w:fldCharType="separate"/>
        </w:r>
        <w:r w:rsidR="007E1E1E">
          <w:rPr>
            <w:noProof/>
            <w:webHidden/>
          </w:rPr>
          <w:t>57</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70" w:history="1">
        <w:r w:rsidR="007E1E1E" w:rsidRPr="00AA4FF2">
          <w:rPr>
            <w:rStyle w:val="Hyperlink"/>
            <w:rFonts w:eastAsiaTheme="majorEastAsia"/>
            <w:noProof/>
          </w:rPr>
          <w:t>Note 27:</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noProof/>
          </w:rPr>
          <w:t>Administered Financial Assets Reconciliation</w:t>
        </w:r>
        <w:r w:rsidR="007E1E1E">
          <w:rPr>
            <w:noProof/>
            <w:webHidden/>
          </w:rPr>
          <w:tab/>
        </w:r>
        <w:r w:rsidR="007E1E1E">
          <w:rPr>
            <w:noProof/>
            <w:webHidden/>
          </w:rPr>
          <w:fldChar w:fldCharType="begin"/>
        </w:r>
        <w:r w:rsidR="007E1E1E">
          <w:rPr>
            <w:noProof/>
            <w:webHidden/>
          </w:rPr>
          <w:instrText xml:space="preserve"> PAGEREF _Toc400713270 \h </w:instrText>
        </w:r>
        <w:r w:rsidR="007E1E1E">
          <w:rPr>
            <w:noProof/>
            <w:webHidden/>
          </w:rPr>
        </w:r>
        <w:r w:rsidR="007E1E1E">
          <w:rPr>
            <w:noProof/>
            <w:webHidden/>
          </w:rPr>
          <w:fldChar w:fldCharType="separate"/>
        </w:r>
        <w:r w:rsidR="007E1E1E">
          <w:rPr>
            <w:noProof/>
            <w:webHidden/>
          </w:rPr>
          <w:t>63</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71" w:history="1">
        <w:r w:rsidR="007E1E1E" w:rsidRPr="00AA4FF2">
          <w:rPr>
            <w:rStyle w:val="Hyperlink"/>
            <w:rFonts w:eastAsiaTheme="majorEastAsia"/>
            <w:noProof/>
          </w:rPr>
          <w:t>Note 28:</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noProof/>
          </w:rPr>
          <w:t>Unfunded Superannuation Provision for Australian Universities</w:t>
        </w:r>
        <w:r w:rsidR="007E1E1E">
          <w:rPr>
            <w:noProof/>
            <w:webHidden/>
          </w:rPr>
          <w:tab/>
        </w:r>
        <w:r w:rsidR="007E1E1E">
          <w:rPr>
            <w:noProof/>
            <w:webHidden/>
          </w:rPr>
          <w:fldChar w:fldCharType="begin"/>
        </w:r>
        <w:r w:rsidR="007E1E1E">
          <w:rPr>
            <w:noProof/>
            <w:webHidden/>
          </w:rPr>
          <w:instrText xml:space="preserve"> PAGEREF _Toc400713271 \h </w:instrText>
        </w:r>
        <w:r w:rsidR="007E1E1E">
          <w:rPr>
            <w:noProof/>
            <w:webHidden/>
          </w:rPr>
        </w:r>
        <w:r w:rsidR="007E1E1E">
          <w:rPr>
            <w:noProof/>
            <w:webHidden/>
          </w:rPr>
          <w:fldChar w:fldCharType="separate"/>
        </w:r>
        <w:r w:rsidR="007E1E1E">
          <w:rPr>
            <w:noProof/>
            <w:webHidden/>
          </w:rPr>
          <w:t>64</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72" w:history="1">
        <w:r w:rsidR="007E1E1E" w:rsidRPr="00AA4FF2">
          <w:rPr>
            <w:rStyle w:val="Hyperlink"/>
            <w:rFonts w:eastAsiaTheme="majorEastAsia" w:cstheme="minorHAnsi"/>
            <w:noProof/>
          </w:rPr>
          <w:t>Note 29:</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cstheme="minorHAnsi"/>
            <w:noProof/>
          </w:rPr>
          <w:t>Appropriations</w:t>
        </w:r>
        <w:r w:rsidR="007E1E1E">
          <w:rPr>
            <w:noProof/>
            <w:webHidden/>
          </w:rPr>
          <w:tab/>
        </w:r>
        <w:r w:rsidR="007E1E1E">
          <w:rPr>
            <w:noProof/>
            <w:webHidden/>
          </w:rPr>
          <w:fldChar w:fldCharType="begin"/>
        </w:r>
        <w:r w:rsidR="007E1E1E">
          <w:rPr>
            <w:noProof/>
            <w:webHidden/>
          </w:rPr>
          <w:instrText xml:space="preserve"> PAGEREF _Toc400713272 \h </w:instrText>
        </w:r>
        <w:r w:rsidR="007E1E1E">
          <w:rPr>
            <w:noProof/>
            <w:webHidden/>
          </w:rPr>
        </w:r>
        <w:r w:rsidR="007E1E1E">
          <w:rPr>
            <w:noProof/>
            <w:webHidden/>
          </w:rPr>
          <w:fldChar w:fldCharType="separate"/>
        </w:r>
        <w:r w:rsidR="007E1E1E">
          <w:rPr>
            <w:noProof/>
            <w:webHidden/>
          </w:rPr>
          <w:t>65</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73" w:history="1">
        <w:r w:rsidR="007E1E1E" w:rsidRPr="00AA4FF2">
          <w:rPr>
            <w:rStyle w:val="Hyperlink"/>
            <w:rFonts w:eastAsiaTheme="majorEastAsia" w:cstheme="minorHAnsi"/>
            <w:noProof/>
          </w:rPr>
          <w:t>Note 30:</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noProof/>
          </w:rPr>
          <w:t>Special Accounts</w:t>
        </w:r>
        <w:r w:rsidR="007E1E1E">
          <w:rPr>
            <w:noProof/>
            <w:webHidden/>
          </w:rPr>
          <w:tab/>
        </w:r>
        <w:r w:rsidR="007E1E1E">
          <w:rPr>
            <w:noProof/>
            <w:webHidden/>
          </w:rPr>
          <w:fldChar w:fldCharType="begin"/>
        </w:r>
        <w:r w:rsidR="007E1E1E">
          <w:rPr>
            <w:noProof/>
            <w:webHidden/>
          </w:rPr>
          <w:instrText xml:space="preserve"> PAGEREF _Toc400713273 \h </w:instrText>
        </w:r>
        <w:r w:rsidR="007E1E1E">
          <w:rPr>
            <w:noProof/>
            <w:webHidden/>
          </w:rPr>
        </w:r>
        <w:r w:rsidR="007E1E1E">
          <w:rPr>
            <w:noProof/>
            <w:webHidden/>
          </w:rPr>
          <w:fldChar w:fldCharType="separate"/>
        </w:r>
        <w:r w:rsidR="007E1E1E">
          <w:rPr>
            <w:noProof/>
            <w:webHidden/>
          </w:rPr>
          <w:t>71</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74" w:history="1">
        <w:r w:rsidR="007E1E1E" w:rsidRPr="00AA4FF2">
          <w:rPr>
            <w:rStyle w:val="Hyperlink"/>
            <w:rFonts w:eastAsiaTheme="majorEastAsia" w:cstheme="minorHAnsi"/>
            <w:noProof/>
          </w:rPr>
          <w:t>Note 31:</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noProof/>
          </w:rPr>
          <w:t>Compensation and Debt Relief</w:t>
        </w:r>
        <w:r w:rsidR="007E1E1E">
          <w:rPr>
            <w:noProof/>
            <w:webHidden/>
          </w:rPr>
          <w:tab/>
        </w:r>
        <w:r w:rsidR="007E1E1E">
          <w:rPr>
            <w:noProof/>
            <w:webHidden/>
          </w:rPr>
          <w:fldChar w:fldCharType="begin"/>
        </w:r>
        <w:r w:rsidR="007E1E1E">
          <w:rPr>
            <w:noProof/>
            <w:webHidden/>
          </w:rPr>
          <w:instrText xml:space="preserve"> PAGEREF _Toc400713274 \h </w:instrText>
        </w:r>
        <w:r w:rsidR="007E1E1E">
          <w:rPr>
            <w:noProof/>
            <w:webHidden/>
          </w:rPr>
        </w:r>
        <w:r w:rsidR="007E1E1E">
          <w:rPr>
            <w:noProof/>
            <w:webHidden/>
          </w:rPr>
          <w:fldChar w:fldCharType="separate"/>
        </w:r>
        <w:r w:rsidR="007E1E1E">
          <w:rPr>
            <w:noProof/>
            <w:webHidden/>
          </w:rPr>
          <w:t>74</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75" w:history="1">
        <w:r w:rsidR="007E1E1E" w:rsidRPr="00AA4FF2">
          <w:rPr>
            <w:rStyle w:val="Hyperlink"/>
            <w:rFonts w:eastAsiaTheme="majorEastAsia" w:cstheme="minorHAnsi"/>
            <w:noProof/>
          </w:rPr>
          <w:t>Note 32:</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cstheme="minorHAnsi"/>
            <w:noProof/>
          </w:rPr>
          <w:t>Reporting of Outcomes</w:t>
        </w:r>
        <w:r w:rsidR="007E1E1E">
          <w:rPr>
            <w:noProof/>
            <w:webHidden/>
          </w:rPr>
          <w:tab/>
        </w:r>
        <w:r w:rsidR="007E1E1E">
          <w:rPr>
            <w:noProof/>
            <w:webHidden/>
          </w:rPr>
          <w:fldChar w:fldCharType="begin"/>
        </w:r>
        <w:r w:rsidR="007E1E1E">
          <w:rPr>
            <w:noProof/>
            <w:webHidden/>
          </w:rPr>
          <w:instrText xml:space="preserve"> PAGEREF _Toc400713275 \h </w:instrText>
        </w:r>
        <w:r w:rsidR="007E1E1E">
          <w:rPr>
            <w:noProof/>
            <w:webHidden/>
          </w:rPr>
        </w:r>
        <w:r w:rsidR="007E1E1E">
          <w:rPr>
            <w:noProof/>
            <w:webHidden/>
          </w:rPr>
          <w:fldChar w:fldCharType="separate"/>
        </w:r>
        <w:r w:rsidR="007E1E1E">
          <w:rPr>
            <w:noProof/>
            <w:webHidden/>
          </w:rPr>
          <w:t>76</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76" w:history="1">
        <w:r w:rsidR="007E1E1E" w:rsidRPr="00AA4FF2">
          <w:rPr>
            <w:rStyle w:val="Hyperlink"/>
            <w:rFonts w:eastAsiaTheme="majorEastAsia" w:cstheme="minorHAnsi"/>
            <w:noProof/>
          </w:rPr>
          <w:t>Note 33:</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noProof/>
          </w:rPr>
          <w:t>Cost Recovery Summary</w:t>
        </w:r>
        <w:r w:rsidR="007E1E1E">
          <w:rPr>
            <w:noProof/>
            <w:webHidden/>
          </w:rPr>
          <w:tab/>
        </w:r>
        <w:r w:rsidR="007E1E1E">
          <w:rPr>
            <w:noProof/>
            <w:webHidden/>
          </w:rPr>
          <w:fldChar w:fldCharType="begin"/>
        </w:r>
        <w:r w:rsidR="007E1E1E">
          <w:rPr>
            <w:noProof/>
            <w:webHidden/>
          </w:rPr>
          <w:instrText xml:space="preserve"> PAGEREF _Toc400713276 \h </w:instrText>
        </w:r>
        <w:r w:rsidR="007E1E1E">
          <w:rPr>
            <w:noProof/>
            <w:webHidden/>
          </w:rPr>
        </w:r>
        <w:r w:rsidR="007E1E1E">
          <w:rPr>
            <w:noProof/>
            <w:webHidden/>
          </w:rPr>
          <w:fldChar w:fldCharType="separate"/>
        </w:r>
        <w:r w:rsidR="007E1E1E">
          <w:rPr>
            <w:noProof/>
            <w:webHidden/>
          </w:rPr>
          <w:t>79</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77" w:history="1">
        <w:r w:rsidR="007E1E1E" w:rsidRPr="00AA4FF2">
          <w:rPr>
            <w:rStyle w:val="Hyperlink"/>
            <w:rFonts w:eastAsiaTheme="majorEastAsia" w:cstheme="minorHAnsi"/>
            <w:noProof/>
          </w:rPr>
          <w:t>Note 34:</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cstheme="minorHAnsi"/>
            <w:noProof/>
          </w:rPr>
          <w:t>Net Cash Appropriation Arrangements</w:t>
        </w:r>
        <w:r w:rsidR="007E1E1E">
          <w:rPr>
            <w:noProof/>
            <w:webHidden/>
          </w:rPr>
          <w:tab/>
        </w:r>
        <w:r w:rsidR="007E1E1E">
          <w:rPr>
            <w:noProof/>
            <w:webHidden/>
          </w:rPr>
          <w:fldChar w:fldCharType="begin"/>
        </w:r>
        <w:r w:rsidR="007E1E1E">
          <w:rPr>
            <w:noProof/>
            <w:webHidden/>
          </w:rPr>
          <w:instrText xml:space="preserve"> PAGEREF _Toc400713277 \h </w:instrText>
        </w:r>
        <w:r w:rsidR="007E1E1E">
          <w:rPr>
            <w:noProof/>
            <w:webHidden/>
          </w:rPr>
        </w:r>
        <w:r w:rsidR="007E1E1E">
          <w:rPr>
            <w:noProof/>
            <w:webHidden/>
          </w:rPr>
          <w:fldChar w:fldCharType="separate"/>
        </w:r>
        <w:r w:rsidR="007E1E1E">
          <w:rPr>
            <w:noProof/>
            <w:webHidden/>
          </w:rPr>
          <w:t>80</w:t>
        </w:r>
        <w:r w:rsidR="007E1E1E">
          <w:rPr>
            <w:noProof/>
            <w:webHidden/>
          </w:rPr>
          <w:fldChar w:fldCharType="end"/>
        </w:r>
      </w:hyperlink>
    </w:p>
    <w:p w:rsidR="007E1E1E" w:rsidRDefault="00A306A1" w:rsidP="007E1E1E">
      <w:pPr>
        <w:pStyle w:val="TOC1"/>
        <w:rPr>
          <w:rFonts w:asciiTheme="minorHAnsi" w:eastAsiaTheme="minorEastAsia" w:hAnsiTheme="minorHAnsi" w:cstheme="minorBidi"/>
          <w:noProof/>
          <w:sz w:val="22"/>
          <w:szCs w:val="22"/>
          <w:lang w:eastAsia="en-AU"/>
        </w:rPr>
      </w:pPr>
      <w:hyperlink w:anchor="_Toc400713278" w:history="1">
        <w:r w:rsidR="007E1E1E" w:rsidRPr="00AA4FF2">
          <w:rPr>
            <w:rStyle w:val="Hyperlink"/>
            <w:rFonts w:eastAsiaTheme="majorEastAsia" w:cstheme="minorHAnsi"/>
            <w:noProof/>
          </w:rPr>
          <w:t>Note 35:</w:t>
        </w:r>
        <w:r w:rsidR="007E1E1E">
          <w:rPr>
            <w:rFonts w:asciiTheme="minorHAnsi" w:eastAsiaTheme="minorEastAsia" w:hAnsiTheme="minorHAnsi" w:cstheme="minorBidi"/>
            <w:noProof/>
            <w:sz w:val="22"/>
            <w:szCs w:val="22"/>
            <w:lang w:eastAsia="en-AU"/>
          </w:rPr>
          <w:tab/>
        </w:r>
        <w:r w:rsidR="007E1E1E" w:rsidRPr="00AA4FF2">
          <w:rPr>
            <w:rStyle w:val="Hyperlink"/>
            <w:rFonts w:eastAsiaTheme="majorEastAsia" w:cstheme="minorHAnsi"/>
            <w:noProof/>
          </w:rPr>
          <w:t>Compliance with Statutory Conditions for Payments from the Consolidated Revenue Fund</w:t>
        </w:r>
        <w:r w:rsidR="007E1E1E">
          <w:rPr>
            <w:noProof/>
            <w:webHidden/>
          </w:rPr>
          <w:tab/>
        </w:r>
        <w:r w:rsidR="007E1E1E">
          <w:rPr>
            <w:noProof/>
            <w:webHidden/>
          </w:rPr>
          <w:fldChar w:fldCharType="begin"/>
        </w:r>
        <w:r w:rsidR="007E1E1E">
          <w:rPr>
            <w:noProof/>
            <w:webHidden/>
          </w:rPr>
          <w:instrText xml:space="preserve"> PAGEREF _Toc400713278 \h </w:instrText>
        </w:r>
        <w:r w:rsidR="007E1E1E">
          <w:rPr>
            <w:noProof/>
            <w:webHidden/>
          </w:rPr>
        </w:r>
        <w:r w:rsidR="007E1E1E">
          <w:rPr>
            <w:noProof/>
            <w:webHidden/>
          </w:rPr>
          <w:fldChar w:fldCharType="separate"/>
        </w:r>
        <w:r w:rsidR="007E1E1E">
          <w:rPr>
            <w:noProof/>
            <w:webHidden/>
          </w:rPr>
          <w:t>80</w:t>
        </w:r>
        <w:r w:rsidR="007E1E1E">
          <w:rPr>
            <w:noProof/>
            <w:webHidden/>
          </w:rPr>
          <w:fldChar w:fldCharType="end"/>
        </w:r>
      </w:hyperlink>
    </w:p>
    <w:p w:rsidR="007E1E1E" w:rsidRDefault="007E1E1E" w:rsidP="007E1E1E">
      <w:pPr>
        <w:spacing w:line="240" w:lineRule="auto"/>
      </w:pPr>
      <w:r w:rsidRPr="005F1B77">
        <w:rPr>
          <w:rFonts w:asciiTheme="minorHAnsi" w:hAnsiTheme="minorHAnsi" w:cstheme="minorHAnsi"/>
          <w:b/>
          <w:sz w:val="20"/>
        </w:rPr>
        <w:fldChar w:fldCharType="end"/>
      </w:r>
    </w:p>
    <w:p w:rsidR="007E1E1E" w:rsidRDefault="007E1E1E" w:rsidP="007E1E1E">
      <w:pPr>
        <w:spacing w:line="240" w:lineRule="auto"/>
        <w:sectPr w:rsidR="007E1E1E">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958" w:footer="737" w:gutter="0"/>
          <w:cols w:space="720"/>
        </w:sectPr>
      </w:pPr>
    </w:p>
    <w:p w:rsidR="007E1E1E" w:rsidRDefault="007E1E1E" w:rsidP="007E1E1E"/>
    <w:p w:rsidR="007E1E1E" w:rsidRDefault="007E1E1E" w:rsidP="007E1E1E"/>
    <w:p w:rsidR="007E1E1E" w:rsidRDefault="007E1E1E" w:rsidP="007E1E1E"/>
    <w:p w:rsidR="007E1E1E" w:rsidRDefault="007E1E1E" w:rsidP="007E1E1E">
      <w:pPr>
        <w:pStyle w:val="NotesHeading-Level1"/>
        <w:rPr>
          <w:rFonts w:cstheme="minorHAnsi"/>
        </w:rPr>
      </w:pPr>
      <w:bookmarkStart w:id="0" w:name="_Toc400713244"/>
      <w:r>
        <w:rPr>
          <w:rFonts w:cstheme="minorHAnsi"/>
        </w:rPr>
        <w:lastRenderedPageBreak/>
        <w:t>Summary of Significant Accounting Policies</w:t>
      </w:r>
      <w:bookmarkEnd w:id="0"/>
    </w:p>
    <w:p w:rsidR="007E1E1E" w:rsidRDefault="007E1E1E" w:rsidP="007E1E1E">
      <w:pPr>
        <w:spacing w:line="240" w:lineRule="auto"/>
        <w:rPr>
          <w:rFonts w:asciiTheme="minorHAnsi" w:hAnsiTheme="minorHAnsi" w:cstheme="minorHAnsi"/>
          <w:sz w:val="20"/>
          <w:lang w:eastAsia="en-AU"/>
        </w:rPr>
      </w:pPr>
    </w:p>
    <w:p w:rsidR="007E1E1E" w:rsidRDefault="007E1E1E" w:rsidP="007E1E1E">
      <w:pPr>
        <w:pStyle w:val="SAPHeading-Level2"/>
        <w:numPr>
          <w:ilvl w:val="1"/>
          <w:numId w:val="15"/>
        </w:numPr>
      </w:pPr>
      <w:r>
        <w:t xml:space="preserve">Objectives of the Department of Education </w:t>
      </w:r>
    </w:p>
    <w:p w:rsidR="007E1E1E" w:rsidRPr="00075D25" w:rsidRDefault="007E1E1E" w:rsidP="007E1E1E">
      <w:pPr>
        <w:pStyle w:val="NotesText0"/>
      </w:pPr>
      <w:r w:rsidRPr="00075D25">
        <w:t>The Department of Education (the department) is an Australia</w:t>
      </w:r>
      <w:r>
        <w:t>n Government controlled entity.</w:t>
      </w:r>
      <w:r w:rsidRPr="00075D25">
        <w:t xml:space="preserve"> It is a not</w:t>
      </w:r>
      <w:r>
        <w:t>-</w:t>
      </w:r>
      <w:r w:rsidRPr="00075D25">
        <w:t>for</w:t>
      </w:r>
      <w:r>
        <w:t>-</w:t>
      </w:r>
      <w:r w:rsidRPr="00075D25">
        <w:t>profit entity.</w:t>
      </w:r>
    </w:p>
    <w:p w:rsidR="007E1E1E" w:rsidRPr="00075D25" w:rsidRDefault="007E1E1E" w:rsidP="007E1E1E">
      <w:pPr>
        <w:pStyle w:val="NotesText0"/>
      </w:pPr>
      <w:r w:rsidRPr="00075D25">
        <w:t>The department provides advice to the Government and administers program</w:t>
      </w:r>
      <w:r>
        <w:t>me</w:t>
      </w:r>
      <w:r w:rsidRPr="00075D25">
        <w:t>s to achieve the Government’s objectives for education. The department works in partnership with the states and territories, non-government authorities, providers and industry.</w:t>
      </w:r>
    </w:p>
    <w:p w:rsidR="007E1E1E" w:rsidRPr="00075D25" w:rsidRDefault="007E1E1E" w:rsidP="007E1E1E">
      <w:pPr>
        <w:pStyle w:val="NotesText0"/>
      </w:pPr>
      <w:r w:rsidRPr="00075D25">
        <w:t>The department is structured to meet the following outcomes:</w:t>
      </w:r>
    </w:p>
    <w:p w:rsidR="007E1E1E" w:rsidRPr="00075D25" w:rsidRDefault="007E1E1E" w:rsidP="007E1E1E">
      <w:pPr>
        <w:pStyle w:val="NotesText0"/>
      </w:pPr>
      <w:r w:rsidRPr="00075D25">
        <w:t>Outcome 1: Early Childhood</w:t>
      </w:r>
      <w:r>
        <w:t xml:space="preserve"> Education</w:t>
      </w:r>
      <w:r w:rsidRPr="00075D25">
        <w:t xml:space="preserve"> and Care</w:t>
      </w:r>
    </w:p>
    <w:p w:rsidR="007E1E1E" w:rsidRPr="00075D25" w:rsidRDefault="007E1E1E" w:rsidP="007E1E1E">
      <w:pPr>
        <w:pStyle w:val="NotesText0"/>
      </w:pPr>
      <w:r w:rsidRPr="00075D25">
        <w:t>Outcome 2: School</w:t>
      </w:r>
      <w:r>
        <w:t>s and youth</w:t>
      </w:r>
    </w:p>
    <w:p w:rsidR="007E1E1E" w:rsidRPr="00075D25" w:rsidRDefault="007E1E1E" w:rsidP="007E1E1E">
      <w:pPr>
        <w:pStyle w:val="NotesText0"/>
      </w:pPr>
      <w:r w:rsidRPr="00075D25">
        <w:t>Outcome 3: Higher Education, Research and International</w:t>
      </w:r>
    </w:p>
    <w:p w:rsidR="007E1E1E" w:rsidRPr="00075D25" w:rsidRDefault="007E1E1E" w:rsidP="007E1E1E">
      <w:pPr>
        <w:pStyle w:val="NotesText0"/>
      </w:pPr>
      <w:r w:rsidRPr="00075D25">
        <w:t xml:space="preserve">The department was created following the abolition of the Department of Education, Employment and Workplace Relations on 18 September 2013. No comparatives are provided to these statements.  </w:t>
      </w:r>
    </w:p>
    <w:p w:rsidR="007E1E1E" w:rsidRPr="00075D25" w:rsidRDefault="007E1E1E" w:rsidP="007E1E1E">
      <w:pPr>
        <w:pStyle w:val="NotesText0"/>
      </w:pPr>
      <w:r w:rsidRPr="00075D25">
        <w:t>The continued existence of the department in its present form and with its present program</w:t>
      </w:r>
      <w:r>
        <w:t>me</w:t>
      </w:r>
      <w:r w:rsidRPr="00075D25">
        <w:t>s is dependent on Government policy and on continuing funding by Parliament for the department’s administration and program</w:t>
      </w:r>
      <w:r>
        <w:t>me</w:t>
      </w:r>
      <w:r w:rsidRPr="00075D25">
        <w:t>s.</w:t>
      </w:r>
    </w:p>
    <w:p w:rsidR="007E1E1E" w:rsidRDefault="007E1E1E" w:rsidP="007E1E1E">
      <w:pPr>
        <w:pStyle w:val="NotesText0"/>
      </w:pPr>
      <w:r w:rsidRPr="00075D25">
        <w:t>The department’s activities contributing toward these outcomes are classified as either departmental or administered.  Departmental activities involve the use of assets, liabilities, income and expenses controlled or incurred by the department in its own right.  Administered activities involve the management or oversight by the department, on behalf of the Government, of items controlled or incurred by the Government.</w:t>
      </w:r>
      <w:r>
        <w:tab/>
      </w:r>
    </w:p>
    <w:p w:rsidR="007E1E1E" w:rsidRDefault="007E1E1E" w:rsidP="007E1E1E">
      <w:pPr>
        <w:pStyle w:val="SAPHeading-Level2"/>
        <w:numPr>
          <w:ilvl w:val="1"/>
          <w:numId w:val="15"/>
        </w:numPr>
      </w:pPr>
      <w:r>
        <w:t>Basis of Preparation of the Financial Statements</w:t>
      </w:r>
    </w:p>
    <w:p w:rsidR="007E1E1E" w:rsidRPr="00075D25" w:rsidRDefault="007E1E1E" w:rsidP="007E1E1E">
      <w:pPr>
        <w:pStyle w:val="NotesText0"/>
      </w:pPr>
      <w:r w:rsidRPr="00075D25">
        <w:t>The financial statements are general purpose financial statements and are required by section 49 of the</w:t>
      </w:r>
      <w:r w:rsidRPr="00075D25">
        <w:rPr>
          <w:bCs/>
        </w:rPr>
        <w:t xml:space="preserve"> </w:t>
      </w:r>
      <w:r w:rsidRPr="008104A5">
        <w:rPr>
          <w:i/>
        </w:rPr>
        <w:t>Financial Management and Accountability Act 1997</w:t>
      </w:r>
      <w:r w:rsidRPr="00075D25">
        <w:t>.</w:t>
      </w:r>
    </w:p>
    <w:p w:rsidR="007E1E1E" w:rsidRPr="00075D25" w:rsidRDefault="007E1E1E" w:rsidP="007E1E1E">
      <w:pPr>
        <w:pStyle w:val="NotesText0"/>
      </w:pPr>
      <w:r w:rsidRPr="00075D25">
        <w:t>The financial statements have been prepared in accordance with:</w:t>
      </w:r>
    </w:p>
    <w:p w:rsidR="007E1E1E" w:rsidRPr="008104A5" w:rsidRDefault="007E1E1E" w:rsidP="007E1E1E">
      <w:pPr>
        <w:pStyle w:val="NotesText0"/>
        <w:numPr>
          <w:ilvl w:val="0"/>
          <w:numId w:val="30"/>
        </w:numPr>
      </w:pPr>
      <w:r w:rsidRPr="008104A5">
        <w:t>Finance Minister’s Orders (</w:t>
      </w:r>
      <w:proofErr w:type="spellStart"/>
      <w:r w:rsidRPr="008104A5">
        <w:t>FMOs</w:t>
      </w:r>
      <w:proofErr w:type="spellEnd"/>
      <w:r w:rsidRPr="008104A5">
        <w:t xml:space="preserve">) for reporting periods ending on or after 1 July </w:t>
      </w:r>
      <w:fldSimple w:instr=" DOCPROPERTY  prYear  \* MERGEFORMAT ">
        <w:r>
          <w:t>2013</w:t>
        </w:r>
      </w:fldSimple>
    </w:p>
    <w:p w:rsidR="007E1E1E" w:rsidRPr="008104A5" w:rsidRDefault="007E1E1E" w:rsidP="007E1E1E">
      <w:pPr>
        <w:pStyle w:val="NotesText0"/>
        <w:numPr>
          <w:ilvl w:val="0"/>
          <w:numId w:val="30"/>
        </w:numPr>
      </w:pPr>
      <w:r w:rsidRPr="008104A5">
        <w:t>Australian Accounting Standards and Interpretations issued by the Australian Accounting Standards Board (</w:t>
      </w:r>
      <w:proofErr w:type="spellStart"/>
      <w:r w:rsidRPr="008104A5">
        <w:t>AASB</w:t>
      </w:r>
      <w:proofErr w:type="spellEnd"/>
      <w:r w:rsidRPr="008104A5">
        <w:t>) that apply for the reporting period.</w:t>
      </w:r>
    </w:p>
    <w:p w:rsidR="007E1E1E" w:rsidRPr="00075D25" w:rsidRDefault="007E1E1E" w:rsidP="007E1E1E">
      <w:pPr>
        <w:pStyle w:val="NotesText0"/>
      </w:pPr>
      <w:r w:rsidRPr="00075D25">
        <w:t xml:space="preserve">The financial statements have been prepared on an accrual basis and are in accordance with the historical cost convention, except for certain assets </w:t>
      </w:r>
      <w:r>
        <w:t xml:space="preserve">and liabilities, at fair value. </w:t>
      </w:r>
      <w:r w:rsidRPr="00075D25">
        <w:t>Except where stated, no allowance is made for the effect of changing prices on the results or the financial position.</w:t>
      </w:r>
    </w:p>
    <w:p w:rsidR="007E1E1E" w:rsidRPr="00075D25" w:rsidRDefault="007E1E1E" w:rsidP="007E1E1E">
      <w:pPr>
        <w:pStyle w:val="NotesText0"/>
      </w:pPr>
      <w:r w:rsidRPr="00075D25">
        <w:t>The financial statements are presented in Australian dollars and values are rounded to the nearest thousand dollars unless otherwise specified.</w:t>
      </w:r>
    </w:p>
    <w:p w:rsidR="007E1E1E" w:rsidRPr="00075D25" w:rsidRDefault="007E1E1E" w:rsidP="007E1E1E">
      <w:pPr>
        <w:pStyle w:val="NotesText0"/>
      </w:pPr>
      <w:r w:rsidRPr="00075D25">
        <w:t xml:space="preserve">Unless an alternative treatment is specifically required by an accounting standard or the </w:t>
      </w:r>
      <w:proofErr w:type="spellStart"/>
      <w:r w:rsidRPr="00075D25">
        <w:t>FMOs</w:t>
      </w:r>
      <w:proofErr w:type="spellEnd"/>
      <w:r w:rsidRPr="00075D25">
        <w:t>, assets and liabilities are recognised in the statement of financial position when and only when it is probable that future economic benefits will flow to the department or a future sacrifice of economic benefits will be required and the amounts of the assets or liabil</w:t>
      </w:r>
      <w:r>
        <w:t xml:space="preserve">ities can be reliably measured. </w:t>
      </w:r>
      <w:r w:rsidRPr="00075D25">
        <w:t>However, assets and liabilities arising under executor contracts are not recognised unless requ</w:t>
      </w:r>
      <w:r>
        <w:t xml:space="preserve">ired by an accounting standard. </w:t>
      </w:r>
      <w:r w:rsidRPr="00075D25">
        <w:t>Liabilities and assets that are unrecognised are reported in the schedule of commitments or the schedule of contingencies.</w:t>
      </w:r>
    </w:p>
    <w:p w:rsidR="007E1E1E" w:rsidRPr="00075D25" w:rsidRDefault="007E1E1E" w:rsidP="007E1E1E">
      <w:pPr>
        <w:pStyle w:val="NotesText0"/>
      </w:pPr>
      <w:proofErr w:type="gramStart"/>
      <w:r w:rsidRPr="00075D25">
        <w:t>Unless alternative treatment is specifically required by an accounting standard, income and expenses are recognised in the Statement of Comprehensive Income when and only when the flow, consumption or loss of economic benefits has occurred and can be reliably measured.</w:t>
      </w:r>
      <w:proofErr w:type="gramEnd"/>
    </w:p>
    <w:p w:rsidR="007E1E1E" w:rsidRDefault="007E1E1E" w:rsidP="007E1E1E">
      <w:pPr>
        <w:pStyle w:val="AdminBlankGreyShade"/>
      </w:pPr>
    </w:p>
    <w:p w:rsidR="007E1E1E" w:rsidRDefault="007E1E1E" w:rsidP="007E1E1E">
      <w:pPr>
        <w:pStyle w:val="AdminBlankGreyShade"/>
        <w:rPr>
          <w:b/>
          <w:sz w:val="20"/>
        </w:rPr>
      </w:pPr>
      <w:r>
        <w:rPr>
          <w:sz w:val="20"/>
        </w:rPr>
        <w:br w:type="page"/>
      </w:r>
    </w:p>
    <w:p w:rsidR="007E1E1E" w:rsidRDefault="007E1E1E" w:rsidP="007E1E1E">
      <w:pPr>
        <w:pStyle w:val="SAPHeading-Level2"/>
        <w:numPr>
          <w:ilvl w:val="1"/>
          <w:numId w:val="15"/>
        </w:numPr>
      </w:pPr>
      <w:r>
        <w:lastRenderedPageBreak/>
        <w:t xml:space="preserve">Significant Accounting Judgements and Estimates </w:t>
      </w:r>
    </w:p>
    <w:p w:rsidR="007E1E1E" w:rsidRPr="00075D25" w:rsidRDefault="007E1E1E" w:rsidP="007E1E1E">
      <w:pPr>
        <w:pStyle w:val="NotesText0"/>
      </w:pPr>
      <w:r w:rsidRPr="00075D25">
        <w:t xml:space="preserve">In the process of applying the accounting policies listed in this note, the department has not identified accounting assumptions or estimates that have a significant risk of causing a material adjustment to carrying amounts of assets and liabilities within the next reporting period. </w:t>
      </w:r>
    </w:p>
    <w:p w:rsidR="007E1E1E" w:rsidRPr="00075D25" w:rsidRDefault="007E1E1E" w:rsidP="007E1E1E">
      <w:pPr>
        <w:pStyle w:val="NotesText0"/>
      </w:pPr>
      <w:r w:rsidRPr="00075D25">
        <w:t>During the 2013</w:t>
      </w:r>
      <w:r>
        <w:t>–</w:t>
      </w:r>
      <w:r w:rsidRPr="00075D25">
        <w:t>14 financial year the department made the following judgements that had a significant impact on the amounts recorded in the financial statements.</w:t>
      </w:r>
    </w:p>
    <w:p w:rsidR="007E1E1E" w:rsidRPr="00B07838" w:rsidRDefault="007E1E1E" w:rsidP="007E1E1E">
      <w:pPr>
        <w:pStyle w:val="GreyShadeTableBreak"/>
        <w:spacing w:before="60" w:after="20"/>
        <w:ind w:right="140"/>
        <w:rPr>
          <w:lang w:eastAsia="en-AU"/>
        </w:rPr>
      </w:pPr>
      <w:r w:rsidRPr="00B07838">
        <w:rPr>
          <w:i/>
          <w:u w:val="single"/>
          <w:lang w:eastAsia="en-AU"/>
        </w:rPr>
        <w:t>Child Care Fee Assistance</w:t>
      </w:r>
      <w:r>
        <w:rPr>
          <w:i/>
          <w:u w:val="single"/>
          <w:lang w:eastAsia="en-AU"/>
        </w:rPr>
        <w:br/>
      </w:r>
      <w:proofErr w:type="gramStart"/>
      <w:r w:rsidRPr="00B07838">
        <w:rPr>
          <w:lang w:eastAsia="en-AU"/>
        </w:rPr>
        <w:t>The</w:t>
      </w:r>
      <w:proofErr w:type="gramEnd"/>
      <w:r w:rsidRPr="00B07838">
        <w:rPr>
          <w:lang w:eastAsia="en-AU"/>
        </w:rPr>
        <w:t xml:space="preserve"> Child Care Fee Assistance (</w:t>
      </w:r>
      <w:proofErr w:type="spellStart"/>
      <w:r w:rsidRPr="00B07838">
        <w:rPr>
          <w:lang w:eastAsia="en-AU"/>
        </w:rPr>
        <w:t>CCFA</w:t>
      </w:r>
      <w:proofErr w:type="spellEnd"/>
      <w:r w:rsidRPr="00B07838">
        <w:rPr>
          <w:lang w:eastAsia="en-AU"/>
        </w:rPr>
        <w:t>) program</w:t>
      </w:r>
      <w:r>
        <w:rPr>
          <w:lang w:eastAsia="en-AU"/>
        </w:rPr>
        <w:t>me</w:t>
      </w:r>
      <w:r w:rsidRPr="00B07838">
        <w:rPr>
          <w:lang w:eastAsia="en-AU"/>
        </w:rPr>
        <w:t xml:space="preserve"> is aimed at assisting families with th</w:t>
      </w:r>
      <w:r>
        <w:rPr>
          <w:lang w:eastAsia="en-AU"/>
        </w:rPr>
        <w:t xml:space="preserve">e cost of child care. </w:t>
      </w:r>
      <w:r w:rsidRPr="00B07838">
        <w:rPr>
          <w:lang w:eastAsia="en-AU"/>
        </w:rPr>
        <w:t>Recipients receive an estimated entitlement fortnightly, either as a fee reduction via the child care provider or in some instances directly.</w:t>
      </w:r>
      <w:r>
        <w:rPr>
          <w:lang w:eastAsia="en-AU"/>
        </w:rPr>
        <w:t xml:space="preserve"> </w:t>
      </w:r>
      <w:r w:rsidRPr="00B07838">
        <w:rPr>
          <w:lang w:eastAsia="en-AU"/>
        </w:rPr>
        <w:t>Recipients may also receive certain b</w:t>
      </w:r>
      <w:r>
        <w:rPr>
          <w:lang w:eastAsia="en-AU"/>
        </w:rPr>
        <w:t xml:space="preserve">enefits quarterly or annually. </w:t>
      </w:r>
      <w:r w:rsidRPr="00B07838">
        <w:rPr>
          <w:lang w:eastAsia="en-AU"/>
        </w:rPr>
        <w:t>The benefits are paid on the basis of an estimate of taxable income and the subsequent lodgement of their tax return establishes actual income and an adjustment to the recipient’s entitlement.</w:t>
      </w:r>
    </w:p>
    <w:p w:rsidR="007E1E1E" w:rsidRPr="00B07838" w:rsidRDefault="007E1E1E" w:rsidP="007E1E1E">
      <w:pPr>
        <w:pStyle w:val="GreyShadeTableBreak"/>
        <w:spacing w:before="60" w:after="20"/>
        <w:ind w:right="140"/>
        <w:rPr>
          <w:lang w:eastAsia="en-AU"/>
        </w:rPr>
      </w:pPr>
      <w:r w:rsidRPr="00B07838">
        <w:rPr>
          <w:lang w:eastAsia="en-AU"/>
        </w:rPr>
        <w:t xml:space="preserve">At any point in time there are recipients entitled to receive </w:t>
      </w:r>
      <w:proofErr w:type="spellStart"/>
      <w:r w:rsidRPr="00B07838">
        <w:rPr>
          <w:lang w:eastAsia="en-AU"/>
        </w:rPr>
        <w:t>CCFA</w:t>
      </w:r>
      <w:proofErr w:type="spellEnd"/>
      <w:r>
        <w:rPr>
          <w:lang w:eastAsia="en-AU"/>
        </w:rPr>
        <w:t xml:space="preserve"> </w:t>
      </w:r>
      <w:r w:rsidRPr="00B07838">
        <w:rPr>
          <w:lang w:eastAsia="en-AU"/>
        </w:rPr>
        <w:t xml:space="preserve">who have not yet received their full entitlement from the Australian Government. </w:t>
      </w:r>
      <w:r>
        <w:rPr>
          <w:lang w:eastAsia="en-AU"/>
        </w:rPr>
        <w:t>The department</w:t>
      </w:r>
      <w:r w:rsidRPr="00B07838">
        <w:rPr>
          <w:lang w:eastAsia="en-AU"/>
        </w:rPr>
        <w:t xml:space="preserve"> estimates a provision for these entitlements. The amount recognised as a provision is the best estimate of the consideration required to settle the present obligation as at the reporting date, taking into account the risks and uncertainties that surround the events and circumstances that affect the provision as required by </w:t>
      </w:r>
      <w:proofErr w:type="spellStart"/>
      <w:r w:rsidRPr="006B1577">
        <w:rPr>
          <w:i/>
          <w:lang w:eastAsia="en-AU"/>
        </w:rPr>
        <w:t>AASB</w:t>
      </w:r>
      <w:proofErr w:type="spellEnd"/>
      <w:r w:rsidRPr="006B1577">
        <w:rPr>
          <w:i/>
          <w:lang w:eastAsia="en-AU"/>
        </w:rPr>
        <w:t xml:space="preserve"> 137 – Provision, Contingent Liabilities and Contingent Assets</w:t>
      </w:r>
      <w:r w:rsidRPr="00B07838">
        <w:rPr>
          <w:lang w:eastAsia="en-AU"/>
        </w:rPr>
        <w:t>, para. 8.1.</w:t>
      </w:r>
      <w:r>
        <w:rPr>
          <w:lang w:eastAsia="en-AU"/>
        </w:rPr>
        <w:t xml:space="preserve"> </w:t>
      </w:r>
      <w:r w:rsidRPr="00B07838">
        <w:rPr>
          <w:lang w:eastAsia="en-AU"/>
        </w:rPr>
        <w:t xml:space="preserve">The provision calculates the current year and earlier years’ liability for claims that have yet to be realised. The methodology considers the likely lodgement profiles associated with reconciliation top-ups, lump sum claims, and quarterly and fortnightly payments, including the impact of new measures. </w:t>
      </w:r>
    </w:p>
    <w:p w:rsidR="007E1E1E" w:rsidRPr="00B07838" w:rsidRDefault="007E1E1E" w:rsidP="007E1E1E">
      <w:pPr>
        <w:pStyle w:val="GreyShadeTableBreak"/>
        <w:spacing w:before="60" w:after="20"/>
        <w:ind w:right="140"/>
        <w:rPr>
          <w:lang w:eastAsia="en-AU"/>
        </w:rPr>
      </w:pPr>
      <w:r w:rsidRPr="00B07838">
        <w:rPr>
          <w:lang w:eastAsia="en-AU"/>
        </w:rPr>
        <w:t>There are also a number of eligible recipients who have received in excess of their entitlement and owe money to the department. The department estimates a receivable for these benefits.</w:t>
      </w:r>
      <w:r>
        <w:rPr>
          <w:lang w:eastAsia="en-AU"/>
        </w:rPr>
        <w:t xml:space="preserve"> </w:t>
      </w:r>
      <w:r w:rsidRPr="00B07838">
        <w:rPr>
          <w:lang w:eastAsia="en-AU"/>
        </w:rPr>
        <w:t xml:space="preserve">The methodology to determine the department’s receivable considers historic recipient behaviours adjusted for the impact of new measures. The impairment allowance account for the </w:t>
      </w:r>
      <w:proofErr w:type="spellStart"/>
      <w:r w:rsidRPr="00B07838">
        <w:rPr>
          <w:lang w:eastAsia="en-AU"/>
        </w:rPr>
        <w:t>CCFA</w:t>
      </w:r>
      <w:proofErr w:type="spellEnd"/>
      <w:r w:rsidRPr="00B07838">
        <w:rPr>
          <w:lang w:eastAsia="en-AU"/>
        </w:rPr>
        <w:t xml:space="preserve"> receivable has been calculated by the Australian Government Actuary in accordance with the overall requirement of </w:t>
      </w:r>
      <w:proofErr w:type="spellStart"/>
      <w:r w:rsidRPr="00AC33E5">
        <w:rPr>
          <w:i/>
          <w:lang w:eastAsia="en-AU"/>
        </w:rPr>
        <w:t>AASB</w:t>
      </w:r>
      <w:proofErr w:type="spellEnd"/>
      <w:r w:rsidRPr="00AC33E5">
        <w:rPr>
          <w:i/>
          <w:lang w:eastAsia="en-AU"/>
        </w:rPr>
        <w:t xml:space="preserve"> 136 – Impairment of Assets</w:t>
      </w:r>
      <w:r w:rsidRPr="00B07838">
        <w:rPr>
          <w:lang w:eastAsia="en-AU"/>
        </w:rPr>
        <w:t xml:space="preserve">, which relies on a profile of past customer behaviour.   </w:t>
      </w:r>
    </w:p>
    <w:p w:rsidR="007E1E1E" w:rsidRPr="00B07838" w:rsidRDefault="007E1E1E" w:rsidP="007E1E1E">
      <w:pPr>
        <w:pStyle w:val="GreyShadeTableBreak"/>
        <w:spacing w:before="60" w:after="20"/>
        <w:ind w:right="140"/>
        <w:rPr>
          <w:i/>
          <w:u w:val="single"/>
          <w:lang w:eastAsia="en-AU"/>
        </w:rPr>
      </w:pPr>
      <w:r w:rsidRPr="00B07838">
        <w:rPr>
          <w:i/>
          <w:u w:val="single"/>
          <w:lang w:eastAsia="en-AU"/>
        </w:rPr>
        <w:t>Higher Education Loan Program</w:t>
      </w:r>
      <w:r>
        <w:rPr>
          <w:i/>
          <w:u w:val="single"/>
          <w:lang w:eastAsia="en-AU"/>
        </w:rPr>
        <w:t>me</w:t>
      </w:r>
    </w:p>
    <w:p w:rsidR="007E1E1E" w:rsidRPr="00B07838" w:rsidRDefault="007E1E1E" w:rsidP="007E1E1E">
      <w:pPr>
        <w:pStyle w:val="GreyShadeTableBreak"/>
        <w:spacing w:before="60" w:after="20"/>
        <w:ind w:right="140"/>
        <w:rPr>
          <w:lang w:eastAsia="en-AU"/>
        </w:rPr>
      </w:pPr>
      <w:r w:rsidRPr="00B07838">
        <w:rPr>
          <w:lang w:eastAsia="en-AU"/>
        </w:rPr>
        <w:t>The value of the Higher Education Loan Program</w:t>
      </w:r>
      <w:r>
        <w:rPr>
          <w:lang w:eastAsia="en-AU"/>
        </w:rPr>
        <w:t>me</w:t>
      </w:r>
      <w:r w:rsidRPr="00B07838">
        <w:rPr>
          <w:lang w:eastAsia="en-AU"/>
        </w:rPr>
        <w:t xml:space="preserve"> (HELP) receivable is calculated each year by actuarial assessment. The two main measures impacting on the calculation of the HELP asset are the face value of the debt not expected to be repaid and the fair value of the remaining receivable, calculated as the present value of projected future cash flows.    </w:t>
      </w:r>
    </w:p>
    <w:p w:rsidR="007E1E1E" w:rsidRPr="00B07838" w:rsidRDefault="007E1E1E" w:rsidP="007E1E1E">
      <w:pPr>
        <w:pStyle w:val="GreyShadeTableBreak"/>
        <w:spacing w:before="60" w:after="20"/>
        <w:ind w:right="140"/>
        <w:rPr>
          <w:i/>
          <w:u w:val="single"/>
          <w:lang w:eastAsia="en-AU"/>
        </w:rPr>
      </w:pPr>
      <w:r w:rsidRPr="00B07838">
        <w:rPr>
          <w:i/>
          <w:u w:val="single"/>
          <w:lang w:eastAsia="en-AU"/>
        </w:rPr>
        <w:t>Unfunded University Superannuation</w:t>
      </w:r>
    </w:p>
    <w:p w:rsidR="007E1E1E" w:rsidRPr="00B07838" w:rsidRDefault="007E1E1E" w:rsidP="007E1E1E">
      <w:pPr>
        <w:pStyle w:val="GreyShadeTableBreak"/>
        <w:spacing w:before="60" w:after="20"/>
        <w:ind w:right="140"/>
        <w:rPr>
          <w:lang w:eastAsia="en-AU"/>
        </w:rPr>
      </w:pPr>
      <w:r w:rsidRPr="00B07838">
        <w:rPr>
          <w:lang w:eastAsia="en-AU"/>
        </w:rPr>
        <w:t>The fair value of the Provision for Unfunded University Superannuation (2013</w:t>
      </w:r>
      <w:r>
        <w:rPr>
          <w:lang w:eastAsia="en-AU"/>
        </w:rPr>
        <w:t>–</w:t>
      </w:r>
      <w:r w:rsidRPr="00B07838">
        <w:rPr>
          <w:lang w:eastAsia="en-AU"/>
        </w:rPr>
        <w:t xml:space="preserve">14 $6.868 billion) is calculated annually by actuarial assessment. The provision is valued in accordance with the requirements of </w:t>
      </w:r>
      <w:proofErr w:type="spellStart"/>
      <w:r w:rsidRPr="00AC33E5">
        <w:rPr>
          <w:i/>
          <w:lang w:eastAsia="en-AU"/>
        </w:rPr>
        <w:t>AASB</w:t>
      </w:r>
      <w:proofErr w:type="spellEnd"/>
      <w:r w:rsidRPr="00AC33E5">
        <w:rPr>
          <w:i/>
          <w:lang w:eastAsia="en-AU"/>
        </w:rPr>
        <w:t xml:space="preserve"> 119, Employee Benefits</w:t>
      </w:r>
      <w:r w:rsidRPr="00B07838">
        <w:rPr>
          <w:lang w:eastAsia="en-AU"/>
        </w:rPr>
        <w:t>. The discount rate used is based on the yields available on government bonds. The prevailing rate as at 30 June 2014 is 4.1%.</w:t>
      </w:r>
    </w:p>
    <w:p w:rsidR="007E1E1E" w:rsidRDefault="007E1E1E" w:rsidP="007E1E1E">
      <w:pPr>
        <w:pStyle w:val="SAPHeading-Level2"/>
        <w:numPr>
          <w:ilvl w:val="1"/>
          <w:numId w:val="15"/>
        </w:numPr>
      </w:pPr>
      <w:r>
        <w:t>New Australian Accounting Standards</w:t>
      </w:r>
    </w:p>
    <w:p w:rsidR="007E1E1E" w:rsidRPr="008104A5" w:rsidRDefault="007E1E1E" w:rsidP="007E1E1E">
      <w:pPr>
        <w:pStyle w:val="NotesText0"/>
        <w:rPr>
          <w:i/>
        </w:rPr>
      </w:pPr>
      <w:r w:rsidRPr="008104A5">
        <w:rPr>
          <w:i/>
        </w:rPr>
        <w:t>Adoption of New Australian Accounting Standard Requirements</w:t>
      </w:r>
    </w:p>
    <w:p w:rsidR="007E1E1E" w:rsidRPr="00075D25" w:rsidRDefault="007E1E1E" w:rsidP="007E1E1E">
      <w:pPr>
        <w:pStyle w:val="NotesText0"/>
      </w:pPr>
      <w:r w:rsidRPr="00075D25">
        <w:t xml:space="preserve">No accounting standard has been adopted earlier than the application date as stated in the standard.  </w:t>
      </w:r>
    </w:p>
    <w:p w:rsidR="007E1E1E" w:rsidRPr="00075D25" w:rsidRDefault="007E1E1E" w:rsidP="007E1E1E">
      <w:pPr>
        <w:pStyle w:val="NotesText0"/>
      </w:pPr>
      <w:r w:rsidRPr="00075D25">
        <w:t xml:space="preserve">There have been no new standards, amended standards or interpretations that were issued by the Australian Accounting Standards Board prior to the sign off date that are applicable to the current reporting period and have a material impact on the department. </w:t>
      </w:r>
    </w:p>
    <w:p w:rsidR="007E1E1E" w:rsidRPr="008104A5" w:rsidRDefault="007E1E1E" w:rsidP="007E1E1E">
      <w:pPr>
        <w:pStyle w:val="NotesText0"/>
        <w:rPr>
          <w:i/>
        </w:rPr>
      </w:pPr>
      <w:r w:rsidRPr="008104A5">
        <w:rPr>
          <w:i/>
        </w:rPr>
        <w:t>Future Australian Accounting Standard Requirements</w:t>
      </w:r>
    </w:p>
    <w:p w:rsidR="007E1E1E" w:rsidRPr="00075D25" w:rsidRDefault="007E1E1E" w:rsidP="007E1E1E">
      <w:pPr>
        <w:pStyle w:val="NotesText0"/>
      </w:pPr>
      <w:r w:rsidRPr="00075D25">
        <w:t>The following new standards, revised standards, interpretations and amending standards were issued by the Australian Accounting Standards Board prior to the sign-off date and apply to the future reporting period</w:t>
      </w:r>
      <w:r>
        <w:t>.</w:t>
      </w:r>
      <w:r w:rsidRPr="00075D25">
        <w:t xml:space="preserve"> </w:t>
      </w:r>
      <w:r>
        <w:t>T</w:t>
      </w:r>
      <w:r w:rsidRPr="00075D25">
        <w:t>hey are expected to have a financial impact on the department for future reporting periods:</w:t>
      </w:r>
    </w:p>
    <w:p w:rsidR="007E1E1E" w:rsidRPr="00075D25" w:rsidRDefault="007E1E1E" w:rsidP="007E1E1E">
      <w:pPr>
        <w:pStyle w:val="NotesText0"/>
      </w:pPr>
      <w:r w:rsidRPr="00075D25">
        <w:t>The following new standards, revised standards, interpretations and amending standards were issued by the Australian Accounting Standards Board prior to the sign-off date and apply to the future reporting period</w:t>
      </w:r>
      <w:r>
        <w:t>. T</w:t>
      </w:r>
      <w:r w:rsidRPr="00075D25">
        <w:t>hey are not expected to have a financial impact on the department:</w:t>
      </w:r>
    </w:p>
    <w:tbl>
      <w:tblPr>
        <w:tblW w:w="9087" w:type="dxa"/>
        <w:tblInd w:w="93" w:type="dxa"/>
        <w:tblLook w:val="04A0" w:firstRow="1" w:lastRow="0" w:firstColumn="1" w:lastColumn="0" w:noHBand="0" w:noVBand="1"/>
      </w:tblPr>
      <w:tblGrid>
        <w:gridCol w:w="1575"/>
        <w:gridCol w:w="7512"/>
      </w:tblGrid>
      <w:tr w:rsidR="007E1E1E" w:rsidRPr="008104A5" w:rsidTr="00B50E5D">
        <w:trPr>
          <w:trHeight w:val="410"/>
        </w:trPr>
        <w:tc>
          <w:tcPr>
            <w:tcW w:w="1575" w:type="dxa"/>
            <w:noWrap/>
            <w:vAlign w:val="center"/>
            <w:hideMark/>
          </w:tcPr>
          <w:p w:rsidR="007E1E1E" w:rsidRPr="008104A5" w:rsidRDefault="007E1E1E" w:rsidP="00B50E5D">
            <w:pPr>
              <w:rPr>
                <w:rFonts w:asciiTheme="minorHAnsi" w:hAnsiTheme="minorHAnsi" w:cstheme="minorHAnsi"/>
                <w:color w:val="000000"/>
                <w:szCs w:val="18"/>
              </w:rPr>
            </w:pPr>
            <w:proofErr w:type="spellStart"/>
            <w:r w:rsidRPr="008104A5">
              <w:rPr>
                <w:rFonts w:asciiTheme="minorHAnsi" w:hAnsiTheme="minorHAnsi" w:cstheme="minorHAnsi"/>
                <w:color w:val="000000"/>
                <w:szCs w:val="18"/>
              </w:rPr>
              <w:t>AASB</w:t>
            </w:r>
            <w:proofErr w:type="spellEnd"/>
            <w:r w:rsidRPr="008104A5">
              <w:rPr>
                <w:rFonts w:asciiTheme="minorHAnsi" w:hAnsiTheme="minorHAnsi" w:cstheme="minorHAnsi"/>
                <w:color w:val="000000"/>
                <w:szCs w:val="18"/>
              </w:rPr>
              <w:t xml:space="preserve"> 1055</w:t>
            </w:r>
          </w:p>
          <w:p w:rsidR="007E1E1E" w:rsidRPr="008104A5" w:rsidRDefault="007E1E1E" w:rsidP="00B50E5D">
            <w:pPr>
              <w:rPr>
                <w:rFonts w:asciiTheme="minorHAnsi" w:hAnsiTheme="minorHAnsi" w:cstheme="minorHAnsi"/>
                <w:color w:val="000000"/>
                <w:szCs w:val="18"/>
              </w:rPr>
            </w:pPr>
          </w:p>
          <w:p w:rsidR="007E1E1E" w:rsidRPr="008104A5" w:rsidRDefault="007E1E1E" w:rsidP="00B50E5D">
            <w:pPr>
              <w:rPr>
                <w:rFonts w:asciiTheme="minorHAnsi" w:hAnsiTheme="minorHAnsi" w:cstheme="minorHAnsi"/>
                <w:color w:val="000000"/>
                <w:szCs w:val="18"/>
              </w:rPr>
            </w:pPr>
          </w:p>
          <w:p w:rsidR="007E1E1E" w:rsidRPr="008104A5" w:rsidRDefault="007E1E1E" w:rsidP="00B50E5D">
            <w:pPr>
              <w:rPr>
                <w:rFonts w:asciiTheme="minorHAnsi" w:hAnsiTheme="minorHAnsi" w:cstheme="minorHAnsi"/>
                <w:color w:val="000000"/>
                <w:szCs w:val="18"/>
              </w:rPr>
            </w:pPr>
          </w:p>
          <w:p w:rsidR="007E1E1E" w:rsidRPr="008104A5" w:rsidRDefault="007E1E1E" w:rsidP="00B50E5D">
            <w:pPr>
              <w:rPr>
                <w:rFonts w:asciiTheme="minorHAnsi" w:hAnsiTheme="minorHAnsi" w:cstheme="minorHAnsi"/>
                <w:color w:val="000000"/>
                <w:szCs w:val="18"/>
              </w:rPr>
            </w:pPr>
            <w:proofErr w:type="spellStart"/>
            <w:r w:rsidRPr="008104A5">
              <w:rPr>
                <w:rFonts w:asciiTheme="minorHAnsi" w:hAnsiTheme="minorHAnsi" w:cstheme="minorHAnsi"/>
                <w:color w:val="000000"/>
                <w:szCs w:val="18"/>
              </w:rPr>
              <w:t>AASB</w:t>
            </w:r>
            <w:proofErr w:type="spellEnd"/>
            <w:r w:rsidRPr="008104A5">
              <w:rPr>
                <w:rFonts w:asciiTheme="minorHAnsi" w:hAnsiTheme="minorHAnsi" w:cstheme="minorHAnsi"/>
                <w:color w:val="000000"/>
                <w:szCs w:val="18"/>
              </w:rPr>
              <w:t xml:space="preserve"> 1031</w:t>
            </w:r>
          </w:p>
          <w:p w:rsidR="007E1E1E" w:rsidRPr="008104A5" w:rsidRDefault="007E1E1E" w:rsidP="00B50E5D">
            <w:pPr>
              <w:rPr>
                <w:rFonts w:asciiTheme="minorHAnsi" w:hAnsiTheme="minorHAnsi" w:cstheme="minorHAnsi"/>
                <w:color w:val="000000"/>
                <w:szCs w:val="18"/>
              </w:rPr>
            </w:pPr>
          </w:p>
          <w:p w:rsidR="007E1E1E" w:rsidRPr="008104A5" w:rsidRDefault="007E1E1E" w:rsidP="00B50E5D">
            <w:pPr>
              <w:rPr>
                <w:rFonts w:asciiTheme="minorHAnsi" w:hAnsiTheme="minorHAnsi" w:cstheme="minorHAnsi"/>
                <w:color w:val="000000"/>
                <w:szCs w:val="18"/>
              </w:rPr>
            </w:pPr>
          </w:p>
        </w:tc>
        <w:tc>
          <w:tcPr>
            <w:tcW w:w="7512" w:type="dxa"/>
            <w:vAlign w:val="center"/>
            <w:hideMark/>
          </w:tcPr>
          <w:p w:rsidR="007E1E1E" w:rsidRPr="008104A5" w:rsidRDefault="007E1E1E" w:rsidP="00B50E5D">
            <w:pPr>
              <w:rPr>
                <w:rFonts w:asciiTheme="minorHAnsi" w:hAnsiTheme="minorHAnsi" w:cstheme="minorHAnsi"/>
                <w:color w:val="000000"/>
                <w:szCs w:val="18"/>
              </w:rPr>
            </w:pPr>
            <w:r w:rsidRPr="008104A5">
              <w:rPr>
                <w:rFonts w:asciiTheme="minorHAnsi" w:hAnsiTheme="minorHAnsi" w:cstheme="minorHAnsi"/>
                <w:color w:val="000000"/>
                <w:szCs w:val="18"/>
              </w:rPr>
              <w:t xml:space="preserve">Budgetary Reporting </w:t>
            </w:r>
            <w:r>
              <w:rPr>
                <w:rFonts w:asciiTheme="minorHAnsi" w:hAnsiTheme="minorHAnsi" w:cstheme="minorHAnsi"/>
                <w:color w:val="000000"/>
                <w:szCs w:val="18"/>
              </w:rPr>
              <w:t>–</w:t>
            </w:r>
            <w:r w:rsidRPr="008104A5">
              <w:rPr>
                <w:rFonts w:asciiTheme="minorHAnsi" w:hAnsiTheme="minorHAnsi" w:cstheme="minorHAnsi"/>
                <w:color w:val="000000"/>
                <w:szCs w:val="18"/>
              </w:rPr>
              <w:t xml:space="preserve"> Applies from 2014</w:t>
            </w:r>
            <w:r>
              <w:rPr>
                <w:rFonts w:asciiTheme="minorHAnsi" w:hAnsiTheme="minorHAnsi" w:cstheme="minorHAnsi"/>
                <w:color w:val="000000"/>
                <w:szCs w:val="18"/>
              </w:rPr>
              <w:t>–</w:t>
            </w:r>
            <w:r w:rsidRPr="008104A5">
              <w:rPr>
                <w:rFonts w:asciiTheme="minorHAnsi" w:hAnsiTheme="minorHAnsi" w:cstheme="minorHAnsi"/>
                <w:color w:val="000000"/>
                <w:szCs w:val="18"/>
              </w:rPr>
              <w:t>15 to all not-for-profit entities in the General Government Sector.  This will require the department to explain significant variances between Portfolio Budget Statements  and actual expenditure</w:t>
            </w:r>
          </w:p>
          <w:p w:rsidR="007E1E1E" w:rsidRPr="008104A5" w:rsidRDefault="007E1E1E" w:rsidP="00B50E5D">
            <w:pPr>
              <w:rPr>
                <w:rFonts w:asciiTheme="minorHAnsi" w:hAnsiTheme="minorHAnsi" w:cstheme="minorHAnsi"/>
                <w:color w:val="000000"/>
                <w:szCs w:val="18"/>
              </w:rPr>
            </w:pPr>
          </w:p>
          <w:p w:rsidR="007E1E1E" w:rsidRPr="008104A5" w:rsidRDefault="007E1E1E" w:rsidP="00B50E5D">
            <w:pPr>
              <w:rPr>
                <w:rFonts w:asciiTheme="minorHAnsi" w:hAnsiTheme="minorHAnsi" w:cstheme="minorHAnsi"/>
                <w:color w:val="000000"/>
                <w:szCs w:val="18"/>
              </w:rPr>
            </w:pPr>
            <w:r w:rsidRPr="008104A5">
              <w:rPr>
                <w:rFonts w:asciiTheme="minorHAnsi" w:hAnsiTheme="minorHAnsi" w:cstheme="minorHAnsi"/>
                <w:color w:val="000000"/>
                <w:szCs w:val="18"/>
              </w:rPr>
              <w:t>Materiality – guidance on quantitative assessment of materiality</w:t>
            </w:r>
            <w:r>
              <w:rPr>
                <w:rFonts w:asciiTheme="minorHAnsi" w:hAnsiTheme="minorHAnsi" w:cstheme="minorHAnsi"/>
                <w:color w:val="000000"/>
                <w:szCs w:val="18"/>
              </w:rPr>
              <w:t xml:space="preserve"> is</w:t>
            </w:r>
            <w:r w:rsidRPr="008104A5">
              <w:rPr>
                <w:rFonts w:asciiTheme="minorHAnsi" w:hAnsiTheme="minorHAnsi" w:cstheme="minorHAnsi"/>
                <w:color w:val="000000"/>
                <w:szCs w:val="18"/>
              </w:rPr>
              <w:t xml:space="preserve"> no longer available. This is not expected to have an impact on the department’s statements</w:t>
            </w:r>
          </w:p>
          <w:p w:rsidR="007E1E1E" w:rsidRPr="008104A5" w:rsidRDefault="007E1E1E" w:rsidP="00B50E5D">
            <w:pPr>
              <w:rPr>
                <w:rFonts w:asciiTheme="minorHAnsi" w:hAnsiTheme="minorHAnsi" w:cstheme="minorHAnsi"/>
                <w:color w:val="000000"/>
                <w:szCs w:val="18"/>
              </w:rPr>
            </w:pPr>
          </w:p>
        </w:tc>
      </w:tr>
      <w:tr w:rsidR="007E1E1E" w:rsidRPr="008104A5" w:rsidTr="00B50E5D">
        <w:trPr>
          <w:trHeight w:val="410"/>
        </w:trPr>
        <w:tc>
          <w:tcPr>
            <w:tcW w:w="1575" w:type="dxa"/>
            <w:noWrap/>
            <w:vAlign w:val="center"/>
          </w:tcPr>
          <w:p w:rsidR="007E1E1E" w:rsidRPr="008104A5" w:rsidRDefault="007E1E1E" w:rsidP="00B50E5D">
            <w:pPr>
              <w:rPr>
                <w:rFonts w:asciiTheme="minorHAnsi" w:hAnsiTheme="minorHAnsi" w:cstheme="minorHAnsi"/>
                <w:color w:val="000000"/>
                <w:szCs w:val="18"/>
              </w:rPr>
            </w:pPr>
            <w:proofErr w:type="spellStart"/>
            <w:r w:rsidRPr="008104A5">
              <w:rPr>
                <w:rFonts w:asciiTheme="minorHAnsi" w:hAnsiTheme="minorHAnsi" w:cstheme="minorHAnsi"/>
                <w:color w:val="000000"/>
                <w:szCs w:val="18"/>
              </w:rPr>
              <w:lastRenderedPageBreak/>
              <w:t>AASB</w:t>
            </w:r>
            <w:proofErr w:type="spellEnd"/>
            <w:r w:rsidRPr="008104A5">
              <w:rPr>
                <w:rFonts w:asciiTheme="minorHAnsi" w:hAnsiTheme="minorHAnsi" w:cstheme="minorHAnsi"/>
                <w:color w:val="000000"/>
                <w:szCs w:val="18"/>
              </w:rPr>
              <w:t xml:space="preserve"> 9</w:t>
            </w:r>
          </w:p>
          <w:p w:rsidR="007E1E1E" w:rsidRPr="008104A5" w:rsidRDefault="007E1E1E" w:rsidP="00B50E5D">
            <w:pPr>
              <w:rPr>
                <w:rFonts w:asciiTheme="minorHAnsi" w:hAnsiTheme="minorHAnsi" w:cstheme="minorHAnsi"/>
                <w:color w:val="000000"/>
                <w:szCs w:val="18"/>
              </w:rPr>
            </w:pPr>
          </w:p>
          <w:p w:rsidR="007E1E1E" w:rsidRPr="008104A5" w:rsidRDefault="007E1E1E" w:rsidP="00B50E5D">
            <w:pPr>
              <w:rPr>
                <w:rFonts w:asciiTheme="minorHAnsi" w:hAnsiTheme="minorHAnsi" w:cstheme="minorHAnsi"/>
                <w:color w:val="000000"/>
                <w:szCs w:val="18"/>
              </w:rPr>
            </w:pPr>
          </w:p>
          <w:p w:rsidR="007E1E1E" w:rsidRPr="008104A5" w:rsidRDefault="007E1E1E" w:rsidP="00B50E5D">
            <w:pPr>
              <w:rPr>
                <w:rFonts w:asciiTheme="minorHAnsi" w:hAnsiTheme="minorHAnsi" w:cstheme="minorHAnsi"/>
                <w:color w:val="000000"/>
                <w:szCs w:val="18"/>
              </w:rPr>
            </w:pPr>
          </w:p>
        </w:tc>
        <w:tc>
          <w:tcPr>
            <w:tcW w:w="7512" w:type="dxa"/>
            <w:vAlign w:val="center"/>
          </w:tcPr>
          <w:p w:rsidR="007E1E1E" w:rsidRDefault="007E1E1E" w:rsidP="00B50E5D">
            <w:pPr>
              <w:rPr>
                <w:rFonts w:asciiTheme="minorHAnsi" w:hAnsiTheme="minorHAnsi" w:cstheme="minorHAnsi"/>
                <w:color w:val="000000"/>
                <w:szCs w:val="18"/>
              </w:rPr>
            </w:pPr>
            <w:r w:rsidRPr="008104A5">
              <w:rPr>
                <w:rFonts w:asciiTheme="minorHAnsi" w:hAnsiTheme="minorHAnsi" w:cstheme="minorHAnsi"/>
                <w:color w:val="000000"/>
                <w:szCs w:val="18"/>
              </w:rPr>
              <w:t xml:space="preserve">Financial Instruments – Applies from </w:t>
            </w:r>
            <w:r>
              <w:rPr>
                <w:rFonts w:asciiTheme="minorHAnsi" w:hAnsiTheme="minorHAnsi" w:cstheme="minorHAnsi"/>
                <w:color w:val="000000"/>
                <w:szCs w:val="18"/>
              </w:rPr>
              <w:t xml:space="preserve">1 January </w:t>
            </w:r>
            <w:r w:rsidRPr="008104A5">
              <w:rPr>
                <w:rFonts w:asciiTheme="minorHAnsi" w:hAnsiTheme="minorHAnsi" w:cstheme="minorHAnsi"/>
                <w:color w:val="000000"/>
                <w:szCs w:val="18"/>
              </w:rPr>
              <w:t xml:space="preserve">2017 to all entities.  Potential  impact on  measurement of post initial recognition and recognition of gains and losses from financial instruments is yet to be assessed </w:t>
            </w:r>
          </w:p>
          <w:p w:rsidR="007E1E1E" w:rsidRPr="008104A5" w:rsidRDefault="007E1E1E" w:rsidP="00B50E5D">
            <w:pPr>
              <w:rPr>
                <w:rFonts w:asciiTheme="minorHAnsi" w:hAnsiTheme="minorHAnsi" w:cstheme="minorHAnsi"/>
                <w:color w:val="000000"/>
                <w:szCs w:val="18"/>
              </w:rPr>
            </w:pPr>
          </w:p>
        </w:tc>
      </w:tr>
      <w:tr w:rsidR="007E1E1E" w:rsidRPr="008104A5" w:rsidTr="00B50E5D">
        <w:trPr>
          <w:trHeight w:val="689"/>
        </w:trPr>
        <w:tc>
          <w:tcPr>
            <w:tcW w:w="1575" w:type="dxa"/>
            <w:noWrap/>
            <w:vAlign w:val="center"/>
          </w:tcPr>
          <w:p w:rsidR="007E1E1E" w:rsidRPr="008104A5" w:rsidRDefault="007E1E1E" w:rsidP="00B50E5D">
            <w:pPr>
              <w:rPr>
                <w:rFonts w:asciiTheme="minorHAnsi" w:hAnsiTheme="minorHAnsi" w:cstheme="minorHAnsi"/>
                <w:color w:val="000000"/>
                <w:szCs w:val="18"/>
              </w:rPr>
            </w:pPr>
            <w:proofErr w:type="spellStart"/>
            <w:r w:rsidRPr="008104A5">
              <w:rPr>
                <w:rFonts w:asciiTheme="minorHAnsi" w:hAnsiTheme="minorHAnsi" w:cstheme="minorHAnsi"/>
                <w:color w:val="000000"/>
                <w:szCs w:val="18"/>
              </w:rPr>
              <w:t>AASB</w:t>
            </w:r>
            <w:proofErr w:type="spellEnd"/>
            <w:r w:rsidRPr="008104A5">
              <w:rPr>
                <w:rFonts w:asciiTheme="minorHAnsi" w:hAnsiTheme="minorHAnsi" w:cstheme="minorHAnsi"/>
                <w:color w:val="000000"/>
                <w:szCs w:val="18"/>
              </w:rPr>
              <w:t xml:space="preserve"> 2012</w:t>
            </w:r>
            <w:r>
              <w:rPr>
                <w:rFonts w:asciiTheme="minorHAnsi" w:hAnsiTheme="minorHAnsi" w:cstheme="minorHAnsi"/>
                <w:color w:val="000000"/>
                <w:szCs w:val="18"/>
              </w:rPr>
              <w:t>–</w:t>
            </w:r>
            <w:r w:rsidRPr="008104A5">
              <w:rPr>
                <w:rFonts w:asciiTheme="minorHAnsi" w:hAnsiTheme="minorHAnsi" w:cstheme="minorHAnsi"/>
                <w:color w:val="000000"/>
                <w:szCs w:val="18"/>
              </w:rPr>
              <w:t>3</w:t>
            </w:r>
          </w:p>
          <w:p w:rsidR="007E1E1E" w:rsidRPr="008104A5" w:rsidRDefault="007E1E1E" w:rsidP="00B50E5D">
            <w:pPr>
              <w:rPr>
                <w:rFonts w:asciiTheme="minorHAnsi" w:hAnsiTheme="minorHAnsi" w:cstheme="minorHAnsi"/>
                <w:color w:val="000000"/>
                <w:szCs w:val="18"/>
              </w:rPr>
            </w:pPr>
          </w:p>
          <w:p w:rsidR="007E1E1E" w:rsidRPr="008104A5" w:rsidRDefault="007E1E1E" w:rsidP="00B50E5D">
            <w:pPr>
              <w:rPr>
                <w:rFonts w:asciiTheme="minorHAnsi" w:hAnsiTheme="minorHAnsi" w:cstheme="minorHAnsi"/>
                <w:color w:val="000000"/>
                <w:szCs w:val="18"/>
              </w:rPr>
            </w:pPr>
          </w:p>
        </w:tc>
        <w:tc>
          <w:tcPr>
            <w:tcW w:w="7512" w:type="dxa"/>
            <w:vAlign w:val="center"/>
          </w:tcPr>
          <w:p w:rsidR="007E1E1E" w:rsidRDefault="007E1E1E" w:rsidP="00B50E5D">
            <w:pPr>
              <w:rPr>
                <w:rFonts w:asciiTheme="minorHAnsi" w:hAnsiTheme="minorHAnsi" w:cstheme="minorHAnsi"/>
                <w:color w:val="000000"/>
                <w:szCs w:val="18"/>
              </w:rPr>
            </w:pPr>
            <w:r w:rsidRPr="008104A5">
              <w:rPr>
                <w:rFonts w:asciiTheme="minorHAnsi" w:hAnsiTheme="minorHAnsi" w:cstheme="minorHAnsi"/>
                <w:color w:val="000000"/>
                <w:szCs w:val="18"/>
              </w:rPr>
              <w:t xml:space="preserve">Amendments to Australian Accounting Standards – Offsetting Financial Assets and Liabilities </w:t>
            </w:r>
            <w:r>
              <w:rPr>
                <w:rFonts w:asciiTheme="minorHAnsi" w:hAnsiTheme="minorHAnsi" w:cstheme="minorHAnsi"/>
                <w:color w:val="000000"/>
                <w:szCs w:val="18"/>
              </w:rPr>
              <w:br/>
            </w:r>
            <w:r w:rsidRPr="008104A5">
              <w:rPr>
                <w:rFonts w:asciiTheme="minorHAnsi" w:hAnsiTheme="minorHAnsi" w:cstheme="minorHAnsi"/>
                <w:color w:val="000000"/>
                <w:szCs w:val="18"/>
              </w:rPr>
              <w:t>(</w:t>
            </w:r>
            <w:proofErr w:type="spellStart"/>
            <w:r w:rsidRPr="008104A5">
              <w:rPr>
                <w:rFonts w:asciiTheme="minorHAnsi" w:hAnsiTheme="minorHAnsi" w:cstheme="minorHAnsi"/>
                <w:color w:val="000000"/>
                <w:szCs w:val="18"/>
              </w:rPr>
              <w:t>AASB</w:t>
            </w:r>
            <w:proofErr w:type="spellEnd"/>
            <w:r w:rsidRPr="008104A5">
              <w:rPr>
                <w:rFonts w:asciiTheme="minorHAnsi" w:hAnsiTheme="minorHAnsi" w:cstheme="minorHAnsi"/>
                <w:color w:val="000000"/>
                <w:szCs w:val="18"/>
              </w:rPr>
              <w:t xml:space="preserve"> 132) – this is expected to have a minimal impact on the department  financial statements</w:t>
            </w:r>
          </w:p>
          <w:p w:rsidR="007E1E1E" w:rsidRPr="008104A5" w:rsidRDefault="007E1E1E" w:rsidP="00B50E5D">
            <w:pPr>
              <w:rPr>
                <w:rFonts w:asciiTheme="minorHAnsi" w:hAnsiTheme="minorHAnsi" w:cstheme="minorHAnsi"/>
                <w:color w:val="000000"/>
                <w:szCs w:val="18"/>
              </w:rPr>
            </w:pPr>
          </w:p>
        </w:tc>
      </w:tr>
      <w:tr w:rsidR="007E1E1E" w:rsidRPr="008104A5" w:rsidTr="00B50E5D">
        <w:trPr>
          <w:trHeight w:val="771"/>
        </w:trPr>
        <w:tc>
          <w:tcPr>
            <w:tcW w:w="1575" w:type="dxa"/>
            <w:noWrap/>
            <w:vAlign w:val="center"/>
          </w:tcPr>
          <w:p w:rsidR="007E1E1E" w:rsidRPr="008104A5" w:rsidRDefault="007E1E1E" w:rsidP="00B50E5D">
            <w:pPr>
              <w:rPr>
                <w:rFonts w:asciiTheme="minorHAnsi" w:hAnsiTheme="minorHAnsi" w:cstheme="minorHAnsi"/>
                <w:color w:val="000000"/>
                <w:szCs w:val="18"/>
              </w:rPr>
            </w:pPr>
            <w:proofErr w:type="spellStart"/>
            <w:r w:rsidRPr="008104A5">
              <w:rPr>
                <w:rFonts w:asciiTheme="minorHAnsi" w:hAnsiTheme="minorHAnsi" w:cstheme="minorHAnsi"/>
                <w:color w:val="000000"/>
                <w:szCs w:val="18"/>
              </w:rPr>
              <w:t>AASB</w:t>
            </w:r>
            <w:proofErr w:type="spellEnd"/>
            <w:r w:rsidRPr="008104A5">
              <w:rPr>
                <w:rFonts w:asciiTheme="minorHAnsi" w:hAnsiTheme="minorHAnsi" w:cstheme="minorHAnsi"/>
                <w:color w:val="000000"/>
                <w:szCs w:val="18"/>
              </w:rPr>
              <w:t xml:space="preserve"> 2010</w:t>
            </w:r>
            <w:r>
              <w:rPr>
                <w:rFonts w:asciiTheme="minorHAnsi" w:hAnsiTheme="minorHAnsi" w:cstheme="minorHAnsi"/>
                <w:color w:val="000000"/>
                <w:szCs w:val="18"/>
              </w:rPr>
              <w:t>–</w:t>
            </w:r>
            <w:r w:rsidRPr="008104A5">
              <w:rPr>
                <w:rFonts w:asciiTheme="minorHAnsi" w:hAnsiTheme="minorHAnsi" w:cstheme="minorHAnsi"/>
                <w:color w:val="000000"/>
                <w:szCs w:val="18"/>
              </w:rPr>
              <w:t>7</w:t>
            </w:r>
          </w:p>
          <w:p w:rsidR="007E1E1E" w:rsidRPr="008104A5" w:rsidRDefault="007E1E1E" w:rsidP="00B50E5D">
            <w:pPr>
              <w:rPr>
                <w:rFonts w:asciiTheme="minorHAnsi" w:hAnsiTheme="minorHAnsi" w:cstheme="minorHAnsi"/>
                <w:color w:val="000000"/>
                <w:szCs w:val="18"/>
              </w:rPr>
            </w:pPr>
          </w:p>
          <w:p w:rsidR="007E1E1E" w:rsidRPr="008104A5" w:rsidRDefault="007E1E1E" w:rsidP="00B50E5D">
            <w:pPr>
              <w:rPr>
                <w:rFonts w:asciiTheme="minorHAnsi" w:hAnsiTheme="minorHAnsi" w:cstheme="minorHAnsi"/>
                <w:color w:val="000000"/>
                <w:szCs w:val="18"/>
              </w:rPr>
            </w:pPr>
          </w:p>
        </w:tc>
        <w:tc>
          <w:tcPr>
            <w:tcW w:w="7512" w:type="dxa"/>
            <w:vAlign w:val="center"/>
          </w:tcPr>
          <w:p w:rsidR="007E1E1E" w:rsidRDefault="007E1E1E" w:rsidP="00B50E5D">
            <w:pPr>
              <w:rPr>
                <w:rFonts w:asciiTheme="minorHAnsi" w:hAnsiTheme="minorHAnsi" w:cstheme="minorHAnsi"/>
                <w:color w:val="000000"/>
                <w:szCs w:val="18"/>
              </w:rPr>
            </w:pPr>
            <w:r w:rsidRPr="008104A5">
              <w:rPr>
                <w:rFonts w:asciiTheme="minorHAnsi" w:hAnsiTheme="minorHAnsi" w:cstheme="minorHAnsi"/>
                <w:color w:val="000000"/>
                <w:szCs w:val="18"/>
              </w:rPr>
              <w:t xml:space="preserve">Amendments to Australian Accounting Standards arising from </w:t>
            </w:r>
            <w:proofErr w:type="spellStart"/>
            <w:r w:rsidRPr="008104A5">
              <w:rPr>
                <w:rFonts w:asciiTheme="minorHAnsi" w:hAnsiTheme="minorHAnsi" w:cstheme="minorHAnsi"/>
                <w:color w:val="000000"/>
                <w:szCs w:val="18"/>
              </w:rPr>
              <w:t>AASB</w:t>
            </w:r>
            <w:proofErr w:type="spellEnd"/>
            <w:r w:rsidRPr="008104A5">
              <w:rPr>
                <w:rFonts w:asciiTheme="minorHAnsi" w:hAnsiTheme="minorHAnsi" w:cstheme="minorHAnsi"/>
                <w:color w:val="000000"/>
                <w:szCs w:val="18"/>
              </w:rPr>
              <w:t xml:space="preserve"> 9, Operative from 1 January 2015</w:t>
            </w:r>
          </w:p>
          <w:p w:rsidR="007E1E1E" w:rsidRPr="008104A5" w:rsidRDefault="007E1E1E" w:rsidP="00B50E5D">
            <w:pPr>
              <w:rPr>
                <w:rFonts w:asciiTheme="minorHAnsi" w:hAnsiTheme="minorHAnsi" w:cstheme="minorHAnsi"/>
                <w:color w:val="000000"/>
                <w:szCs w:val="18"/>
              </w:rPr>
            </w:pPr>
          </w:p>
        </w:tc>
      </w:tr>
      <w:tr w:rsidR="007E1E1E" w:rsidRPr="008104A5" w:rsidTr="00B50E5D">
        <w:trPr>
          <w:trHeight w:val="715"/>
        </w:trPr>
        <w:tc>
          <w:tcPr>
            <w:tcW w:w="1575" w:type="dxa"/>
            <w:noWrap/>
            <w:vAlign w:val="center"/>
          </w:tcPr>
          <w:p w:rsidR="007E1E1E" w:rsidRPr="008104A5" w:rsidRDefault="007E1E1E" w:rsidP="00B50E5D">
            <w:pPr>
              <w:rPr>
                <w:rFonts w:asciiTheme="minorHAnsi" w:hAnsiTheme="minorHAnsi" w:cstheme="minorHAnsi"/>
                <w:color w:val="000000"/>
                <w:szCs w:val="18"/>
              </w:rPr>
            </w:pPr>
            <w:proofErr w:type="spellStart"/>
            <w:r w:rsidRPr="008104A5">
              <w:rPr>
                <w:rFonts w:asciiTheme="minorHAnsi" w:hAnsiTheme="minorHAnsi" w:cstheme="minorHAnsi"/>
                <w:color w:val="000000"/>
                <w:szCs w:val="18"/>
              </w:rPr>
              <w:t>AASB</w:t>
            </w:r>
            <w:proofErr w:type="spellEnd"/>
            <w:r w:rsidRPr="008104A5">
              <w:rPr>
                <w:rFonts w:asciiTheme="minorHAnsi" w:hAnsiTheme="minorHAnsi" w:cstheme="minorHAnsi"/>
                <w:color w:val="000000"/>
                <w:szCs w:val="18"/>
              </w:rPr>
              <w:t xml:space="preserve"> 2012</w:t>
            </w:r>
            <w:r>
              <w:rPr>
                <w:rFonts w:asciiTheme="minorHAnsi" w:hAnsiTheme="minorHAnsi" w:cstheme="minorHAnsi"/>
                <w:color w:val="000000"/>
                <w:szCs w:val="18"/>
              </w:rPr>
              <w:t>–</w:t>
            </w:r>
            <w:r w:rsidRPr="008104A5">
              <w:rPr>
                <w:rFonts w:asciiTheme="minorHAnsi" w:hAnsiTheme="minorHAnsi" w:cstheme="minorHAnsi"/>
                <w:color w:val="000000"/>
                <w:szCs w:val="18"/>
              </w:rPr>
              <w:t>3</w:t>
            </w:r>
          </w:p>
          <w:p w:rsidR="007E1E1E" w:rsidRPr="008104A5" w:rsidRDefault="007E1E1E" w:rsidP="00B50E5D">
            <w:pPr>
              <w:rPr>
                <w:rFonts w:asciiTheme="minorHAnsi" w:hAnsiTheme="minorHAnsi" w:cstheme="minorHAnsi"/>
                <w:color w:val="000000"/>
                <w:szCs w:val="18"/>
              </w:rPr>
            </w:pPr>
          </w:p>
          <w:p w:rsidR="007E1E1E" w:rsidRPr="008104A5" w:rsidRDefault="007E1E1E" w:rsidP="00B50E5D">
            <w:pPr>
              <w:rPr>
                <w:rFonts w:asciiTheme="minorHAnsi" w:hAnsiTheme="minorHAnsi" w:cstheme="minorHAnsi"/>
                <w:color w:val="000000"/>
                <w:szCs w:val="18"/>
              </w:rPr>
            </w:pPr>
          </w:p>
        </w:tc>
        <w:tc>
          <w:tcPr>
            <w:tcW w:w="7512" w:type="dxa"/>
            <w:vAlign w:val="center"/>
          </w:tcPr>
          <w:p w:rsidR="007E1E1E" w:rsidRDefault="007E1E1E" w:rsidP="00B50E5D">
            <w:pPr>
              <w:rPr>
                <w:rFonts w:asciiTheme="minorHAnsi" w:hAnsiTheme="minorHAnsi" w:cstheme="minorHAnsi"/>
                <w:color w:val="000000"/>
                <w:szCs w:val="18"/>
              </w:rPr>
            </w:pPr>
            <w:r w:rsidRPr="008104A5">
              <w:rPr>
                <w:rFonts w:asciiTheme="minorHAnsi" w:hAnsiTheme="minorHAnsi" w:cstheme="minorHAnsi"/>
                <w:color w:val="000000"/>
                <w:szCs w:val="18"/>
              </w:rPr>
              <w:t>Amendments to Australian Accounting Standards – Offsetting Financial Assets and Financial Liabilities (</w:t>
            </w:r>
            <w:proofErr w:type="spellStart"/>
            <w:r w:rsidRPr="008104A5">
              <w:rPr>
                <w:rFonts w:asciiTheme="minorHAnsi" w:hAnsiTheme="minorHAnsi" w:cstheme="minorHAnsi"/>
                <w:color w:val="000000"/>
                <w:szCs w:val="18"/>
              </w:rPr>
              <w:t>AASB</w:t>
            </w:r>
            <w:proofErr w:type="spellEnd"/>
            <w:r w:rsidRPr="008104A5">
              <w:rPr>
                <w:rFonts w:asciiTheme="minorHAnsi" w:hAnsiTheme="minorHAnsi" w:cstheme="minorHAnsi"/>
                <w:color w:val="000000"/>
                <w:szCs w:val="18"/>
              </w:rPr>
              <w:t xml:space="preserve"> 132) </w:t>
            </w:r>
            <w:r>
              <w:rPr>
                <w:rFonts w:asciiTheme="minorHAnsi" w:hAnsiTheme="minorHAnsi" w:cstheme="minorHAnsi"/>
                <w:color w:val="000000"/>
                <w:szCs w:val="18"/>
              </w:rPr>
              <w:t>–</w:t>
            </w:r>
            <w:r w:rsidRPr="008104A5">
              <w:rPr>
                <w:rFonts w:asciiTheme="minorHAnsi" w:hAnsiTheme="minorHAnsi" w:cstheme="minorHAnsi"/>
                <w:color w:val="000000"/>
                <w:szCs w:val="18"/>
              </w:rPr>
              <w:t xml:space="preserve"> this is not expected to have an impact on the department’s statements</w:t>
            </w:r>
          </w:p>
          <w:p w:rsidR="007E1E1E" w:rsidRPr="008104A5" w:rsidRDefault="007E1E1E" w:rsidP="00B50E5D">
            <w:pPr>
              <w:rPr>
                <w:rFonts w:asciiTheme="minorHAnsi" w:hAnsiTheme="minorHAnsi" w:cstheme="minorHAnsi"/>
                <w:color w:val="000000"/>
                <w:szCs w:val="18"/>
              </w:rPr>
            </w:pPr>
          </w:p>
        </w:tc>
      </w:tr>
      <w:tr w:rsidR="007E1E1E" w:rsidRPr="008104A5" w:rsidTr="00B50E5D">
        <w:trPr>
          <w:trHeight w:val="410"/>
        </w:trPr>
        <w:tc>
          <w:tcPr>
            <w:tcW w:w="1575" w:type="dxa"/>
            <w:noWrap/>
            <w:vAlign w:val="center"/>
          </w:tcPr>
          <w:p w:rsidR="007E1E1E" w:rsidRPr="008104A5" w:rsidRDefault="007E1E1E" w:rsidP="00B50E5D">
            <w:pPr>
              <w:rPr>
                <w:rFonts w:asciiTheme="minorHAnsi" w:hAnsiTheme="minorHAnsi" w:cstheme="minorHAnsi"/>
                <w:color w:val="000000"/>
                <w:szCs w:val="18"/>
              </w:rPr>
            </w:pPr>
            <w:proofErr w:type="spellStart"/>
            <w:r w:rsidRPr="008104A5">
              <w:rPr>
                <w:rFonts w:asciiTheme="minorHAnsi" w:hAnsiTheme="minorHAnsi" w:cstheme="minorHAnsi"/>
                <w:color w:val="000000"/>
                <w:szCs w:val="18"/>
              </w:rPr>
              <w:t>AASB</w:t>
            </w:r>
            <w:proofErr w:type="spellEnd"/>
            <w:r w:rsidRPr="008104A5">
              <w:rPr>
                <w:rFonts w:asciiTheme="minorHAnsi" w:hAnsiTheme="minorHAnsi" w:cstheme="minorHAnsi"/>
                <w:color w:val="000000"/>
                <w:szCs w:val="18"/>
              </w:rPr>
              <w:t xml:space="preserve"> 2013</w:t>
            </w:r>
            <w:r>
              <w:rPr>
                <w:rFonts w:asciiTheme="minorHAnsi" w:hAnsiTheme="minorHAnsi" w:cstheme="minorHAnsi"/>
                <w:color w:val="000000"/>
                <w:szCs w:val="18"/>
              </w:rPr>
              <w:t>–</w:t>
            </w:r>
            <w:r w:rsidRPr="008104A5">
              <w:rPr>
                <w:rFonts w:asciiTheme="minorHAnsi" w:hAnsiTheme="minorHAnsi" w:cstheme="minorHAnsi"/>
                <w:color w:val="000000"/>
                <w:szCs w:val="18"/>
              </w:rPr>
              <w:t xml:space="preserve">3  </w:t>
            </w:r>
          </w:p>
          <w:p w:rsidR="007E1E1E" w:rsidRPr="008104A5" w:rsidRDefault="007E1E1E" w:rsidP="00B50E5D">
            <w:pPr>
              <w:rPr>
                <w:rFonts w:asciiTheme="minorHAnsi" w:hAnsiTheme="minorHAnsi" w:cstheme="minorHAnsi"/>
                <w:color w:val="000000"/>
                <w:szCs w:val="18"/>
              </w:rPr>
            </w:pPr>
          </w:p>
          <w:p w:rsidR="007E1E1E" w:rsidRPr="008104A5" w:rsidRDefault="007E1E1E" w:rsidP="00B50E5D">
            <w:pPr>
              <w:rPr>
                <w:rFonts w:asciiTheme="minorHAnsi" w:hAnsiTheme="minorHAnsi" w:cstheme="minorHAnsi"/>
                <w:color w:val="000000"/>
                <w:szCs w:val="18"/>
              </w:rPr>
            </w:pPr>
          </w:p>
        </w:tc>
        <w:tc>
          <w:tcPr>
            <w:tcW w:w="7512" w:type="dxa"/>
            <w:vAlign w:val="center"/>
          </w:tcPr>
          <w:p w:rsidR="007E1E1E" w:rsidRPr="008104A5" w:rsidRDefault="007E1E1E" w:rsidP="00B50E5D">
            <w:pPr>
              <w:rPr>
                <w:rFonts w:asciiTheme="minorHAnsi" w:hAnsiTheme="minorHAnsi" w:cstheme="minorHAnsi"/>
                <w:color w:val="000000"/>
                <w:szCs w:val="18"/>
              </w:rPr>
            </w:pPr>
            <w:proofErr w:type="gramStart"/>
            <w:r w:rsidRPr="008104A5">
              <w:rPr>
                <w:rFonts w:asciiTheme="minorHAnsi" w:hAnsiTheme="minorHAnsi" w:cstheme="minorHAnsi"/>
                <w:color w:val="000000"/>
                <w:szCs w:val="18"/>
              </w:rPr>
              <w:t xml:space="preserve">Amendments to </w:t>
            </w:r>
            <w:proofErr w:type="spellStart"/>
            <w:r w:rsidRPr="008104A5">
              <w:rPr>
                <w:rFonts w:asciiTheme="minorHAnsi" w:hAnsiTheme="minorHAnsi" w:cstheme="minorHAnsi"/>
                <w:color w:val="000000"/>
                <w:szCs w:val="18"/>
              </w:rPr>
              <w:t>AASB</w:t>
            </w:r>
            <w:proofErr w:type="spellEnd"/>
            <w:r w:rsidRPr="008104A5">
              <w:rPr>
                <w:rFonts w:asciiTheme="minorHAnsi" w:hAnsiTheme="minorHAnsi" w:cstheme="minorHAnsi"/>
                <w:color w:val="000000"/>
                <w:szCs w:val="18"/>
              </w:rPr>
              <w:t xml:space="preserve"> 136 –</w:t>
            </w:r>
            <w:r>
              <w:rPr>
                <w:rFonts w:asciiTheme="minorHAnsi" w:hAnsiTheme="minorHAnsi" w:cstheme="minorHAnsi"/>
                <w:color w:val="000000"/>
                <w:szCs w:val="18"/>
              </w:rPr>
              <w:t xml:space="preserve"> </w:t>
            </w:r>
            <w:r w:rsidRPr="008104A5">
              <w:rPr>
                <w:rFonts w:asciiTheme="minorHAnsi" w:hAnsiTheme="minorHAnsi" w:cstheme="minorHAnsi"/>
                <w:color w:val="000000"/>
                <w:szCs w:val="18"/>
              </w:rPr>
              <w:t>Recoverable amount disclosures for Non-Financial Assets – is</w:t>
            </w:r>
            <w:proofErr w:type="gramEnd"/>
            <w:r w:rsidRPr="008104A5">
              <w:rPr>
                <w:rFonts w:asciiTheme="minorHAnsi" w:hAnsiTheme="minorHAnsi" w:cstheme="minorHAnsi"/>
                <w:color w:val="000000"/>
                <w:szCs w:val="18"/>
              </w:rPr>
              <w:t xml:space="preserve"> not expected to have an impact on the department’s statements</w:t>
            </w:r>
            <w:r>
              <w:rPr>
                <w:rFonts w:asciiTheme="minorHAnsi" w:hAnsiTheme="minorHAnsi" w:cstheme="minorHAnsi"/>
                <w:color w:val="000000"/>
                <w:szCs w:val="18"/>
              </w:rPr>
              <w:t>.</w:t>
            </w:r>
          </w:p>
          <w:p w:rsidR="007E1E1E" w:rsidRPr="008104A5" w:rsidRDefault="007E1E1E" w:rsidP="00B50E5D">
            <w:pPr>
              <w:rPr>
                <w:rFonts w:asciiTheme="minorHAnsi" w:hAnsiTheme="minorHAnsi" w:cstheme="minorHAnsi"/>
                <w:color w:val="000000"/>
                <w:szCs w:val="18"/>
              </w:rPr>
            </w:pPr>
          </w:p>
        </w:tc>
      </w:tr>
    </w:tbl>
    <w:p w:rsidR="007E1E1E" w:rsidRDefault="007E1E1E" w:rsidP="007E1E1E">
      <w:pPr>
        <w:pStyle w:val="SAPHeading-Level2"/>
        <w:numPr>
          <w:ilvl w:val="1"/>
          <w:numId w:val="15"/>
        </w:numPr>
      </w:pPr>
      <w:r>
        <w:t>Revenue</w:t>
      </w:r>
    </w:p>
    <w:p w:rsidR="007E1E1E" w:rsidRDefault="007E1E1E" w:rsidP="007E1E1E">
      <w:pPr>
        <w:pStyle w:val="AdminBlankGreyShade"/>
      </w:pPr>
      <w:r>
        <w:t>Revenue from the sale of goods is recognised when:</w:t>
      </w:r>
    </w:p>
    <w:p w:rsidR="007E1E1E" w:rsidRPr="008104A5" w:rsidRDefault="007E1E1E" w:rsidP="007E1E1E">
      <w:pPr>
        <w:pStyle w:val="BulletKPMG"/>
        <w:numPr>
          <w:ilvl w:val="0"/>
          <w:numId w:val="16"/>
        </w:numPr>
        <w:rPr>
          <w:rFonts w:asciiTheme="minorHAnsi" w:hAnsiTheme="minorHAnsi" w:cstheme="minorHAnsi"/>
          <w:sz w:val="18"/>
          <w:szCs w:val="18"/>
          <w:lang w:val="en-AU"/>
        </w:rPr>
      </w:pPr>
      <w:r w:rsidRPr="008104A5">
        <w:rPr>
          <w:rFonts w:asciiTheme="minorHAnsi" w:hAnsiTheme="minorHAnsi" w:cstheme="minorHAnsi"/>
          <w:sz w:val="18"/>
          <w:szCs w:val="18"/>
          <w:lang w:val="en-AU"/>
        </w:rPr>
        <w:t>the risks and rewards of ownership have been transferred to the buyer</w:t>
      </w:r>
    </w:p>
    <w:p w:rsidR="007E1E1E" w:rsidRPr="008104A5" w:rsidRDefault="007E1E1E" w:rsidP="007E1E1E">
      <w:pPr>
        <w:pStyle w:val="BulletKPMG"/>
        <w:numPr>
          <w:ilvl w:val="0"/>
          <w:numId w:val="16"/>
        </w:numPr>
        <w:rPr>
          <w:rFonts w:asciiTheme="minorHAnsi" w:hAnsiTheme="minorHAnsi" w:cstheme="minorHAnsi"/>
          <w:sz w:val="18"/>
          <w:szCs w:val="18"/>
          <w:lang w:val="en-AU"/>
        </w:rPr>
      </w:pPr>
      <w:r w:rsidRPr="008104A5">
        <w:rPr>
          <w:rFonts w:asciiTheme="minorHAnsi" w:hAnsiTheme="minorHAnsi" w:cstheme="minorHAnsi"/>
          <w:sz w:val="18"/>
          <w:szCs w:val="18"/>
          <w:lang w:val="en-AU"/>
        </w:rPr>
        <w:t>the department retains no managerial involvement or effective control over the goods</w:t>
      </w:r>
    </w:p>
    <w:p w:rsidR="007E1E1E" w:rsidRPr="008104A5" w:rsidRDefault="007E1E1E" w:rsidP="007E1E1E">
      <w:pPr>
        <w:pStyle w:val="BulletKPMG"/>
        <w:numPr>
          <w:ilvl w:val="0"/>
          <w:numId w:val="16"/>
        </w:numPr>
        <w:rPr>
          <w:rFonts w:asciiTheme="minorHAnsi" w:hAnsiTheme="minorHAnsi" w:cstheme="minorHAnsi"/>
          <w:sz w:val="18"/>
          <w:szCs w:val="18"/>
          <w:lang w:val="en-AU"/>
        </w:rPr>
      </w:pPr>
      <w:r w:rsidRPr="008104A5">
        <w:rPr>
          <w:rFonts w:asciiTheme="minorHAnsi" w:hAnsiTheme="minorHAnsi" w:cstheme="minorHAnsi"/>
          <w:sz w:val="18"/>
          <w:szCs w:val="18"/>
          <w:lang w:val="en-AU"/>
        </w:rPr>
        <w:t>the revenue and transaction costs incurred can be reliably measured</w:t>
      </w:r>
    </w:p>
    <w:p w:rsidR="007E1E1E" w:rsidRPr="008104A5" w:rsidRDefault="007E1E1E" w:rsidP="007E1E1E">
      <w:pPr>
        <w:pStyle w:val="BulletKPMG"/>
        <w:numPr>
          <w:ilvl w:val="0"/>
          <w:numId w:val="16"/>
        </w:numPr>
        <w:rPr>
          <w:rFonts w:asciiTheme="minorHAnsi" w:hAnsiTheme="minorHAnsi" w:cstheme="minorHAnsi"/>
          <w:sz w:val="18"/>
          <w:szCs w:val="18"/>
          <w:lang w:val="en-AU"/>
        </w:rPr>
      </w:pPr>
      <w:proofErr w:type="gramStart"/>
      <w:r w:rsidRPr="008104A5">
        <w:rPr>
          <w:rFonts w:asciiTheme="minorHAnsi" w:hAnsiTheme="minorHAnsi" w:cstheme="minorHAnsi"/>
          <w:sz w:val="18"/>
          <w:szCs w:val="18"/>
          <w:lang w:val="en-AU"/>
        </w:rPr>
        <w:t>it</w:t>
      </w:r>
      <w:proofErr w:type="gramEnd"/>
      <w:r w:rsidRPr="008104A5">
        <w:rPr>
          <w:rFonts w:asciiTheme="minorHAnsi" w:hAnsiTheme="minorHAnsi" w:cstheme="minorHAnsi"/>
          <w:sz w:val="18"/>
          <w:szCs w:val="18"/>
          <w:lang w:val="en-AU"/>
        </w:rPr>
        <w:t xml:space="preserve"> is probable that the economic benefits associated with the transaction will flow to the department.</w:t>
      </w:r>
    </w:p>
    <w:p w:rsidR="007E1E1E" w:rsidRDefault="007E1E1E" w:rsidP="007E1E1E">
      <w:pPr>
        <w:pStyle w:val="AdminBlankGreyShade"/>
      </w:pPr>
      <w:r>
        <w:t>Revenue from rendering of services is recognised by reference to the stage of completion of contracts at the reporting date. The revenue is recognised when:</w:t>
      </w:r>
    </w:p>
    <w:p w:rsidR="007E1E1E" w:rsidRPr="008104A5" w:rsidRDefault="007E1E1E" w:rsidP="007E1E1E">
      <w:pPr>
        <w:pStyle w:val="BulletKPMG"/>
        <w:numPr>
          <w:ilvl w:val="0"/>
          <w:numId w:val="16"/>
        </w:numPr>
        <w:rPr>
          <w:rFonts w:asciiTheme="minorHAnsi" w:hAnsiTheme="minorHAnsi" w:cstheme="minorHAnsi"/>
          <w:sz w:val="18"/>
          <w:szCs w:val="18"/>
          <w:lang w:val="en-AU"/>
        </w:rPr>
      </w:pPr>
      <w:r w:rsidRPr="008104A5">
        <w:rPr>
          <w:rFonts w:asciiTheme="minorHAnsi" w:hAnsiTheme="minorHAnsi" w:cstheme="minorHAnsi"/>
          <w:sz w:val="18"/>
          <w:szCs w:val="18"/>
          <w:lang w:val="en-AU"/>
        </w:rPr>
        <w:t>the amount of revenue, stage of completion and transaction costs incurred can be reliably measured</w:t>
      </w:r>
    </w:p>
    <w:p w:rsidR="007E1E1E" w:rsidRPr="008104A5" w:rsidRDefault="007E1E1E" w:rsidP="007E1E1E">
      <w:pPr>
        <w:pStyle w:val="BulletKPMG"/>
        <w:numPr>
          <w:ilvl w:val="0"/>
          <w:numId w:val="16"/>
        </w:numPr>
        <w:rPr>
          <w:rFonts w:asciiTheme="minorHAnsi" w:hAnsiTheme="minorHAnsi" w:cstheme="minorHAnsi"/>
          <w:sz w:val="18"/>
          <w:szCs w:val="18"/>
          <w:lang w:val="en-AU"/>
        </w:rPr>
      </w:pPr>
      <w:proofErr w:type="gramStart"/>
      <w:r w:rsidRPr="008104A5">
        <w:rPr>
          <w:rFonts w:asciiTheme="minorHAnsi" w:hAnsiTheme="minorHAnsi" w:cstheme="minorHAnsi"/>
          <w:sz w:val="18"/>
          <w:szCs w:val="18"/>
          <w:lang w:val="en-AU"/>
        </w:rPr>
        <w:t>the</w:t>
      </w:r>
      <w:proofErr w:type="gramEnd"/>
      <w:r w:rsidRPr="008104A5">
        <w:rPr>
          <w:rFonts w:asciiTheme="minorHAnsi" w:hAnsiTheme="minorHAnsi" w:cstheme="minorHAnsi"/>
          <w:sz w:val="18"/>
          <w:szCs w:val="18"/>
          <w:lang w:val="en-AU"/>
        </w:rPr>
        <w:t xml:space="preserve"> probable economic benefits associated with the transaction will flow to the department.</w:t>
      </w:r>
    </w:p>
    <w:p w:rsidR="007E1E1E" w:rsidRPr="00075D25" w:rsidRDefault="007E1E1E" w:rsidP="007E1E1E">
      <w:pPr>
        <w:pStyle w:val="NotesText0"/>
      </w:pPr>
      <w:r w:rsidRPr="00075D25">
        <w:t>The stage of completion of contracts at the reporting date is determined by reference to the proportion that costs incurred to date bear to the estimated total costs of the transaction.</w:t>
      </w:r>
    </w:p>
    <w:p w:rsidR="007E1E1E" w:rsidRPr="00075D25" w:rsidRDefault="007E1E1E" w:rsidP="007E1E1E">
      <w:pPr>
        <w:pStyle w:val="NotesText0"/>
      </w:pPr>
      <w:r w:rsidRPr="00075D25">
        <w:t>Receivables for goods and services, which have 30 day terms, are recognised at the nominal amounts due less any</w:t>
      </w:r>
      <w:r>
        <w:t xml:space="preserve"> impairment allowance account. </w:t>
      </w:r>
      <w:r w:rsidRPr="00075D25">
        <w:t>Collectability of debts is reviewed at end of</w:t>
      </w:r>
      <w:r>
        <w:t xml:space="preserve"> the</w:t>
      </w:r>
      <w:r w:rsidRPr="00075D25">
        <w:t xml:space="preserve"> reporting period. </w:t>
      </w:r>
      <w:r>
        <w:t xml:space="preserve"> </w:t>
      </w:r>
      <w:r w:rsidRPr="00075D25">
        <w:t>Allowances are made when collectability of the debt is no longer probable.</w:t>
      </w:r>
    </w:p>
    <w:p w:rsidR="007E1E1E" w:rsidRPr="008104A5" w:rsidRDefault="007E1E1E" w:rsidP="007E1E1E">
      <w:pPr>
        <w:pStyle w:val="NotesText0"/>
        <w:rPr>
          <w:i/>
        </w:rPr>
      </w:pPr>
      <w:r w:rsidRPr="008104A5">
        <w:rPr>
          <w:i/>
        </w:rPr>
        <w:t>Revenue from Government</w:t>
      </w:r>
    </w:p>
    <w:p w:rsidR="007E1E1E" w:rsidRPr="00075D25" w:rsidRDefault="007E1E1E" w:rsidP="007E1E1E">
      <w:pPr>
        <w:pStyle w:val="NotesText0"/>
      </w:pPr>
      <w:r w:rsidRPr="00075D25">
        <w:t>Amounts appropriated for departmental appropriations for the year (adjusted for any formal additions and reductions) are recognised as Revenue from Government when the department gains control of the appropriation, except for certain amounts that relate to activities that are reciprocal in nature, in which case revenue is recognised only when it has been earned.</w:t>
      </w:r>
    </w:p>
    <w:p w:rsidR="007E1E1E" w:rsidRPr="00075D25" w:rsidRDefault="007E1E1E" w:rsidP="007E1E1E">
      <w:pPr>
        <w:pStyle w:val="NotesText0"/>
      </w:pPr>
      <w:r w:rsidRPr="00075D25">
        <w:t>Appropriations receivable are recognised at their nominal amounts.</w:t>
      </w:r>
    </w:p>
    <w:p w:rsidR="007E1E1E" w:rsidRDefault="007E1E1E" w:rsidP="007E1E1E">
      <w:pPr>
        <w:pStyle w:val="SAPHeading-Level2"/>
        <w:numPr>
          <w:ilvl w:val="1"/>
          <w:numId w:val="15"/>
        </w:numPr>
      </w:pPr>
      <w:r>
        <w:t>Gains</w:t>
      </w:r>
    </w:p>
    <w:p w:rsidR="007E1E1E" w:rsidRPr="00BC79B6" w:rsidRDefault="007E1E1E" w:rsidP="007E1E1E">
      <w:pPr>
        <w:pStyle w:val="NotesText0"/>
        <w:rPr>
          <w:i/>
        </w:rPr>
      </w:pPr>
      <w:r w:rsidRPr="00BC79B6">
        <w:rPr>
          <w:i/>
        </w:rPr>
        <w:t>Resources received free of charge</w:t>
      </w:r>
    </w:p>
    <w:p w:rsidR="007E1E1E" w:rsidRPr="00075D25" w:rsidRDefault="007E1E1E" w:rsidP="007E1E1E">
      <w:pPr>
        <w:pStyle w:val="NotesText0"/>
      </w:pPr>
      <w:r w:rsidRPr="00075D25">
        <w:t>Resources received free of charge are recognised as gains when, and only when, a fair value can be reliably determined and the services would have been purchased if they had not been donated. Use of those resources is recognised as an expense.</w:t>
      </w:r>
    </w:p>
    <w:p w:rsidR="007E1E1E" w:rsidRPr="00075D25" w:rsidRDefault="007E1E1E" w:rsidP="007E1E1E">
      <w:pPr>
        <w:pStyle w:val="NotesText0"/>
      </w:pPr>
      <w:r w:rsidRPr="00075D25">
        <w:t>Resources received free of charge are recorded as either revenue or gains depending on their nature.</w:t>
      </w:r>
    </w:p>
    <w:p w:rsidR="007E1E1E" w:rsidRPr="00075D25" w:rsidRDefault="007E1E1E" w:rsidP="007E1E1E">
      <w:pPr>
        <w:pStyle w:val="NotesText0"/>
      </w:pPr>
      <w:r w:rsidRPr="00075D25">
        <w:t>Contributions of assets at no cost of acquisition or for nominal consideration are recognised as gains at their fair value when the asset qualifies for recognition, unless received from another Government entity as a consequence of a restructuring of administrative</w:t>
      </w:r>
      <w:r>
        <w:t xml:space="preserve"> arrangements (Refer to Note 1.7</w:t>
      </w:r>
      <w:r w:rsidRPr="00075D25">
        <w:t>).</w:t>
      </w:r>
    </w:p>
    <w:p w:rsidR="007E1E1E" w:rsidRPr="00BC79B6" w:rsidRDefault="007E1E1E" w:rsidP="007E1E1E">
      <w:pPr>
        <w:pStyle w:val="NotesText0"/>
        <w:rPr>
          <w:i/>
        </w:rPr>
      </w:pPr>
      <w:r w:rsidRPr="00BC79B6">
        <w:rPr>
          <w:i/>
        </w:rPr>
        <w:t>Sale of assets</w:t>
      </w:r>
    </w:p>
    <w:p w:rsidR="007E1E1E" w:rsidRPr="00075D25" w:rsidRDefault="007E1E1E" w:rsidP="007E1E1E">
      <w:pPr>
        <w:pStyle w:val="NotesText0"/>
      </w:pPr>
      <w:r w:rsidRPr="00075D25">
        <w:t>Gains from disposal of assets are recognised when control of the asset has passed to the buyer.</w:t>
      </w:r>
    </w:p>
    <w:p w:rsidR="007E1E1E" w:rsidRDefault="007E1E1E" w:rsidP="007E1E1E">
      <w:pPr>
        <w:spacing w:line="240" w:lineRule="auto"/>
        <w:rPr>
          <w:rFonts w:asciiTheme="minorHAnsi" w:hAnsiTheme="minorHAnsi" w:cstheme="minorHAnsi"/>
          <w:b/>
          <w:sz w:val="20"/>
        </w:rPr>
      </w:pPr>
      <w:r>
        <w:br w:type="page"/>
      </w:r>
    </w:p>
    <w:p w:rsidR="007E1E1E" w:rsidRDefault="007E1E1E" w:rsidP="007E1E1E">
      <w:pPr>
        <w:pStyle w:val="SAPHeading-Level2"/>
        <w:numPr>
          <w:ilvl w:val="1"/>
          <w:numId w:val="15"/>
        </w:numPr>
      </w:pPr>
      <w:r>
        <w:lastRenderedPageBreak/>
        <w:t>Transactions with the Government as Owner</w:t>
      </w:r>
    </w:p>
    <w:p w:rsidR="007E1E1E" w:rsidRPr="00BC79B6" w:rsidRDefault="007E1E1E" w:rsidP="007E1E1E">
      <w:pPr>
        <w:pStyle w:val="NotesText0"/>
        <w:rPr>
          <w:i/>
        </w:rPr>
      </w:pPr>
      <w:r w:rsidRPr="00BC79B6">
        <w:rPr>
          <w:i/>
        </w:rPr>
        <w:t>Equity injections</w:t>
      </w:r>
    </w:p>
    <w:p w:rsidR="007E1E1E" w:rsidRPr="00075D25" w:rsidRDefault="007E1E1E" w:rsidP="007E1E1E">
      <w:pPr>
        <w:pStyle w:val="NotesText0"/>
      </w:pPr>
      <w:r w:rsidRPr="00075D25">
        <w:t>Amounts appropriated which are designated as ‘equity injections’ for a year (less any formal reductions) and Departmental Capital Budgets (</w:t>
      </w:r>
      <w:proofErr w:type="spellStart"/>
      <w:r w:rsidRPr="00075D25">
        <w:t>DCBs</w:t>
      </w:r>
      <w:proofErr w:type="spellEnd"/>
      <w:r w:rsidRPr="00075D25">
        <w:t>) are recognised directly in contributed equity in that year.</w:t>
      </w:r>
    </w:p>
    <w:p w:rsidR="007E1E1E" w:rsidRPr="00BC79B6" w:rsidRDefault="007E1E1E" w:rsidP="007E1E1E">
      <w:pPr>
        <w:pStyle w:val="NotesText0"/>
        <w:rPr>
          <w:i/>
        </w:rPr>
      </w:pPr>
      <w:r w:rsidRPr="00BC79B6">
        <w:rPr>
          <w:i/>
        </w:rPr>
        <w:t>Restructuring of administrative arrangements</w:t>
      </w:r>
    </w:p>
    <w:p w:rsidR="007E1E1E" w:rsidRPr="00075D25" w:rsidRDefault="007E1E1E" w:rsidP="007E1E1E">
      <w:pPr>
        <w:pStyle w:val="NotesText0"/>
      </w:pPr>
      <w:r>
        <w:t xml:space="preserve">Net assets received from, or relinquished to, </w:t>
      </w:r>
      <w:r w:rsidRPr="00075D25">
        <w:t>another Australian Government entity under a restructuring of administrative arrangements are adjusted at their book value directly against contributed equity.</w:t>
      </w:r>
    </w:p>
    <w:p w:rsidR="007E1E1E" w:rsidRPr="00BC79B6" w:rsidRDefault="007E1E1E" w:rsidP="007E1E1E">
      <w:pPr>
        <w:pStyle w:val="NotesText0"/>
        <w:rPr>
          <w:i/>
        </w:rPr>
      </w:pPr>
      <w:r w:rsidRPr="00BC79B6">
        <w:rPr>
          <w:i/>
        </w:rPr>
        <w:t>Other distributions to owners</w:t>
      </w:r>
    </w:p>
    <w:p w:rsidR="007E1E1E" w:rsidRPr="00075D25" w:rsidRDefault="007E1E1E" w:rsidP="007E1E1E">
      <w:pPr>
        <w:pStyle w:val="NotesText0"/>
      </w:pPr>
      <w:r w:rsidRPr="00075D25">
        <w:t xml:space="preserve">The </w:t>
      </w:r>
      <w:proofErr w:type="spellStart"/>
      <w:r w:rsidRPr="00075D25">
        <w:t>FMOs</w:t>
      </w:r>
      <w:proofErr w:type="spellEnd"/>
      <w:r w:rsidRPr="00075D25">
        <w:t xml:space="preserve"> require that distributions to owners be debited to </w:t>
      </w:r>
      <w:proofErr w:type="gramStart"/>
      <w:r w:rsidRPr="00075D25">
        <w:t>contributed</w:t>
      </w:r>
      <w:proofErr w:type="gramEnd"/>
      <w:r w:rsidRPr="00075D25">
        <w:t xml:space="preserve"> equity unless it is in the nature of a dividend.</w:t>
      </w:r>
    </w:p>
    <w:p w:rsidR="007E1E1E" w:rsidRDefault="007E1E1E" w:rsidP="007E1E1E">
      <w:pPr>
        <w:pStyle w:val="SAPHeading-Level2"/>
        <w:numPr>
          <w:ilvl w:val="1"/>
          <w:numId w:val="15"/>
        </w:numPr>
      </w:pPr>
      <w:r>
        <w:t>Employee Benefits</w:t>
      </w:r>
    </w:p>
    <w:p w:rsidR="007E1E1E" w:rsidRPr="00075D25" w:rsidRDefault="007E1E1E" w:rsidP="007E1E1E">
      <w:pPr>
        <w:pStyle w:val="NotesText0"/>
      </w:pPr>
      <w:r w:rsidRPr="00075D25">
        <w:t xml:space="preserve">Liabilities for ‘short-term employee benefits’ (as defined in </w:t>
      </w:r>
      <w:proofErr w:type="spellStart"/>
      <w:r w:rsidRPr="00BC79B6">
        <w:rPr>
          <w:i/>
        </w:rPr>
        <w:t>AASB</w:t>
      </w:r>
      <w:proofErr w:type="spellEnd"/>
      <w:r w:rsidRPr="00BC79B6">
        <w:rPr>
          <w:i/>
        </w:rPr>
        <w:t xml:space="preserve"> 119</w:t>
      </w:r>
      <w:r w:rsidRPr="00BC79B6">
        <w:rPr>
          <w:bCs/>
          <w:i/>
        </w:rPr>
        <w:t xml:space="preserve"> </w:t>
      </w:r>
      <w:r w:rsidRPr="00BC79B6">
        <w:rPr>
          <w:i/>
        </w:rPr>
        <w:t>Employee Benefits</w:t>
      </w:r>
      <w:r w:rsidRPr="00075D25">
        <w:t xml:space="preserve">) and termination benefits due within </w:t>
      </w:r>
      <w:r>
        <w:t>12</w:t>
      </w:r>
      <w:r w:rsidRPr="00075D25">
        <w:t xml:space="preserve"> months of the end of reporting period are measured at their nominal amounts.</w:t>
      </w:r>
    </w:p>
    <w:p w:rsidR="007E1E1E" w:rsidRPr="00075D25" w:rsidRDefault="007E1E1E" w:rsidP="007E1E1E">
      <w:pPr>
        <w:pStyle w:val="NotesText0"/>
      </w:pPr>
      <w:r w:rsidRPr="00075D25">
        <w:t>The nominal amount is calculated with regard to the rates expected to be paid on settlement of the liability.</w:t>
      </w:r>
    </w:p>
    <w:p w:rsidR="007E1E1E" w:rsidRPr="00075D25" w:rsidRDefault="007E1E1E" w:rsidP="007E1E1E">
      <w:pPr>
        <w:pStyle w:val="NotesText0"/>
      </w:pPr>
      <w:r w:rsidRPr="00075D25">
        <w:t>Other long-term employee benefits are measured at net total of the present value of the defined benefit obligation at the end of the reporting period minus the fair value at the end of the reporting period of plan assets (if any) out of which the obligations are to be settled directly.</w:t>
      </w:r>
    </w:p>
    <w:p w:rsidR="007E1E1E" w:rsidRPr="00BC79B6" w:rsidRDefault="007E1E1E" w:rsidP="007E1E1E">
      <w:pPr>
        <w:pStyle w:val="NotesText0"/>
        <w:rPr>
          <w:i/>
        </w:rPr>
      </w:pPr>
      <w:r w:rsidRPr="00BC79B6">
        <w:rPr>
          <w:i/>
        </w:rPr>
        <w:t>Leave</w:t>
      </w:r>
    </w:p>
    <w:p w:rsidR="007E1E1E" w:rsidRPr="00075D25" w:rsidRDefault="007E1E1E" w:rsidP="007E1E1E">
      <w:pPr>
        <w:pStyle w:val="NotesText0"/>
      </w:pPr>
      <w:r w:rsidRPr="00075D25">
        <w:t>The liability for employee benefits includes provision for annual</w:t>
      </w:r>
      <w:r>
        <w:t xml:space="preserve"> leave and long service leave. </w:t>
      </w:r>
      <w:r w:rsidRPr="00075D25">
        <w:t xml:space="preserve">No provision has been made for sick leave as all sick </w:t>
      </w:r>
      <w:proofErr w:type="gramStart"/>
      <w:r w:rsidRPr="00075D25">
        <w:t>leave</w:t>
      </w:r>
      <w:proofErr w:type="gramEnd"/>
      <w:r w:rsidRPr="00075D25">
        <w:t xml:space="preserve"> is non-vesting and the average sick leave taken in future years by employees of the department is estimated to be less than the annual entitlement for sick leave.</w:t>
      </w:r>
    </w:p>
    <w:p w:rsidR="007E1E1E" w:rsidRPr="00075D25" w:rsidRDefault="007E1E1E" w:rsidP="007E1E1E">
      <w:pPr>
        <w:pStyle w:val="NotesText0"/>
      </w:pPr>
      <w:r w:rsidRPr="00075D25">
        <w:t>The leave liabilities are calculated on the basis of employees’ remuneration at the estimated salary rates that will be applied at the time the leave is taken, including the department’s employer superannuation contribution rates, to the extent that the leave is likely to be taken during service rather than paid out on termination.</w:t>
      </w:r>
    </w:p>
    <w:p w:rsidR="007E1E1E" w:rsidRPr="00075D25" w:rsidRDefault="007E1E1E" w:rsidP="007E1E1E">
      <w:pPr>
        <w:pStyle w:val="NotesText0"/>
      </w:pPr>
      <w:r w:rsidRPr="00075D25">
        <w:t xml:space="preserve">The liability for long service leave has been determined by reference to work conducted by an </w:t>
      </w:r>
      <w:r>
        <w:t>actuary as at</w:t>
      </w:r>
      <w:r w:rsidRPr="00075D25">
        <w:t xml:space="preserve"> 30 June 2014</w:t>
      </w:r>
      <w:r>
        <w:t xml:space="preserve">. </w:t>
      </w:r>
      <w:r w:rsidRPr="00075D25">
        <w:t>The estimate of the present value of the liability takes into account attrition rates and pay increases through promotion and inflation.</w:t>
      </w:r>
    </w:p>
    <w:p w:rsidR="007E1E1E" w:rsidRPr="00BC79B6" w:rsidRDefault="007E1E1E" w:rsidP="007E1E1E">
      <w:pPr>
        <w:pStyle w:val="NotesText0"/>
        <w:rPr>
          <w:i/>
        </w:rPr>
      </w:pPr>
      <w:r w:rsidRPr="00BC79B6">
        <w:rPr>
          <w:i/>
        </w:rPr>
        <w:t>Separation and redundancy</w:t>
      </w:r>
    </w:p>
    <w:p w:rsidR="007E1E1E" w:rsidRPr="00075D25" w:rsidRDefault="007E1E1E" w:rsidP="007E1E1E">
      <w:pPr>
        <w:pStyle w:val="NotesText0"/>
      </w:pPr>
      <w:r w:rsidRPr="00075D25">
        <w:t>Provision is made for separation and redundancy benefit payments.</w:t>
      </w:r>
      <w:r>
        <w:t xml:space="preserve"> </w:t>
      </w:r>
      <w:r w:rsidRPr="00075D25">
        <w:t>The department recognises a provision for termination when it has developed a detailed formal plan for the terminations and has informed those employees affected that it will carry out the terminations.</w:t>
      </w:r>
    </w:p>
    <w:p w:rsidR="007E1E1E" w:rsidRPr="00BC79B6" w:rsidRDefault="007E1E1E" w:rsidP="007E1E1E">
      <w:pPr>
        <w:pStyle w:val="NotesText0"/>
        <w:rPr>
          <w:i/>
        </w:rPr>
      </w:pPr>
      <w:r w:rsidRPr="00BC79B6">
        <w:rPr>
          <w:i/>
        </w:rPr>
        <w:t>Superannuation</w:t>
      </w:r>
    </w:p>
    <w:p w:rsidR="007E1E1E" w:rsidRPr="00075D25" w:rsidRDefault="007E1E1E" w:rsidP="007E1E1E">
      <w:pPr>
        <w:pStyle w:val="NotesText0"/>
      </w:pPr>
      <w:r w:rsidRPr="00075D25">
        <w:t>Staff of the department are members of the Commonwealth Superannuation Scheme (</w:t>
      </w:r>
      <w:proofErr w:type="spellStart"/>
      <w:r w:rsidRPr="00075D25">
        <w:t>CSS</w:t>
      </w:r>
      <w:proofErr w:type="spellEnd"/>
      <w:r w:rsidRPr="00075D25">
        <w:t>), the Public Sector Superannuation Scheme (PSS), the PSS accumulation plan (</w:t>
      </w:r>
      <w:proofErr w:type="spellStart"/>
      <w:r w:rsidRPr="00075D25">
        <w:t>PSSap</w:t>
      </w:r>
      <w:proofErr w:type="spellEnd"/>
      <w:r w:rsidRPr="00075D25">
        <w:t>) or the Australian Government Employees Superannuation Trust (</w:t>
      </w:r>
      <w:proofErr w:type="spellStart"/>
      <w:r w:rsidRPr="00075D25">
        <w:t>AGEST</w:t>
      </w:r>
      <w:proofErr w:type="spellEnd"/>
      <w:r w:rsidRPr="00075D25">
        <w:t>).</w:t>
      </w:r>
    </w:p>
    <w:p w:rsidR="007E1E1E" w:rsidRPr="00075D25" w:rsidRDefault="007E1E1E" w:rsidP="007E1E1E">
      <w:pPr>
        <w:pStyle w:val="NotesText0"/>
      </w:pPr>
      <w:r w:rsidRPr="00075D25">
        <w:t xml:space="preserve">The </w:t>
      </w:r>
      <w:proofErr w:type="spellStart"/>
      <w:r w:rsidRPr="00075D25">
        <w:t>CSS</w:t>
      </w:r>
      <w:proofErr w:type="spellEnd"/>
      <w:r w:rsidRPr="00075D25">
        <w:t xml:space="preserve">, PSS and </w:t>
      </w:r>
      <w:proofErr w:type="spellStart"/>
      <w:r w:rsidRPr="00075D25">
        <w:t>AGEST</w:t>
      </w:r>
      <w:proofErr w:type="spellEnd"/>
      <w:r w:rsidRPr="00075D25">
        <w:t xml:space="preserve"> are defined benefit schemes </w:t>
      </w:r>
      <w:r>
        <w:t xml:space="preserve">for the Australian Government. </w:t>
      </w:r>
      <w:r w:rsidRPr="00075D25">
        <w:t xml:space="preserve">The </w:t>
      </w:r>
      <w:proofErr w:type="spellStart"/>
      <w:r w:rsidRPr="00075D25">
        <w:t>PSSap</w:t>
      </w:r>
      <w:proofErr w:type="spellEnd"/>
      <w:r w:rsidRPr="00075D25">
        <w:t xml:space="preserve"> is a defined contribution scheme.</w:t>
      </w:r>
    </w:p>
    <w:p w:rsidR="007E1E1E" w:rsidRPr="00075D25" w:rsidRDefault="007E1E1E" w:rsidP="007E1E1E">
      <w:pPr>
        <w:pStyle w:val="NotesText0"/>
      </w:pPr>
      <w:r w:rsidRPr="00075D25">
        <w:t>The liability for defined benefits is recognised in the financial statements of the Australian Government and is settled by the Australian Government in due course.</w:t>
      </w:r>
      <w:r>
        <w:t xml:space="preserve"> </w:t>
      </w:r>
      <w:r w:rsidRPr="00075D25">
        <w:t>This liability is reported by the Department of Finance’s administered schedules and notes.</w:t>
      </w:r>
    </w:p>
    <w:p w:rsidR="007E1E1E" w:rsidRPr="00075D25" w:rsidRDefault="007E1E1E" w:rsidP="007E1E1E">
      <w:pPr>
        <w:pStyle w:val="NotesText0"/>
      </w:pPr>
      <w:r w:rsidRPr="00075D25">
        <w:t>The department makes employer contributions to the employee’s superannuation scheme at rates determined by an actuary to be sufficient to meet the c</w:t>
      </w:r>
      <w:r>
        <w:t xml:space="preserve">urrent cost to the Government. </w:t>
      </w:r>
      <w:r w:rsidRPr="00075D25">
        <w:t>The department accounts for the contributions as if they were contributions to defined contribution plans.</w:t>
      </w:r>
    </w:p>
    <w:p w:rsidR="007E1E1E" w:rsidRPr="00075D25" w:rsidRDefault="007E1E1E" w:rsidP="007E1E1E">
      <w:pPr>
        <w:pStyle w:val="NotesText0"/>
      </w:pPr>
      <w:r w:rsidRPr="00075D25">
        <w:t>The liability for superannuation recognised as at 30 June represents outstanding contributions for the final fortnight of the year.</w:t>
      </w:r>
    </w:p>
    <w:p w:rsidR="007E1E1E" w:rsidRDefault="007E1E1E" w:rsidP="007E1E1E">
      <w:pPr>
        <w:pStyle w:val="SAPHeading-Level2"/>
        <w:numPr>
          <w:ilvl w:val="1"/>
          <w:numId w:val="15"/>
        </w:numPr>
      </w:pPr>
      <w:r>
        <w:t>Leases</w:t>
      </w:r>
    </w:p>
    <w:p w:rsidR="007E1E1E" w:rsidRPr="00075D25" w:rsidRDefault="007E1E1E" w:rsidP="007E1E1E">
      <w:pPr>
        <w:pStyle w:val="NotesText0"/>
      </w:pPr>
      <w:r w:rsidRPr="00075D25">
        <w:t>A distinction is made between finance leases and operating leases. Finance leases effectively transfer from the lessor to the lessee substantially all the risks and rewards incidental to ownership of leased assets. An operating lease is a leas</w:t>
      </w:r>
      <w:r>
        <w:t xml:space="preserve">e that is not a finance lease. </w:t>
      </w:r>
      <w:r w:rsidRPr="00075D25">
        <w:t>In operating leases, the lessor effectively retains substantially all such risks and benefits.</w:t>
      </w:r>
    </w:p>
    <w:p w:rsidR="007E1E1E" w:rsidRPr="00075D25" w:rsidRDefault="007E1E1E" w:rsidP="007E1E1E">
      <w:pPr>
        <w:pStyle w:val="NotesText0"/>
      </w:pPr>
      <w:r w:rsidRPr="00075D25">
        <w:t xml:space="preserve">Where an asset is acquired by means of a finance lease, the asset is capitalised at either the fair value of the lease property or, if lower, the present value of minimum lease payments at the inception of the contract and a liability is recognised at the same time and for the same amount. </w:t>
      </w:r>
    </w:p>
    <w:p w:rsidR="007E1E1E" w:rsidRPr="00075D25" w:rsidRDefault="007E1E1E" w:rsidP="007E1E1E">
      <w:pPr>
        <w:pStyle w:val="NotesText0"/>
      </w:pPr>
      <w:r w:rsidRPr="00075D25">
        <w:t>The discount rate used is the intere</w:t>
      </w:r>
      <w:r>
        <w:t xml:space="preserve">st rate implicit in the lease. </w:t>
      </w:r>
      <w:r w:rsidRPr="00075D25">
        <w:t>Leased assets are amortised</w:t>
      </w:r>
      <w:r>
        <w:t xml:space="preserve"> over the period of the lease. </w:t>
      </w:r>
      <w:r w:rsidRPr="00075D25">
        <w:t>Lease payments are allocated between the principal component and the interest expense.</w:t>
      </w:r>
    </w:p>
    <w:p w:rsidR="007E1E1E" w:rsidRPr="00075D25" w:rsidRDefault="007E1E1E" w:rsidP="007E1E1E">
      <w:pPr>
        <w:pStyle w:val="NotesText0"/>
      </w:pPr>
      <w:r w:rsidRPr="00075D25">
        <w:t xml:space="preserve">Operating lease payments are expensed on a straight-line basis which is representative of the pattern of benefits derived from the leased assets. </w:t>
      </w:r>
    </w:p>
    <w:p w:rsidR="007E1E1E" w:rsidRPr="00BC79B6" w:rsidRDefault="007E1E1E" w:rsidP="007E1E1E">
      <w:pPr>
        <w:pStyle w:val="NotesText0"/>
        <w:rPr>
          <w:i/>
        </w:rPr>
      </w:pPr>
      <w:r w:rsidRPr="00BC79B6">
        <w:rPr>
          <w:i/>
        </w:rPr>
        <w:lastRenderedPageBreak/>
        <w:t>Lease incentives</w:t>
      </w:r>
    </w:p>
    <w:p w:rsidR="007E1E1E" w:rsidRPr="00075D25" w:rsidRDefault="007E1E1E" w:rsidP="007E1E1E">
      <w:pPr>
        <w:pStyle w:val="NotesText0"/>
      </w:pPr>
      <w:r w:rsidRPr="00075D25">
        <w:t>Lease incentives taking the form of ‘free’ leasehold improvements and rent free holidays are recognised as liabilities. These liabilities are reduced by allocating lease payments between rental expense and reduction of the liability.</w:t>
      </w:r>
    </w:p>
    <w:p w:rsidR="007E1E1E" w:rsidRDefault="007E1E1E" w:rsidP="007E1E1E">
      <w:pPr>
        <w:pStyle w:val="SAPHeading-Level2"/>
        <w:numPr>
          <w:ilvl w:val="1"/>
          <w:numId w:val="15"/>
        </w:numPr>
      </w:pPr>
      <w:r>
        <w:t>Fair Value Measurement</w:t>
      </w:r>
    </w:p>
    <w:p w:rsidR="007E1E1E" w:rsidRPr="00075D25" w:rsidRDefault="007E1E1E" w:rsidP="007E1E1E">
      <w:pPr>
        <w:pStyle w:val="NotesText0"/>
      </w:pPr>
      <w:r w:rsidRPr="00075D25">
        <w:t>The department</w:t>
      </w:r>
      <w:r>
        <w:t xml:space="preserve"> deems</w:t>
      </w:r>
      <w:r w:rsidRPr="00075D25">
        <w:t xml:space="preserve"> transfers between levels of the fair value hierarchy to have occurred at</w:t>
      </w:r>
      <w:r>
        <w:t xml:space="preserve"> reporting date.</w:t>
      </w:r>
    </w:p>
    <w:p w:rsidR="007E1E1E" w:rsidRDefault="007E1E1E" w:rsidP="007E1E1E">
      <w:pPr>
        <w:pStyle w:val="SAPHeading-Level2"/>
        <w:numPr>
          <w:ilvl w:val="1"/>
          <w:numId w:val="15"/>
        </w:numPr>
      </w:pPr>
      <w:r>
        <w:t xml:space="preserve">Cash </w:t>
      </w:r>
    </w:p>
    <w:p w:rsidR="007E1E1E" w:rsidRDefault="007E1E1E" w:rsidP="007E1E1E">
      <w:pPr>
        <w:pStyle w:val="AdminBlankGreyShade"/>
      </w:pPr>
      <w:r>
        <w:t>Cash is recognised at its nominal amount. Cash and cash equivalents include:</w:t>
      </w:r>
    </w:p>
    <w:p w:rsidR="007E1E1E" w:rsidRPr="00BC79B6" w:rsidRDefault="007E1E1E" w:rsidP="007E1E1E">
      <w:pPr>
        <w:pStyle w:val="BulletKPMG"/>
        <w:numPr>
          <w:ilvl w:val="0"/>
          <w:numId w:val="16"/>
        </w:numPr>
        <w:rPr>
          <w:rFonts w:asciiTheme="minorHAnsi" w:hAnsiTheme="minorHAnsi" w:cstheme="minorHAnsi"/>
          <w:sz w:val="18"/>
          <w:szCs w:val="18"/>
          <w:lang w:val="en-AU"/>
        </w:rPr>
      </w:pPr>
      <w:r w:rsidRPr="00BC79B6">
        <w:rPr>
          <w:rFonts w:asciiTheme="minorHAnsi" w:hAnsiTheme="minorHAnsi" w:cstheme="minorHAnsi"/>
          <w:sz w:val="18"/>
          <w:szCs w:val="18"/>
          <w:lang w:val="en-AU"/>
        </w:rPr>
        <w:t>cash on hand</w:t>
      </w:r>
    </w:p>
    <w:p w:rsidR="007E1E1E" w:rsidRPr="00BC79B6" w:rsidRDefault="007E1E1E" w:rsidP="007E1E1E">
      <w:pPr>
        <w:pStyle w:val="BulletKPMG"/>
        <w:numPr>
          <w:ilvl w:val="0"/>
          <w:numId w:val="16"/>
        </w:numPr>
        <w:rPr>
          <w:rFonts w:asciiTheme="minorHAnsi" w:hAnsiTheme="minorHAnsi" w:cstheme="minorHAnsi"/>
          <w:sz w:val="18"/>
          <w:szCs w:val="18"/>
          <w:lang w:val="en-AU"/>
        </w:rPr>
      </w:pPr>
      <w:r w:rsidRPr="00BC79B6">
        <w:rPr>
          <w:rFonts w:asciiTheme="minorHAnsi" w:hAnsiTheme="minorHAnsi" w:cstheme="minorHAnsi"/>
          <w:sz w:val="18"/>
          <w:szCs w:val="18"/>
          <w:lang w:val="en-AU"/>
        </w:rPr>
        <w:t>demand deposits in bank accounts with an original maturity of 3 months or less that are readily convertible to known amounts of cash and subject to insignificant risk of changes in value</w:t>
      </w:r>
    </w:p>
    <w:p w:rsidR="007E1E1E" w:rsidRPr="00BC79B6" w:rsidRDefault="007E1E1E" w:rsidP="007E1E1E">
      <w:pPr>
        <w:pStyle w:val="BulletKPMG"/>
        <w:numPr>
          <w:ilvl w:val="0"/>
          <w:numId w:val="16"/>
        </w:numPr>
        <w:rPr>
          <w:rFonts w:asciiTheme="minorHAnsi" w:hAnsiTheme="minorHAnsi" w:cstheme="minorHAnsi"/>
          <w:sz w:val="18"/>
          <w:szCs w:val="18"/>
          <w:lang w:val="en-AU"/>
        </w:rPr>
      </w:pPr>
      <w:r w:rsidRPr="00BC79B6">
        <w:rPr>
          <w:rFonts w:asciiTheme="minorHAnsi" w:hAnsiTheme="minorHAnsi" w:cstheme="minorHAnsi"/>
          <w:sz w:val="18"/>
          <w:szCs w:val="18"/>
          <w:lang w:val="en-AU"/>
        </w:rPr>
        <w:t>cash held by outsiders</w:t>
      </w:r>
    </w:p>
    <w:p w:rsidR="007E1E1E" w:rsidRPr="00BC79B6" w:rsidRDefault="007E1E1E" w:rsidP="007E1E1E">
      <w:pPr>
        <w:pStyle w:val="BulletKPMG"/>
        <w:numPr>
          <w:ilvl w:val="0"/>
          <w:numId w:val="16"/>
        </w:numPr>
        <w:rPr>
          <w:rFonts w:asciiTheme="minorHAnsi" w:hAnsiTheme="minorHAnsi" w:cstheme="minorHAnsi"/>
          <w:sz w:val="18"/>
          <w:szCs w:val="18"/>
          <w:lang w:val="en-AU"/>
        </w:rPr>
      </w:pPr>
      <w:proofErr w:type="gramStart"/>
      <w:r w:rsidRPr="00BC79B6">
        <w:rPr>
          <w:rFonts w:asciiTheme="minorHAnsi" w:hAnsiTheme="minorHAnsi" w:cstheme="minorHAnsi"/>
          <w:sz w:val="18"/>
          <w:szCs w:val="18"/>
          <w:lang w:val="en-AU"/>
        </w:rPr>
        <w:t>cash</w:t>
      </w:r>
      <w:proofErr w:type="gramEnd"/>
      <w:r w:rsidRPr="00BC79B6">
        <w:rPr>
          <w:rFonts w:asciiTheme="minorHAnsi" w:hAnsiTheme="minorHAnsi" w:cstheme="minorHAnsi"/>
          <w:sz w:val="18"/>
          <w:szCs w:val="18"/>
          <w:lang w:val="en-AU"/>
        </w:rPr>
        <w:t xml:space="preserve"> in special accounts. </w:t>
      </w:r>
    </w:p>
    <w:p w:rsidR="007E1E1E" w:rsidRDefault="007E1E1E" w:rsidP="007E1E1E">
      <w:pPr>
        <w:pStyle w:val="SAPHeading-Level2"/>
        <w:numPr>
          <w:ilvl w:val="1"/>
          <w:numId w:val="15"/>
        </w:numPr>
      </w:pPr>
      <w:r>
        <w:t>Financial Assets</w:t>
      </w:r>
    </w:p>
    <w:p w:rsidR="007E1E1E" w:rsidRDefault="007E1E1E" w:rsidP="007E1E1E">
      <w:pPr>
        <w:pStyle w:val="AdminBlankGreyShade"/>
      </w:pPr>
      <w:r>
        <w:t>The department classifies its financial assets in the following categories:</w:t>
      </w:r>
    </w:p>
    <w:p w:rsidR="007E1E1E" w:rsidRPr="00BC79B6" w:rsidRDefault="007E1E1E" w:rsidP="007E1E1E">
      <w:pPr>
        <w:pStyle w:val="BulletKPMG"/>
        <w:numPr>
          <w:ilvl w:val="0"/>
          <w:numId w:val="16"/>
        </w:numPr>
        <w:rPr>
          <w:rFonts w:asciiTheme="minorHAnsi" w:hAnsiTheme="minorHAnsi" w:cstheme="minorHAnsi"/>
          <w:sz w:val="18"/>
          <w:szCs w:val="18"/>
          <w:lang w:val="en-AU"/>
        </w:rPr>
      </w:pPr>
      <w:r w:rsidRPr="00BC79B6">
        <w:rPr>
          <w:rFonts w:asciiTheme="minorHAnsi" w:hAnsiTheme="minorHAnsi" w:cstheme="minorHAnsi"/>
          <w:sz w:val="18"/>
          <w:szCs w:val="18"/>
          <w:lang w:val="en-AU"/>
        </w:rPr>
        <w:t>financial assets at fair value through profit or loss</w:t>
      </w:r>
    </w:p>
    <w:p w:rsidR="007E1E1E" w:rsidRPr="00BC79B6" w:rsidRDefault="007E1E1E" w:rsidP="007E1E1E">
      <w:pPr>
        <w:pStyle w:val="BulletKPMG"/>
        <w:numPr>
          <w:ilvl w:val="0"/>
          <w:numId w:val="16"/>
        </w:numPr>
        <w:rPr>
          <w:rFonts w:asciiTheme="minorHAnsi" w:hAnsiTheme="minorHAnsi" w:cstheme="minorHAnsi"/>
          <w:sz w:val="18"/>
          <w:szCs w:val="18"/>
          <w:lang w:val="en-AU"/>
        </w:rPr>
      </w:pPr>
      <w:r w:rsidRPr="00BC79B6">
        <w:rPr>
          <w:rFonts w:asciiTheme="minorHAnsi" w:hAnsiTheme="minorHAnsi" w:cstheme="minorHAnsi"/>
          <w:sz w:val="18"/>
          <w:szCs w:val="18"/>
          <w:lang w:val="en-AU"/>
        </w:rPr>
        <w:t>available-for-sale financial assets</w:t>
      </w:r>
    </w:p>
    <w:p w:rsidR="007E1E1E" w:rsidRPr="00BC79B6" w:rsidRDefault="007E1E1E" w:rsidP="007E1E1E">
      <w:pPr>
        <w:pStyle w:val="BulletKPMG"/>
        <w:numPr>
          <w:ilvl w:val="0"/>
          <w:numId w:val="16"/>
        </w:numPr>
        <w:rPr>
          <w:rFonts w:asciiTheme="minorHAnsi" w:hAnsiTheme="minorHAnsi" w:cstheme="minorHAnsi"/>
          <w:sz w:val="18"/>
          <w:szCs w:val="18"/>
        </w:rPr>
      </w:pPr>
      <w:proofErr w:type="gramStart"/>
      <w:r w:rsidRPr="00BC79B6">
        <w:rPr>
          <w:rFonts w:asciiTheme="minorHAnsi" w:hAnsiTheme="minorHAnsi" w:cstheme="minorHAnsi"/>
          <w:sz w:val="18"/>
          <w:szCs w:val="18"/>
          <w:lang w:val="en-AU"/>
        </w:rPr>
        <w:t>loans</w:t>
      </w:r>
      <w:proofErr w:type="gramEnd"/>
      <w:r w:rsidRPr="00BC79B6">
        <w:rPr>
          <w:rFonts w:asciiTheme="minorHAnsi" w:hAnsiTheme="minorHAnsi" w:cstheme="minorHAnsi"/>
          <w:sz w:val="18"/>
          <w:szCs w:val="18"/>
          <w:lang w:val="en-AU"/>
        </w:rPr>
        <w:t xml:space="preserve"> and receivables.</w:t>
      </w:r>
    </w:p>
    <w:p w:rsidR="007E1E1E" w:rsidRDefault="007E1E1E" w:rsidP="007E1E1E">
      <w:pPr>
        <w:pStyle w:val="BulletKPMG"/>
        <w:tabs>
          <w:tab w:val="clear" w:pos="473"/>
          <w:tab w:val="left" w:pos="8959"/>
        </w:tabs>
        <w:ind w:left="0" w:firstLine="0"/>
        <w:rPr>
          <w:rFonts w:asciiTheme="minorHAnsi" w:hAnsiTheme="minorHAnsi" w:cstheme="minorHAnsi"/>
        </w:rPr>
      </w:pPr>
      <w:r>
        <w:rPr>
          <w:rFonts w:asciiTheme="minorHAnsi" w:hAnsiTheme="minorHAnsi" w:cstheme="minorHAnsi"/>
        </w:rPr>
        <w:t xml:space="preserve">The classification depends on the nature and purpose of the financial assets and is determined at the time of initial recognition. Financial assets are </w:t>
      </w:r>
      <w:proofErr w:type="spellStart"/>
      <w:r>
        <w:rPr>
          <w:rFonts w:asciiTheme="minorHAnsi" w:hAnsiTheme="minorHAnsi" w:cstheme="minorHAnsi"/>
        </w:rPr>
        <w:t>recognised</w:t>
      </w:r>
      <w:proofErr w:type="spellEnd"/>
      <w:r>
        <w:rPr>
          <w:rFonts w:asciiTheme="minorHAnsi" w:hAnsiTheme="minorHAnsi" w:cstheme="minorHAnsi"/>
        </w:rPr>
        <w:t xml:space="preserve"> and </w:t>
      </w:r>
      <w:proofErr w:type="spellStart"/>
      <w:r>
        <w:rPr>
          <w:rFonts w:asciiTheme="minorHAnsi" w:hAnsiTheme="minorHAnsi" w:cstheme="minorHAnsi"/>
        </w:rPr>
        <w:t>derecognised</w:t>
      </w:r>
      <w:proofErr w:type="spellEnd"/>
      <w:r>
        <w:rPr>
          <w:rFonts w:asciiTheme="minorHAnsi" w:hAnsiTheme="minorHAnsi" w:cstheme="minorHAnsi"/>
        </w:rPr>
        <w:t xml:space="preserve"> upon trade date.</w:t>
      </w:r>
    </w:p>
    <w:p w:rsidR="007E1E1E" w:rsidRPr="00BC79B6" w:rsidRDefault="007E1E1E" w:rsidP="007E1E1E">
      <w:pPr>
        <w:pStyle w:val="NotesText0"/>
        <w:rPr>
          <w:i/>
        </w:rPr>
      </w:pPr>
      <w:r w:rsidRPr="00BC79B6">
        <w:rPr>
          <w:i/>
        </w:rPr>
        <w:t>Effective interest method</w:t>
      </w:r>
    </w:p>
    <w:p w:rsidR="007E1E1E" w:rsidRPr="00075D25" w:rsidRDefault="007E1E1E" w:rsidP="007E1E1E">
      <w:pPr>
        <w:pStyle w:val="NotesText0"/>
      </w:pPr>
      <w:r w:rsidRPr="00075D25">
        <w:t>The effective interest method is a method of calculating the amortised cost of a financial asset and of allocating interest income over the relevant period. The effective interest rate is the rate that exactly discounts estimated future cash receipts over the expected life of the financial asset, or, where appropriate, a shorter period.</w:t>
      </w:r>
    </w:p>
    <w:p w:rsidR="007E1E1E" w:rsidRPr="00075D25" w:rsidRDefault="007E1E1E" w:rsidP="007E1E1E">
      <w:pPr>
        <w:pStyle w:val="NotesText0"/>
      </w:pPr>
      <w:r w:rsidRPr="00075D25">
        <w:t>Income is recognised on an effective interest rate basis except for financial assets that are recognised at fair value through profit or loss.</w:t>
      </w:r>
    </w:p>
    <w:p w:rsidR="007E1E1E" w:rsidRPr="00BC79B6" w:rsidRDefault="007E1E1E" w:rsidP="007E1E1E">
      <w:pPr>
        <w:pStyle w:val="NotesText0"/>
        <w:rPr>
          <w:i/>
        </w:rPr>
      </w:pPr>
      <w:r w:rsidRPr="00BC79B6">
        <w:rPr>
          <w:i/>
        </w:rPr>
        <w:t>Financial assets at fair value through profit or loss</w:t>
      </w:r>
    </w:p>
    <w:p w:rsidR="007E1E1E" w:rsidRPr="00075D25" w:rsidRDefault="007E1E1E" w:rsidP="007E1E1E">
      <w:pPr>
        <w:pStyle w:val="NotesText0"/>
      </w:pPr>
      <w:r w:rsidRPr="00075D25">
        <w:t>Financial assets are classified as financial assets at fair value through profit or loss where the financial assets:</w:t>
      </w:r>
    </w:p>
    <w:p w:rsidR="007E1E1E" w:rsidRPr="00AC33E5" w:rsidRDefault="007E1E1E" w:rsidP="007E1E1E">
      <w:pPr>
        <w:pStyle w:val="BulletKPMG"/>
        <w:numPr>
          <w:ilvl w:val="0"/>
          <w:numId w:val="16"/>
        </w:numPr>
        <w:rPr>
          <w:rFonts w:asciiTheme="minorHAnsi" w:hAnsiTheme="minorHAnsi" w:cstheme="minorHAnsi"/>
          <w:sz w:val="18"/>
          <w:szCs w:val="18"/>
          <w:lang w:val="en-AU"/>
        </w:rPr>
      </w:pPr>
      <w:r w:rsidRPr="00AC33E5">
        <w:rPr>
          <w:rFonts w:asciiTheme="minorHAnsi" w:hAnsiTheme="minorHAnsi" w:cstheme="minorHAnsi"/>
          <w:sz w:val="18"/>
          <w:szCs w:val="18"/>
          <w:lang w:val="en-AU"/>
        </w:rPr>
        <w:t>have been acquired principally for the purpose of selling in the near future</w:t>
      </w:r>
    </w:p>
    <w:p w:rsidR="007E1E1E" w:rsidRPr="00AC33E5" w:rsidRDefault="007E1E1E" w:rsidP="007E1E1E">
      <w:pPr>
        <w:pStyle w:val="BulletKPMG"/>
        <w:numPr>
          <w:ilvl w:val="0"/>
          <w:numId w:val="16"/>
        </w:numPr>
        <w:rPr>
          <w:rFonts w:asciiTheme="minorHAnsi" w:hAnsiTheme="minorHAnsi" w:cstheme="minorHAnsi"/>
          <w:sz w:val="18"/>
          <w:szCs w:val="18"/>
          <w:lang w:val="en-AU"/>
        </w:rPr>
      </w:pPr>
      <w:r w:rsidRPr="00AC33E5">
        <w:rPr>
          <w:rFonts w:asciiTheme="minorHAnsi" w:hAnsiTheme="minorHAnsi" w:cstheme="minorHAnsi"/>
          <w:sz w:val="18"/>
          <w:szCs w:val="18"/>
          <w:lang w:val="en-AU"/>
        </w:rPr>
        <w:t>are parts of an identified portfolio of financial instruments that the department manages together and has a recent actual pattern of short-term profit-taking</w:t>
      </w:r>
    </w:p>
    <w:p w:rsidR="007E1E1E" w:rsidRPr="00AC33E5" w:rsidRDefault="007E1E1E" w:rsidP="007E1E1E">
      <w:pPr>
        <w:pStyle w:val="BulletKPMG"/>
        <w:numPr>
          <w:ilvl w:val="0"/>
          <w:numId w:val="16"/>
        </w:numPr>
        <w:rPr>
          <w:rFonts w:asciiTheme="minorHAnsi" w:hAnsiTheme="minorHAnsi" w:cstheme="minorHAnsi"/>
          <w:sz w:val="18"/>
          <w:szCs w:val="18"/>
          <w:lang w:val="en-AU"/>
        </w:rPr>
      </w:pPr>
      <w:proofErr w:type="gramStart"/>
      <w:r w:rsidRPr="00AC33E5">
        <w:rPr>
          <w:rFonts w:asciiTheme="minorHAnsi" w:hAnsiTheme="minorHAnsi" w:cstheme="minorHAnsi"/>
          <w:sz w:val="18"/>
          <w:szCs w:val="18"/>
          <w:lang w:val="en-AU"/>
        </w:rPr>
        <w:t>are</w:t>
      </w:r>
      <w:proofErr w:type="gramEnd"/>
      <w:r w:rsidRPr="00AC33E5">
        <w:rPr>
          <w:rFonts w:asciiTheme="minorHAnsi" w:hAnsiTheme="minorHAnsi" w:cstheme="minorHAnsi"/>
          <w:sz w:val="18"/>
          <w:szCs w:val="18"/>
          <w:lang w:val="en-AU"/>
        </w:rPr>
        <w:t xml:space="preserve"> derivatives that are not designated and effective as a hedging instrument.</w:t>
      </w:r>
    </w:p>
    <w:p w:rsidR="007E1E1E" w:rsidRPr="00075D25" w:rsidRDefault="007E1E1E" w:rsidP="007E1E1E">
      <w:pPr>
        <w:pStyle w:val="NotesText0"/>
      </w:pPr>
      <w:r w:rsidRPr="00075D25">
        <w:t xml:space="preserve">Assets in this category are classified as current assets. </w:t>
      </w:r>
    </w:p>
    <w:p w:rsidR="007E1E1E" w:rsidRPr="00075D25" w:rsidRDefault="007E1E1E" w:rsidP="007E1E1E">
      <w:pPr>
        <w:pStyle w:val="NotesText0"/>
      </w:pPr>
      <w:r w:rsidRPr="00075D25">
        <w:t xml:space="preserve">Financial assets at fair value through profit or loss are stated at fair value, with any resultant gain or loss recognised in profit or loss.  The net gain or loss recognised in profit or loss incorporates any interest earned on the financial asset. </w:t>
      </w:r>
    </w:p>
    <w:p w:rsidR="007E1E1E" w:rsidRPr="00BC79B6" w:rsidRDefault="007E1E1E" w:rsidP="007E1E1E">
      <w:pPr>
        <w:pStyle w:val="NotesText0"/>
        <w:rPr>
          <w:i/>
        </w:rPr>
      </w:pPr>
      <w:r w:rsidRPr="00BC79B6">
        <w:rPr>
          <w:i/>
        </w:rPr>
        <w:t>Available-for-sale financial assets</w:t>
      </w:r>
    </w:p>
    <w:p w:rsidR="007E1E1E" w:rsidRPr="00075D25" w:rsidRDefault="007E1E1E" w:rsidP="007E1E1E">
      <w:pPr>
        <w:pStyle w:val="NotesText0"/>
      </w:pPr>
      <w:r w:rsidRPr="00075D25">
        <w:t>Available-for-sale financial assets are non-derivatives that are either designated in this category or not classified in any of the other categories.</w:t>
      </w:r>
    </w:p>
    <w:p w:rsidR="007E1E1E" w:rsidRPr="00075D25" w:rsidRDefault="007E1E1E" w:rsidP="007E1E1E">
      <w:pPr>
        <w:pStyle w:val="NotesText0"/>
      </w:pPr>
      <w:r w:rsidRPr="00075D25">
        <w:t>Available-for-sale financial asse</w:t>
      </w:r>
      <w:r>
        <w:t xml:space="preserve">ts are recorded at fair value. </w:t>
      </w:r>
      <w:r w:rsidRPr="00075D25">
        <w:t>Gains and losses arising from changes in fair value are recognised directly in the reserves (equity) with the exception of impairment losses. Interest is calculated using the effective interest method and foreign exchange gains and losses on monetary assets are recognis</w:t>
      </w:r>
      <w:r>
        <w:t xml:space="preserve">ed directly in profit or loss. </w:t>
      </w:r>
      <w:r w:rsidRPr="00075D25">
        <w:t>Where the asset is disposed of or is determined to be impaired, part (or all) of the cumulative gain or loss previously recognised in the reserve is included in profit or loss for the period.</w:t>
      </w:r>
    </w:p>
    <w:p w:rsidR="007E1E1E" w:rsidRPr="00075D25" w:rsidRDefault="007E1E1E" w:rsidP="007E1E1E">
      <w:pPr>
        <w:pStyle w:val="NotesText0"/>
      </w:pPr>
      <w:r w:rsidRPr="00075D25">
        <w:t>Where a reliable fair value cannot be established for unlisted investments in equity instruments, these i</w:t>
      </w:r>
      <w:r>
        <w:t xml:space="preserve">nstruments are valued at cost. </w:t>
      </w:r>
      <w:r w:rsidRPr="00075D25">
        <w:t>The department has no such instruments.</w:t>
      </w:r>
    </w:p>
    <w:p w:rsidR="007E1E1E" w:rsidRDefault="007E1E1E" w:rsidP="007E1E1E">
      <w:pPr>
        <w:pStyle w:val="NotesText0"/>
        <w:rPr>
          <w:i/>
        </w:rPr>
      </w:pPr>
      <w:r>
        <w:rPr>
          <w:i/>
        </w:rPr>
        <w:br w:type="page"/>
      </w:r>
    </w:p>
    <w:p w:rsidR="007E1E1E" w:rsidRPr="00BC79B6" w:rsidRDefault="007E1E1E" w:rsidP="007E1E1E">
      <w:pPr>
        <w:pStyle w:val="NotesText0"/>
        <w:rPr>
          <w:i/>
        </w:rPr>
      </w:pPr>
      <w:r w:rsidRPr="00BC79B6">
        <w:rPr>
          <w:i/>
        </w:rPr>
        <w:lastRenderedPageBreak/>
        <w:t>Loans and receivables</w:t>
      </w:r>
    </w:p>
    <w:p w:rsidR="007E1E1E" w:rsidRPr="00075D25" w:rsidRDefault="007E1E1E" w:rsidP="007E1E1E">
      <w:pPr>
        <w:pStyle w:val="NotesText0"/>
      </w:pPr>
      <w:r w:rsidRPr="00075D25">
        <w:t>Trade receivables, loans and other receivables that have fixed or determinable payments that are not quoted in an active market are classified as ‘loans and receivables’. Loans and receivables are measured at amortised cost using the effective interest method less impairment. Interest is recognised by applying the effective interest rate.</w:t>
      </w:r>
    </w:p>
    <w:p w:rsidR="007E1E1E" w:rsidRPr="00BC79B6" w:rsidRDefault="007E1E1E" w:rsidP="007E1E1E">
      <w:pPr>
        <w:pStyle w:val="NotesText0"/>
        <w:rPr>
          <w:i/>
        </w:rPr>
      </w:pPr>
      <w:r w:rsidRPr="00BC79B6">
        <w:rPr>
          <w:i/>
        </w:rPr>
        <w:t>Impairment of financial assets</w:t>
      </w:r>
    </w:p>
    <w:p w:rsidR="007E1E1E" w:rsidRPr="00075D25" w:rsidRDefault="007E1E1E" w:rsidP="007E1E1E">
      <w:pPr>
        <w:pStyle w:val="NotesText0"/>
      </w:pPr>
      <w:r w:rsidRPr="00075D25">
        <w:t>Financial assets are assessed for impairment at the end of the reporting period.</w:t>
      </w:r>
    </w:p>
    <w:p w:rsidR="007E1E1E" w:rsidRPr="00BC79B6" w:rsidRDefault="007E1E1E" w:rsidP="007E1E1E">
      <w:pPr>
        <w:pStyle w:val="BulletKPMG"/>
        <w:numPr>
          <w:ilvl w:val="0"/>
          <w:numId w:val="16"/>
        </w:numPr>
        <w:rPr>
          <w:rStyle w:val="StyleNotesTextBoldChar"/>
          <w:rFonts w:asciiTheme="minorHAnsi" w:hAnsiTheme="minorHAnsi" w:cstheme="minorHAnsi"/>
        </w:rPr>
      </w:pPr>
      <w:r w:rsidRPr="00BC79B6">
        <w:rPr>
          <w:rFonts w:asciiTheme="minorHAnsi" w:hAnsiTheme="minorHAnsi" w:cstheme="minorHAnsi"/>
          <w:i/>
          <w:sz w:val="18"/>
          <w:szCs w:val="18"/>
          <w:lang w:val="en-AU"/>
        </w:rPr>
        <w:t>Financial assets held at amortised cost</w:t>
      </w:r>
      <w:r w:rsidRPr="00BC79B6">
        <w:rPr>
          <w:rStyle w:val="StyleNotesTextBoldChar"/>
          <w:rFonts w:asciiTheme="minorHAnsi" w:hAnsiTheme="minorHAnsi" w:cstheme="minorHAnsi"/>
        </w:rPr>
        <w:t xml:space="preserve"> </w:t>
      </w:r>
      <w:r w:rsidRPr="00BC79B6">
        <w:rPr>
          <w:rFonts w:asciiTheme="minorHAnsi" w:hAnsiTheme="minorHAnsi" w:cstheme="minorHAnsi"/>
          <w:sz w:val="18"/>
          <w:szCs w:val="18"/>
          <w:lang w:val="en-AU"/>
        </w:rPr>
        <w:t>– If there is objective evidence that an impairment loss has been incurred for loans and receivables, the amount of the loss is measured as the difference between the asset’s carrying amount and the present value of estimated future cash flows discounted at the asset’s ori</w:t>
      </w:r>
      <w:r>
        <w:rPr>
          <w:rFonts w:asciiTheme="minorHAnsi" w:hAnsiTheme="minorHAnsi" w:cstheme="minorHAnsi"/>
          <w:sz w:val="18"/>
          <w:szCs w:val="18"/>
          <w:lang w:val="en-AU"/>
        </w:rPr>
        <w:t xml:space="preserve">ginal effective interest rate. </w:t>
      </w:r>
      <w:r w:rsidRPr="00BC79B6">
        <w:rPr>
          <w:rFonts w:asciiTheme="minorHAnsi" w:hAnsiTheme="minorHAnsi" w:cstheme="minorHAnsi"/>
          <w:sz w:val="18"/>
          <w:szCs w:val="18"/>
          <w:lang w:val="en-AU"/>
        </w:rPr>
        <w:t>The carrying amount is reduced by way of an allowance account. The loss is recognised in the Statement of Comprehensive Income.</w:t>
      </w:r>
    </w:p>
    <w:p w:rsidR="007E1E1E" w:rsidRPr="00BC79B6" w:rsidRDefault="007E1E1E" w:rsidP="007E1E1E">
      <w:pPr>
        <w:pStyle w:val="BulletKPMG"/>
        <w:numPr>
          <w:ilvl w:val="0"/>
          <w:numId w:val="16"/>
        </w:numPr>
        <w:rPr>
          <w:rStyle w:val="StyleNotesTextBoldChar"/>
          <w:rFonts w:asciiTheme="minorHAnsi" w:hAnsiTheme="minorHAnsi" w:cstheme="minorHAnsi"/>
        </w:rPr>
      </w:pPr>
      <w:r w:rsidRPr="00BC79B6">
        <w:rPr>
          <w:rFonts w:asciiTheme="minorHAnsi" w:hAnsiTheme="minorHAnsi" w:cstheme="minorHAnsi"/>
          <w:i/>
          <w:sz w:val="18"/>
          <w:szCs w:val="18"/>
          <w:lang w:val="en-AU"/>
        </w:rPr>
        <w:t>Available-for-sale financial assets</w:t>
      </w:r>
      <w:r w:rsidRPr="00BC79B6">
        <w:rPr>
          <w:rStyle w:val="StyleNotesTextBoldChar"/>
          <w:rFonts w:asciiTheme="minorHAnsi" w:hAnsiTheme="minorHAnsi" w:cstheme="minorHAnsi"/>
        </w:rPr>
        <w:t xml:space="preserve"> </w:t>
      </w:r>
      <w:r w:rsidRPr="00BC79B6">
        <w:rPr>
          <w:rFonts w:asciiTheme="minorHAnsi" w:hAnsiTheme="minorHAnsi" w:cstheme="minorHAnsi"/>
          <w:sz w:val="18"/>
          <w:szCs w:val="18"/>
          <w:lang w:val="en-AU"/>
        </w:rPr>
        <w:t>– If there is objective evidence that an impairment loss on an available-for-sale financial asset has been incurred, the amount of the difference between its cost, less principal repayments and amortisation, and its current fair value, less any impairment loss previously recognised in expenses, is transferred from equity to the Statement of Comprehensive Income.</w:t>
      </w:r>
    </w:p>
    <w:p w:rsidR="007E1E1E" w:rsidRPr="00BC79B6" w:rsidRDefault="007E1E1E" w:rsidP="007E1E1E">
      <w:pPr>
        <w:pStyle w:val="BulletKPMG"/>
        <w:numPr>
          <w:ilvl w:val="0"/>
          <w:numId w:val="16"/>
        </w:numPr>
        <w:rPr>
          <w:sz w:val="18"/>
          <w:szCs w:val="18"/>
        </w:rPr>
      </w:pPr>
      <w:r w:rsidRPr="00BC79B6">
        <w:rPr>
          <w:rFonts w:asciiTheme="minorHAnsi" w:hAnsiTheme="minorHAnsi" w:cstheme="minorHAnsi"/>
          <w:i/>
          <w:sz w:val="18"/>
          <w:szCs w:val="18"/>
          <w:lang w:val="en-AU"/>
        </w:rPr>
        <w:t>Financial assets held at cost</w:t>
      </w:r>
      <w:r w:rsidRPr="00BC79B6">
        <w:rPr>
          <w:rStyle w:val="StyleNotesTextBoldChar"/>
          <w:rFonts w:asciiTheme="minorHAnsi" w:hAnsiTheme="minorHAnsi" w:cstheme="minorHAnsi"/>
        </w:rPr>
        <w:t xml:space="preserve"> </w:t>
      </w:r>
      <w:r w:rsidRPr="00BC79B6">
        <w:rPr>
          <w:rFonts w:asciiTheme="minorHAnsi" w:hAnsiTheme="minorHAnsi" w:cstheme="minorHAnsi"/>
          <w:sz w:val="18"/>
          <w:szCs w:val="18"/>
          <w:lang w:val="en-AU"/>
        </w:rPr>
        <w:t>– If there is objective evidence that an impairment loss has been incurred, the amount of the impairment loss is the difference between the carrying amount of the asset and the present value of the estimated future cash flows discounted at the current market rate for similar assets.</w:t>
      </w:r>
    </w:p>
    <w:p w:rsidR="007E1E1E" w:rsidRDefault="007E1E1E" w:rsidP="007E1E1E">
      <w:pPr>
        <w:pStyle w:val="SAPHeading-Level2"/>
        <w:numPr>
          <w:ilvl w:val="1"/>
          <w:numId w:val="15"/>
        </w:numPr>
      </w:pPr>
      <w:r>
        <w:t>Financial Liabilities</w:t>
      </w:r>
    </w:p>
    <w:p w:rsidR="007E1E1E" w:rsidRPr="00075D25" w:rsidRDefault="007E1E1E" w:rsidP="007E1E1E">
      <w:pPr>
        <w:pStyle w:val="NotesText0"/>
      </w:pPr>
      <w:r w:rsidRPr="00075D25">
        <w:t>Financial liabilities are classified as either financial liabilities ‘at fair value through profit or loss’ or other financial liabilities.  Financial liabilities are recognised and derecognised upon trade date.</w:t>
      </w:r>
    </w:p>
    <w:p w:rsidR="007E1E1E" w:rsidRPr="00BC79B6" w:rsidRDefault="007E1E1E" w:rsidP="007E1E1E">
      <w:pPr>
        <w:pStyle w:val="NotesText0"/>
        <w:rPr>
          <w:i/>
        </w:rPr>
      </w:pPr>
      <w:r w:rsidRPr="00BC79B6">
        <w:rPr>
          <w:i/>
        </w:rPr>
        <w:t>Financial liabilities at fair value through profit or loss</w:t>
      </w:r>
    </w:p>
    <w:p w:rsidR="007E1E1E" w:rsidRPr="00075D25" w:rsidRDefault="007E1E1E" w:rsidP="007E1E1E">
      <w:pPr>
        <w:pStyle w:val="NotesText0"/>
      </w:pPr>
      <w:r w:rsidRPr="00075D25">
        <w:t>Financial liabilities at fair value through profit or loss are initially measured at fair value. Subsequent fair value adjustments are</w:t>
      </w:r>
      <w:r>
        <w:t xml:space="preserve"> recognised in profit or loss. </w:t>
      </w:r>
      <w:r w:rsidRPr="00075D25">
        <w:t xml:space="preserve">The net gain or loss recognised in profit or loss incorporates any interest paid on the financial liability. </w:t>
      </w:r>
    </w:p>
    <w:p w:rsidR="007E1E1E" w:rsidRPr="00BC79B6" w:rsidRDefault="007E1E1E" w:rsidP="007E1E1E">
      <w:pPr>
        <w:pStyle w:val="NotesText0"/>
        <w:rPr>
          <w:i/>
        </w:rPr>
      </w:pPr>
      <w:r w:rsidRPr="00BC79B6">
        <w:rPr>
          <w:i/>
        </w:rPr>
        <w:t>Other financial liabilities</w:t>
      </w:r>
    </w:p>
    <w:p w:rsidR="007E1E1E" w:rsidRPr="00075D25" w:rsidRDefault="007E1E1E" w:rsidP="007E1E1E">
      <w:pPr>
        <w:pStyle w:val="NotesText0"/>
      </w:pPr>
      <w:r w:rsidRPr="00075D25">
        <w:t>Other financial liabilities are initially measured at fair va</w:t>
      </w:r>
      <w:r>
        <w:t xml:space="preserve">lue, net of transaction costs. </w:t>
      </w:r>
      <w:r w:rsidRPr="00075D25">
        <w:t>These liabilities are subsequently measured at amortised cost using the effective interest method, with interest expense recognised on an effective yield basis.</w:t>
      </w:r>
    </w:p>
    <w:p w:rsidR="007E1E1E" w:rsidRPr="00075D25" w:rsidRDefault="007E1E1E" w:rsidP="007E1E1E">
      <w:pPr>
        <w:pStyle w:val="NotesText0"/>
      </w:pPr>
      <w:r w:rsidRPr="00075D25">
        <w:t>The effective interest method is a method of calculating the amortised cost of a financial liability and of allocating interest expense over the relevant period. The effective interest rate is the rate that exactly discounts estimated future cash payments through the expected life of the financial liability, or, where appropriate, a shorter period.</w:t>
      </w:r>
    </w:p>
    <w:p w:rsidR="007E1E1E" w:rsidRPr="00075D25" w:rsidRDefault="007E1E1E" w:rsidP="007E1E1E">
      <w:pPr>
        <w:pStyle w:val="NotesText0"/>
      </w:pPr>
      <w:r w:rsidRPr="00075D25">
        <w:t>Supplier and other payables are recognised at amortised cost. Liabilities are recognised to the extent that the goods or services have been received (and irrespective of having been invoiced).</w:t>
      </w:r>
    </w:p>
    <w:p w:rsidR="007E1E1E" w:rsidRDefault="007E1E1E" w:rsidP="007E1E1E">
      <w:pPr>
        <w:pStyle w:val="SAPHeading-Level2"/>
        <w:numPr>
          <w:ilvl w:val="1"/>
          <w:numId w:val="15"/>
        </w:numPr>
      </w:pPr>
      <w:r>
        <w:t>Contingent Liabilities and Contingent Assets</w:t>
      </w:r>
    </w:p>
    <w:p w:rsidR="007E1E1E" w:rsidRPr="00075D25" w:rsidRDefault="007E1E1E" w:rsidP="007E1E1E">
      <w:pPr>
        <w:pStyle w:val="NotesText0"/>
      </w:pPr>
      <w:r w:rsidRPr="00075D25">
        <w:t>Contingent liabilities and contingent assets are not recognised in the statement of financial position but are reported in the</w:t>
      </w:r>
      <w:r>
        <w:t xml:space="preserve"> relevant schedules and notes. </w:t>
      </w:r>
      <w:r w:rsidRPr="00075D25">
        <w:t>They may arise from uncertainty as to the existence of a liability or asset or represent an asset or liability in respect of which the amount cannot be reliably measured. Contingent assets are disclosed when settlement is probable but not virtually certain and contingent liabilities are disclosed when settlement is greater than remote.</w:t>
      </w:r>
    </w:p>
    <w:p w:rsidR="007E1E1E" w:rsidRPr="00AC33E5" w:rsidRDefault="007E1E1E" w:rsidP="007E1E1E">
      <w:pPr>
        <w:pStyle w:val="NotesText0"/>
        <w:rPr>
          <w:i/>
        </w:rPr>
      </w:pPr>
      <w:r w:rsidRPr="00AC33E5">
        <w:rPr>
          <w:i/>
        </w:rPr>
        <w:t>Indemnities</w:t>
      </w:r>
    </w:p>
    <w:p w:rsidR="007E1E1E" w:rsidRPr="00075D25" w:rsidRDefault="007E1E1E" w:rsidP="007E1E1E">
      <w:pPr>
        <w:pStyle w:val="NotesText0"/>
      </w:pPr>
      <w:r w:rsidRPr="00075D25">
        <w:t>The maximum amounts payable under the indemnities given is disclosed in the Schedule of Contingencies. At the time of completion of the financial statements, there was no reason to believe that the indemnities would be called upon, and no recognition of any liability was therefore required.</w:t>
      </w:r>
    </w:p>
    <w:p w:rsidR="007E1E1E" w:rsidRDefault="007E1E1E" w:rsidP="007E1E1E">
      <w:pPr>
        <w:pStyle w:val="SAPHeading-Level2"/>
        <w:numPr>
          <w:ilvl w:val="1"/>
          <w:numId w:val="15"/>
        </w:numPr>
      </w:pPr>
      <w:r>
        <w:t>Financial Guarantee Contracts</w:t>
      </w:r>
    </w:p>
    <w:p w:rsidR="007E1E1E" w:rsidRPr="00075D25" w:rsidRDefault="007E1E1E" w:rsidP="007E1E1E">
      <w:pPr>
        <w:pStyle w:val="NotesText0"/>
        <w:rPr>
          <w:bCs/>
        </w:rPr>
      </w:pPr>
      <w:r w:rsidRPr="00075D25">
        <w:t xml:space="preserve">Financial guarantee contracts are accounted for in accordance with </w:t>
      </w:r>
      <w:proofErr w:type="spellStart"/>
      <w:r w:rsidRPr="00BC79B6">
        <w:rPr>
          <w:i/>
        </w:rPr>
        <w:t>AASB</w:t>
      </w:r>
      <w:proofErr w:type="spellEnd"/>
      <w:r w:rsidRPr="00BC79B6">
        <w:rPr>
          <w:i/>
        </w:rPr>
        <w:t xml:space="preserve"> 139</w:t>
      </w:r>
      <w:r w:rsidRPr="00BC79B6">
        <w:rPr>
          <w:bCs/>
          <w:i/>
        </w:rPr>
        <w:t xml:space="preserve"> </w:t>
      </w:r>
      <w:r w:rsidRPr="00BC79B6">
        <w:rPr>
          <w:i/>
        </w:rPr>
        <w:t>Financial Instruments:  Recognition and Measurement</w:t>
      </w:r>
      <w:r w:rsidRPr="00075D25">
        <w:rPr>
          <w:bCs/>
        </w:rPr>
        <w:t xml:space="preserve">. </w:t>
      </w:r>
      <w:r w:rsidRPr="00075D25">
        <w:t xml:space="preserve">They are not treated as a contingent liability, as they are regarded as financial instruments outside the scope of </w:t>
      </w:r>
      <w:proofErr w:type="spellStart"/>
      <w:r w:rsidRPr="00BC79B6">
        <w:rPr>
          <w:i/>
        </w:rPr>
        <w:t>AASB</w:t>
      </w:r>
      <w:proofErr w:type="spellEnd"/>
      <w:r w:rsidRPr="00BC79B6">
        <w:rPr>
          <w:i/>
        </w:rPr>
        <w:t xml:space="preserve"> 137</w:t>
      </w:r>
      <w:r w:rsidRPr="00BC79B6">
        <w:rPr>
          <w:bCs/>
          <w:i/>
        </w:rPr>
        <w:t xml:space="preserve"> </w:t>
      </w:r>
      <w:r w:rsidRPr="00BC79B6">
        <w:rPr>
          <w:i/>
        </w:rPr>
        <w:t>Provisions, Contingent Liabilities and Contingent Assets</w:t>
      </w:r>
      <w:r w:rsidRPr="00075D25">
        <w:t>.</w:t>
      </w:r>
    </w:p>
    <w:p w:rsidR="007E1E1E" w:rsidRDefault="007E1E1E" w:rsidP="007E1E1E">
      <w:pPr>
        <w:pStyle w:val="SAPHeading-Level2"/>
        <w:numPr>
          <w:ilvl w:val="1"/>
          <w:numId w:val="15"/>
        </w:numPr>
      </w:pPr>
      <w:r>
        <w:t xml:space="preserve">Acquisition of Assets </w:t>
      </w:r>
    </w:p>
    <w:p w:rsidR="007E1E1E" w:rsidRPr="00075D25" w:rsidRDefault="007E1E1E" w:rsidP="007E1E1E">
      <w:pPr>
        <w:pStyle w:val="NotesText0"/>
      </w:pPr>
      <w:r w:rsidRPr="00075D25">
        <w:t>Assets are recorded at cost on acqui</w:t>
      </w:r>
      <w:r>
        <w:t xml:space="preserve">sition except as stated below. </w:t>
      </w:r>
      <w:r w:rsidRPr="00075D25">
        <w:t>The cost of acquisition includes the fair value of assets transferred in exchan</w:t>
      </w:r>
      <w:r>
        <w:t xml:space="preserve">ge and liabilities undertaken. </w:t>
      </w:r>
      <w:r w:rsidRPr="00075D25">
        <w:t>Financial assets are initially measured at their fair value plus transaction costs where appropriate.</w:t>
      </w:r>
    </w:p>
    <w:p w:rsidR="007E1E1E" w:rsidRPr="00075D25" w:rsidRDefault="007E1E1E" w:rsidP="007E1E1E">
      <w:pPr>
        <w:pStyle w:val="NotesText0"/>
      </w:pPr>
      <w:r w:rsidRPr="00075D25">
        <w:t>Assets acquired at no cost, or for nominal consideration, are initially recognised as assets and income at their fair value at the date of acquisition, unless acquired as a consequence of restructuring of administrative arrangements.</w:t>
      </w:r>
      <w:r>
        <w:t xml:space="preserve"> </w:t>
      </w:r>
      <w:r w:rsidRPr="00075D25">
        <w:t xml:space="preserve">In the latter case, assets are </w:t>
      </w:r>
      <w:r w:rsidRPr="00075D25">
        <w:lastRenderedPageBreak/>
        <w:t>initially recognised as contributions by owners at the amounts at which they were recognised in the transferor’s accounts immediately prior to the restructuring.</w:t>
      </w:r>
      <w:r w:rsidRPr="00075D25">
        <w:tab/>
      </w:r>
    </w:p>
    <w:p w:rsidR="007E1E1E" w:rsidRDefault="007E1E1E" w:rsidP="007E1E1E">
      <w:pPr>
        <w:pStyle w:val="SAPHeading-Level2"/>
        <w:numPr>
          <w:ilvl w:val="1"/>
          <w:numId w:val="15"/>
        </w:numPr>
      </w:pPr>
      <w:r>
        <w:t>Infrastructure, Plant and Equipment including Land and Buildings</w:t>
      </w:r>
    </w:p>
    <w:p w:rsidR="007E1E1E" w:rsidRPr="00BC79B6" w:rsidRDefault="007E1E1E" w:rsidP="007E1E1E">
      <w:pPr>
        <w:pStyle w:val="NotesText0"/>
        <w:rPr>
          <w:i/>
        </w:rPr>
      </w:pPr>
      <w:r w:rsidRPr="00BC79B6">
        <w:rPr>
          <w:i/>
        </w:rPr>
        <w:t>Asset recognition threshold</w:t>
      </w:r>
    </w:p>
    <w:p w:rsidR="007E1E1E" w:rsidRPr="00075D25" w:rsidRDefault="007E1E1E" w:rsidP="007E1E1E">
      <w:pPr>
        <w:pStyle w:val="NotesText0"/>
      </w:pPr>
      <w:r w:rsidRPr="00075D25">
        <w:t>Purchases of infrastructure, plant and equipment are recognised initially at cost in the statement of financial position, except for pur</w:t>
      </w:r>
      <w:r>
        <w:t>chases costing less than $2,000</w:t>
      </w:r>
      <w:r w:rsidRPr="00075D25">
        <w:t xml:space="preserve"> (or $50,000 for leasehold improvements) which are expensed in the year of acquisition (other than where they form part of a group of similar items which are significant in total). </w:t>
      </w:r>
      <w:r w:rsidRPr="00075D25">
        <w:tab/>
      </w:r>
    </w:p>
    <w:p w:rsidR="007E1E1E" w:rsidRPr="00075D25" w:rsidRDefault="007E1E1E" w:rsidP="007E1E1E">
      <w:pPr>
        <w:pStyle w:val="NotesText0"/>
      </w:pPr>
      <w:r w:rsidRPr="00075D25">
        <w:t>The initial cost of an asset includes an estimate of the cost of dismantling and removing the item and restoring the site on which it is located. This is particularly relevant to the restoration obligation provisions in property leases taken up by the department where there exists an obligation to restore the prope</w:t>
      </w:r>
      <w:r>
        <w:t xml:space="preserve">rty to its original condition. </w:t>
      </w:r>
      <w:r w:rsidRPr="00075D25">
        <w:t>These costs are included in the value of the department's leasehold improvements with a corresponding provision for the ‘restoration obligations’ recognised.</w:t>
      </w:r>
    </w:p>
    <w:p w:rsidR="007E1E1E" w:rsidRPr="00BC79B6" w:rsidRDefault="007E1E1E" w:rsidP="007E1E1E">
      <w:pPr>
        <w:pStyle w:val="NotesText0"/>
        <w:rPr>
          <w:i/>
        </w:rPr>
      </w:pPr>
      <w:r w:rsidRPr="00BC79B6">
        <w:rPr>
          <w:i/>
        </w:rPr>
        <w:t>Revaluations</w:t>
      </w:r>
    </w:p>
    <w:p w:rsidR="007E1E1E" w:rsidRPr="00075D25" w:rsidRDefault="007E1E1E" w:rsidP="007E1E1E">
      <w:pPr>
        <w:pStyle w:val="NotesText0"/>
      </w:pPr>
      <w:r w:rsidRPr="00075D25">
        <w:t>Fair values for each class of asset are determined as shown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3"/>
        <w:gridCol w:w="4581"/>
      </w:tblGrid>
      <w:tr w:rsidR="007E1E1E" w:rsidRPr="00AC33E5" w:rsidTr="00B50E5D">
        <w:tc>
          <w:tcPr>
            <w:tcW w:w="4473" w:type="dxa"/>
            <w:tcBorders>
              <w:top w:val="single" w:sz="4" w:space="0" w:color="auto"/>
              <w:left w:val="single" w:sz="4" w:space="0" w:color="auto"/>
              <w:bottom w:val="single" w:sz="4" w:space="0" w:color="auto"/>
              <w:right w:val="single" w:sz="4" w:space="0" w:color="auto"/>
            </w:tcBorders>
            <w:hideMark/>
          </w:tcPr>
          <w:p w:rsidR="007E1E1E" w:rsidRPr="00AC33E5" w:rsidRDefault="007E1E1E" w:rsidP="00B50E5D">
            <w:pPr>
              <w:pStyle w:val="NotesText0"/>
              <w:rPr>
                <w:b/>
              </w:rPr>
            </w:pPr>
            <w:r w:rsidRPr="00AC33E5">
              <w:rPr>
                <w:b/>
              </w:rPr>
              <w:t>Asset Class</w:t>
            </w:r>
          </w:p>
        </w:tc>
        <w:tc>
          <w:tcPr>
            <w:tcW w:w="4581" w:type="dxa"/>
            <w:tcBorders>
              <w:top w:val="single" w:sz="4" w:space="0" w:color="auto"/>
              <w:left w:val="single" w:sz="4" w:space="0" w:color="auto"/>
              <w:bottom w:val="single" w:sz="4" w:space="0" w:color="auto"/>
              <w:right w:val="single" w:sz="4" w:space="0" w:color="auto"/>
            </w:tcBorders>
            <w:hideMark/>
          </w:tcPr>
          <w:p w:rsidR="007E1E1E" w:rsidRPr="00AC33E5" w:rsidRDefault="007E1E1E" w:rsidP="00B50E5D">
            <w:pPr>
              <w:pStyle w:val="NotesText0"/>
              <w:rPr>
                <w:b/>
              </w:rPr>
            </w:pPr>
            <w:r w:rsidRPr="00AC33E5">
              <w:rPr>
                <w:b/>
              </w:rPr>
              <w:t>Fair value measurement</w:t>
            </w:r>
          </w:p>
        </w:tc>
      </w:tr>
      <w:tr w:rsidR="007E1E1E" w:rsidRPr="00075D25" w:rsidTr="00B50E5D">
        <w:tc>
          <w:tcPr>
            <w:tcW w:w="4473" w:type="dxa"/>
            <w:tcBorders>
              <w:top w:val="single" w:sz="4" w:space="0" w:color="auto"/>
              <w:left w:val="single" w:sz="4" w:space="0" w:color="auto"/>
              <w:bottom w:val="single" w:sz="4" w:space="0" w:color="auto"/>
              <w:right w:val="single" w:sz="4" w:space="0" w:color="auto"/>
            </w:tcBorders>
            <w:hideMark/>
          </w:tcPr>
          <w:p w:rsidR="007E1E1E" w:rsidRPr="00075D25" w:rsidRDefault="007E1E1E" w:rsidP="00B50E5D">
            <w:pPr>
              <w:pStyle w:val="NotesText0"/>
            </w:pPr>
            <w:r w:rsidRPr="00075D25">
              <w:t>Land</w:t>
            </w:r>
          </w:p>
        </w:tc>
        <w:tc>
          <w:tcPr>
            <w:tcW w:w="4581" w:type="dxa"/>
            <w:tcBorders>
              <w:top w:val="single" w:sz="4" w:space="0" w:color="auto"/>
              <w:left w:val="single" w:sz="4" w:space="0" w:color="auto"/>
              <w:bottom w:val="single" w:sz="4" w:space="0" w:color="auto"/>
              <w:right w:val="single" w:sz="4" w:space="0" w:color="auto"/>
            </w:tcBorders>
            <w:hideMark/>
          </w:tcPr>
          <w:p w:rsidR="007E1E1E" w:rsidRPr="00075D25" w:rsidRDefault="007E1E1E" w:rsidP="00B50E5D">
            <w:pPr>
              <w:pStyle w:val="NotesText0"/>
            </w:pPr>
            <w:r w:rsidRPr="00075D25">
              <w:t>Market selling price</w:t>
            </w:r>
          </w:p>
        </w:tc>
      </w:tr>
      <w:tr w:rsidR="007E1E1E" w:rsidRPr="00075D25" w:rsidTr="00B50E5D">
        <w:tc>
          <w:tcPr>
            <w:tcW w:w="4473" w:type="dxa"/>
            <w:tcBorders>
              <w:top w:val="single" w:sz="4" w:space="0" w:color="auto"/>
              <w:left w:val="single" w:sz="4" w:space="0" w:color="auto"/>
              <w:bottom w:val="single" w:sz="4" w:space="0" w:color="auto"/>
              <w:right w:val="single" w:sz="4" w:space="0" w:color="auto"/>
            </w:tcBorders>
            <w:hideMark/>
          </w:tcPr>
          <w:p w:rsidR="007E1E1E" w:rsidRPr="00075D25" w:rsidRDefault="007E1E1E" w:rsidP="00B50E5D">
            <w:pPr>
              <w:pStyle w:val="NotesText0"/>
            </w:pPr>
            <w:r w:rsidRPr="00075D25">
              <w:t>Buildings excluding leasehold improvements</w:t>
            </w:r>
          </w:p>
        </w:tc>
        <w:tc>
          <w:tcPr>
            <w:tcW w:w="4581" w:type="dxa"/>
            <w:tcBorders>
              <w:top w:val="single" w:sz="4" w:space="0" w:color="auto"/>
              <w:left w:val="single" w:sz="4" w:space="0" w:color="auto"/>
              <w:bottom w:val="single" w:sz="4" w:space="0" w:color="auto"/>
              <w:right w:val="single" w:sz="4" w:space="0" w:color="auto"/>
            </w:tcBorders>
            <w:hideMark/>
          </w:tcPr>
          <w:p w:rsidR="007E1E1E" w:rsidRPr="00075D25" w:rsidRDefault="007E1E1E" w:rsidP="00B50E5D">
            <w:pPr>
              <w:pStyle w:val="NotesText0"/>
            </w:pPr>
            <w:r w:rsidRPr="00075D25">
              <w:t>Market selling price</w:t>
            </w:r>
          </w:p>
        </w:tc>
      </w:tr>
      <w:tr w:rsidR="007E1E1E" w:rsidRPr="00075D25" w:rsidTr="00B50E5D">
        <w:tc>
          <w:tcPr>
            <w:tcW w:w="4473" w:type="dxa"/>
            <w:tcBorders>
              <w:top w:val="single" w:sz="4" w:space="0" w:color="auto"/>
              <w:left w:val="single" w:sz="4" w:space="0" w:color="auto"/>
              <w:bottom w:val="single" w:sz="4" w:space="0" w:color="auto"/>
              <w:right w:val="single" w:sz="4" w:space="0" w:color="auto"/>
            </w:tcBorders>
            <w:hideMark/>
          </w:tcPr>
          <w:p w:rsidR="007E1E1E" w:rsidRPr="00075D25" w:rsidRDefault="007E1E1E" w:rsidP="00B50E5D">
            <w:pPr>
              <w:pStyle w:val="NotesText0"/>
            </w:pPr>
            <w:r w:rsidRPr="00075D25">
              <w:t>Buildings – Leasehold improvements</w:t>
            </w:r>
          </w:p>
        </w:tc>
        <w:tc>
          <w:tcPr>
            <w:tcW w:w="4581" w:type="dxa"/>
            <w:tcBorders>
              <w:top w:val="single" w:sz="4" w:space="0" w:color="auto"/>
              <w:left w:val="single" w:sz="4" w:space="0" w:color="auto"/>
              <w:bottom w:val="single" w:sz="4" w:space="0" w:color="auto"/>
              <w:right w:val="single" w:sz="4" w:space="0" w:color="auto"/>
            </w:tcBorders>
            <w:hideMark/>
          </w:tcPr>
          <w:p w:rsidR="007E1E1E" w:rsidRPr="00075D25" w:rsidRDefault="007E1E1E" w:rsidP="00B50E5D">
            <w:pPr>
              <w:pStyle w:val="NotesText0"/>
            </w:pPr>
            <w:r w:rsidRPr="00075D25">
              <w:t>Depreciated replacement cost</w:t>
            </w:r>
          </w:p>
        </w:tc>
      </w:tr>
      <w:tr w:rsidR="007E1E1E" w:rsidRPr="00075D25" w:rsidTr="00B50E5D">
        <w:tc>
          <w:tcPr>
            <w:tcW w:w="4473" w:type="dxa"/>
            <w:tcBorders>
              <w:top w:val="single" w:sz="4" w:space="0" w:color="auto"/>
              <w:left w:val="single" w:sz="4" w:space="0" w:color="auto"/>
              <w:bottom w:val="single" w:sz="4" w:space="0" w:color="auto"/>
              <w:right w:val="single" w:sz="4" w:space="0" w:color="auto"/>
            </w:tcBorders>
            <w:hideMark/>
          </w:tcPr>
          <w:p w:rsidR="007E1E1E" w:rsidRPr="00075D25" w:rsidRDefault="007E1E1E" w:rsidP="00B50E5D">
            <w:pPr>
              <w:pStyle w:val="NotesText0"/>
            </w:pPr>
            <w:r w:rsidRPr="00075D25">
              <w:t>Infrastructure, plant and equipment</w:t>
            </w:r>
          </w:p>
        </w:tc>
        <w:tc>
          <w:tcPr>
            <w:tcW w:w="4581" w:type="dxa"/>
            <w:tcBorders>
              <w:top w:val="single" w:sz="4" w:space="0" w:color="auto"/>
              <w:left w:val="single" w:sz="4" w:space="0" w:color="auto"/>
              <w:bottom w:val="single" w:sz="4" w:space="0" w:color="auto"/>
              <w:right w:val="single" w:sz="4" w:space="0" w:color="auto"/>
            </w:tcBorders>
            <w:hideMark/>
          </w:tcPr>
          <w:p w:rsidR="007E1E1E" w:rsidRPr="00075D25" w:rsidRDefault="007E1E1E" w:rsidP="00B50E5D">
            <w:pPr>
              <w:pStyle w:val="NotesText0"/>
            </w:pPr>
            <w:r w:rsidRPr="00075D25">
              <w:t>Market selling price</w:t>
            </w:r>
          </w:p>
        </w:tc>
      </w:tr>
    </w:tbl>
    <w:p w:rsidR="007E1E1E" w:rsidRPr="00075D25" w:rsidRDefault="007E1E1E" w:rsidP="007E1E1E">
      <w:pPr>
        <w:pStyle w:val="NotesText0"/>
      </w:pPr>
      <w:r w:rsidRPr="00075D25">
        <w:t xml:space="preserve">Following initial recognition at cost, infrastructure, plant and equipment are carried at fair value less accumulated depreciation and accumulated impairment losses. Valuations are conducted with sufficient frequency to ensure that the carrying amounts of assets do not differ materially from the assets’ fair values as at the reporting date. The regularity of independent valuations depends upon the volatility of movements in market values for the relevant assets. </w:t>
      </w:r>
    </w:p>
    <w:p w:rsidR="007E1E1E" w:rsidRPr="00075D25" w:rsidRDefault="007E1E1E" w:rsidP="007E1E1E">
      <w:pPr>
        <w:pStyle w:val="NotesText0"/>
      </w:pPr>
      <w:r w:rsidRPr="00075D25">
        <w:t>Revaluation adjustme</w:t>
      </w:r>
      <w:r>
        <w:t xml:space="preserve">nts are made on a class basis. </w:t>
      </w:r>
      <w:r w:rsidRPr="00075D25">
        <w:t>Any revaluation increment is credited to equity under the heading of asset revaluation reserve except to the extent that it reverses a previous revaluation decrement of the same asset class that was previously reco</w:t>
      </w:r>
      <w:r>
        <w:t xml:space="preserve">gnised in the surplus/deficit. </w:t>
      </w:r>
      <w:r w:rsidRPr="00075D25">
        <w:t>Revaluation decrements for a class of asset are recognised directly in the surplus/deficit except to the extent that they reverse a previous revaluation increment for that class.</w:t>
      </w:r>
    </w:p>
    <w:p w:rsidR="007E1E1E" w:rsidRPr="00075D25" w:rsidRDefault="007E1E1E" w:rsidP="007E1E1E">
      <w:pPr>
        <w:pStyle w:val="NotesText0"/>
      </w:pPr>
      <w:r w:rsidRPr="00075D25">
        <w:t>Any accumulated depreciation as at the revaluation date is eliminated against the gross carrying amount of the asset and the asset restated to the revalued amount.</w:t>
      </w:r>
    </w:p>
    <w:p w:rsidR="007E1E1E" w:rsidRPr="00BC79B6" w:rsidRDefault="007E1E1E" w:rsidP="007E1E1E">
      <w:pPr>
        <w:pStyle w:val="NotesText0"/>
        <w:rPr>
          <w:i/>
        </w:rPr>
      </w:pPr>
      <w:r w:rsidRPr="00BC79B6">
        <w:rPr>
          <w:i/>
        </w:rPr>
        <w:t>Depreciation</w:t>
      </w:r>
    </w:p>
    <w:p w:rsidR="007E1E1E" w:rsidRPr="00075D25" w:rsidRDefault="007E1E1E" w:rsidP="007E1E1E">
      <w:pPr>
        <w:pStyle w:val="NotesText0"/>
      </w:pPr>
      <w:r w:rsidRPr="00075D25">
        <w:t xml:space="preserve">Depreciable infrastructure, plant and equipment assets are written-off to their estimated residual values over their estimated useful lives to the department using, in all cases, the straight-line method of depreciation. </w:t>
      </w:r>
      <w:r w:rsidRPr="00075D25">
        <w:tab/>
      </w:r>
    </w:p>
    <w:p w:rsidR="007E1E1E" w:rsidRPr="00075D25" w:rsidRDefault="007E1E1E" w:rsidP="007E1E1E">
      <w:pPr>
        <w:pStyle w:val="NotesText0"/>
      </w:pPr>
      <w:r w:rsidRPr="00075D25">
        <w:t>Depreciation rates (useful lives), residual values and methods are reviewed at each reporting date and necessary adjustments are recognised in the current, or current and future reporting periods, as appropriate.</w:t>
      </w:r>
    </w:p>
    <w:p w:rsidR="007E1E1E" w:rsidRPr="00075D25" w:rsidRDefault="007E1E1E" w:rsidP="007E1E1E">
      <w:pPr>
        <w:pStyle w:val="NotesText0"/>
      </w:pPr>
      <w:r w:rsidRPr="00075D25">
        <w:t>Depreciation rates applying to each class of depreciable asset are based on the following useful lives:</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2820"/>
      </w:tblGrid>
      <w:tr w:rsidR="007E1E1E" w:rsidRPr="00BC79B6" w:rsidTr="00B50E5D">
        <w:tc>
          <w:tcPr>
            <w:tcW w:w="6300" w:type="dxa"/>
            <w:tcBorders>
              <w:top w:val="single" w:sz="4" w:space="0" w:color="auto"/>
              <w:left w:val="single" w:sz="4" w:space="0" w:color="auto"/>
              <w:bottom w:val="single" w:sz="4" w:space="0" w:color="auto"/>
              <w:right w:val="single" w:sz="4" w:space="0" w:color="auto"/>
            </w:tcBorders>
            <w:hideMark/>
          </w:tcPr>
          <w:p w:rsidR="007E1E1E" w:rsidRPr="00BC79B6" w:rsidRDefault="007E1E1E" w:rsidP="00B50E5D">
            <w:pPr>
              <w:pStyle w:val="NotesText0"/>
              <w:rPr>
                <w:b/>
              </w:rPr>
            </w:pPr>
            <w:r w:rsidRPr="00BC79B6">
              <w:rPr>
                <w:b/>
              </w:rPr>
              <w:t>Asset Class</w:t>
            </w:r>
          </w:p>
        </w:tc>
        <w:tc>
          <w:tcPr>
            <w:tcW w:w="2820" w:type="dxa"/>
            <w:tcBorders>
              <w:top w:val="single" w:sz="4" w:space="0" w:color="auto"/>
              <w:left w:val="single" w:sz="4" w:space="0" w:color="auto"/>
              <w:bottom w:val="single" w:sz="4" w:space="0" w:color="auto"/>
              <w:right w:val="single" w:sz="4" w:space="0" w:color="auto"/>
            </w:tcBorders>
            <w:vAlign w:val="center"/>
            <w:hideMark/>
          </w:tcPr>
          <w:p w:rsidR="007E1E1E" w:rsidRPr="00BC79B6" w:rsidRDefault="007E1E1E" w:rsidP="00B50E5D">
            <w:pPr>
              <w:pStyle w:val="NotesText0"/>
              <w:rPr>
                <w:b/>
              </w:rPr>
            </w:pPr>
            <w:r w:rsidRPr="00BC79B6">
              <w:rPr>
                <w:b/>
              </w:rPr>
              <w:t>2014</w:t>
            </w:r>
          </w:p>
        </w:tc>
      </w:tr>
      <w:tr w:rsidR="007E1E1E" w:rsidRPr="00075D25" w:rsidTr="00B50E5D">
        <w:tc>
          <w:tcPr>
            <w:tcW w:w="6300" w:type="dxa"/>
            <w:tcBorders>
              <w:top w:val="single" w:sz="4" w:space="0" w:color="auto"/>
              <w:left w:val="single" w:sz="4" w:space="0" w:color="auto"/>
              <w:bottom w:val="single" w:sz="4" w:space="0" w:color="auto"/>
              <w:right w:val="single" w:sz="4" w:space="0" w:color="auto"/>
            </w:tcBorders>
            <w:hideMark/>
          </w:tcPr>
          <w:p w:rsidR="007E1E1E" w:rsidRPr="00075D25" w:rsidRDefault="007E1E1E" w:rsidP="00B50E5D">
            <w:pPr>
              <w:pStyle w:val="NotesText0"/>
            </w:pPr>
            <w:r w:rsidRPr="00075D25">
              <w:t>Buildings on freehold land</w:t>
            </w:r>
          </w:p>
        </w:tc>
        <w:tc>
          <w:tcPr>
            <w:tcW w:w="2820" w:type="dxa"/>
            <w:tcBorders>
              <w:top w:val="single" w:sz="4" w:space="0" w:color="auto"/>
              <w:left w:val="single" w:sz="4" w:space="0" w:color="auto"/>
              <w:bottom w:val="single" w:sz="4" w:space="0" w:color="auto"/>
              <w:right w:val="single" w:sz="4" w:space="0" w:color="auto"/>
            </w:tcBorders>
            <w:hideMark/>
          </w:tcPr>
          <w:p w:rsidR="007E1E1E" w:rsidRPr="00075D25" w:rsidRDefault="007E1E1E" w:rsidP="00B50E5D">
            <w:pPr>
              <w:pStyle w:val="NotesText0"/>
            </w:pPr>
            <w:r w:rsidRPr="00075D25">
              <w:t>37</w:t>
            </w:r>
            <w:r>
              <w:t>–</w:t>
            </w:r>
            <w:r w:rsidRPr="00075D25">
              <w:t>51 years</w:t>
            </w:r>
          </w:p>
        </w:tc>
      </w:tr>
      <w:tr w:rsidR="007E1E1E" w:rsidRPr="00075D25" w:rsidTr="00B50E5D">
        <w:tc>
          <w:tcPr>
            <w:tcW w:w="6300" w:type="dxa"/>
            <w:tcBorders>
              <w:top w:val="single" w:sz="4" w:space="0" w:color="auto"/>
              <w:left w:val="single" w:sz="4" w:space="0" w:color="auto"/>
              <w:bottom w:val="single" w:sz="4" w:space="0" w:color="auto"/>
              <w:right w:val="single" w:sz="4" w:space="0" w:color="auto"/>
            </w:tcBorders>
            <w:hideMark/>
          </w:tcPr>
          <w:p w:rsidR="007E1E1E" w:rsidRPr="00075D25" w:rsidRDefault="007E1E1E" w:rsidP="00B50E5D">
            <w:pPr>
              <w:pStyle w:val="NotesText0"/>
            </w:pPr>
            <w:r w:rsidRPr="00075D25">
              <w:t>Buildings – leasehold improvements</w:t>
            </w:r>
          </w:p>
        </w:tc>
        <w:tc>
          <w:tcPr>
            <w:tcW w:w="2820" w:type="dxa"/>
            <w:tcBorders>
              <w:top w:val="single" w:sz="4" w:space="0" w:color="auto"/>
              <w:left w:val="single" w:sz="4" w:space="0" w:color="auto"/>
              <w:bottom w:val="single" w:sz="4" w:space="0" w:color="auto"/>
              <w:right w:val="single" w:sz="4" w:space="0" w:color="auto"/>
            </w:tcBorders>
            <w:hideMark/>
          </w:tcPr>
          <w:p w:rsidR="007E1E1E" w:rsidRPr="00075D25" w:rsidRDefault="007E1E1E" w:rsidP="00B50E5D">
            <w:pPr>
              <w:pStyle w:val="NotesText0"/>
            </w:pPr>
            <w:r w:rsidRPr="00075D25">
              <w:t>Lease term</w:t>
            </w:r>
          </w:p>
        </w:tc>
      </w:tr>
      <w:tr w:rsidR="007E1E1E" w:rsidRPr="00075D25" w:rsidTr="00B50E5D">
        <w:tc>
          <w:tcPr>
            <w:tcW w:w="6300" w:type="dxa"/>
            <w:tcBorders>
              <w:top w:val="single" w:sz="4" w:space="0" w:color="auto"/>
              <w:left w:val="single" w:sz="4" w:space="0" w:color="auto"/>
              <w:bottom w:val="single" w:sz="4" w:space="0" w:color="auto"/>
              <w:right w:val="single" w:sz="4" w:space="0" w:color="auto"/>
            </w:tcBorders>
            <w:hideMark/>
          </w:tcPr>
          <w:p w:rsidR="007E1E1E" w:rsidRPr="00075D25" w:rsidRDefault="007E1E1E" w:rsidP="00B50E5D">
            <w:pPr>
              <w:pStyle w:val="NotesText0"/>
            </w:pPr>
            <w:r w:rsidRPr="00075D25">
              <w:t>Infrastructure, plant and equipment</w:t>
            </w:r>
          </w:p>
        </w:tc>
        <w:tc>
          <w:tcPr>
            <w:tcW w:w="2820" w:type="dxa"/>
            <w:tcBorders>
              <w:top w:val="single" w:sz="4" w:space="0" w:color="auto"/>
              <w:left w:val="single" w:sz="4" w:space="0" w:color="auto"/>
              <w:bottom w:val="single" w:sz="4" w:space="0" w:color="auto"/>
              <w:right w:val="single" w:sz="4" w:space="0" w:color="auto"/>
            </w:tcBorders>
            <w:hideMark/>
          </w:tcPr>
          <w:p w:rsidR="007E1E1E" w:rsidRPr="00075D25" w:rsidRDefault="007E1E1E" w:rsidP="00B50E5D">
            <w:pPr>
              <w:pStyle w:val="NotesText0"/>
            </w:pPr>
            <w:r w:rsidRPr="00075D25">
              <w:t>3</w:t>
            </w:r>
            <w:r>
              <w:t>–</w:t>
            </w:r>
            <w:r w:rsidRPr="00075D25">
              <w:t>25 years</w:t>
            </w:r>
          </w:p>
        </w:tc>
      </w:tr>
    </w:tbl>
    <w:p w:rsidR="007E1E1E" w:rsidRPr="00BC79B6" w:rsidRDefault="007E1E1E" w:rsidP="007E1E1E">
      <w:pPr>
        <w:pStyle w:val="NotesText0"/>
        <w:rPr>
          <w:i/>
        </w:rPr>
      </w:pPr>
      <w:r w:rsidRPr="00BC79B6">
        <w:rPr>
          <w:i/>
        </w:rPr>
        <w:t>Impairment</w:t>
      </w:r>
    </w:p>
    <w:p w:rsidR="007E1E1E" w:rsidRPr="00075D25" w:rsidRDefault="007E1E1E" w:rsidP="007E1E1E">
      <w:pPr>
        <w:pStyle w:val="NotesText0"/>
      </w:pPr>
      <w:r w:rsidRPr="00075D25">
        <w:t xml:space="preserve">All assets were assessed for impairment at 30 June </w:t>
      </w:r>
      <w:fldSimple w:instr=" DOCPROPERTY  crYear  \* MERGEFORMAT ">
        <w:r>
          <w:t>2014</w:t>
        </w:r>
      </w:fldSimple>
      <w:r>
        <w:t xml:space="preserve">. </w:t>
      </w:r>
      <w:r w:rsidRPr="00075D25">
        <w:t>Where indications of impairment exist, the asset’s recoverable amount is estimated and an impairment adjustment made if the asset’s recoverable amount is less than its carrying amount.</w:t>
      </w:r>
    </w:p>
    <w:p w:rsidR="007E1E1E" w:rsidRPr="00075D25" w:rsidRDefault="007E1E1E" w:rsidP="007E1E1E">
      <w:pPr>
        <w:pStyle w:val="NotesText0"/>
      </w:pPr>
      <w:r w:rsidRPr="00075D25">
        <w:t>The recoverable amount of an asset is the higher of its fair value less costs to sell and its value in use. Value in use is the present value of the future cash flows expected</w:t>
      </w:r>
      <w:r>
        <w:t xml:space="preserve"> to be derived from the asset. </w:t>
      </w:r>
      <w:r w:rsidRPr="00075D25">
        <w:t>Where the future economic benefit of an asset is not primarily dependent on the asset’s ability to generate future cash flows, and the asset would be replaced if the department were deprived of the asset, its value in use is taken to be its depreciated replacement cost.</w:t>
      </w:r>
    </w:p>
    <w:p w:rsidR="007E1E1E" w:rsidRDefault="007E1E1E" w:rsidP="007E1E1E">
      <w:pPr>
        <w:pStyle w:val="NotesText0"/>
        <w:rPr>
          <w:i/>
        </w:rPr>
      </w:pPr>
      <w:r>
        <w:rPr>
          <w:i/>
        </w:rPr>
        <w:lastRenderedPageBreak/>
        <w:br w:type="page"/>
      </w:r>
    </w:p>
    <w:p w:rsidR="007E1E1E" w:rsidRPr="00BC79B6" w:rsidRDefault="007E1E1E" w:rsidP="007E1E1E">
      <w:pPr>
        <w:pStyle w:val="NotesText0"/>
        <w:rPr>
          <w:i/>
        </w:rPr>
      </w:pPr>
      <w:proofErr w:type="spellStart"/>
      <w:r w:rsidRPr="00BC79B6">
        <w:rPr>
          <w:i/>
        </w:rPr>
        <w:lastRenderedPageBreak/>
        <w:t>Derecognition</w:t>
      </w:r>
      <w:proofErr w:type="spellEnd"/>
    </w:p>
    <w:p w:rsidR="007E1E1E" w:rsidRPr="00075D25" w:rsidRDefault="007E1E1E" w:rsidP="007E1E1E">
      <w:pPr>
        <w:pStyle w:val="NotesText0"/>
      </w:pPr>
      <w:r w:rsidRPr="00075D25">
        <w:t>An item of infrastructure, plant and equipment is derecognised upon disposal or when no further future economic benefits are expected from its use or disposal.</w:t>
      </w:r>
    </w:p>
    <w:p w:rsidR="007E1E1E" w:rsidRPr="00BC79B6" w:rsidRDefault="007E1E1E" w:rsidP="007E1E1E">
      <w:pPr>
        <w:pStyle w:val="NotesText0"/>
        <w:rPr>
          <w:i/>
        </w:rPr>
      </w:pPr>
      <w:r w:rsidRPr="00BC79B6">
        <w:rPr>
          <w:i/>
        </w:rPr>
        <w:t>Assets not previously recognised</w:t>
      </w:r>
    </w:p>
    <w:p w:rsidR="007E1E1E" w:rsidRPr="00075D25" w:rsidRDefault="007E1E1E" w:rsidP="007E1E1E">
      <w:pPr>
        <w:pStyle w:val="NotesText0"/>
      </w:pPr>
      <w:r w:rsidRPr="00075D25">
        <w:t xml:space="preserve">Equipment was brought to account as part of infrastructure, plant and equipment for the first time as at 30 June 2014.  </w:t>
      </w:r>
    </w:p>
    <w:p w:rsidR="007E1E1E" w:rsidRDefault="007E1E1E" w:rsidP="007E1E1E">
      <w:pPr>
        <w:pStyle w:val="SAPHeading-Level2"/>
        <w:numPr>
          <w:ilvl w:val="1"/>
          <w:numId w:val="15"/>
        </w:numPr>
      </w:pPr>
      <w:r>
        <w:t xml:space="preserve">Intangibles </w:t>
      </w:r>
    </w:p>
    <w:p w:rsidR="007E1E1E" w:rsidRPr="00075D25" w:rsidRDefault="007E1E1E" w:rsidP="007E1E1E">
      <w:pPr>
        <w:pStyle w:val="NotesText0"/>
      </w:pPr>
      <w:r w:rsidRPr="00075D25">
        <w:t xml:space="preserve">The department’s intangibles comprise purchased and internally developed software for internal use. These assets are carried at cost less accumulated amortisation and </w:t>
      </w:r>
      <w:r>
        <w:t xml:space="preserve">accumulated impairment losses. </w:t>
      </w:r>
      <w:r w:rsidRPr="00075D25">
        <w:t>Purchases costing less than $200,000 are expensed in the year of acquisition (other than where they form part of a group of similar items which are significant in total).</w:t>
      </w:r>
    </w:p>
    <w:p w:rsidR="007E1E1E" w:rsidRPr="00075D25" w:rsidRDefault="007E1E1E" w:rsidP="007E1E1E">
      <w:pPr>
        <w:pStyle w:val="NotesText0"/>
      </w:pPr>
      <w:r w:rsidRPr="00075D25">
        <w:t>Software is amortised on a straight-line basis over its anticipated useful life. The useful lives of the department’s software are 2</w:t>
      </w:r>
      <w:r>
        <w:t>–</w:t>
      </w:r>
      <w:r w:rsidRPr="00075D25">
        <w:t>15 years.</w:t>
      </w:r>
      <w:r w:rsidRPr="00075D25">
        <w:tab/>
      </w:r>
    </w:p>
    <w:p w:rsidR="007E1E1E" w:rsidRPr="00075D25" w:rsidRDefault="007E1E1E" w:rsidP="007E1E1E">
      <w:pPr>
        <w:pStyle w:val="NotesText0"/>
      </w:pPr>
      <w:r w:rsidRPr="00075D25">
        <w:t xml:space="preserve">All software assets were assessed for indications of impairment as at 30 June </w:t>
      </w:r>
      <w:fldSimple w:instr=" DOCPROPERTY  crYear  \* MERGEFORMAT ">
        <w:r>
          <w:t>2014</w:t>
        </w:r>
      </w:fldSimple>
      <w:r w:rsidRPr="00075D25">
        <w:t>.</w:t>
      </w:r>
    </w:p>
    <w:p w:rsidR="007E1E1E" w:rsidRDefault="007E1E1E" w:rsidP="007E1E1E">
      <w:pPr>
        <w:pStyle w:val="SAPHeading-Level2"/>
        <w:numPr>
          <w:ilvl w:val="1"/>
          <w:numId w:val="15"/>
        </w:numPr>
      </w:pPr>
      <w:r>
        <w:t>Taxation</w:t>
      </w:r>
    </w:p>
    <w:p w:rsidR="007E1E1E" w:rsidRPr="00075D25" w:rsidRDefault="007E1E1E" w:rsidP="007E1E1E">
      <w:pPr>
        <w:pStyle w:val="NotesText0"/>
      </w:pPr>
      <w:r w:rsidRPr="00075D25">
        <w:t>The department is exempt from all forms of taxation except Fringe Benefits Tax (</w:t>
      </w:r>
      <w:proofErr w:type="spellStart"/>
      <w:r w:rsidRPr="00075D25">
        <w:t>FBT</w:t>
      </w:r>
      <w:proofErr w:type="spellEnd"/>
      <w:r w:rsidRPr="00075D25">
        <w:t>) and the Goods and Services Tax (GST).</w:t>
      </w:r>
    </w:p>
    <w:p w:rsidR="007E1E1E" w:rsidRPr="00075D25" w:rsidRDefault="007E1E1E" w:rsidP="007E1E1E">
      <w:pPr>
        <w:pStyle w:val="NotesText0"/>
      </w:pPr>
      <w:r w:rsidRPr="00075D25">
        <w:t>Revenues, expenses and assets are recognised net of GST except:</w:t>
      </w:r>
      <w:r w:rsidRPr="00075D25">
        <w:tab/>
      </w:r>
    </w:p>
    <w:p w:rsidR="007E1E1E" w:rsidRPr="00BC79B6" w:rsidRDefault="007E1E1E" w:rsidP="007E1E1E">
      <w:pPr>
        <w:pStyle w:val="BulletKPMG"/>
        <w:numPr>
          <w:ilvl w:val="0"/>
          <w:numId w:val="16"/>
        </w:numPr>
        <w:rPr>
          <w:rFonts w:asciiTheme="minorHAnsi" w:hAnsiTheme="minorHAnsi" w:cstheme="minorHAnsi"/>
          <w:sz w:val="18"/>
          <w:szCs w:val="18"/>
          <w:lang w:val="en-AU"/>
        </w:rPr>
      </w:pPr>
      <w:r w:rsidRPr="00BC79B6">
        <w:rPr>
          <w:rFonts w:asciiTheme="minorHAnsi" w:hAnsiTheme="minorHAnsi" w:cstheme="minorHAnsi"/>
          <w:sz w:val="18"/>
          <w:szCs w:val="18"/>
          <w:lang w:val="en-AU"/>
        </w:rPr>
        <w:t>where the amount of GST incurred is not recoverable from the Australian Taxation Office</w:t>
      </w:r>
    </w:p>
    <w:p w:rsidR="007E1E1E" w:rsidRPr="00BC79B6" w:rsidRDefault="007E1E1E" w:rsidP="007E1E1E">
      <w:pPr>
        <w:pStyle w:val="BulletKPMG"/>
        <w:numPr>
          <w:ilvl w:val="0"/>
          <w:numId w:val="16"/>
        </w:numPr>
        <w:rPr>
          <w:rFonts w:asciiTheme="minorHAnsi" w:hAnsiTheme="minorHAnsi" w:cstheme="minorHAnsi"/>
          <w:sz w:val="18"/>
          <w:szCs w:val="18"/>
          <w:lang w:val="en-AU"/>
        </w:rPr>
      </w:pPr>
      <w:proofErr w:type="gramStart"/>
      <w:r w:rsidRPr="00BC79B6">
        <w:rPr>
          <w:rFonts w:asciiTheme="minorHAnsi" w:hAnsiTheme="minorHAnsi" w:cstheme="minorHAnsi"/>
          <w:sz w:val="18"/>
          <w:szCs w:val="18"/>
          <w:lang w:val="en-AU"/>
        </w:rPr>
        <w:t>for</w:t>
      </w:r>
      <w:proofErr w:type="gramEnd"/>
      <w:r w:rsidRPr="00BC79B6">
        <w:rPr>
          <w:rFonts w:asciiTheme="minorHAnsi" w:hAnsiTheme="minorHAnsi" w:cstheme="minorHAnsi"/>
          <w:sz w:val="18"/>
          <w:szCs w:val="18"/>
          <w:lang w:val="en-AU"/>
        </w:rPr>
        <w:t xml:space="preserve"> receivables and payables.</w:t>
      </w:r>
    </w:p>
    <w:p w:rsidR="007E1E1E" w:rsidRDefault="007E1E1E" w:rsidP="007E1E1E">
      <w:pPr>
        <w:pStyle w:val="SAPHeading-Level2"/>
        <w:numPr>
          <w:ilvl w:val="1"/>
          <w:numId w:val="15"/>
        </w:numPr>
      </w:pPr>
      <w:r>
        <w:t>Shared Services arrangements</w:t>
      </w:r>
    </w:p>
    <w:p w:rsidR="007E1E1E" w:rsidRPr="005556A7" w:rsidRDefault="007E1E1E" w:rsidP="007E1E1E">
      <w:pPr>
        <w:pStyle w:val="NotesText0"/>
      </w:pPr>
      <w:r w:rsidRPr="005556A7">
        <w:t xml:space="preserve">Following the abolition of the Department of Education, Employment and Workplace Relations on 18 September 2013 the Departments’ of Education and Employment </w:t>
      </w:r>
      <w:r>
        <w:t xml:space="preserve">are establishing </w:t>
      </w:r>
      <w:r w:rsidRPr="005556A7">
        <w:t>a Shared Services Centre (SSC) to support corporate services across the two partner agencies and other customers.  The SSC commence</w:t>
      </w:r>
      <w:r>
        <w:t>s</w:t>
      </w:r>
      <w:r w:rsidRPr="005556A7">
        <w:t xml:space="preserve"> for</w:t>
      </w:r>
      <w:r>
        <w:t>mal operations on 1 July 2014. </w:t>
      </w:r>
      <w:r w:rsidRPr="005556A7">
        <w:t xml:space="preserve">The SSC provides operational, transactional, </w:t>
      </w:r>
      <w:proofErr w:type="gramStart"/>
      <w:r w:rsidRPr="005556A7">
        <w:t>advisory</w:t>
      </w:r>
      <w:proofErr w:type="gramEnd"/>
      <w:r w:rsidRPr="005556A7">
        <w:t xml:space="preserve"> and support functions for Information Technology and a range of Corporate Services for both depa</w:t>
      </w:r>
      <w:r>
        <w:t>rtments. </w:t>
      </w:r>
      <w:r w:rsidRPr="005556A7">
        <w:t>The SSC is a joint operation and is supported by a governance committee which includes the secretaries of the partner departments, and representatives from the Australian Public Service Commission and the Department of Finance. The financial statements for both departments recognise their interest in the SSC using proportionate consolidation on the face of the financial statements</w:t>
      </w:r>
      <w:r>
        <w:t>.</w:t>
      </w:r>
    </w:p>
    <w:p w:rsidR="007E1E1E" w:rsidRPr="005556A7" w:rsidRDefault="007E1E1E" w:rsidP="007E1E1E">
      <w:pPr>
        <w:pStyle w:val="NotesText0"/>
      </w:pPr>
    </w:p>
    <w:p w:rsidR="007E1E1E" w:rsidRDefault="007E1E1E" w:rsidP="007E1E1E">
      <w:pPr>
        <w:pStyle w:val="ReferenceText"/>
      </w:pPr>
      <w:r>
        <w:br w:type="page"/>
      </w:r>
    </w:p>
    <w:tbl>
      <w:tblPr>
        <w:tblW w:w="0" w:type="auto"/>
        <w:tblLook w:val="01E0" w:firstRow="1" w:lastRow="1" w:firstColumn="1" w:lastColumn="1" w:noHBand="0" w:noVBand="0"/>
      </w:tblPr>
      <w:tblGrid>
        <w:gridCol w:w="9854"/>
      </w:tblGrid>
      <w:tr w:rsidR="007E1E1E" w:rsidTr="00B50E5D">
        <w:tc>
          <w:tcPr>
            <w:tcW w:w="9854" w:type="dxa"/>
            <w:shd w:val="clear" w:color="auto" w:fill="CCCCCC"/>
            <w:hideMark/>
          </w:tcPr>
          <w:p w:rsidR="007E1E1E" w:rsidRPr="00962762" w:rsidRDefault="007E1E1E" w:rsidP="007E1E1E">
            <w:pPr>
              <w:pStyle w:val="SAPHeading-Level2"/>
              <w:numPr>
                <w:ilvl w:val="1"/>
                <w:numId w:val="15"/>
              </w:numPr>
              <w:rPr>
                <w:sz w:val="18"/>
                <w:szCs w:val="18"/>
              </w:rPr>
            </w:pPr>
            <w:r w:rsidRPr="00962762">
              <w:rPr>
                <w:sz w:val="18"/>
                <w:szCs w:val="18"/>
              </w:rPr>
              <w:lastRenderedPageBreak/>
              <w:t>Reporting of Administered Activities</w:t>
            </w:r>
          </w:p>
          <w:p w:rsidR="007E1E1E" w:rsidRPr="00962762" w:rsidRDefault="007E1E1E" w:rsidP="00B50E5D">
            <w:pPr>
              <w:pStyle w:val="StyleNotesTextBold1"/>
            </w:pPr>
            <w:r w:rsidRPr="00962762">
              <w:t>Administered revenues, expenses, assets, liabilities and cash flows are disclosed in the Schedule of Administered Items and related notes.</w:t>
            </w:r>
          </w:p>
          <w:p w:rsidR="007E1E1E" w:rsidRPr="00962762" w:rsidRDefault="007E1E1E" w:rsidP="00B50E5D">
            <w:pPr>
              <w:pStyle w:val="StyleNotesTextBold1"/>
            </w:pPr>
            <w:r w:rsidRPr="00962762">
              <w:t>Except where otherwise stated below, administered items are accounted for on the same basis and using the same policies as for departmental items, including the application of Australian Accounting Standards.</w:t>
            </w:r>
          </w:p>
          <w:p w:rsidR="007E1E1E" w:rsidRPr="00962762" w:rsidRDefault="007E1E1E" w:rsidP="00B50E5D">
            <w:pPr>
              <w:pStyle w:val="StyleNotesTextBold1"/>
              <w:rPr>
                <w:i/>
              </w:rPr>
            </w:pPr>
            <w:r w:rsidRPr="00962762">
              <w:rPr>
                <w:i/>
              </w:rPr>
              <w:t>Administered cash transfers to and from the Official Public Account</w:t>
            </w:r>
          </w:p>
          <w:p w:rsidR="007E1E1E" w:rsidRPr="00962762" w:rsidRDefault="007E1E1E" w:rsidP="00B50E5D">
            <w:pPr>
              <w:pStyle w:val="StyleNotesTextBold1"/>
            </w:pPr>
            <w:r w:rsidRPr="00962762">
              <w:t>Revenue collected by the department for use by the Government rather than the department is administered revenue. Collections are transferred to the Official Public Account (</w:t>
            </w:r>
            <w:proofErr w:type="spellStart"/>
            <w:r w:rsidRPr="00962762">
              <w:t>OPA</w:t>
            </w:r>
            <w:proofErr w:type="spellEnd"/>
            <w:r w:rsidRPr="00962762">
              <w:t xml:space="preserve">) maintained by the Department of Finance. Conversely, cash is drawn from the </w:t>
            </w:r>
            <w:proofErr w:type="spellStart"/>
            <w:r w:rsidRPr="00962762">
              <w:t>OPA</w:t>
            </w:r>
            <w:proofErr w:type="spellEnd"/>
            <w:r w:rsidRPr="00962762">
              <w:t xml:space="preserve"> to make payments under Parliamentary appropriation on behalf of Government. These transfers to and from the </w:t>
            </w:r>
            <w:proofErr w:type="spellStart"/>
            <w:r w:rsidRPr="00962762">
              <w:t>OPA</w:t>
            </w:r>
            <w:proofErr w:type="spellEnd"/>
            <w:r w:rsidRPr="00962762">
              <w:t xml:space="preserve"> are adjustments to the administered cash held by the department on behalf of the Government and reported as such in the schedule of administered cash flows and in the administered reconciliation schedule.</w:t>
            </w:r>
          </w:p>
          <w:p w:rsidR="007E1E1E" w:rsidRPr="00962762" w:rsidRDefault="007E1E1E" w:rsidP="00B50E5D">
            <w:pPr>
              <w:pStyle w:val="StyleNotesTextBold1"/>
              <w:rPr>
                <w:i/>
              </w:rPr>
            </w:pPr>
            <w:r w:rsidRPr="00962762">
              <w:rPr>
                <w:i/>
              </w:rPr>
              <w:t>Revenue</w:t>
            </w:r>
          </w:p>
          <w:p w:rsidR="007E1E1E" w:rsidRPr="00962762" w:rsidRDefault="007E1E1E" w:rsidP="00B50E5D">
            <w:pPr>
              <w:pStyle w:val="StyleNotesTextBold1"/>
            </w:pPr>
            <w:r w:rsidRPr="00962762">
              <w:t>All administered revenues are revenues relating to the course of ordinary activities performed by the department on behalf of the Australian Government. As such, administered appropriations are not revenues of the individual entity that oversees distribution or expenditure of funds as directed.</w:t>
            </w:r>
          </w:p>
          <w:p w:rsidR="007E1E1E" w:rsidRDefault="007E1E1E" w:rsidP="00B50E5D">
            <w:pPr>
              <w:pStyle w:val="StyleNotesTextBold1"/>
            </w:pPr>
            <w:r w:rsidRPr="00962762">
              <w:t>Administered fee revenue is recognised when the service is pr</w:t>
            </w:r>
            <w:r>
              <w:t xml:space="preserve">ovided. </w:t>
            </w:r>
            <w:r w:rsidRPr="00962762">
              <w:t>Collectability of the debt is reviewed at balance date.  Impairment allowances are made when collectability of the debt is judged to be less, rather than more, likely.</w:t>
            </w:r>
          </w:p>
          <w:p w:rsidR="007E1E1E" w:rsidRPr="00962762" w:rsidRDefault="007E1E1E" w:rsidP="00B50E5D">
            <w:pPr>
              <w:pStyle w:val="StyleNotesTextBold1"/>
              <w:rPr>
                <w:i/>
              </w:rPr>
            </w:pPr>
            <w:r w:rsidRPr="00962762">
              <w:rPr>
                <w:i/>
              </w:rPr>
              <w:t>Gains and losses</w:t>
            </w:r>
          </w:p>
          <w:p w:rsidR="007E1E1E" w:rsidRPr="00962762" w:rsidRDefault="007E1E1E" w:rsidP="00B50E5D">
            <w:pPr>
              <w:pStyle w:val="StyleNotesTextBold1"/>
            </w:pPr>
            <w:r w:rsidRPr="00962762">
              <w:t>Administered gains or losses under the Higher Education Loan Program</w:t>
            </w:r>
            <w:r>
              <w:t>me</w:t>
            </w:r>
            <w:r w:rsidRPr="00962762">
              <w:t xml:space="preserve"> (HELP) and Unfunded University Superannuation are recognised at 30 June each year based on an actuarial assessment of the fair value.</w:t>
            </w:r>
          </w:p>
          <w:p w:rsidR="007E1E1E" w:rsidRPr="00962762" w:rsidRDefault="007E1E1E" w:rsidP="00B50E5D">
            <w:pPr>
              <w:pStyle w:val="StyleNotesTextBold1"/>
              <w:rPr>
                <w:i/>
              </w:rPr>
            </w:pPr>
            <w:r w:rsidRPr="00962762">
              <w:rPr>
                <w:i/>
              </w:rPr>
              <w:t>Loans and receivables</w:t>
            </w:r>
          </w:p>
          <w:p w:rsidR="007E1E1E" w:rsidRPr="00962762" w:rsidRDefault="007E1E1E" w:rsidP="00B50E5D">
            <w:pPr>
              <w:pStyle w:val="StyleNotesTextBold1"/>
            </w:pPr>
            <w:r w:rsidRPr="00962762">
              <w:t xml:space="preserve">Where loans and receivables are not subject to concessional treatment, they are carried at amortised cost using the effective interest method.  Gains and losses due to </w:t>
            </w:r>
            <w:proofErr w:type="gramStart"/>
            <w:r w:rsidRPr="00962762">
              <w:t>impairment,</w:t>
            </w:r>
            <w:proofErr w:type="gramEnd"/>
            <w:r w:rsidRPr="00962762">
              <w:t xml:space="preserve"> </w:t>
            </w:r>
            <w:proofErr w:type="spellStart"/>
            <w:r w:rsidRPr="00962762">
              <w:t>derecognition</w:t>
            </w:r>
            <w:proofErr w:type="spellEnd"/>
            <w:r w:rsidRPr="00962762">
              <w:t xml:space="preserve"> and amortisation are recognised through profit or loss.  </w:t>
            </w:r>
          </w:p>
          <w:p w:rsidR="007E1E1E" w:rsidRPr="00962762" w:rsidRDefault="007E1E1E" w:rsidP="00B50E5D">
            <w:pPr>
              <w:pStyle w:val="StyleNotesTextBold1"/>
            </w:pPr>
            <w:r w:rsidRPr="00962762">
              <w:t xml:space="preserve">The HELP scheme is administered under the </w:t>
            </w:r>
            <w:r w:rsidRPr="00962762">
              <w:rPr>
                <w:i/>
              </w:rPr>
              <w:t>Higher Education Support Act 2003</w:t>
            </w:r>
            <w:r w:rsidRPr="00962762">
              <w:t xml:space="preserve">. HELP consists of </w:t>
            </w:r>
            <w:proofErr w:type="spellStart"/>
            <w:r w:rsidRPr="00962762">
              <w:t>HECS</w:t>
            </w:r>
            <w:proofErr w:type="spellEnd"/>
            <w:r w:rsidRPr="00962762">
              <w:t>-HELP, FEE-HELP, OS-HELP and VET FEE-HELP, and any resulting debts are called a HELP debt.</w:t>
            </w:r>
          </w:p>
          <w:p w:rsidR="007E1E1E" w:rsidRPr="00962762" w:rsidRDefault="007E1E1E" w:rsidP="00B50E5D">
            <w:pPr>
              <w:pStyle w:val="StyleNotesTextBold1"/>
            </w:pPr>
            <w:r w:rsidRPr="00962762">
              <w:t>The HELP debts are reflected as a receivable in the S</w:t>
            </w:r>
            <w:r>
              <w:t xml:space="preserve">chedule of Administered Items. </w:t>
            </w:r>
            <w:r w:rsidRPr="00962762">
              <w:t>The Australian Taxation Office (</w:t>
            </w:r>
            <w:proofErr w:type="spellStart"/>
            <w:r w:rsidRPr="00962762">
              <w:t>ATO</w:t>
            </w:r>
            <w:proofErr w:type="spellEnd"/>
            <w:r w:rsidRPr="00962762">
              <w:t xml:space="preserve">) collects repayments of debts through the </w:t>
            </w:r>
            <w:proofErr w:type="spellStart"/>
            <w:r w:rsidRPr="00962762">
              <w:t>PAYG</w:t>
            </w:r>
            <w:proofErr w:type="spellEnd"/>
            <w:r w:rsidRPr="00962762">
              <w:t xml:space="preserve"> income tax system and voluntary repayments.</w:t>
            </w:r>
          </w:p>
          <w:p w:rsidR="007E1E1E" w:rsidRPr="00962762" w:rsidRDefault="007E1E1E" w:rsidP="00B50E5D">
            <w:pPr>
              <w:pStyle w:val="StyleNotesTextBold1"/>
            </w:pPr>
            <w:r w:rsidRPr="00962762">
              <w:t>The department has recorded</w:t>
            </w:r>
            <w:r>
              <w:t xml:space="preserve"> the total accumulated </w:t>
            </w:r>
            <w:proofErr w:type="spellStart"/>
            <w:r>
              <w:t>HECS</w:t>
            </w:r>
            <w:proofErr w:type="spellEnd"/>
            <w:r>
              <w:t xml:space="preserve"> and/</w:t>
            </w:r>
            <w:r w:rsidRPr="00962762">
              <w:t xml:space="preserve">or HELP debt in its financial statements at fair value in accordance with </w:t>
            </w:r>
            <w:proofErr w:type="spellStart"/>
            <w:r w:rsidRPr="00962762">
              <w:rPr>
                <w:i/>
              </w:rPr>
              <w:t>AASB</w:t>
            </w:r>
            <w:proofErr w:type="spellEnd"/>
            <w:r w:rsidRPr="00962762">
              <w:rPr>
                <w:i/>
              </w:rPr>
              <w:t xml:space="preserve"> 139 Financial Instruments: Recognition and Measurement</w:t>
            </w:r>
            <w:r w:rsidRPr="00962762">
              <w:t xml:space="preserve">. This varies from the debt level shown in the </w:t>
            </w:r>
            <w:proofErr w:type="spellStart"/>
            <w:r w:rsidRPr="00962762">
              <w:t>ATO</w:t>
            </w:r>
            <w:proofErr w:type="spellEnd"/>
            <w:r w:rsidRPr="00962762">
              <w:t xml:space="preserve"> certificate.</w:t>
            </w:r>
          </w:p>
          <w:p w:rsidR="007E1E1E" w:rsidRPr="00962762" w:rsidRDefault="007E1E1E" w:rsidP="00B50E5D">
            <w:pPr>
              <w:pStyle w:val="StyleNotesTextBold1"/>
            </w:pPr>
            <w:r w:rsidRPr="00962762">
              <w:t xml:space="preserve">Administered receivables, including those relating to personal benefit </w:t>
            </w:r>
            <w:proofErr w:type="gramStart"/>
            <w:r w:rsidRPr="00962762">
              <w:t>overpayments,</w:t>
            </w:r>
            <w:proofErr w:type="gramEnd"/>
            <w:r w:rsidRPr="00962762">
              <w:t xml:space="preserve"> represent debts owed to the department by past and present customers. All debts known to be irrecoverable are excluded from the value of administered receivables. </w:t>
            </w:r>
          </w:p>
        </w:tc>
      </w:tr>
      <w:tr w:rsidR="007E1E1E" w:rsidTr="00B50E5D">
        <w:tc>
          <w:tcPr>
            <w:tcW w:w="9854" w:type="dxa"/>
            <w:shd w:val="clear" w:color="auto" w:fill="CCCCCC"/>
            <w:hideMark/>
          </w:tcPr>
          <w:p w:rsidR="007E1E1E" w:rsidRPr="00962762" w:rsidRDefault="007E1E1E" w:rsidP="00B50E5D">
            <w:pPr>
              <w:pStyle w:val="StyleNotesTextBold1"/>
            </w:pPr>
            <w:r w:rsidRPr="00962762">
              <w:t>Independent valuations are conducted with sufficient frequency to ensure that the carrying amounts of impairment allowances for doubtful debts does not differ materially from the fair value as at the reporting date. The regularity of independent valuations depends upon the volatility of movements in the program</w:t>
            </w:r>
            <w:r>
              <w:t>me</w:t>
            </w:r>
            <w:r w:rsidRPr="00962762">
              <w:t>s.</w:t>
            </w:r>
          </w:p>
          <w:p w:rsidR="007E1E1E" w:rsidRPr="00962762" w:rsidRDefault="007E1E1E" w:rsidP="00B50E5D">
            <w:pPr>
              <w:pStyle w:val="StyleNotesTextBold1"/>
              <w:rPr>
                <w:i/>
              </w:rPr>
            </w:pPr>
            <w:r w:rsidRPr="00962762">
              <w:rPr>
                <w:i/>
              </w:rPr>
              <w:t>Administered investments</w:t>
            </w:r>
          </w:p>
          <w:p w:rsidR="007E1E1E" w:rsidRPr="00962762" w:rsidRDefault="007E1E1E" w:rsidP="00B50E5D">
            <w:pPr>
              <w:pStyle w:val="StyleNotesTextBold1"/>
            </w:pPr>
            <w:r w:rsidRPr="00962762">
              <w:t xml:space="preserve">Administered investments in subsidiaries, joint ventures and associates are not consolidated because their consolidation is relevant only at the </w:t>
            </w:r>
            <w:r>
              <w:t>w</w:t>
            </w:r>
            <w:r w:rsidRPr="00962762">
              <w:t xml:space="preserve">hole of </w:t>
            </w:r>
            <w:r>
              <w:t>g</w:t>
            </w:r>
            <w:r w:rsidRPr="00962762">
              <w:t>overnment level.</w:t>
            </w:r>
          </w:p>
          <w:p w:rsidR="007E1E1E" w:rsidRPr="00962762" w:rsidRDefault="007E1E1E" w:rsidP="00B50E5D">
            <w:pPr>
              <w:pStyle w:val="StyleNotesTextBold1"/>
            </w:pPr>
            <w:r w:rsidRPr="00962762">
              <w:t>Administered investments other than those held for sale are classified as available</w:t>
            </w:r>
            <w:r>
              <w:t>-</w:t>
            </w:r>
            <w:r w:rsidRPr="00962762">
              <w:t>for</w:t>
            </w:r>
            <w:r>
              <w:t>-</w:t>
            </w:r>
            <w:r w:rsidRPr="00962762">
              <w:t xml:space="preserve">sale and are measured at their fair value as at 30 June </w:t>
            </w:r>
            <w:fldSimple w:instr=" DOCPROPERTY  crYear  \* MERGEFORMAT ">
              <w:r>
                <w:t>2014</w:t>
              </w:r>
            </w:fldSimple>
            <w:r>
              <w:t xml:space="preserve">. </w:t>
            </w:r>
            <w:r w:rsidRPr="00962762">
              <w:t xml:space="preserve">Fair value has been taken to be the Australian Government's proportional interest in the net assets of the entities as at the end of the reporting period.  </w:t>
            </w:r>
          </w:p>
          <w:p w:rsidR="007E1E1E" w:rsidRPr="00962762" w:rsidRDefault="007E1E1E" w:rsidP="00B50E5D">
            <w:pPr>
              <w:pStyle w:val="StyleNotesTextBold1"/>
              <w:rPr>
                <w:i/>
              </w:rPr>
            </w:pPr>
            <w:r w:rsidRPr="00962762">
              <w:rPr>
                <w:i/>
              </w:rPr>
              <w:t xml:space="preserve">Grants </w:t>
            </w:r>
          </w:p>
          <w:p w:rsidR="007E1E1E" w:rsidRPr="00962762" w:rsidRDefault="007E1E1E" w:rsidP="00B50E5D">
            <w:pPr>
              <w:pStyle w:val="StyleNotesTextBold1"/>
            </w:pPr>
            <w:r w:rsidRPr="00962762">
              <w:t>The department administers a number of grant schemes on behalf of the Government.</w:t>
            </w:r>
          </w:p>
          <w:p w:rsidR="007E1E1E" w:rsidRPr="00962762" w:rsidRDefault="007E1E1E" w:rsidP="00B50E5D">
            <w:pPr>
              <w:pStyle w:val="StyleNotesTextBold1"/>
            </w:pPr>
            <w:r w:rsidRPr="00962762">
              <w:t>Grant liabilities are recognised to the extent that (</w:t>
            </w:r>
            <w:proofErr w:type="spellStart"/>
            <w:r w:rsidRPr="00962762">
              <w:t>i</w:t>
            </w:r>
            <w:proofErr w:type="spellEnd"/>
            <w:r w:rsidRPr="00962762">
              <w:t>) the services required to be performed by the grantee have been performed or (ii) the grant eligibility criteria have been satisfied, but payments due have not been made. A commitment is recorded when the Government enters into an agreement to make these grants but services have not been performed or criteria satisfied.</w:t>
            </w:r>
          </w:p>
          <w:p w:rsidR="007E1E1E" w:rsidRPr="00962762" w:rsidRDefault="007E1E1E" w:rsidP="00B50E5D">
            <w:pPr>
              <w:pStyle w:val="StyleNotesTextBold1"/>
            </w:pPr>
            <w:r w:rsidRPr="00962762">
              <w:t>Under the Federal Financial Framework agreed with Council of Australian Governments (</w:t>
            </w:r>
            <w:proofErr w:type="spellStart"/>
            <w:r w:rsidRPr="00962762">
              <w:t>COAG</w:t>
            </w:r>
            <w:proofErr w:type="spellEnd"/>
            <w:r w:rsidRPr="00962762">
              <w:t xml:space="preserve">), which came into effect on 1 January 2009, the Department of the Treasury is accountable for the payment of grants under the National Partnership Agreements </w:t>
            </w:r>
            <w:r>
              <w:t>to the s</w:t>
            </w:r>
            <w:r w:rsidRPr="00962762">
              <w:t xml:space="preserve">tates and </w:t>
            </w:r>
            <w:r>
              <w:t>t</w:t>
            </w:r>
            <w:r w:rsidRPr="00962762">
              <w:t xml:space="preserve">erritories. As a result </w:t>
            </w:r>
            <w:proofErr w:type="spellStart"/>
            <w:r w:rsidRPr="00962762">
              <w:t>DEEWR</w:t>
            </w:r>
            <w:proofErr w:type="spellEnd"/>
            <w:r w:rsidRPr="00962762">
              <w:t xml:space="preserve"> reported payments made since the</w:t>
            </w:r>
            <w:r w:rsidRPr="00960698">
              <w:t xml:space="preserve"> agreement came into effect as nation </w:t>
            </w:r>
            <w:r w:rsidRPr="00962762">
              <w:t xml:space="preserve">building transfers (Note </w:t>
            </w:r>
            <w:proofErr w:type="spellStart"/>
            <w:r w:rsidRPr="00962762">
              <w:t>16D</w:t>
            </w:r>
            <w:proofErr w:type="spellEnd"/>
            <w:r w:rsidRPr="00962762">
              <w:t>) for all payments made through state and territory governments.</w:t>
            </w:r>
          </w:p>
          <w:p w:rsidR="007E1E1E" w:rsidRPr="00962762" w:rsidRDefault="007E1E1E" w:rsidP="00B50E5D">
            <w:pPr>
              <w:pStyle w:val="StyleNotesTextBold1"/>
            </w:pPr>
            <w:r w:rsidRPr="00962762">
              <w:t xml:space="preserve">The Australian Government continues to have regard to developments in case law, including the High Court’s most recent decision on Commonwealth expenditure </w:t>
            </w:r>
            <w:r w:rsidRPr="0067767C">
              <w:rPr>
                <w:i/>
              </w:rPr>
              <w:t xml:space="preserve">in Williams v Commonwealth </w:t>
            </w:r>
            <w:r w:rsidRPr="0067767C">
              <w:rPr>
                <w:i/>
                <w:iCs/>
              </w:rPr>
              <w:t>[2014] HCA 23</w:t>
            </w:r>
            <w:r w:rsidRPr="00962762">
              <w:t xml:space="preserve">, as they contribute to the larger body of law relevant to </w:t>
            </w:r>
            <w:r w:rsidRPr="00962762">
              <w:lastRenderedPageBreak/>
              <w:t>the development of Commonwealth program</w:t>
            </w:r>
            <w:r>
              <w:t>me</w:t>
            </w:r>
            <w:r w:rsidRPr="00962762">
              <w:t>s. In accordance with its general practice, the Government will continue to monitor and assess risk and decide on any appropriate actions to respond to risks of expenditure not being consistent with constitutional or other legal requirements.</w:t>
            </w:r>
          </w:p>
          <w:p w:rsidR="007E1E1E" w:rsidRPr="00962762" w:rsidRDefault="007E1E1E" w:rsidP="00B50E5D">
            <w:pPr>
              <w:pStyle w:val="StyleNotesTextBold1"/>
              <w:rPr>
                <w:i/>
              </w:rPr>
            </w:pPr>
            <w:r w:rsidRPr="00962762">
              <w:rPr>
                <w:i/>
              </w:rPr>
              <w:t>Personal Benefits</w:t>
            </w:r>
          </w:p>
          <w:p w:rsidR="007E1E1E" w:rsidRPr="00962762" w:rsidRDefault="007E1E1E" w:rsidP="00B50E5D">
            <w:pPr>
              <w:pStyle w:val="StyleNotesTextBold1"/>
            </w:pPr>
            <w:r w:rsidRPr="00962762">
              <w:t>The department administers a number of personal benefit program</w:t>
            </w:r>
            <w:r>
              <w:t>me</w:t>
            </w:r>
            <w:r w:rsidRPr="00962762">
              <w:t xml:space="preserve">s on behalf of the government that provide family assistance and other entitlements to individuals. Payments are determined in accordance with provisions under social security law and other legislation. Payments made in accordance with family assistance law (comprising the </w:t>
            </w:r>
            <w:r w:rsidRPr="00962762">
              <w:rPr>
                <w:i/>
              </w:rPr>
              <w:t xml:space="preserve">A New Tax System (Family Assistance) Act </w:t>
            </w:r>
            <w:proofErr w:type="gramStart"/>
            <w:r w:rsidRPr="00962762">
              <w:rPr>
                <w:i/>
              </w:rPr>
              <w:t xml:space="preserve">1999 </w:t>
            </w:r>
            <w:r w:rsidRPr="00962762">
              <w:t xml:space="preserve"> and</w:t>
            </w:r>
            <w:proofErr w:type="gramEnd"/>
            <w:r w:rsidRPr="00962762">
              <w:t xml:space="preserve"> </w:t>
            </w:r>
            <w:r w:rsidRPr="00962762">
              <w:rPr>
                <w:i/>
              </w:rPr>
              <w:t>A New Tax System (Family Assistance) (Administration) Act 1999</w:t>
            </w:r>
            <w:r w:rsidRPr="00962762">
              <w:t xml:space="preserve">  as well as associated legislation and other legislative Disallowable Instruments) are assessed and determined by officers of the Department of Human Services (</w:t>
            </w:r>
            <w:proofErr w:type="spellStart"/>
            <w:r w:rsidRPr="00962762">
              <w:t>DHS</w:t>
            </w:r>
            <w:proofErr w:type="spellEnd"/>
            <w:r w:rsidRPr="00962762">
              <w:t>) under delegation from the department.</w:t>
            </w:r>
          </w:p>
          <w:p w:rsidR="007E1E1E" w:rsidRPr="00962762" w:rsidRDefault="007E1E1E" w:rsidP="00B50E5D">
            <w:pPr>
              <w:pStyle w:val="StyleNotesTextBold1"/>
            </w:pPr>
            <w:r w:rsidRPr="00962762">
              <w:t xml:space="preserve">Family assistance law imposes obligations on payment recipients to disclose to </w:t>
            </w:r>
            <w:proofErr w:type="spellStart"/>
            <w:r w:rsidRPr="00962762">
              <w:t>DHS</w:t>
            </w:r>
            <w:proofErr w:type="spellEnd"/>
            <w:r w:rsidRPr="00962762">
              <w:t xml:space="preserve"> information about financial and personal circumstances that affect entitlement to payment. Unreported changes in circumstances can lead to incorrect payment, even if no deliberate fraud is intended. However, risks associated with relying on voluntary disclosure are mitigated by a risk management strategy which focuses on prevention, detection and deterrence. Compliance reviews of payment recipient’s circumstances contribute to the detection of overpayment and benefit fraud.</w:t>
            </w:r>
          </w:p>
          <w:p w:rsidR="007E1E1E" w:rsidRPr="00962762" w:rsidRDefault="007E1E1E" w:rsidP="00B50E5D">
            <w:pPr>
              <w:pStyle w:val="StyleNotesTextBold1"/>
            </w:pPr>
            <w:r w:rsidRPr="00962762">
              <w:t>Family assistance law is also the basis for child care fee assistance and provides for the approval of child care services to receive child care fee assistance on behalf of families using the service. Reporting correctly on the care arrangements for each family using the service is one of the key obligations of approved child care services. These reports determine how much child care fee assistance is paid by the Australian Government for eligible families. The operator of the service is ultimately responsible for the accuracy of the data submitted.</w:t>
            </w:r>
          </w:p>
          <w:p w:rsidR="007E1E1E" w:rsidRPr="00962762" w:rsidRDefault="007E1E1E" w:rsidP="00B50E5D">
            <w:pPr>
              <w:pStyle w:val="StyleNotesTextBold1"/>
            </w:pPr>
            <w:r w:rsidRPr="00962762">
              <w:t>The department has a broad ranging programme to encourage, enforce and strengthen compliance with family assistance law to mitigate the risks associated with relying on child care services to submit accurate information. The child care payments compliance programme focuses on prevention, including education, detection/recovery and deterrence.</w:t>
            </w:r>
          </w:p>
          <w:p w:rsidR="007E1E1E" w:rsidRDefault="007E1E1E" w:rsidP="00B50E5D">
            <w:pPr>
              <w:pStyle w:val="StyleNotesTextBold1"/>
            </w:pPr>
            <w:r w:rsidRPr="00962762">
              <w:t xml:space="preserve">The department progressively implemented a more sophisticated results-oriented approach to compliance in 2013–14. Compliance operations have been strengthened, including data interrogation and analysis capacity, to assist in targeting, leveraging resources available in our state network to create a virtual task force and prioritising the department’s compliance effort to high value compliance work based on risk categories. This had led to increasing imposition of penalties and sanctions, where justified. In addition, processes for approval of child care services are being tightened to reduce the risk of future non-compliance by approved services. </w:t>
            </w:r>
          </w:p>
          <w:p w:rsidR="007E1E1E" w:rsidRDefault="007E1E1E" w:rsidP="00B50E5D">
            <w:pPr>
              <w:pStyle w:val="StyleNotesTextBold1"/>
            </w:pPr>
            <w:r>
              <w:t>Random Sample Parent Checks have been introduced in 2013–14 to validate the information provided by child care services.  Statistical extrapolation of these results is providing improved assurance about the accuracy of child care payments and enables the department to prioritise its compliance activities. Of importance in 2014–15 will be a heightened emphasis on controls over family day care. The outcome of this activity will enhance measurement of compliance effectiveness over child care services.</w:t>
            </w:r>
          </w:p>
          <w:p w:rsidR="007E1E1E" w:rsidRDefault="007E1E1E" w:rsidP="00B50E5D">
            <w:pPr>
              <w:pStyle w:val="StyleNotesTextBold1"/>
            </w:pPr>
            <w:r>
              <w:t>T</w:t>
            </w:r>
            <w:r w:rsidRPr="00962762">
              <w:t xml:space="preserve">he department continues to work closely with </w:t>
            </w:r>
            <w:proofErr w:type="spellStart"/>
            <w:r w:rsidRPr="00962762">
              <w:t>DHS</w:t>
            </w:r>
            <w:proofErr w:type="spellEnd"/>
            <w:r w:rsidRPr="00962762">
              <w:t>, the Australian Taxation Office and state and territory regulatory authorities to ensure child care services are correctly applying the rules under all relevant laws.</w:t>
            </w:r>
          </w:p>
          <w:p w:rsidR="007E1E1E" w:rsidRDefault="007E1E1E" w:rsidP="00B50E5D">
            <w:pPr>
              <w:pStyle w:val="StyleNotesTextBold1"/>
              <w:rPr>
                <w:i/>
              </w:rPr>
            </w:pPr>
            <w:r>
              <w:rPr>
                <w:i/>
              </w:rPr>
              <w:t>Payments to CAC Act bodies</w:t>
            </w:r>
          </w:p>
          <w:p w:rsidR="007E1E1E" w:rsidRPr="00962762" w:rsidRDefault="007E1E1E" w:rsidP="00B50E5D">
            <w:pPr>
              <w:pStyle w:val="StyleNotesTextBold1"/>
            </w:pPr>
            <w:r>
              <w:t>Payments to the Australian Institute of Aboriginal and Torres Strait Islander Studies from amounts appropriated for that purpose are classified as administered expenses of the relevant portfolio department. The appropriation to the department is disclosed in Table A and Table D of the appropriation note.</w:t>
            </w:r>
          </w:p>
        </w:tc>
      </w:tr>
    </w:tbl>
    <w:p w:rsidR="007E1E1E" w:rsidRDefault="007E1E1E" w:rsidP="007E1E1E">
      <w:pPr>
        <w:pStyle w:val="AdminBlankGreyShade"/>
        <w:rPr>
          <w:sz w:val="20"/>
        </w:rPr>
      </w:pPr>
    </w:p>
    <w:p w:rsidR="007E1E1E" w:rsidRDefault="007E1E1E" w:rsidP="007E1E1E">
      <w:pPr>
        <w:spacing w:line="240" w:lineRule="auto"/>
        <w:rPr>
          <w:rFonts w:asciiTheme="minorHAnsi" w:hAnsiTheme="minorHAnsi" w:cs="Arial"/>
          <w:sz w:val="20"/>
          <w:lang w:eastAsia="en-AU"/>
        </w:rPr>
      </w:pPr>
      <w:r>
        <w:rPr>
          <w:rFonts w:asciiTheme="minorHAnsi" w:hAnsiTheme="minorHAnsi" w:cs="Arial"/>
          <w:sz w:val="20"/>
          <w:lang w:eastAsia="en-AU"/>
        </w:rPr>
        <w:br w:type="page"/>
      </w:r>
    </w:p>
    <w:p w:rsidR="007E1E1E" w:rsidRDefault="007E1E1E" w:rsidP="007E1E1E">
      <w:pPr>
        <w:pStyle w:val="NotesHeading-Level1"/>
      </w:pPr>
      <w:bookmarkStart w:id="1" w:name="_Toc400713245"/>
      <w:r>
        <w:lastRenderedPageBreak/>
        <w:t>Events After the Reporting Period</w:t>
      </w:r>
      <w:bookmarkEnd w:id="1"/>
    </w:p>
    <w:p w:rsidR="007E1E1E" w:rsidRDefault="007E1E1E" w:rsidP="007E1E1E">
      <w:pPr>
        <w:spacing w:line="240" w:lineRule="auto"/>
      </w:pPr>
    </w:p>
    <w:p w:rsidR="007E1E1E" w:rsidRPr="00960698" w:rsidRDefault="007E1E1E" w:rsidP="007E1E1E">
      <w:pPr>
        <w:spacing w:line="240" w:lineRule="auto"/>
        <w:rPr>
          <w:rFonts w:asciiTheme="minorHAnsi" w:hAnsiTheme="minorHAnsi" w:cs="Arial"/>
          <w:szCs w:val="18"/>
          <w:lang w:eastAsia="en-AU"/>
        </w:rPr>
      </w:pPr>
      <w:r w:rsidRPr="00960698">
        <w:rPr>
          <w:rFonts w:asciiTheme="minorHAnsi" w:hAnsiTheme="minorHAnsi" w:cs="Arial"/>
          <w:szCs w:val="18"/>
          <w:lang w:eastAsia="en-AU"/>
        </w:rPr>
        <w:t xml:space="preserve">There have been no events after balance </w:t>
      </w:r>
      <w:proofErr w:type="gramStart"/>
      <w:r w:rsidRPr="00960698">
        <w:rPr>
          <w:rFonts w:asciiTheme="minorHAnsi" w:hAnsiTheme="minorHAnsi" w:cs="Arial"/>
          <w:szCs w:val="18"/>
          <w:lang w:eastAsia="en-AU"/>
        </w:rPr>
        <w:t>date that have</w:t>
      </w:r>
      <w:proofErr w:type="gramEnd"/>
      <w:r w:rsidRPr="00960698">
        <w:rPr>
          <w:rFonts w:asciiTheme="minorHAnsi" w:hAnsiTheme="minorHAnsi" w:cs="Arial"/>
          <w:szCs w:val="18"/>
          <w:lang w:eastAsia="en-AU"/>
        </w:rPr>
        <w:t xml:space="preserve"> the potential to significantly affect the ongoing structure and financial activities of the department.</w:t>
      </w:r>
      <w:r w:rsidRPr="00960698">
        <w:rPr>
          <w:rFonts w:cs="Arial"/>
          <w:b/>
          <w:szCs w:val="18"/>
          <w:lang w:eastAsia="en-AU"/>
        </w:rPr>
        <w:br w:type="page"/>
      </w:r>
    </w:p>
    <w:p w:rsidR="007E1E1E" w:rsidRDefault="007E1E1E" w:rsidP="007E1E1E">
      <w:pPr>
        <w:pStyle w:val="NotesHeading-Level1"/>
        <w:rPr>
          <w:rFonts w:cstheme="minorHAnsi"/>
        </w:rPr>
      </w:pPr>
      <w:bookmarkStart w:id="2" w:name="_Toc400713246"/>
      <w:r>
        <w:rPr>
          <w:rFonts w:cstheme="minorHAnsi"/>
        </w:rPr>
        <w:lastRenderedPageBreak/>
        <w:t>Expenses</w:t>
      </w:r>
      <w:bookmarkEnd w:id="2"/>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40"/>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bookmarkStart w:id="3" w:name="Note_EEXTABLE1" w:colFirst="0" w:colLast="0"/>
            <w:r>
              <w:rPr>
                <w:rFonts w:cs="Calibri"/>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2014</w:t>
            </w:r>
          </w:p>
        </w:tc>
      </w:tr>
      <w:bookmarkEnd w:id="3"/>
      <w:tr w:rsidR="007E1E1E" w:rsidTr="00B50E5D">
        <w:trPr>
          <w:trHeight w:val="240"/>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40"/>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3A</w:t>
            </w:r>
            <w:proofErr w:type="spellEnd"/>
            <w:r>
              <w:rPr>
                <w:rFonts w:cs="Calibri"/>
                <w:b/>
                <w:bCs/>
                <w:szCs w:val="18"/>
                <w:u w:val="single"/>
              </w:rPr>
              <w:t>: Employee benefits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40"/>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40"/>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Wages and salaries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100,302</w:t>
            </w:r>
          </w:p>
        </w:tc>
      </w:tr>
      <w:tr w:rsidR="007E1E1E" w:rsidTr="00B50E5D">
        <w:trPr>
          <w:trHeight w:val="240"/>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Superannuation:</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40"/>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Defined contribution plans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6,935</w:t>
            </w:r>
          </w:p>
        </w:tc>
      </w:tr>
      <w:tr w:rsidR="007E1E1E" w:rsidTr="00B50E5D">
        <w:trPr>
          <w:trHeight w:val="240"/>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Defined benefit plans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16,772</w:t>
            </w:r>
          </w:p>
        </w:tc>
      </w:tr>
      <w:tr w:rsidR="007E1E1E" w:rsidTr="00B50E5D">
        <w:trPr>
          <w:trHeight w:val="240"/>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Leave and other entitlements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19,169</w:t>
            </w:r>
          </w:p>
        </w:tc>
      </w:tr>
      <w:tr w:rsidR="007E1E1E" w:rsidTr="00B50E5D">
        <w:trPr>
          <w:trHeight w:val="240"/>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Separations and redundancies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9,502</w:t>
            </w:r>
          </w:p>
        </w:tc>
      </w:tr>
      <w:tr w:rsidR="007E1E1E" w:rsidTr="00B50E5D">
        <w:trPr>
          <w:trHeight w:val="240"/>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Other employee expenses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1,942</w:t>
            </w:r>
          </w:p>
        </w:tc>
      </w:tr>
      <w:tr w:rsidR="007E1E1E" w:rsidTr="00B50E5D">
        <w:trPr>
          <w:trHeight w:val="240"/>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i/>
                <w:iCs/>
                <w:szCs w:val="18"/>
              </w:rPr>
            </w:pPr>
            <w:r>
              <w:rPr>
                <w:rFonts w:cs="Calibri"/>
                <w:b/>
                <w:bCs/>
                <w:i/>
                <w:iCs/>
                <w:szCs w:val="18"/>
              </w:rPr>
              <w:t>Total employee benefits</w:t>
            </w:r>
          </w:p>
        </w:tc>
        <w:tc>
          <w:tcPr>
            <w:tcW w:w="125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154,622</w:t>
            </w:r>
          </w:p>
        </w:tc>
      </w:tr>
    </w:tbl>
    <w:p w:rsidR="007E1E1E" w:rsidRDefault="007E1E1E" w:rsidP="007E1E1E">
      <w:bookmarkStart w:id="4" w:name="RANGE!D6:D16"/>
      <w:bookmarkStart w:id="5" w:name="RANGE!D6:G16"/>
      <w:bookmarkEnd w:id="4"/>
      <w:bookmarkEnd w:id="5"/>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6" w:name="Note_SXPTABLE1" w:colFirst="0" w:colLast="0"/>
            <w:r>
              <w:rPr>
                <w:rFonts w:cs="Calibri"/>
                <w:b/>
                <w:bCs/>
                <w:szCs w:val="18"/>
                <w:u w:val="single"/>
              </w:rPr>
              <w:t xml:space="preserve">Note </w:t>
            </w:r>
            <w:proofErr w:type="spellStart"/>
            <w:r>
              <w:rPr>
                <w:rFonts w:cs="Calibri"/>
                <w:b/>
                <w:bCs/>
                <w:szCs w:val="18"/>
                <w:u w:val="single"/>
              </w:rPr>
              <w:t>3B</w:t>
            </w:r>
            <w:proofErr w:type="spellEnd"/>
            <w:r>
              <w:rPr>
                <w:rFonts w:cs="Calibri"/>
                <w:b/>
                <w:bCs/>
                <w:szCs w:val="18"/>
                <w:u w:val="single"/>
              </w:rPr>
              <w:t>: Supplier expenses</w:t>
            </w:r>
          </w:p>
        </w:tc>
        <w:tc>
          <w:tcPr>
            <w:tcW w:w="125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 </w:t>
            </w:r>
          </w:p>
        </w:tc>
      </w:tr>
      <w:bookmarkEnd w:id="6"/>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Goods and services supplied or rendered</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Consultants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5,375</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Contractors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3,955</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Travel</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2,351</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IT services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17,115</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Property</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5,393</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Resources received free of charge</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10,412</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Other</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6,959</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Total goods and services supplied or rendered</w:t>
            </w:r>
          </w:p>
        </w:tc>
        <w:tc>
          <w:tcPr>
            <w:tcW w:w="125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51,560</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Goods and services are made up of:</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xml:space="preserve">Provision of goods – related parties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Provision of goods – external parties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3,280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Rendering of services – related parties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11,502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Rendering of services - external parties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36,778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Total goods and services supplied or rendered</w:t>
            </w:r>
          </w:p>
        </w:tc>
        <w:tc>
          <w:tcPr>
            <w:tcW w:w="125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51,560</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Other supplier expenses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Operating lease rentals – external parties: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Minimum lease repayments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15,685</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Contingent rentals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226</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Workers compensation expenses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1,437</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Total other supplier expenses</w:t>
            </w:r>
          </w:p>
        </w:tc>
        <w:tc>
          <w:tcPr>
            <w:tcW w:w="125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17,348</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supplier expenses</w:t>
            </w:r>
          </w:p>
        </w:tc>
        <w:tc>
          <w:tcPr>
            <w:tcW w:w="1256" w:type="dxa"/>
            <w:tcBorders>
              <w:top w:val="nil"/>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68,908</w:t>
            </w:r>
          </w:p>
        </w:tc>
      </w:tr>
    </w:tbl>
    <w:p w:rsidR="007E1E1E" w:rsidRDefault="007E1E1E" w:rsidP="007E1E1E">
      <w:bookmarkStart w:id="7" w:name="RANGE!D7:G32"/>
      <w:bookmarkStart w:id="8" w:name="RANGE!D6:G35"/>
      <w:bookmarkStart w:id="9" w:name="RANGE!D6:D34"/>
      <w:bookmarkStart w:id="10" w:name="RANGE!D6:G34"/>
      <w:bookmarkEnd w:id="7"/>
      <w:bookmarkEnd w:id="8"/>
      <w:bookmarkEnd w:id="9"/>
      <w:bookmarkEnd w:id="10"/>
    </w:p>
    <w:p w:rsidR="007E1E1E" w:rsidRDefault="007E1E1E" w:rsidP="007E1E1E">
      <w:bookmarkStart w:id="11" w:name="RANGE!D7:G14"/>
      <w:bookmarkStart w:id="12" w:name="RANGE!D6:D15"/>
      <w:bookmarkStart w:id="13" w:name="RANGE!D6:G15"/>
      <w:bookmarkEnd w:id="11"/>
      <w:bookmarkEnd w:id="12"/>
      <w:bookmarkEnd w:id="13"/>
    </w:p>
    <w:p w:rsidR="007E1E1E" w:rsidRDefault="007E1E1E" w:rsidP="007E1E1E">
      <w:pPr>
        <w:rPr>
          <w:rFonts w:asciiTheme="minorHAnsi" w:hAnsiTheme="minorHAnsi" w:cstheme="minorHAnsi"/>
          <w:szCs w:val="18"/>
        </w:rPr>
      </w:pPr>
    </w:p>
    <w:p w:rsidR="007E1E1E" w:rsidRDefault="007E1E1E" w:rsidP="007E1E1E">
      <w:pPr>
        <w:spacing w:line="240" w:lineRule="auto"/>
      </w:pPr>
      <w:r>
        <w:br w:type="page"/>
      </w:r>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bookmarkStart w:id="14" w:name="Note_DAATABLE1" w:colFirst="0" w:colLast="0"/>
            <w:r>
              <w:rPr>
                <w:rFonts w:cs="Calibri"/>
                <w:szCs w:val="18"/>
              </w:rPr>
              <w:lastRenderedPageBreak/>
              <w:t> </w:t>
            </w:r>
          </w:p>
        </w:tc>
        <w:tc>
          <w:tcPr>
            <w:tcW w:w="125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2014</w:t>
            </w:r>
          </w:p>
        </w:tc>
      </w:tr>
      <w:bookmarkEnd w:id="14"/>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5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3C</w:t>
            </w:r>
            <w:proofErr w:type="spellEnd"/>
            <w:r>
              <w:rPr>
                <w:rFonts w:cs="Calibri"/>
                <w:b/>
                <w:bCs/>
                <w:szCs w:val="18"/>
                <w:u w:val="single"/>
              </w:rPr>
              <w:t>: Depreciation and amortisation</w:t>
            </w:r>
          </w:p>
        </w:tc>
        <w:tc>
          <w:tcPr>
            <w:tcW w:w="125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Depreciation</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Infrastructure, plant and equipment</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3,006</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Buildings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62</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Leasehold improvements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5,448</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Total depreciation</w:t>
            </w:r>
          </w:p>
        </w:tc>
        <w:tc>
          <w:tcPr>
            <w:tcW w:w="125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8,516</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Amortisation</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Intangibles: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Computer software</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11,792</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Total amortisation</w:t>
            </w:r>
          </w:p>
        </w:tc>
        <w:tc>
          <w:tcPr>
            <w:tcW w:w="125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11,792</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depreciation and amortisation</w:t>
            </w:r>
          </w:p>
        </w:tc>
        <w:tc>
          <w:tcPr>
            <w:tcW w:w="1256" w:type="dxa"/>
            <w:tcBorders>
              <w:top w:val="nil"/>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20,308</w:t>
            </w:r>
          </w:p>
        </w:tc>
      </w:tr>
    </w:tbl>
    <w:p w:rsidR="007E1E1E" w:rsidRDefault="007E1E1E" w:rsidP="007E1E1E">
      <w:bookmarkStart w:id="15" w:name="RANGE!D6:D20"/>
      <w:bookmarkStart w:id="16" w:name="RANGE!D6:G20"/>
      <w:bookmarkEnd w:id="15"/>
      <w:bookmarkEnd w:id="16"/>
    </w:p>
    <w:p w:rsidR="007E1E1E" w:rsidRDefault="007E1E1E" w:rsidP="007E1E1E">
      <w:bookmarkStart w:id="17" w:name="RANGE!D7:G10"/>
      <w:bookmarkStart w:id="18" w:name="RANGE!D6:G8"/>
      <w:bookmarkStart w:id="19" w:name="RANGE!D6:D13"/>
      <w:bookmarkStart w:id="20" w:name="RANGE!D6:G13"/>
      <w:bookmarkEnd w:id="17"/>
      <w:bookmarkEnd w:id="18"/>
      <w:bookmarkEnd w:id="19"/>
      <w:bookmarkEnd w:id="20"/>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21" w:name="Note_WDATABLE1" w:colFirst="0" w:colLast="0"/>
            <w:r>
              <w:rPr>
                <w:rFonts w:cs="Calibri"/>
                <w:b/>
                <w:bCs/>
                <w:szCs w:val="18"/>
                <w:u w:val="single"/>
              </w:rPr>
              <w:t>Note 3D: Write-down and impairment of assets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bookmarkEnd w:id="21"/>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Write-off of receivables - goods and services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97</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Impairment of receivables - goods and services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9</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Impairment  of intangibles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33</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Impairment of leasehold improvements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479</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Write-off of non-financial assets – infrastructure, plant  and equipment</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57</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Write-off of non-financial assets – land and buildings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227</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write-down and impairment of assets</w:t>
            </w:r>
          </w:p>
        </w:tc>
        <w:tc>
          <w:tcPr>
            <w:tcW w:w="125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902</w:t>
            </w:r>
          </w:p>
        </w:tc>
      </w:tr>
    </w:tbl>
    <w:p w:rsidR="007E1E1E" w:rsidRDefault="007E1E1E" w:rsidP="007E1E1E">
      <w:pPr>
        <w:spacing w:line="240" w:lineRule="auto"/>
      </w:pPr>
      <w:bookmarkStart w:id="22" w:name="RANGE!D7:G18"/>
      <w:bookmarkStart w:id="23" w:name="RANGE!D6:D17"/>
      <w:bookmarkStart w:id="24" w:name="RANGE!D6:G17"/>
      <w:bookmarkStart w:id="25" w:name="RANGE!D6:D10"/>
      <w:bookmarkStart w:id="26" w:name="RANGE!D6:G10"/>
      <w:bookmarkEnd w:id="22"/>
      <w:bookmarkEnd w:id="23"/>
      <w:bookmarkEnd w:id="24"/>
      <w:bookmarkEnd w:id="25"/>
      <w:bookmarkEnd w:id="26"/>
    </w:p>
    <w:tbl>
      <w:tblPr>
        <w:tblW w:w="9087" w:type="dxa"/>
        <w:tblInd w:w="80" w:type="dxa"/>
        <w:tblLayout w:type="fixed"/>
        <w:tblLook w:val="04A0" w:firstRow="1" w:lastRow="0" w:firstColumn="1" w:lastColumn="0" w:noHBand="0" w:noVBand="1"/>
      </w:tblPr>
      <w:tblGrid>
        <w:gridCol w:w="7599"/>
        <w:gridCol w:w="1488"/>
      </w:tblGrid>
      <w:tr w:rsidR="007E1E1E" w:rsidTr="00B50E5D">
        <w:trPr>
          <w:trHeight w:val="255"/>
        </w:trPr>
        <w:tc>
          <w:tcPr>
            <w:tcW w:w="641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27" w:name="Note_LSATABLE1" w:colFirst="0" w:colLast="0"/>
            <w:r>
              <w:rPr>
                <w:rFonts w:cs="Calibri"/>
                <w:b/>
                <w:bCs/>
                <w:szCs w:val="18"/>
                <w:u w:val="single"/>
              </w:rPr>
              <w:t xml:space="preserve">Note </w:t>
            </w:r>
            <w:proofErr w:type="spellStart"/>
            <w:r>
              <w:rPr>
                <w:rFonts w:cs="Calibri"/>
                <w:b/>
                <w:bCs/>
                <w:szCs w:val="18"/>
                <w:u w:val="single"/>
              </w:rPr>
              <w:t>3E</w:t>
            </w:r>
            <w:proofErr w:type="spellEnd"/>
            <w:r>
              <w:rPr>
                <w:rFonts w:cs="Calibri"/>
                <w:b/>
                <w:bCs/>
                <w:szCs w:val="18"/>
                <w:u w:val="single"/>
              </w:rPr>
              <w:t>: Losses from asset sales</w:t>
            </w:r>
          </w:p>
        </w:tc>
        <w:tc>
          <w:tcPr>
            <w:tcW w:w="125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 </w:t>
            </w:r>
          </w:p>
        </w:tc>
      </w:tr>
      <w:bookmarkEnd w:id="27"/>
      <w:tr w:rsidR="007E1E1E" w:rsidTr="00B50E5D">
        <w:trPr>
          <w:trHeight w:val="255"/>
        </w:trPr>
        <w:tc>
          <w:tcPr>
            <w:tcW w:w="641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641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Infrastructure, plant and equipment</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641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Proceeds from sale</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(4)</w:t>
            </w:r>
          </w:p>
        </w:tc>
      </w:tr>
      <w:tr w:rsidR="007E1E1E" w:rsidTr="00B50E5D">
        <w:trPr>
          <w:trHeight w:val="255"/>
        </w:trPr>
        <w:tc>
          <w:tcPr>
            <w:tcW w:w="641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Carrying value of assets sold</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318</w:t>
            </w:r>
          </w:p>
        </w:tc>
      </w:tr>
      <w:tr w:rsidR="007E1E1E" w:rsidTr="00B50E5D">
        <w:trPr>
          <w:trHeight w:val="255"/>
        </w:trPr>
        <w:tc>
          <w:tcPr>
            <w:tcW w:w="641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Net loss from infrastructure, plant and equipment</w:t>
            </w:r>
          </w:p>
        </w:tc>
        <w:tc>
          <w:tcPr>
            <w:tcW w:w="125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314</w:t>
            </w:r>
          </w:p>
        </w:tc>
      </w:tr>
      <w:tr w:rsidR="007E1E1E" w:rsidTr="00B50E5D">
        <w:trPr>
          <w:trHeight w:val="270"/>
        </w:trPr>
        <w:tc>
          <w:tcPr>
            <w:tcW w:w="641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losses from asset sales</w:t>
            </w:r>
          </w:p>
        </w:tc>
        <w:tc>
          <w:tcPr>
            <w:tcW w:w="1256" w:type="dxa"/>
            <w:tcBorders>
              <w:top w:val="nil"/>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314</w:t>
            </w:r>
          </w:p>
        </w:tc>
      </w:tr>
    </w:tbl>
    <w:p w:rsidR="007E1E1E" w:rsidRDefault="007E1E1E" w:rsidP="007E1E1E">
      <w:pPr>
        <w:spacing w:line="240" w:lineRule="auto"/>
      </w:pPr>
      <w:bookmarkStart w:id="28" w:name="RANGE!D6:G37"/>
      <w:bookmarkStart w:id="29" w:name="RANGE!D6:D38"/>
      <w:bookmarkStart w:id="30" w:name="RANGE!D6:G38"/>
      <w:bookmarkEnd w:id="28"/>
      <w:bookmarkEnd w:id="29"/>
      <w:bookmarkEnd w:id="30"/>
    </w:p>
    <w:p w:rsidR="007E1E1E" w:rsidRDefault="007E1E1E" w:rsidP="007E1E1E">
      <w:pPr>
        <w:spacing w:line="240" w:lineRule="auto"/>
      </w:pPr>
      <w:r>
        <w:br w:type="page"/>
      </w:r>
    </w:p>
    <w:p w:rsidR="007E1E1E" w:rsidRDefault="007E1E1E" w:rsidP="007E1E1E">
      <w:pPr>
        <w:spacing w:line="240" w:lineRule="auto"/>
      </w:pPr>
    </w:p>
    <w:p w:rsidR="007E1E1E" w:rsidRDefault="007E1E1E" w:rsidP="007E1E1E">
      <w:pPr>
        <w:pStyle w:val="NotesHeading-Level1"/>
        <w:rPr>
          <w:rFonts w:cstheme="minorHAnsi"/>
        </w:rPr>
      </w:pPr>
      <w:bookmarkStart w:id="31" w:name="_Toc400713247"/>
      <w:r>
        <w:rPr>
          <w:rFonts w:cstheme="minorHAnsi"/>
        </w:rPr>
        <w:t>Income</w:t>
      </w:r>
      <w:bookmarkEnd w:id="31"/>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bookmarkStart w:id="32" w:name="Note_GASTABLE1" w:colFirst="0" w:colLast="0"/>
            <w:r>
              <w:rPr>
                <w:rFonts w:cs="Calibri"/>
                <w:b/>
                <w:bCs/>
                <w:szCs w:val="18"/>
              </w:rPr>
              <w:t> </w:t>
            </w:r>
          </w:p>
        </w:tc>
        <w:tc>
          <w:tcPr>
            <w:tcW w:w="125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2014</w:t>
            </w:r>
          </w:p>
        </w:tc>
      </w:tr>
      <w:bookmarkEnd w:id="32"/>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OWN-SOURCE REVENUE</w:t>
            </w:r>
          </w:p>
        </w:tc>
        <w:tc>
          <w:tcPr>
            <w:tcW w:w="125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4A</w:t>
            </w:r>
            <w:proofErr w:type="spellEnd"/>
            <w:r>
              <w:rPr>
                <w:rFonts w:cs="Calibri"/>
                <w:b/>
                <w:bCs/>
                <w:szCs w:val="18"/>
                <w:u w:val="single"/>
              </w:rPr>
              <w:t>: Sale of goods and rendering of services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Provision of goods - external parties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193</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Rendering of services - related entities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16,014</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Rendering of services - external parties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1,860</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sale of goods and rendering of services</w:t>
            </w:r>
          </w:p>
        </w:tc>
        <w:tc>
          <w:tcPr>
            <w:tcW w:w="125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18,067</w:t>
            </w:r>
          </w:p>
        </w:tc>
      </w:tr>
    </w:tbl>
    <w:p w:rsidR="007E1E1E" w:rsidRDefault="007E1E1E" w:rsidP="007E1E1E">
      <w:bookmarkStart w:id="33" w:name="RANGE!D6:D12"/>
      <w:bookmarkStart w:id="34" w:name="RANGE!D6:G12"/>
      <w:bookmarkEnd w:id="33"/>
      <w:bookmarkEnd w:id="34"/>
    </w:p>
    <w:p w:rsidR="007E1E1E" w:rsidRDefault="007E1E1E" w:rsidP="007E1E1E"/>
    <w:p w:rsidR="007E1E1E" w:rsidRDefault="007E1E1E" w:rsidP="007E1E1E"/>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35" w:name="RANGE!D7:D10"/>
            <w:bookmarkStart w:id="36" w:name="Note_RAWTABLE1" w:colFirst="0" w:colLast="0"/>
            <w:r>
              <w:rPr>
                <w:rFonts w:cs="Calibri"/>
                <w:b/>
                <w:bCs/>
                <w:szCs w:val="18"/>
                <w:u w:val="single"/>
              </w:rPr>
              <w:t xml:space="preserve">Note </w:t>
            </w:r>
            <w:proofErr w:type="spellStart"/>
            <w:r>
              <w:rPr>
                <w:rFonts w:cs="Calibri"/>
                <w:b/>
                <w:bCs/>
                <w:szCs w:val="18"/>
                <w:u w:val="single"/>
              </w:rPr>
              <w:t>4B</w:t>
            </w:r>
            <w:proofErr w:type="spellEnd"/>
            <w:r>
              <w:rPr>
                <w:rFonts w:cs="Calibri"/>
                <w:b/>
                <w:bCs/>
                <w:szCs w:val="18"/>
                <w:u w:val="single"/>
              </w:rPr>
              <w:t>: Reversals of previous asset write-downs and impairment</w:t>
            </w:r>
            <w:bookmarkEnd w:id="35"/>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bookmarkEnd w:id="36"/>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Reversal of impairment losses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74</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reversals of previous asset write-downs and impairments</w:t>
            </w:r>
          </w:p>
        </w:tc>
        <w:tc>
          <w:tcPr>
            <w:tcW w:w="125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74</w:t>
            </w:r>
          </w:p>
        </w:tc>
      </w:tr>
    </w:tbl>
    <w:p w:rsidR="007E1E1E" w:rsidRDefault="007E1E1E" w:rsidP="007E1E1E"/>
    <w:p w:rsidR="007E1E1E" w:rsidRDefault="007E1E1E" w:rsidP="007E1E1E"/>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37" w:name="Note_OGATABLE1" w:colFirst="0" w:colLast="0"/>
            <w:r>
              <w:rPr>
                <w:rFonts w:cs="Calibri"/>
                <w:b/>
                <w:bCs/>
                <w:szCs w:val="18"/>
                <w:u w:val="single"/>
              </w:rPr>
              <w:t xml:space="preserve">Note </w:t>
            </w:r>
            <w:proofErr w:type="spellStart"/>
            <w:r>
              <w:rPr>
                <w:rFonts w:cs="Calibri"/>
                <w:b/>
                <w:bCs/>
                <w:szCs w:val="18"/>
                <w:u w:val="single"/>
              </w:rPr>
              <w:t>4C</w:t>
            </w:r>
            <w:proofErr w:type="spellEnd"/>
            <w:r>
              <w:rPr>
                <w:rFonts w:cs="Calibri"/>
                <w:b/>
                <w:bCs/>
                <w:szCs w:val="18"/>
                <w:u w:val="single"/>
              </w:rPr>
              <w:t>: Other gains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bookmarkEnd w:id="37"/>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Resources received free of charge</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5,665</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First time recognition of assets – property, plant and equipment</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1,498</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Other</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1,110</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other gains</w:t>
            </w:r>
          </w:p>
        </w:tc>
        <w:tc>
          <w:tcPr>
            <w:tcW w:w="125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8,273</w:t>
            </w:r>
          </w:p>
        </w:tc>
      </w:tr>
    </w:tbl>
    <w:p w:rsidR="007E1E1E" w:rsidRDefault="007E1E1E" w:rsidP="007E1E1E"/>
    <w:p w:rsidR="007E1E1E" w:rsidRDefault="007E1E1E" w:rsidP="007E1E1E">
      <w:pPr>
        <w:spacing w:line="240" w:lineRule="auto"/>
      </w:pPr>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bookmarkStart w:id="38" w:name="Note_RFGTABLE1" w:colFirst="0" w:colLast="0"/>
            <w:r>
              <w:rPr>
                <w:rFonts w:cs="Calibri"/>
                <w:b/>
                <w:bCs/>
                <w:szCs w:val="18"/>
              </w:rPr>
              <w:t>REVENUE FROM GOVERNMENT</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r>
      <w:bookmarkEnd w:id="38"/>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4D</w:t>
            </w:r>
            <w:proofErr w:type="spellEnd"/>
            <w:r>
              <w:rPr>
                <w:rFonts w:cs="Calibri"/>
                <w:b/>
                <w:bCs/>
                <w:szCs w:val="18"/>
                <w:u w:val="single"/>
              </w:rPr>
              <w:t>: Revenue from Government</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Appropriations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Departmental appropriations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196,102</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revenue from Government</w:t>
            </w:r>
          </w:p>
        </w:tc>
        <w:tc>
          <w:tcPr>
            <w:tcW w:w="125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196,102</w:t>
            </w:r>
          </w:p>
        </w:tc>
      </w:tr>
    </w:tbl>
    <w:p w:rsidR="007E1E1E" w:rsidRDefault="007E1E1E" w:rsidP="007E1E1E">
      <w:pPr>
        <w:rPr>
          <w:rFonts w:ascii="Arial" w:hAnsi="Arial" w:cs="Arial"/>
          <w:b/>
          <w:bCs/>
          <w:szCs w:val="18"/>
        </w:rPr>
      </w:pPr>
      <w:bookmarkStart w:id="39" w:name="RANGE!D6:D14"/>
      <w:bookmarkStart w:id="40" w:name="RANGE!D6:G14"/>
      <w:bookmarkEnd w:id="39"/>
      <w:bookmarkEnd w:id="40"/>
    </w:p>
    <w:p w:rsidR="007E1E1E" w:rsidRDefault="007E1E1E" w:rsidP="007E1E1E">
      <w:pPr>
        <w:spacing w:line="240" w:lineRule="auto"/>
        <w:rPr>
          <w:rFonts w:ascii="Arial" w:hAnsi="Arial" w:cs="Arial"/>
          <w:b/>
          <w:bCs/>
          <w:szCs w:val="18"/>
        </w:rPr>
      </w:pPr>
      <w:r>
        <w:rPr>
          <w:rFonts w:ascii="Arial" w:hAnsi="Arial" w:cs="Arial"/>
          <w:b/>
          <w:bCs/>
          <w:szCs w:val="18"/>
        </w:rPr>
        <w:br w:type="page"/>
      </w:r>
    </w:p>
    <w:p w:rsidR="007E1E1E" w:rsidRDefault="007E1E1E" w:rsidP="007E1E1E">
      <w:pPr>
        <w:pStyle w:val="NotesHeading-Level1"/>
        <w:rPr>
          <w:rFonts w:cstheme="minorHAnsi"/>
        </w:rPr>
      </w:pPr>
      <w:bookmarkStart w:id="41" w:name="_Toc400713248"/>
      <w:r>
        <w:rPr>
          <w:rFonts w:cstheme="minorHAnsi"/>
        </w:rPr>
        <w:lastRenderedPageBreak/>
        <w:t>Fair Value Measurement</w:t>
      </w:r>
      <w:bookmarkEnd w:id="41"/>
    </w:p>
    <w:p w:rsidR="007E1E1E" w:rsidRDefault="007E1E1E" w:rsidP="007E1E1E">
      <w:pPr>
        <w:pStyle w:val="NotesHeading-Level1"/>
        <w:numPr>
          <w:ilvl w:val="0"/>
          <w:numId w:val="0"/>
        </w:numPr>
        <w:rPr>
          <w:rFonts w:cstheme="minorHAnsi"/>
        </w:rPr>
      </w:pPr>
    </w:p>
    <w:tbl>
      <w:tblPr>
        <w:tblW w:w="9087" w:type="dxa"/>
        <w:tblInd w:w="80" w:type="dxa"/>
        <w:tblLayout w:type="fixed"/>
        <w:tblLook w:val="04A0" w:firstRow="1" w:lastRow="0" w:firstColumn="1" w:lastColumn="0" w:noHBand="0" w:noVBand="1"/>
      </w:tblPr>
      <w:tblGrid>
        <w:gridCol w:w="4075"/>
        <w:gridCol w:w="1253"/>
        <w:gridCol w:w="1253"/>
        <w:gridCol w:w="1253"/>
        <w:gridCol w:w="1253"/>
      </w:tblGrid>
      <w:tr w:rsidR="007E1E1E" w:rsidTr="00B50E5D">
        <w:trPr>
          <w:trHeight w:val="240"/>
        </w:trPr>
        <w:tc>
          <w:tcPr>
            <w:tcW w:w="8980" w:type="dxa"/>
            <w:gridSpan w:val="5"/>
            <w:tcBorders>
              <w:top w:val="nil"/>
              <w:left w:val="nil"/>
              <w:bottom w:val="nil"/>
              <w:right w:val="nil"/>
            </w:tcBorders>
            <w:shd w:val="clear" w:color="FFFFFF" w:fill="FFFFFF"/>
            <w:vAlign w:val="bottom"/>
            <w:hideMark/>
          </w:tcPr>
          <w:p w:rsidR="007E1E1E" w:rsidRDefault="007E1E1E" w:rsidP="00B50E5D">
            <w:pPr>
              <w:rPr>
                <w:rFonts w:cs="Calibri"/>
                <w:szCs w:val="18"/>
              </w:rPr>
            </w:pPr>
            <w:bookmarkStart w:id="42" w:name="Note_FIMTABLE1" w:colFirst="0" w:colLast="0"/>
            <w:r>
              <w:rPr>
                <w:rFonts w:cs="Calibri"/>
                <w:szCs w:val="18"/>
              </w:rPr>
              <w:t>The following tables provide an analysis of assets and liabilities that are measured at fair value.</w:t>
            </w:r>
          </w:p>
        </w:tc>
      </w:tr>
      <w:bookmarkEnd w:id="42"/>
      <w:tr w:rsidR="007E1E1E" w:rsidTr="00B50E5D">
        <w:trPr>
          <w:trHeight w:val="240"/>
        </w:trPr>
        <w:tc>
          <w:tcPr>
            <w:tcW w:w="8980" w:type="dxa"/>
            <w:gridSpan w:val="5"/>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The different levels of the fair value hierarchy are defined below.</w:t>
            </w:r>
          </w:p>
        </w:tc>
      </w:tr>
      <w:tr w:rsidR="007E1E1E" w:rsidTr="00B50E5D">
        <w:trPr>
          <w:trHeight w:val="240"/>
        </w:trPr>
        <w:tc>
          <w:tcPr>
            <w:tcW w:w="4028"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7E1E1E" w:rsidRDefault="007E1E1E" w:rsidP="00B50E5D">
            <w:pPr>
              <w:jc w:val="right"/>
              <w:rPr>
                <w:rFonts w:cs="Calibri"/>
                <w:szCs w:val="18"/>
              </w:rPr>
            </w:pPr>
            <w:r>
              <w:rPr>
                <w:rFonts w:cs="Calibri"/>
                <w:szCs w:val="18"/>
              </w:rPr>
              <w:t> </w:t>
            </w:r>
          </w:p>
        </w:tc>
      </w:tr>
      <w:tr w:rsidR="007E1E1E" w:rsidTr="00B50E5D">
        <w:trPr>
          <w:trHeight w:val="255"/>
        </w:trPr>
        <w:tc>
          <w:tcPr>
            <w:tcW w:w="8980" w:type="dxa"/>
            <w:gridSpan w:val="5"/>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Level 1: Quoted prices (unadjusted) in active markets for identical assets or liabilities that the department can access at measurement date.</w:t>
            </w:r>
          </w:p>
        </w:tc>
      </w:tr>
      <w:tr w:rsidR="007E1E1E" w:rsidTr="00B50E5D">
        <w:trPr>
          <w:trHeight w:val="240"/>
        </w:trPr>
        <w:tc>
          <w:tcPr>
            <w:tcW w:w="8980" w:type="dxa"/>
            <w:gridSpan w:val="5"/>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Level 2: Inputs other than quoted prices included within Level 1 that are observable for the asset or liability, either directly or indirectly.</w:t>
            </w:r>
          </w:p>
        </w:tc>
      </w:tr>
      <w:tr w:rsidR="007E1E1E" w:rsidTr="00B50E5D">
        <w:trPr>
          <w:trHeight w:val="240"/>
        </w:trPr>
        <w:tc>
          <w:tcPr>
            <w:tcW w:w="8980" w:type="dxa"/>
            <w:gridSpan w:val="5"/>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Level 3: Unobservable inputs for the asset or liability.</w:t>
            </w:r>
          </w:p>
        </w:tc>
      </w:tr>
      <w:tr w:rsidR="007E1E1E" w:rsidTr="00B50E5D">
        <w:trPr>
          <w:trHeight w:val="240"/>
        </w:trPr>
        <w:tc>
          <w:tcPr>
            <w:tcW w:w="4028"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 </w:t>
            </w:r>
          </w:p>
        </w:tc>
      </w:tr>
      <w:tr w:rsidR="007E1E1E" w:rsidTr="00B50E5D">
        <w:trPr>
          <w:trHeight w:val="240"/>
        </w:trPr>
        <w:tc>
          <w:tcPr>
            <w:tcW w:w="4028"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5A</w:t>
            </w:r>
            <w:proofErr w:type="spellEnd"/>
            <w:r>
              <w:rPr>
                <w:rFonts w:cs="Calibri"/>
                <w:b/>
                <w:bCs/>
                <w:szCs w:val="18"/>
                <w:u w:val="single"/>
              </w:rPr>
              <w:t>: Fair value measurements</w:t>
            </w:r>
          </w:p>
        </w:tc>
        <w:tc>
          <w:tcPr>
            <w:tcW w:w="1238"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 </w:t>
            </w:r>
          </w:p>
        </w:tc>
      </w:tr>
      <w:tr w:rsidR="007E1E1E" w:rsidTr="00B50E5D">
        <w:trPr>
          <w:trHeight w:val="240"/>
        </w:trPr>
        <w:tc>
          <w:tcPr>
            <w:tcW w:w="4028"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7E1E1E" w:rsidRDefault="007E1E1E" w:rsidP="00B50E5D">
            <w:pPr>
              <w:jc w:val="right"/>
              <w:rPr>
                <w:rFonts w:cs="Calibri"/>
                <w:szCs w:val="18"/>
              </w:rPr>
            </w:pPr>
            <w:r>
              <w:rPr>
                <w:rFonts w:cs="Calibri"/>
                <w:szCs w:val="18"/>
              </w:rPr>
              <w:t> </w:t>
            </w:r>
          </w:p>
        </w:tc>
      </w:tr>
      <w:tr w:rsidR="007E1E1E" w:rsidTr="00B50E5D">
        <w:trPr>
          <w:trHeight w:val="240"/>
        </w:trPr>
        <w:tc>
          <w:tcPr>
            <w:tcW w:w="6504" w:type="dxa"/>
            <w:gridSpan w:val="3"/>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Fair value measurements at 30 June 2014 by hierarchy for assets and liabilities</w:t>
            </w:r>
          </w:p>
        </w:tc>
        <w:tc>
          <w:tcPr>
            <w:tcW w:w="1238"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495"/>
        </w:trPr>
        <w:tc>
          <w:tcPr>
            <w:tcW w:w="4028" w:type="dxa"/>
            <w:tcBorders>
              <w:top w:val="single" w:sz="4" w:space="0" w:color="auto"/>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238" w:type="dxa"/>
            <w:tcBorders>
              <w:top w:val="single" w:sz="4" w:space="0" w:color="auto"/>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3714" w:type="dxa"/>
            <w:gridSpan w:val="3"/>
            <w:tcBorders>
              <w:top w:val="single" w:sz="4" w:space="0" w:color="auto"/>
              <w:left w:val="nil"/>
              <w:bottom w:val="single" w:sz="4" w:space="0" w:color="auto"/>
              <w:right w:val="nil"/>
            </w:tcBorders>
            <w:shd w:val="clear" w:color="FFFFFF" w:fill="FFFFFF"/>
            <w:vAlign w:val="bottom"/>
            <w:hideMark/>
          </w:tcPr>
          <w:p w:rsidR="007E1E1E" w:rsidRDefault="007E1E1E" w:rsidP="00B50E5D">
            <w:pPr>
              <w:jc w:val="center"/>
              <w:rPr>
                <w:rFonts w:cs="Calibri"/>
                <w:b/>
                <w:bCs/>
                <w:szCs w:val="18"/>
              </w:rPr>
            </w:pPr>
            <w:r>
              <w:rPr>
                <w:rFonts w:cs="Calibri"/>
                <w:b/>
                <w:bCs/>
                <w:szCs w:val="18"/>
              </w:rPr>
              <w:t>Fair value measurements at the end of the reporting period using</w:t>
            </w:r>
          </w:p>
        </w:tc>
      </w:tr>
      <w:tr w:rsidR="007E1E1E" w:rsidTr="00B50E5D">
        <w:trPr>
          <w:trHeight w:val="240"/>
        </w:trPr>
        <w:tc>
          <w:tcPr>
            <w:tcW w:w="4028"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Fair value</w:t>
            </w:r>
          </w:p>
        </w:tc>
        <w:tc>
          <w:tcPr>
            <w:tcW w:w="1238"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Level 1 inputs</w:t>
            </w:r>
          </w:p>
        </w:tc>
        <w:tc>
          <w:tcPr>
            <w:tcW w:w="1238"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Level 2 inputs</w:t>
            </w:r>
          </w:p>
        </w:tc>
        <w:tc>
          <w:tcPr>
            <w:tcW w:w="1238"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Level 3 inputs</w:t>
            </w:r>
          </w:p>
        </w:tc>
      </w:tr>
      <w:tr w:rsidR="007E1E1E" w:rsidTr="00B50E5D">
        <w:trPr>
          <w:trHeight w:val="240"/>
        </w:trPr>
        <w:tc>
          <w:tcPr>
            <w:tcW w:w="4028" w:type="dxa"/>
            <w:tcBorders>
              <w:top w:val="nil"/>
              <w:left w:val="nil"/>
              <w:bottom w:val="single" w:sz="4" w:space="0" w:color="auto"/>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8"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$'000</w:t>
            </w:r>
          </w:p>
        </w:tc>
        <w:tc>
          <w:tcPr>
            <w:tcW w:w="1238"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$'000</w:t>
            </w:r>
          </w:p>
        </w:tc>
        <w:tc>
          <w:tcPr>
            <w:tcW w:w="1238"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$'000</w:t>
            </w:r>
          </w:p>
        </w:tc>
        <w:tc>
          <w:tcPr>
            <w:tcW w:w="1238"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40"/>
        </w:trPr>
        <w:tc>
          <w:tcPr>
            <w:tcW w:w="4028"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Non-financial assets</w:t>
            </w:r>
          </w:p>
        </w:tc>
        <w:tc>
          <w:tcPr>
            <w:tcW w:w="1238"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240"/>
        </w:trPr>
        <w:tc>
          <w:tcPr>
            <w:tcW w:w="4028"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Land and buildings</w:t>
            </w:r>
          </w:p>
        </w:tc>
        <w:tc>
          <w:tcPr>
            <w:tcW w:w="1238"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1,090 </w:t>
            </w:r>
          </w:p>
        </w:tc>
        <w:tc>
          <w:tcPr>
            <w:tcW w:w="1238"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238"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450 </w:t>
            </w:r>
          </w:p>
        </w:tc>
        <w:tc>
          <w:tcPr>
            <w:tcW w:w="1238"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640 </w:t>
            </w:r>
          </w:p>
        </w:tc>
      </w:tr>
      <w:tr w:rsidR="007E1E1E" w:rsidTr="00B50E5D">
        <w:trPr>
          <w:trHeight w:val="240"/>
        </w:trPr>
        <w:tc>
          <w:tcPr>
            <w:tcW w:w="4028"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Leasehold Improvements</w:t>
            </w:r>
          </w:p>
        </w:tc>
        <w:tc>
          <w:tcPr>
            <w:tcW w:w="1238"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49,777 </w:t>
            </w:r>
          </w:p>
        </w:tc>
        <w:tc>
          <w:tcPr>
            <w:tcW w:w="1238"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238"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304 </w:t>
            </w:r>
          </w:p>
        </w:tc>
        <w:tc>
          <w:tcPr>
            <w:tcW w:w="1238"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49,473 </w:t>
            </w:r>
          </w:p>
        </w:tc>
      </w:tr>
      <w:tr w:rsidR="007E1E1E" w:rsidTr="00B50E5D">
        <w:trPr>
          <w:trHeight w:val="240"/>
        </w:trPr>
        <w:tc>
          <w:tcPr>
            <w:tcW w:w="4028"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Other property, plant and equipment</w:t>
            </w:r>
          </w:p>
        </w:tc>
        <w:tc>
          <w:tcPr>
            <w:tcW w:w="1238"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11,454 </w:t>
            </w:r>
          </w:p>
        </w:tc>
        <w:tc>
          <w:tcPr>
            <w:tcW w:w="1238"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238"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3,999 </w:t>
            </w:r>
          </w:p>
        </w:tc>
        <w:tc>
          <w:tcPr>
            <w:tcW w:w="1238"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7,455 </w:t>
            </w:r>
          </w:p>
        </w:tc>
      </w:tr>
      <w:tr w:rsidR="007E1E1E" w:rsidTr="00B50E5D">
        <w:trPr>
          <w:trHeight w:val="240"/>
        </w:trPr>
        <w:tc>
          <w:tcPr>
            <w:tcW w:w="4028"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non-financial assets</w:t>
            </w:r>
          </w:p>
        </w:tc>
        <w:tc>
          <w:tcPr>
            <w:tcW w:w="1238"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62,321</w:t>
            </w:r>
          </w:p>
        </w:tc>
        <w:tc>
          <w:tcPr>
            <w:tcW w:w="1238"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238"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4,753</w:t>
            </w:r>
          </w:p>
        </w:tc>
        <w:tc>
          <w:tcPr>
            <w:tcW w:w="1238"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57,568</w:t>
            </w:r>
          </w:p>
        </w:tc>
      </w:tr>
      <w:tr w:rsidR="007E1E1E" w:rsidTr="00B50E5D">
        <w:trPr>
          <w:trHeight w:val="540"/>
        </w:trPr>
        <w:tc>
          <w:tcPr>
            <w:tcW w:w="4028"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 xml:space="preserve">Total fair value measurements (assets) in statement of financial </w:t>
            </w:r>
            <w:proofErr w:type="spellStart"/>
            <w:r>
              <w:rPr>
                <w:rFonts w:cs="Calibri"/>
                <w:b/>
                <w:bCs/>
                <w:i/>
                <w:iCs/>
                <w:szCs w:val="18"/>
              </w:rPr>
              <w:t>position</w:t>
            </w:r>
            <w:r>
              <w:rPr>
                <w:rFonts w:cs="Calibri"/>
                <w:b/>
                <w:bCs/>
                <w:i/>
                <w:iCs/>
                <w:szCs w:val="18"/>
                <w:vertAlign w:val="superscript"/>
              </w:rPr>
              <w:t>1</w:t>
            </w:r>
            <w:proofErr w:type="spellEnd"/>
          </w:p>
        </w:tc>
        <w:tc>
          <w:tcPr>
            <w:tcW w:w="1238"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62,321</w:t>
            </w:r>
          </w:p>
        </w:tc>
        <w:tc>
          <w:tcPr>
            <w:tcW w:w="1238"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238"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4,753</w:t>
            </w:r>
          </w:p>
        </w:tc>
        <w:tc>
          <w:tcPr>
            <w:tcW w:w="1238"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57,568</w:t>
            </w:r>
          </w:p>
        </w:tc>
      </w:tr>
      <w:tr w:rsidR="007E1E1E" w:rsidTr="00B50E5D">
        <w:trPr>
          <w:trHeight w:val="240"/>
        </w:trPr>
        <w:tc>
          <w:tcPr>
            <w:tcW w:w="4028"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720"/>
        </w:trPr>
        <w:tc>
          <w:tcPr>
            <w:tcW w:w="8980" w:type="dxa"/>
            <w:gridSpan w:val="5"/>
            <w:tcBorders>
              <w:top w:val="nil"/>
              <w:left w:val="nil"/>
              <w:bottom w:val="nil"/>
              <w:right w:val="nil"/>
            </w:tcBorders>
            <w:shd w:val="clear" w:color="FFFFFF" w:fill="FFFFFF"/>
            <w:vAlign w:val="bottom"/>
            <w:hideMark/>
          </w:tcPr>
          <w:p w:rsidR="007E1E1E" w:rsidRDefault="007E1E1E" w:rsidP="00B50E5D">
            <w:pPr>
              <w:rPr>
                <w:rFonts w:cs="Calibri"/>
                <w:szCs w:val="18"/>
              </w:rPr>
            </w:pPr>
            <w:r w:rsidRPr="00960698">
              <w:rPr>
                <w:rFonts w:cs="Calibri"/>
                <w:szCs w:val="18"/>
                <w:vertAlign w:val="superscript"/>
              </w:rPr>
              <w:t>1</w:t>
            </w:r>
            <w:r>
              <w:rPr>
                <w:rFonts w:cs="Calibri"/>
                <w:szCs w:val="18"/>
              </w:rPr>
              <w:t xml:space="preserve"> The Department has a number of assets and liabilities not measured at fair value in the statement of comprehensive income. The carrying amounts of these assets and liabilities are considered to be a reasonable approximation of their fair value.</w:t>
            </w:r>
          </w:p>
        </w:tc>
      </w:tr>
    </w:tbl>
    <w:p w:rsidR="007E1E1E" w:rsidRDefault="007E1E1E" w:rsidP="007E1E1E">
      <w:pPr>
        <w:pStyle w:val="NotesHeading-Level1"/>
        <w:numPr>
          <w:ilvl w:val="0"/>
          <w:numId w:val="0"/>
        </w:numPr>
        <w:rPr>
          <w:rFonts w:cstheme="minorHAnsi"/>
        </w:rPr>
      </w:pPr>
    </w:p>
    <w:p w:rsidR="007E1E1E" w:rsidRPr="003624CD" w:rsidRDefault="007E1E1E" w:rsidP="007E1E1E">
      <w:pPr>
        <w:rPr>
          <w:rFonts w:cs="Calibri"/>
          <w:b/>
          <w:szCs w:val="18"/>
        </w:rPr>
      </w:pPr>
      <w:r w:rsidRPr="003624CD">
        <w:rPr>
          <w:rFonts w:cs="Calibri"/>
          <w:b/>
          <w:szCs w:val="18"/>
        </w:rPr>
        <w:t>Fair value measurement – highest and best use for non-financial assets</w:t>
      </w:r>
    </w:p>
    <w:p w:rsidR="007E1E1E" w:rsidRPr="00960698" w:rsidRDefault="007E1E1E" w:rsidP="007E1E1E">
      <w:pPr>
        <w:rPr>
          <w:rFonts w:cs="Calibri"/>
          <w:szCs w:val="18"/>
        </w:rPr>
      </w:pPr>
      <w:r w:rsidRPr="00960698">
        <w:rPr>
          <w:rFonts w:cs="Calibri"/>
          <w:szCs w:val="18"/>
        </w:rPr>
        <w:t>The department's assets are held for operational purposes and not held for the purpose of deriving a profit. The current use of all controlled assets is considered the highest and best use.</w:t>
      </w:r>
    </w:p>
    <w:p w:rsidR="007E1E1E" w:rsidRPr="00960698" w:rsidRDefault="007E1E1E" w:rsidP="007E1E1E">
      <w:pPr>
        <w:rPr>
          <w:rFonts w:cs="Calibri"/>
          <w:szCs w:val="18"/>
        </w:rPr>
      </w:pPr>
    </w:p>
    <w:p w:rsidR="007E1E1E" w:rsidRPr="00960698" w:rsidRDefault="007E1E1E" w:rsidP="007E1E1E">
      <w:pPr>
        <w:rPr>
          <w:rFonts w:cs="Calibri"/>
          <w:szCs w:val="18"/>
        </w:rPr>
      </w:pPr>
      <w:r w:rsidRPr="00960698">
        <w:rPr>
          <w:rFonts w:cs="Calibri"/>
          <w:szCs w:val="18"/>
        </w:rPr>
        <w:t>There have been no transfers between levels of the hierarchy during the reporting period.</w:t>
      </w:r>
    </w:p>
    <w:p w:rsidR="007E1E1E" w:rsidRPr="00960698" w:rsidRDefault="007E1E1E" w:rsidP="007E1E1E">
      <w:pPr>
        <w:rPr>
          <w:rFonts w:cs="Calibri"/>
          <w:szCs w:val="18"/>
        </w:rPr>
      </w:pPr>
    </w:p>
    <w:p w:rsidR="007E1E1E" w:rsidRPr="00960698" w:rsidRDefault="007E1E1E" w:rsidP="007E1E1E">
      <w:pPr>
        <w:rPr>
          <w:rFonts w:cs="Calibri"/>
          <w:szCs w:val="18"/>
        </w:rPr>
      </w:pPr>
      <w:r w:rsidRPr="00960698">
        <w:rPr>
          <w:rFonts w:cs="Calibri"/>
          <w:szCs w:val="18"/>
        </w:rPr>
        <w:t>The department's policy for determining when transfer between levels are deemed to have occurred can be found in</w:t>
      </w:r>
    </w:p>
    <w:p w:rsidR="007E1E1E" w:rsidRPr="00960698" w:rsidRDefault="007E1E1E" w:rsidP="007E1E1E">
      <w:pPr>
        <w:rPr>
          <w:rFonts w:cs="Calibri"/>
          <w:szCs w:val="18"/>
        </w:rPr>
      </w:pPr>
      <w:proofErr w:type="gramStart"/>
      <w:r w:rsidRPr="00960698">
        <w:rPr>
          <w:rFonts w:cs="Calibri"/>
          <w:szCs w:val="18"/>
        </w:rPr>
        <w:t>Note 1.</w:t>
      </w:r>
      <w:proofErr w:type="gramEnd"/>
      <w:r w:rsidRPr="00960698">
        <w:rPr>
          <w:rFonts w:cs="Calibri"/>
          <w:szCs w:val="18"/>
        </w:rPr>
        <w:br w:type="page"/>
      </w:r>
    </w:p>
    <w:p w:rsidR="007E1E1E" w:rsidRDefault="007E1E1E" w:rsidP="007E1E1E">
      <w:pPr>
        <w:pStyle w:val="NotesHeading-Level1"/>
        <w:numPr>
          <w:ilvl w:val="0"/>
          <w:numId w:val="0"/>
        </w:numPr>
        <w:rPr>
          <w:rFonts w:cstheme="minorHAnsi"/>
        </w:rPr>
      </w:pPr>
    </w:p>
    <w:tbl>
      <w:tblPr>
        <w:tblW w:w="9087" w:type="dxa"/>
        <w:tblInd w:w="80" w:type="dxa"/>
        <w:tblLayout w:type="fixed"/>
        <w:tblLook w:val="04A0" w:firstRow="1" w:lastRow="0" w:firstColumn="1" w:lastColumn="0" w:noHBand="0" w:noVBand="1"/>
      </w:tblPr>
      <w:tblGrid>
        <w:gridCol w:w="1937"/>
        <w:gridCol w:w="1172"/>
        <w:gridCol w:w="1170"/>
        <w:gridCol w:w="1297"/>
        <w:gridCol w:w="2103"/>
        <w:gridCol w:w="1408"/>
      </w:tblGrid>
      <w:tr w:rsidR="007E1E1E" w:rsidTr="00B50E5D">
        <w:trPr>
          <w:trHeight w:val="240"/>
        </w:trPr>
        <w:tc>
          <w:tcPr>
            <w:tcW w:w="7596" w:type="dxa"/>
            <w:gridSpan w:val="5"/>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43" w:name="Note_FIOTABLE1" w:colFirst="0" w:colLast="0"/>
            <w:r>
              <w:rPr>
                <w:rFonts w:cs="Calibri"/>
                <w:b/>
                <w:bCs/>
                <w:szCs w:val="18"/>
                <w:u w:val="single"/>
              </w:rPr>
              <w:t xml:space="preserve">Note </w:t>
            </w:r>
            <w:proofErr w:type="spellStart"/>
            <w:r>
              <w:rPr>
                <w:rFonts w:cs="Calibri"/>
                <w:b/>
                <w:bCs/>
                <w:szCs w:val="18"/>
                <w:u w:val="single"/>
              </w:rPr>
              <w:t>5B</w:t>
            </w:r>
            <w:proofErr w:type="spellEnd"/>
            <w:r>
              <w:rPr>
                <w:rFonts w:cs="Calibri"/>
                <w:b/>
                <w:bCs/>
                <w:szCs w:val="18"/>
                <w:u w:val="single"/>
              </w:rPr>
              <w:t>: Valuation technique and inputs for Level 2 and Level 3 fair value measurements</w:t>
            </w:r>
          </w:p>
        </w:tc>
        <w:tc>
          <w:tcPr>
            <w:tcW w:w="1393" w:type="dxa"/>
            <w:tcBorders>
              <w:top w:val="nil"/>
              <w:left w:val="nil"/>
              <w:bottom w:val="nil"/>
              <w:right w:val="nil"/>
            </w:tcBorders>
            <w:shd w:val="clear" w:color="FFFFFF" w:fill="FFFFFF"/>
            <w:noWrap/>
            <w:vAlign w:val="bottom"/>
            <w:hideMark/>
          </w:tcPr>
          <w:p w:rsidR="007E1E1E" w:rsidRDefault="007E1E1E" w:rsidP="00B50E5D">
            <w:pPr>
              <w:jc w:val="right"/>
              <w:rPr>
                <w:rFonts w:cs="Calibri"/>
                <w:szCs w:val="18"/>
              </w:rPr>
            </w:pPr>
            <w:r>
              <w:rPr>
                <w:rFonts w:cs="Calibri"/>
                <w:szCs w:val="18"/>
              </w:rPr>
              <w:t> </w:t>
            </w:r>
          </w:p>
        </w:tc>
      </w:tr>
      <w:bookmarkEnd w:id="43"/>
      <w:tr w:rsidR="007E1E1E" w:rsidTr="00B50E5D">
        <w:trPr>
          <w:trHeight w:val="240"/>
        </w:trPr>
        <w:tc>
          <w:tcPr>
            <w:tcW w:w="1917"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59"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157"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283"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208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393" w:type="dxa"/>
            <w:tcBorders>
              <w:top w:val="nil"/>
              <w:left w:val="nil"/>
              <w:bottom w:val="nil"/>
              <w:right w:val="nil"/>
            </w:tcBorders>
            <w:shd w:val="clear" w:color="FFFFFF" w:fill="FFFFFF"/>
            <w:noWrap/>
            <w:vAlign w:val="bottom"/>
            <w:hideMark/>
          </w:tcPr>
          <w:p w:rsidR="007E1E1E" w:rsidRDefault="007E1E1E" w:rsidP="00B50E5D">
            <w:pPr>
              <w:jc w:val="right"/>
              <w:rPr>
                <w:rFonts w:cs="Calibri"/>
                <w:szCs w:val="18"/>
              </w:rPr>
            </w:pPr>
            <w:r>
              <w:rPr>
                <w:rFonts w:cs="Calibri"/>
                <w:szCs w:val="18"/>
              </w:rPr>
              <w:t> </w:t>
            </w:r>
          </w:p>
        </w:tc>
      </w:tr>
      <w:tr w:rsidR="007E1E1E" w:rsidTr="00B50E5D">
        <w:trPr>
          <w:trHeight w:val="240"/>
        </w:trPr>
        <w:tc>
          <w:tcPr>
            <w:tcW w:w="1917"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59"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157"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283"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208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393" w:type="dxa"/>
            <w:tcBorders>
              <w:top w:val="nil"/>
              <w:left w:val="nil"/>
              <w:bottom w:val="nil"/>
              <w:right w:val="nil"/>
            </w:tcBorders>
            <w:shd w:val="clear" w:color="FFFFFF" w:fill="FFFFFF"/>
            <w:noWrap/>
            <w:vAlign w:val="bottom"/>
            <w:hideMark/>
          </w:tcPr>
          <w:p w:rsidR="007E1E1E" w:rsidRDefault="007E1E1E" w:rsidP="00B50E5D">
            <w:pPr>
              <w:jc w:val="right"/>
              <w:rPr>
                <w:rFonts w:cs="Calibri"/>
                <w:szCs w:val="18"/>
              </w:rPr>
            </w:pPr>
            <w:r>
              <w:rPr>
                <w:rFonts w:cs="Calibri"/>
                <w:szCs w:val="18"/>
              </w:rPr>
              <w:t> </w:t>
            </w:r>
          </w:p>
        </w:tc>
      </w:tr>
      <w:tr w:rsidR="007E1E1E" w:rsidTr="00B50E5D">
        <w:trPr>
          <w:trHeight w:val="480"/>
        </w:trPr>
        <w:tc>
          <w:tcPr>
            <w:tcW w:w="1917" w:type="dxa"/>
            <w:tcBorders>
              <w:top w:val="single" w:sz="4" w:space="0" w:color="auto"/>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59" w:type="dxa"/>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Category (Level 2 or 3)</w:t>
            </w:r>
          </w:p>
        </w:tc>
        <w:tc>
          <w:tcPr>
            <w:tcW w:w="1157" w:type="dxa"/>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Fair Value</w:t>
            </w:r>
          </w:p>
        </w:tc>
        <w:tc>
          <w:tcPr>
            <w:tcW w:w="1283" w:type="dxa"/>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 w:val="16"/>
                <w:szCs w:val="16"/>
              </w:rPr>
            </w:pPr>
            <w:r>
              <w:rPr>
                <w:rFonts w:cs="Calibri"/>
                <w:b/>
                <w:bCs/>
                <w:szCs w:val="18"/>
              </w:rPr>
              <w:t xml:space="preserve">Valuation </w:t>
            </w:r>
            <w:proofErr w:type="spellStart"/>
            <w:r>
              <w:rPr>
                <w:rFonts w:cs="Calibri"/>
                <w:b/>
                <w:bCs/>
                <w:szCs w:val="18"/>
              </w:rPr>
              <w:t>technique</w:t>
            </w:r>
            <w:r>
              <w:rPr>
                <w:rFonts w:ascii="Arial" w:hAnsi="Arial" w:cs="Arial"/>
                <w:b/>
                <w:bCs/>
                <w:sz w:val="16"/>
                <w:szCs w:val="16"/>
                <w:vertAlign w:val="superscript"/>
              </w:rPr>
              <w:t>1</w:t>
            </w:r>
            <w:proofErr w:type="spellEnd"/>
          </w:p>
        </w:tc>
        <w:tc>
          <w:tcPr>
            <w:tcW w:w="2080" w:type="dxa"/>
            <w:tcBorders>
              <w:top w:val="single" w:sz="4" w:space="0" w:color="auto"/>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Inputs used</w:t>
            </w:r>
          </w:p>
        </w:tc>
        <w:tc>
          <w:tcPr>
            <w:tcW w:w="1393" w:type="dxa"/>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 w:val="16"/>
                <w:szCs w:val="16"/>
              </w:rPr>
            </w:pPr>
            <w:r>
              <w:rPr>
                <w:rFonts w:cs="Calibri"/>
                <w:b/>
                <w:bCs/>
                <w:szCs w:val="18"/>
              </w:rPr>
              <w:t>Range (weighted average)</w:t>
            </w:r>
            <w:r>
              <w:rPr>
                <w:rFonts w:ascii="Arial" w:hAnsi="Arial" w:cs="Arial"/>
                <w:b/>
                <w:bCs/>
                <w:sz w:val="16"/>
                <w:szCs w:val="16"/>
                <w:vertAlign w:val="superscript"/>
              </w:rPr>
              <w:t>2</w:t>
            </w:r>
          </w:p>
        </w:tc>
      </w:tr>
      <w:tr w:rsidR="007E1E1E" w:rsidTr="00B50E5D">
        <w:trPr>
          <w:trHeight w:val="240"/>
        </w:trPr>
        <w:tc>
          <w:tcPr>
            <w:tcW w:w="1917" w:type="dxa"/>
            <w:tcBorders>
              <w:top w:val="nil"/>
              <w:left w:val="nil"/>
              <w:bottom w:val="single" w:sz="4" w:space="0" w:color="auto"/>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59"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157"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$'000</w:t>
            </w:r>
          </w:p>
        </w:tc>
        <w:tc>
          <w:tcPr>
            <w:tcW w:w="1283"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2080" w:type="dxa"/>
            <w:tcBorders>
              <w:top w:val="nil"/>
              <w:left w:val="nil"/>
              <w:bottom w:val="single" w:sz="4" w:space="0" w:color="auto"/>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393"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szCs w:val="18"/>
              </w:rPr>
            </w:pPr>
            <w:r>
              <w:rPr>
                <w:rFonts w:cs="Calibri"/>
                <w:szCs w:val="18"/>
              </w:rPr>
              <w:t> </w:t>
            </w:r>
          </w:p>
        </w:tc>
      </w:tr>
      <w:tr w:rsidR="007E1E1E" w:rsidTr="00B50E5D">
        <w:trPr>
          <w:trHeight w:val="240"/>
        </w:trPr>
        <w:tc>
          <w:tcPr>
            <w:tcW w:w="1917"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Non-financial assets</w:t>
            </w:r>
          </w:p>
        </w:tc>
        <w:tc>
          <w:tcPr>
            <w:tcW w:w="1159"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157"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283"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208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393" w:type="dxa"/>
            <w:tcBorders>
              <w:top w:val="nil"/>
              <w:left w:val="nil"/>
              <w:bottom w:val="nil"/>
              <w:right w:val="nil"/>
            </w:tcBorders>
            <w:shd w:val="clear" w:color="FFFFFF" w:fill="FFFFFF"/>
            <w:noWrap/>
            <w:vAlign w:val="bottom"/>
            <w:hideMark/>
          </w:tcPr>
          <w:p w:rsidR="007E1E1E" w:rsidRDefault="007E1E1E" w:rsidP="00B50E5D">
            <w:pPr>
              <w:jc w:val="right"/>
              <w:rPr>
                <w:rFonts w:cs="Calibri"/>
                <w:szCs w:val="18"/>
              </w:rPr>
            </w:pPr>
            <w:r>
              <w:rPr>
                <w:rFonts w:cs="Calibri"/>
                <w:szCs w:val="18"/>
              </w:rPr>
              <w:t> </w:t>
            </w:r>
          </w:p>
        </w:tc>
      </w:tr>
      <w:tr w:rsidR="007E1E1E" w:rsidTr="00B50E5D">
        <w:trPr>
          <w:trHeight w:val="600"/>
        </w:trPr>
        <w:tc>
          <w:tcPr>
            <w:tcW w:w="1917" w:type="dxa"/>
            <w:tcBorders>
              <w:top w:val="nil"/>
              <w:left w:val="nil"/>
              <w:bottom w:val="single" w:sz="4" w:space="0" w:color="auto"/>
              <w:right w:val="nil"/>
            </w:tcBorders>
            <w:shd w:val="clear" w:color="FFFFFF" w:fill="FFFFFF"/>
            <w:vAlign w:val="bottom"/>
            <w:hideMark/>
          </w:tcPr>
          <w:p w:rsidR="007E1E1E" w:rsidRDefault="007E1E1E" w:rsidP="00B50E5D">
            <w:pPr>
              <w:rPr>
                <w:rFonts w:cs="Calibri"/>
                <w:szCs w:val="18"/>
              </w:rPr>
            </w:pPr>
            <w:r>
              <w:rPr>
                <w:rFonts w:cs="Calibri"/>
                <w:szCs w:val="18"/>
              </w:rPr>
              <w:t>Land</w:t>
            </w:r>
          </w:p>
        </w:tc>
        <w:tc>
          <w:tcPr>
            <w:tcW w:w="1159"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2 </w:t>
            </w:r>
          </w:p>
        </w:tc>
        <w:tc>
          <w:tcPr>
            <w:tcW w:w="1157"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200 </w:t>
            </w:r>
          </w:p>
        </w:tc>
        <w:tc>
          <w:tcPr>
            <w:tcW w:w="1283" w:type="dxa"/>
            <w:tcBorders>
              <w:top w:val="nil"/>
              <w:left w:val="nil"/>
              <w:bottom w:val="single" w:sz="4" w:space="0" w:color="auto"/>
              <w:right w:val="nil"/>
            </w:tcBorders>
            <w:shd w:val="clear" w:color="FFFFFF" w:fill="FFFFFF"/>
            <w:hideMark/>
          </w:tcPr>
          <w:p w:rsidR="007E1E1E" w:rsidRDefault="007E1E1E" w:rsidP="00B50E5D">
            <w:pPr>
              <w:jc w:val="right"/>
              <w:rPr>
                <w:rFonts w:cs="Calibri"/>
                <w:b/>
                <w:bCs/>
                <w:szCs w:val="18"/>
              </w:rPr>
            </w:pPr>
            <w:r>
              <w:rPr>
                <w:rFonts w:cs="Calibri"/>
                <w:b/>
                <w:bCs/>
                <w:szCs w:val="18"/>
              </w:rPr>
              <w:t>Market Approach</w:t>
            </w:r>
          </w:p>
        </w:tc>
        <w:tc>
          <w:tcPr>
            <w:tcW w:w="2080" w:type="dxa"/>
            <w:tcBorders>
              <w:top w:val="nil"/>
              <w:left w:val="nil"/>
              <w:bottom w:val="single" w:sz="4" w:space="0" w:color="auto"/>
              <w:right w:val="nil"/>
            </w:tcBorders>
            <w:shd w:val="clear" w:color="FFFFFF" w:fill="FFFFFF"/>
            <w:hideMark/>
          </w:tcPr>
          <w:p w:rsidR="007E1E1E" w:rsidRDefault="007E1E1E" w:rsidP="00B50E5D">
            <w:pPr>
              <w:rPr>
                <w:rFonts w:cs="Calibri"/>
                <w:b/>
                <w:bCs/>
                <w:szCs w:val="18"/>
              </w:rPr>
            </w:pPr>
            <w:r>
              <w:rPr>
                <w:rFonts w:cs="Calibri"/>
                <w:b/>
                <w:bCs/>
                <w:szCs w:val="18"/>
              </w:rPr>
              <w:t>Adjusted market transactions</w:t>
            </w:r>
          </w:p>
        </w:tc>
        <w:tc>
          <w:tcPr>
            <w:tcW w:w="1393" w:type="dxa"/>
            <w:tcBorders>
              <w:top w:val="nil"/>
              <w:left w:val="nil"/>
              <w:bottom w:val="single" w:sz="4" w:space="0" w:color="auto"/>
              <w:right w:val="nil"/>
            </w:tcBorders>
            <w:shd w:val="clear" w:color="auto" w:fill="D9D9D9"/>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540"/>
        </w:trPr>
        <w:tc>
          <w:tcPr>
            <w:tcW w:w="1917" w:type="dxa"/>
            <w:tcBorders>
              <w:top w:val="nil"/>
              <w:left w:val="nil"/>
              <w:bottom w:val="single" w:sz="4" w:space="0" w:color="auto"/>
              <w:right w:val="nil"/>
            </w:tcBorders>
            <w:shd w:val="clear" w:color="FFFFFF" w:fill="FFFFFF"/>
            <w:vAlign w:val="bottom"/>
            <w:hideMark/>
          </w:tcPr>
          <w:p w:rsidR="007E1E1E" w:rsidRDefault="007E1E1E" w:rsidP="00B50E5D">
            <w:pPr>
              <w:rPr>
                <w:rFonts w:cs="Calibri"/>
                <w:szCs w:val="18"/>
              </w:rPr>
            </w:pPr>
            <w:r>
              <w:rPr>
                <w:rFonts w:cs="Calibri"/>
                <w:szCs w:val="18"/>
              </w:rPr>
              <w:t>Buildings</w:t>
            </w:r>
          </w:p>
        </w:tc>
        <w:tc>
          <w:tcPr>
            <w:tcW w:w="1159"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2 </w:t>
            </w:r>
          </w:p>
        </w:tc>
        <w:tc>
          <w:tcPr>
            <w:tcW w:w="1157"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250 </w:t>
            </w:r>
          </w:p>
        </w:tc>
        <w:tc>
          <w:tcPr>
            <w:tcW w:w="1283" w:type="dxa"/>
            <w:tcBorders>
              <w:top w:val="nil"/>
              <w:left w:val="nil"/>
              <w:bottom w:val="single" w:sz="4" w:space="0" w:color="auto"/>
              <w:right w:val="nil"/>
            </w:tcBorders>
            <w:shd w:val="clear" w:color="FFFFFF" w:fill="FFFFFF"/>
            <w:hideMark/>
          </w:tcPr>
          <w:p w:rsidR="007E1E1E" w:rsidRDefault="007E1E1E" w:rsidP="00B50E5D">
            <w:pPr>
              <w:jc w:val="right"/>
              <w:rPr>
                <w:rFonts w:cs="Calibri"/>
                <w:b/>
                <w:bCs/>
                <w:szCs w:val="18"/>
              </w:rPr>
            </w:pPr>
            <w:r>
              <w:rPr>
                <w:rFonts w:cs="Calibri"/>
                <w:b/>
                <w:bCs/>
                <w:szCs w:val="18"/>
              </w:rPr>
              <w:t>Market Approach</w:t>
            </w:r>
          </w:p>
        </w:tc>
        <w:tc>
          <w:tcPr>
            <w:tcW w:w="2080" w:type="dxa"/>
            <w:tcBorders>
              <w:top w:val="nil"/>
              <w:left w:val="nil"/>
              <w:bottom w:val="single" w:sz="4" w:space="0" w:color="auto"/>
              <w:right w:val="nil"/>
            </w:tcBorders>
            <w:shd w:val="clear" w:color="FFFFFF" w:fill="FFFFFF"/>
            <w:hideMark/>
          </w:tcPr>
          <w:p w:rsidR="007E1E1E" w:rsidRDefault="007E1E1E" w:rsidP="00B50E5D">
            <w:pPr>
              <w:rPr>
                <w:rFonts w:cs="Calibri"/>
                <w:b/>
                <w:bCs/>
                <w:szCs w:val="18"/>
              </w:rPr>
            </w:pPr>
            <w:r>
              <w:rPr>
                <w:rFonts w:cs="Calibri"/>
                <w:b/>
                <w:bCs/>
                <w:szCs w:val="18"/>
              </w:rPr>
              <w:t>Adjusted market transactions</w:t>
            </w:r>
          </w:p>
        </w:tc>
        <w:tc>
          <w:tcPr>
            <w:tcW w:w="1393" w:type="dxa"/>
            <w:tcBorders>
              <w:top w:val="nil"/>
              <w:left w:val="nil"/>
              <w:bottom w:val="single" w:sz="4" w:space="0" w:color="auto"/>
              <w:right w:val="nil"/>
            </w:tcBorders>
            <w:shd w:val="clear" w:color="auto" w:fill="D9D9D9"/>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585"/>
        </w:trPr>
        <w:tc>
          <w:tcPr>
            <w:tcW w:w="1917" w:type="dxa"/>
            <w:tcBorders>
              <w:top w:val="nil"/>
              <w:left w:val="nil"/>
              <w:bottom w:val="single" w:sz="4" w:space="0" w:color="auto"/>
              <w:right w:val="nil"/>
            </w:tcBorders>
            <w:shd w:val="clear" w:color="FFFFFF" w:fill="FFFFFF"/>
            <w:vAlign w:val="bottom"/>
            <w:hideMark/>
          </w:tcPr>
          <w:p w:rsidR="007E1E1E" w:rsidRDefault="007E1E1E" w:rsidP="00B50E5D">
            <w:pPr>
              <w:rPr>
                <w:rFonts w:cs="Calibri"/>
                <w:szCs w:val="18"/>
              </w:rPr>
            </w:pPr>
            <w:r>
              <w:rPr>
                <w:rFonts w:cs="Calibri"/>
                <w:szCs w:val="18"/>
              </w:rPr>
              <w:t>Buildings</w:t>
            </w:r>
          </w:p>
        </w:tc>
        <w:tc>
          <w:tcPr>
            <w:tcW w:w="1159"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3 </w:t>
            </w:r>
          </w:p>
        </w:tc>
        <w:tc>
          <w:tcPr>
            <w:tcW w:w="1157"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640 </w:t>
            </w:r>
          </w:p>
        </w:tc>
        <w:tc>
          <w:tcPr>
            <w:tcW w:w="1283" w:type="dxa"/>
            <w:tcBorders>
              <w:top w:val="nil"/>
              <w:left w:val="nil"/>
              <w:bottom w:val="single" w:sz="4" w:space="0" w:color="auto"/>
              <w:right w:val="nil"/>
            </w:tcBorders>
            <w:shd w:val="clear" w:color="FFFFFF" w:fill="FFFFFF"/>
            <w:hideMark/>
          </w:tcPr>
          <w:p w:rsidR="007E1E1E" w:rsidRDefault="007E1E1E" w:rsidP="00B50E5D">
            <w:pPr>
              <w:jc w:val="right"/>
              <w:rPr>
                <w:rFonts w:cs="Calibri"/>
                <w:b/>
                <w:bCs/>
                <w:szCs w:val="18"/>
              </w:rPr>
            </w:pPr>
            <w:r>
              <w:rPr>
                <w:rFonts w:cs="Calibri"/>
                <w:b/>
                <w:bCs/>
                <w:szCs w:val="18"/>
              </w:rPr>
              <w:t>Market Approach</w:t>
            </w:r>
          </w:p>
        </w:tc>
        <w:tc>
          <w:tcPr>
            <w:tcW w:w="2080" w:type="dxa"/>
            <w:tcBorders>
              <w:top w:val="nil"/>
              <w:left w:val="nil"/>
              <w:bottom w:val="single" w:sz="4" w:space="0" w:color="auto"/>
              <w:right w:val="nil"/>
            </w:tcBorders>
            <w:shd w:val="clear" w:color="FFFFFF" w:fill="FFFFFF"/>
            <w:hideMark/>
          </w:tcPr>
          <w:p w:rsidR="007E1E1E" w:rsidRDefault="007E1E1E" w:rsidP="00B50E5D">
            <w:pPr>
              <w:rPr>
                <w:rFonts w:cs="Calibri"/>
                <w:b/>
                <w:bCs/>
                <w:szCs w:val="18"/>
              </w:rPr>
            </w:pPr>
            <w:r>
              <w:rPr>
                <w:rFonts w:cs="Calibri"/>
                <w:b/>
                <w:bCs/>
                <w:szCs w:val="18"/>
              </w:rPr>
              <w:t>Adjusted market transactions</w:t>
            </w:r>
          </w:p>
        </w:tc>
        <w:tc>
          <w:tcPr>
            <w:tcW w:w="1393" w:type="dxa"/>
            <w:tcBorders>
              <w:top w:val="nil"/>
              <w:left w:val="nil"/>
              <w:bottom w:val="single" w:sz="4" w:space="0" w:color="auto"/>
              <w:right w:val="nil"/>
            </w:tcBorders>
            <w:shd w:val="clear" w:color="FFFFFF" w:fill="FFFFFF"/>
            <w:hideMark/>
          </w:tcPr>
          <w:p w:rsidR="007E1E1E" w:rsidRDefault="007E1E1E" w:rsidP="00B50E5D">
            <w:pPr>
              <w:jc w:val="center"/>
              <w:rPr>
                <w:rFonts w:cs="Calibri"/>
                <w:b/>
                <w:bCs/>
                <w:szCs w:val="18"/>
              </w:rPr>
            </w:pPr>
            <w:r>
              <w:rPr>
                <w:rFonts w:cs="Calibri"/>
                <w:b/>
                <w:bCs/>
                <w:szCs w:val="18"/>
              </w:rPr>
              <w:t>(30.0%) - 0.0%</w:t>
            </w:r>
          </w:p>
        </w:tc>
      </w:tr>
      <w:tr w:rsidR="007E1E1E" w:rsidTr="00B50E5D">
        <w:trPr>
          <w:trHeight w:val="675"/>
        </w:trPr>
        <w:tc>
          <w:tcPr>
            <w:tcW w:w="1917"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Leasehold Improvements</w:t>
            </w:r>
          </w:p>
        </w:tc>
        <w:tc>
          <w:tcPr>
            <w:tcW w:w="1159"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2 </w:t>
            </w:r>
          </w:p>
        </w:tc>
        <w:tc>
          <w:tcPr>
            <w:tcW w:w="1157"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304 </w:t>
            </w:r>
          </w:p>
        </w:tc>
        <w:tc>
          <w:tcPr>
            <w:tcW w:w="1283" w:type="dxa"/>
            <w:tcBorders>
              <w:top w:val="nil"/>
              <w:left w:val="nil"/>
              <w:bottom w:val="nil"/>
              <w:right w:val="nil"/>
            </w:tcBorders>
            <w:shd w:val="clear" w:color="FFFFFF" w:fill="FFFFFF"/>
            <w:hideMark/>
          </w:tcPr>
          <w:p w:rsidR="007E1E1E" w:rsidRDefault="007E1E1E" w:rsidP="00B50E5D">
            <w:pPr>
              <w:jc w:val="right"/>
              <w:rPr>
                <w:rFonts w:cs="Calibri"/>
                <w:b/>
                <w:bCs/>
                <w:szCs w:val="18"/>
              </w:rPr>
            </w:pPr>
            <w:r>
              <w:rPr>
                <w:rFonts w:cs="Calibri"/>
                <w:b/>
                <w:bCs/>
                <w:szCs w:val="18"/>
              </w:rPr>
              <w:t>Depreciated Replacement Cost (DRC)</w:t>
            </w:r>
          </w:p>
        </w:tc>
        <w:tc>
          <w:tcPr>
            <w:tcW w:w="2080" w:type="dxa"/>
            <w:tcBorders>
              <w:top w:val="nil"/>
              <w:left w:val="nil"/>
              <w:bottom w:val="nil"/>
              <w:right w:val="nil"/>
            </w:tcBorders>
            <w:shd w:val="clear" w:color="FFFFFF" w:fill="FFFFFF"/>
            <w:hideMark/>
          </w:tcPr>
          <w:p w:rsidR="007E1E1E" w:rsidRDefault="007E1E1E" w:rsidP="00B50E5D">
            <w:pPr>
              <w:rPr>
                <w:rFonts w:cs="Calibri"/>
                <w:b/>
                <w:bCs/>
                <w:szCs w:val="18"/>
              </w:rPr>
            </w:pPr>
            <w:r>
              <w:rPr>
                <w:rFonts w:cs="Calibri"/>
                <w:b/>
                <w:bCs/>
                <w:szCs w:val="18"/>
              </w:rPr>
              <w:t xml:space="preserve">Replacement Cost New (price per </w:t>
            </w:r>
            <w:proofErr w:type="spellStart"/>
            <w:r>
              <w:rPr>
                <w:rFonts w:cs="Calibri"/>
                <w:b/>
                <w:bCs/>
                <w:szCs w:val="18"/>
              </w:rPr>
              <w:t>sqm</w:t>
            </w:r>
            <w:proofErr w:type="spellEnd"/>
            <w:r>
              <w:rPr>
                <w:rFonts w:cs="Calibri"/>
                <w:b/>
                <w:bCs/>
                <w:szCs w:val="18"/>
              </w:rPr>
              <w:t>)</w:t>
            </w:r>
          </w:p>
        </w:tc>
        <w:tc>
          <w:tcPr>
            <w:tcW w:w="1393" w:type="dxa"/>
            <w:tcBorders>
              <w:top w:val="nil"/>
              <w:left w:val="nil"/>
              <w:bottom w:val="nil"/>
              <w:right w:val="nil"/>
            </w:tcBorders>
            <w:shd w:val="clear" w:color="auto" w:fill="D9D9D9"/>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765"/>
        </w:trPr>
        <w:tc>
          <w:tcPr>
            <w:tcW w:w="1917" w:type="dxa"/>
            <w:tcBorders>
              <w:top w:val="single" w:sz="4" w:space="0" w:color="auto"/>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Leasehold Improvements</w:t>
            </w:r>
          </w:p>
        </w:tc>
        <w:tc>
          <w:tcPr>
            <w:tcW w:w="1159" w:type="dxa"/>
            <w:tcBorders>
              <w:top w:val="single" w:sz="4" w:space="0" w:color="auto"/>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3 </w:t>
            </w:r>
          </w:p>
        </w:tc>
        <w:tc>
          <w:tcPr>
            <w:tcW w:w="1157" w:type="dxa"/>
            <w:tcBorders>
              <w:top w:val="single" w:sz="4" w:space="0" w:color="auto"/>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49,473 </w:t>
            </w:r>
          </w:p>
        </w:tc>
        <w:tc>
          <w:tcPr>
            <w:tcW w:w="1283" w:type="dxa"/>
            <w:tcBorders>
              <w:top w:val="single" w:sz="4" w:space="0" w:color="auto"/>
              <w:left w:val="nil"/>
              <w:bottom w:val="nil"/>
              <w:right w:val="nil"/>
            </w:tcBorders>
            <w:shd w:val="clear" w:color="FFFFFF" w:fill="FFFFFF"/>
            <w:hideMark/>
          </w:tcPr>
          <w:p w:rsidR="007E1E1E" w:rsidRDefault="007E1E1E" w:rsidP="00B50E5D">
            <w:pPr>
              <w:jc w:val="right"/>
              <w:rPr>
                <w:rFonts w:cs="Calibri"/>
                <w:b/>
                <w:bCs/>
                <w:szCs w:val="18"/>
              </w:rPr>
            </w:pPr>
            <w:r>
              <w:rPr>
                <w:rFonts w:cs="Calibri"/>
                <w:b/>
                <w:bCs/>
                <w:szCs w:val="18"/>
              </w:rPr>
              <w:t>Depreciated Replacement Cost (DRC)</w:t>
            </w:r>
          </w:p>
        </w:tc>
        <w:tc>
          <w:tcPr>
            <w:tcW w:w="2080" w:type="dxa"/>
            <w:tcBorders>
              <w:top w:val="single" w:sz="4" w:space="0" w:color="auto"/>
              <w:left w:val="nil"/>
              <w:bottom w:val="nil"/>
              <w:right w:val="nil"/>
            </w:tcBorders>
            <w:shd w:val="clear" w:color="FFFFFF" w:fill="FFFFFF"/>
            <w:hideMark/>
          </w:tcPr>
          <w:p w:rsidR="007E1E1E" w:rsidRDefault="007E1E1E" w:rsidP="00B50E5D">
            <w:pPr>
              <w:rPr>
                <w:rFonts w:cs="Calibri"/>
                <w:b/>
                <w:bCs/>
                <w:szCs w:val="18"/>
              </w:rPr>
            </w:pPr>
            <w:r>
              <w:rPr>
                <w:rFonts w:cs="Calibri"/>
                <w:b/>
                <w:bCs/>
                <w:szCs w:val="18"/>
              </w:rPr>
              <w:t xml:space="preserve">Replacement Cost New (price per </w:t>
            </w:r>
            <w:proofErr w:type="spellStart"/>
            <w:r>
              <w:rPr>
                <w:rFonts w:cs="Calibri"/>
                <w:b/>
                <w:bCs/>
                <w:szCs w:val="18"/>
              </w:rPr>
              <w:t>sqm</w:t>
            </w:r>
            <w:proofErr w:type="spellEnd"/>
            <w:r>
              <w:rPr>
                <w:rFonts w:cs="Calibri"/>
                <w:b/>
                <w:bCs/>
                <w:szCs w:val="18"/>
              </w:rPr>
              <w:t xml:space="preserve">)                                                                                                                                            </w:t>
            </w:r>
          </w:p>
        </w:tc>
        <w:tc>
          <w:tcPr>
            <w:tcW w:w="1393" w:type="dxa"/>
            <w:tcBorders>
              <w:top w:val="single" w:sz="4" w:space="0" w:color="auto"/>
              <w:left w:val="nil"/>
              <w:bottom w:val="nil"/>
              <w:right w:val="nil"/>
            </w:tcBorders>
            <w:shd w:val="clear" w:color="auto" w:fill="D9D9D9"/>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1080"/>
        </w:trPr>
        <w:tc>
          <w:tcPr>
            <w:tcW w:w="1917"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 </w:t>
            </w:r>
          </w:p>
        </w:tc>
        <w:tc>
          <w:tcPr>
            <w:tcW w:w="1159"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157"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283" w:type="dxa"/>
            <w:tcBorders>
              <w:top w:val="nil"/>
              <w:left w:val="nil"/>
              <w:bottom w:val="nil"/>
              <w:right w:val="nil"/>
            </w:tcBorders>
            <w:shd w:val="clear" w:color="FFFFFF" w:fill="FFFFFF"/>
            <w:hideMark/>
          </w:tcPr>
          <w:p w:rsidR="007E1E1E" w:rsidRDefault="007E1E1E" w:rsidP="00B50E5D">
            <w:pPr>
              <w:jc w:val="right"/>
              <w:rPr>
                <w:rFonts w:cs="Calibri"/>
                <w:b/>
                <w:bCs/>
                <w:szCs w:val="18"/>
              </w:rPr>
            </w:pPr>
            <w:r>
              <w:rPr>
                <w:rFonts w:cs="Calibri"/>
                <w:b/>
                <w:bCs/>
                <w:szCs w:val="18"/>
              </w:rPr>
              <w:t> </w:t>
            </w:r>
          </w:p>
        </w:tc>
        <w:tc>
          <w:tcPr>
            <w:tcW w:w="2080" w:type="dxa"/>
            <w:tcBorders>
              <w:top w:val="nil"/>
              <w:left w:val="nil"/>
              <w:bottom w:val="nil"/>
              <w:right w:val="nil"/>
            </w:tcBorders>
            <w:shd w:val="clear" w:color="FFFFFF" w:fill="FFFFFF"/>
            <w:hideMark/>
          </w:tcPr>
          <w:p w:rsidR="007E1E1E" w:rsidRDefault="007E1E1E" w:rsidP="00B50E5D">
            <w:pPr>
              <w:rPr>
                <w:rFonts w:cs="Calibri"/>
                <w:b/>
                <w:bCs/>
                <w:szCs w:val="18"/>
              </w:rPr>
            </w:pPr>
            <w:r>
              <w:rPr>
                <w:rFonts w:cs="Calibri"/>
                <w:b/>
                <w:bCs/>
                <w:szCs w:val="18"/>
              </w:rPr>
              <w:t>Useful life (consumed economic benefit/Obsolescence of asset)</w:t>
            </w:r>
          </w:p>
        </w:tc>
        <w:tc>
          <w:tcPr>
            <w:tcW w:w="1393" w:type="dxa"/>
            <w:tcBorders>
              <w:top w:val="nil"/>
              <w:left w:val="nil"/>
              <w:bottom w:val="nil"/>
              <w:right w:val="nil"/>
            </w:tcBorders>
            <w:shd w:val="clear" w:color="FFFFFF" w:fill="FFFFFF"/>
            <w:hideMark/>
          </w:tcPr>
          <w:p w:rsidR="007E1E1E" w:rsidRDefault="007E1E1E" w:rsidP="00B50E5D">
            <w:pPr>
              <w:jc w:val="center"/>
              <w:rPr>
                <w:rFonts w:cs="Calibri"/>
                <w:b/>
                <w:bCs/>
                <w:szCs w:val="18"/>
              </w:rPr>
            </w:pPr>
            <w:r>
              <w:rPr>
                <w:rFonts w:cs="Calibri"/>
                <w:b/>
                <w:bCs/>
                <w:szCs w:val="18"/>
              </w:rPr>
              <w:t xml:space="preserve">                                                        4.3% - 41.4% (6.8%) per annum</w:t>
            </w:r>
          </w:p>
        </w:tc>
      </w:tr>
      <w:tr w:rsidR="007E1E1E" w:rsidTr="00B50E5D">
        <w:trPr>
          <w:trHeight w:val="480"/>
        </w:trPr>
        <w:tc>
          <w:tcPr>
            <w:tcW w:w="1917" w:type="dxa"/>
            <w:tcBorders>
              <w:top w:val="single" w:sz="4" w:space="0" w:color="auto"/>
              <w:left w:val="nil"/>
              <w:bottom w:val="single" w:sz="4" w:space="0" w:color="auto"/>
              <w:right w:val="nil"/>
            </w:tcBorders>
            <w:shd w:val="clear" w:color="FFFFFF" w:fill="FFFFFF"/>
            <w:vAlign w:val="bottom"/>
            <w:hideMark/>
          </w:tcPr>
          <w:p w:rsidR="007E1E1E" w:rsidRDefault="007E1E1E" w:rsidP="00B50E5D">
            <w:pPr>
              <w:rPr>
                <w:rFonts w:cs="Calibri"/>
                <w:szCs w:val="18"/>
              </w:rPr>
            </w:pPr>
            <w:r>
              <w:rPr>
                <w:rFonts w:cs="Calibri"/>
                <w:szCs w:val="18"/>
              </w:rPr>
              <w:t>Other property, plant and equipment</w:t>
            </w:r>
          </w:p>
        </w:tc>
        <w:tc>
          <w:tcPr>
            <w:tcW w:w="1159"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2 </w:t>
            </w:r>
          </w:p>
        </w:tc>
        <w:tc>
          <w:tcPr>
            <w:tcW w:w="1157"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3,999 </w:t>
            </w:r>
          </w:p>
        </w:tc>
        <w:tc>
          <w:tcPr>
            <w:tcW w:w="1283" w:type="dxa"/>
            <w:tcBorders>
              <w:top w:val="single" w:sz="4" w:space="0" w:color="auto"/>
              <w:left w:val="nil"/>
              <w:bottom w:val="single" w:sz="4" w:space="0" w:color="auto"/>
              <w:right w:val="nil"/>
            </w:tcBorders>
            <w:shd w:val="clear" w:color="FFFFFF" w:fill="FFFFFF"/>
            <w:hideMark/>
          </w:tcPr>
          <w:p w:rsidR="007E1E1E" w:rsidRDefault="007E1E1E" w:rsidP="00B50E5D">
            <w:pPr>
              <w:jc w:val="right"/>
              <w:rPr>
                <w:rFonts w:cs="Calibri"/>
                <w:b/>
                <w:bCs/>
                <w:szCs w:val="18"/>
              </w:rPr>
            </w:pPr>
            <w:r>
              <w:rPr>
                <w:rFonts w:cs="Calibri"/>
                <w:b/>
                <w:bCs/>
                <w:szCs w:val="18"/>
              </w:rPr>
              <w:t>Market Approach</w:t>
            </w:r>
          </w:p>
        </w:tc>
        <w:tc>
          <w:tcPr>
            <w:tcW w:w="2080" w:type="dxa"/>
            <w:tcBorders>
              <w:top w:val="single" w:sz="4" w:space="0" w:color="auto"/>
              <w:left w:val="nil"/>
              <w:bottom w:val="single" w:sz="4" w:space="0" w:color="auto"/>
              <w:right w:val="nil"/>
            </w:tcBorders>
            <w:shd w:val="clear" w:color="FFFFFF" w:fill="FFFFFF"/>
            <w:hideMark/>
          </w:tcPr>
          <w:p w:rsidR="007E1E1E" w:rsidRDefault="007E1E1E" w:rsidP="00B50E5D">
            <w:pPr>
              <w:rPr>
                <w:rFonts w:cs="Calibri"/>
                <w:b/>
                <w:bCs/>
                <w:szCs w:val="18"/>
              </w:rPr>
            </w:pPr>
            <w:r>
              <w:rPr>
                <w:rFonts w:cs="Calibri"/>
                <w:b/>
                <w:bCs/>
                <w:szCs w:val="18"/>
              </w:rPr>
              <w:t>Adjusted market transactions</w:t>
            </w:r>
          </w:p>
        </w:tc>
        <w:tc>
          <w:tcPr>
            <w:tcW w:w="1393" w:type="dxa"/>
            <w:tcBorders>
              <w:top w:val="single" w:sz="4" w:space="0" w:color="auto"/>
              <w:left w:val="nil"/>
              <w:bottom w:val="single" w:sz="4" w:space="0" w:color="auto"/>
              <w:right w:val="nil"/>
            </w:tcBorders>
            <w:shd w:val="clear" w:color="auto" w:fill="D9D9D9"/>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1020"/>
        </w:trPr>
        <w:tc>
          <w:tcPr>
            <w:tcW w:w="1917" w:type="dxa"/>
            <w:tcBorders>
              <w:top w:val="nil"/>
              <w:left w:val="nil"/>
              <w:bottom w:val="nil"/>
              <w:right w:val="nil"/>
            </w:tcBorders>
            <w:shd w:val="clear" w:color="FFFFFF" w:fill="FFFFFF"/>
            <w:hideMark/>
          </w:tcPr>
          <w:p w:rsidR="007E1E1E" w:rsidRDefault="007E1E1E" w:rsidP="00B50E5D">
            <w:pPr>
              <w:rPr>
                <w:rFonts w:cs="Calibri"/>
                <w:szCs w:val="18"/>
              </w:rPr>
            </w:pPr>
            <w:r>
              <w:rPr>
                <w:rFonts w:cs="Calibri"/>
                <w:szCs w:val="18"/>
              </w:rPr>
              <w:t>Other property, plant and equipment</w:t>
            </w:r>
          </w:p>
        </w:tc>
        <w:tc>
          <w:tcPr>
            <w:tcW w:w="1159"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3 </w:t>
            </w:r>
          </w:p>
        </w:tc>
        <w:tc>
          <w:tcPr>
            <w:tcW w:w="1157"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6,963 </w:t>
            </w:r>
          </w:p>
        </w:tc>
        <w:tc>
          <w:tcPr>
            <w:tcW w:w="1283" w:type="dxa"/>
            <w:tcBorders>
              <w:top w:val="nil"/>
              <w:left w:val="nil"/>
              <w:bottom w:val="nil"/>
              <w:right w:val="nil"/>
            </w:tcBorders>
            <w:shd w:val="clear" w:color="FFFFFF" w:fill="FFFFFF"/>
            <w:hideMark/>
          </w:tcPr>
          <w:p w:rsidR="007E1E1E" w:rsidRDefault="007E1E1E" w:rsidP="00B50E5D">
            <w:pPr>
              <w:jc w:val="right"/>
              <w:rPr>
                <w:rFonts w:cs="Calibri"/>
                <w:b/>
                <w:bCs/>
                <w:szCs w:val="18"/>
              </w:rPr>
            </w:pPr>
            <w:r>
              <w:rPr>
                <w:rFonts w:cs="Calibri"/>
                <w:b/>
                <w:bCs/>
                <w:szCs w:val="18"/>
              </w:rPr>
              <w:t>Depreciated Replacement Cost (DRC)</w:t>
            </w:r>
          </w:p>
        </w:tc>
        <w:tc>
          <w:tcPr>
            <w:tcW w:w="2080" w:type="dxa"/>
            <w:tcBorders>
              <w:top w:val="nil"/>
              <w:left w:val="nil"/>
              <w:bottom w:val="nil"/>
              <w:right w:val="nil"/>
            </w:tcBorders>
            <w:shd w:val="clear" w:color="FFFFFF" w:fill="FFFFFF"/>
            <w:hideMark/>
          </w:tcPr>
          <w:p w:rsidR="007E1E1E" w:rsidRDefault="007E1E1E" w:rsidP="00B50E5D">
            <w:pPr>
              <w:rPr>
                <w:rFonts w:cs="Calibri"/>
                <w:b/>
                <w:bCs/>
                <w:szCs w:val="18"/>
              </w:rPr>
            </w:pPr>
            <w:r>
              <w:rPr>
                <w:rFonts w:cs="Calibri"/>
                <w:b/>
                <w:bCs/>
                <w:szCs w:val="18"/>
              </w:rPr>
              <w:t xml:space="preserve">Replacement Cost New (size, capacity, use, configuration, style, type) Useful life                                                </w:t>
            </w:r>
          </w:p>
        </w:tc>
        <w:tc>
          <w:tcPr>
            <w:tcW w:w="1393" w:type="dxa"/>
            <w:tcBorders>
              <w:top w:val="nil"/>
              <w:left w:val="nil"/>
              <w:bottom w:val="nil"/>
              <w:right w:val="nil"/>
            </w:tcBorders>
            <w:shd w:val="clear" w:color="auto" w:fill="D9D9D9"/>
            <w:noWrap/>
            <w:hideMark/>
          </w:tcPr>
          <w:p w:rsidR="007E1E1E" w:rsidRDefault="007E1E1E" w:rsidP="00B50E5D">
            <w:pPr>
              <w:rPr>
                <w:rFonts w:cs="Calibri"/>
                <w:b/>
                <w:bCs/>
                <w:szCs w:val="18"/>
              </w:rPr>
            </w:pPr>
            <w:r>
              <w:rPr>
                <w:rFonts w:cs="Calibri"/>
                <w:b/>
                <w:bCs/>
                <w:szCs w:val="18"/>
              </w:rPr>
              <w:t> </w:t>
            </w:r>
          </w:p>
        </w:tc>
      </w:tr>
      <w:tr w:rsidR="007E1E1E" w:rsidTr="00B50E5D">
        <w:trPr>
          <w:trHeight w:val="1065"/>
        </w:trPr>
        <w:tc>
          <w:tcPr>
            <w:tcW w:w="1917" w:type="dxa"/>
            <w:tcBorders>
              <w:top w:val="nil"/>
              <w:left w:val="nil"/>
              <w:bottom w:val="nil"/>
              <w:right w:val="nil"/>
            </w:tcBorders>
            <w:shd w:val="clear" w:color="FFFFFF" w:fill="FFFFFF"/>
            <w:hideMark/>
          </w:tcPr>
          <w:p w:rsidR="007E1E1E" w:rsidRDefault="007E1E1E" w:rsidP="00B50E5D">
            <w:pPr>
              <w:rPr>
                <w:rFonts w:cs="Calibri"/>
                <w:szCs w:val="18"/>
              </w:rPr>
            </w:pPr>
            <w:r>
              <w:rPr>
                <w:rFonts w:cs="Calibri"/>
                <w:szCs w:val="18"/>
              </w:rPr>
              <w:t>Other property, plant and equipment</w:t>
            </w:r>
          </w:p>
        </w:tc>
        <w:tc>
          <w:tcPr>
            <w:tcW w:w="1159" w:type="dxa"/>
            <w:tcBorders>
              <w:top w:val="nil"/>
              <w:left w:val="nil"/>
              <w:bottom w:val="nil"/>
              <w:right w:val="nil"/>
            </w:tcBorders>
            <w:shd w:val="clear" w:color="FFFFFF" w:fill="FFFFFF"/>
            <w:noWrap/>
            <w:hideMark/>
          </w:tcPr>
          <w:p w:rsidR="007E1E1E" w:rsidRDefault="007E1E1E" w:rsidP="00B50E5D">
            <w:pPr>
              <w:rPr>
                <w:rFonts w:cs="Calibri"/>
                <w:b/>
                <w:bCs/>
                <w:szCs w:val="18"/>
              </w:rPr>
            </w:pPr>
            <w:r>
              <w:rPr>
                <w:rFonts w:cs="Calibri"/>
                <w:b/>
                <w:bCs/>
                <w:szCs w:val="18"/>
              </w:rPr>
              <w:t> </w:t>
            </w:r>
          </w:p>
        </w:tc>
        <w:tc>
          <w:tcPr>
            <w:tcW w:w="1157" w:type="dxa"/>
            <w:tcBorders>
              <w:top w:val="nil"/>
              <w:left w:val="nil"/>
              <w:bottom w:val="nil"/>
              <w:right w:val="nil"/>
            </w:tcBorders>
            <w:shd w:val="clear" w:color="FFFFFF" w:fill="FFFFFF"/>
            <w:noWrap/>
            <w:hideMark/>
          </w:tcPr>
          <w:p w:rsidR="007E1E1E" w:rsidRDefault="007E1E1E" w:rsidP="00B50E5D">
            <w:pPr>
              <w:rPr>
                <w:rFonts w:cs="Calibri"/>
                <w:b/>
                <w:bCs/>
                <w:szCs w:val="18"/>
              </w:rPr>
            </w:pPr>
            <w:r>
              <w:rPr>
                <w:rFonts w:cs="Calibri"/>
                <w:b/>
                <w:bCs/>
                <w:szCs w:val="18"/>
              </w:rPr>
              <w:t> </w:t>
            </w:r>
          </w:p>
        </w:tc>
        <w:tc>
          <w:tcPr>
            <w:tcW w:w="1283" w:type="dxa"/>
            <w:tcBorders>
              <w:top w:val="nil"/>
              <w:left w:val="nil"/>
              <w:bottom w:val="nil"/>
              <w:right w:val="nil"/>
            </w:tcBorders>
            <w:shd w:val="clear" w:color="FFFFFF" w:fill="FFFFFF"/>
            <w:hideMark/>
          </w:tcPr>
          <w:p w:rsidR="007E1E1E" w:rsidRDefault="007E1E1E" w:rsidP="00B50E5D">
            <w:pPr>
              <w:jc w:val="right"/>
              <w:rPr>
                <w:rFonts w:cs="Calibri"/>
                <w:b/>
                <w:bCs/>
                <w:szCs w:val="18"/>
              </w:rPr>
            </w:pPr>
            <w:r>
              <w:rPr>
                <w:rFonts w:cs="Calibri"/>
                <w:b/>
                <w:bCs/>
                <w:szCs w:val="18"/>
              </w:rPr>
              <w:t> </w:t>
            </w:r>
          </w:p>
        </w:tc>
        <w:tc>
          <w:tcPr>
            <w:tcW w:w="2080" w:type="dxa"/>
            <w:tcBorders>
              <w:top w:val="nil"/>
              <w:left w:val="nil"/>
              <w:bottom w:val="nil"/>
              <w:right w:val="nil"/>
            </w:tcBorders>
            <w:shd w:val="clear" w:color="FFFFFF" w:fill="FFFFFF"/>
            <w:hideMark/>
          </w:tcPr>
          <w:p w:rsidR="007E1E1E" w:rsidRDefault="007E1E1E" w:rsidP="00B50E5D">
            <w:pPr>
              <w:rPr>
                <w:rFonts w:cs="Calibri"/>
                <w:b/>
                <w:bCs/>
                <w:szCs w:val="18"/>
              </w:rPr>
            </w:pPr>
            <w:r>
              <w:rPr>
                <w:rFonts w:cs="Calibri"/>
                <w:b/>
                <w:bCs/>
                <w:szCs w:val="18"/>
              </w:rPr>
              <w:t>Useful Life(consumed economic benefit/Obsolescence of asset)</w:t>
            </w:r>
          </w:p>
        </w:tc>
        <w:tc>
          <w:tcPr>
            <w:tcW w:w="1393" w:type="dxa"/>
            <w:tcBorders>
              <w:top w:val="nil"/>
              <w:left w:val="nil"/>
              <w:bottom w:val="nil"/>
              <w:right w:val="nil"/>
            </w:tcBorders>
            <w:shd w:val="clear" w:color="FFFFFF" w:fill="FFFFFF"/>
            <w:hideMark/>
          </w:tcPr>
          <w:p w:rsidR="007E1E1E" w:rsidRDefault="007E1E1E" w:rsidP="00B50E5D">
            <w:pPr>
              <w:jc w:val="center"/>
              <w:rPr>
                <w:rFonts w:cs="Calibri"/>
                <w:b/>
                <w:bCs/>
                <w:szCs w:val="18"/>
              </w:rPr>
            </w:pPr>
            <w:r>
              <w:rPr>
                <w:rFonts w:cs="Calibri"/>
                <w:b/>
                <w:bCs/>
                <w:szCs w:val="18"/>
              </w:rPr>
              <w:t xml:space="preserve">                                                        6.7% - 33.3% (15.6%) per annum</w:t>
            </w:r>
          </w:p>
        </w:tc>
      </w:tr>
      <w:tr w:rsidR="007E1E1E" w:rsidTr="00B50E5D">
        <w:trPr>
          <w:trHeight w:val="720"/>
        </w:trPr>
        <w:tc>
          <w:tcPr>
            <w:tcW w:w="1917" w:type="dxa"/>
            <w:tcBorders>
              <w:top w:val="single" w:sz="4" w:space="0" w:color="auto"/>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Other property, plant and equipment (Library Collection)</w:t>
            </w:r>
          </w:p>
        </w:tc>
        <w:tc>
          <w:tcPr>
            <w:tcW w:w="1159" w:type="dxa"/>
            <w:tcBorders>
              <w:top w:val="single" w:sz="4" w:space="0" w:color="auto"/>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3 </w:t>
            </w:r>
          </w:p>
        </w:tc>
        <w:tc>
          <w:tcPr>
            <w:tcW w:w="1157" w:type="dxa"/>
            <w:tcBorders>
              <w:top w:val="single" w:sz="4" w:space="0" w:color="auto"/>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492 </w:t>
            </w:r>
          </w:p>
        </w:tc>
        <w:tc>
          <w:tcPr>
            <w:tcW w:w="1283" w:type="dxa"/>
            <w:tcBorders>
              <w:top w:val="single" w:sz="4" w:space="0" w:color="auto"/>
              <w:left w:val="nil"/>
              <w:bottom w:val="nil"/>
              <w:right w:val="nil"/>
            </w:tcBorders>
            <w:shd w:val="clear" w:color="FFFFFF" w:fill="FFFFFF"/>
            <w:hideMark/>
          </w:tcPr>
          <w:p w:rsidR="007E1E1E" w:rsidRDefault="007E1E1E" w:rsidP="00B50E5D">
            <w:pPr>
              <w:jc w:val="right"/>
              <w:rPr>
                <w:rFonts w:cs="Calibri"/>
                <w:b/>
                <w:bCs/>
                <w:szCs w:val="18"/>
              </w:rPr>
            </w:pPr>
            <w:r>
              <w:rPr>
                <w:rFonts w:cs="Calibri"/>
                <w:b/>
                <w:bCs/>
                <w:szCs w:val="18"/>
              </w:rPr>
              <w:t>Depreciated Replacement Cost (DRC)</w:t>
            </w:r>
          </w:p>
        </w:tc>
        <w:tc>
          <w:tcPr>
            <w:tcW w:w="2080" w:type="dxa"/>
            <w:tcBorders>
              <w:top w:val="single" w:sz="4" w:space="0" w:color="auto"/>
              <w:left w:val="nil"/>
              <w:bottom w:val="nil"/>
              <w:right w:val="nil"/>
            </w:tcBorders>
            <w:shd w:val="clear" w:color="FFFFFF" w:fill="FFFFFF"/>
            <w:hideMark/>
          </w:tcPr>
          <w:p w:rsidR="007E1E1E" w:rsidRDefault="007E1E1E" w:rsidP="00B50E5D">
            <w:pPr>
              <w:rPr>
                <w:rFonts w:cs="Calibri"/>
                <w:b/>
                <w:bCs/>
                <w:szCs w:val="18"/>
              </w:rPr>
            </w:pPr>
            <w:r>
              <w:rPr>
                <w:rFonts w:cs="Calibri"/>
                <w:b/>
                <w:bCs/>
                <w:szCs w:val="18"/>
              </w:rPr>
              <w:t xml:space="preserve">Adjusted market transactions                </w:t>
            </w:r>
            <w:r>
              <w:rPr>
                <w:rFonts w:cs="Calibri"/>
                <w:b/>
                <w:bCs/>
                <w:szCs w:val="18"/>
              </w:rPr>
              <w:br/>
              <w:t>(Average Price Per Title)</w:t>
            </w:r>
          </w:p>
        </w:tc>
        <w:tc>
          <w:tcPr>
            <w:tcW w:w="1393" w:type="dxa"/>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$15.00 - $650.00 ($320.00)</w:t>
            </w:r>
          </w:p>
        </w:tc>
      </w:tr>
      <w:tr w:rsidR="007E1E1E" w:rsidTr="00B50E5D">
        <w:trPr>
          <w:trHeight w:val="945"/>
        </w:trPr>
        <w:tc>
          <w:tcPr>
            <w:tcW w:w="1917" w:type="dxa"/>
            <w:tcBorders>
              <w:top w:val="nil"/>
              <w:left w:val="nil"/>
              <w:bottom w:val="single" w:sz="4" w:space="0" w:color="auto"/>
              <w:right w:val="nil"/>
            </w:tcBorders>
            <w:shd w:val="clear" w:color="FFFFFF" w:fill="FFFFFF"/>
            <w:vAlign w:val="bottom"/>
            <w:hideMark/>
          </w:tcPr>
          <w:p w:rsidR="007E1E1E" w:rsidRDefault="007E1E1E" w:rsidP="00B50E5D">
            <w:pPr>
              <w:rPr>
                <w:rFonts w:cs="Calibri"/>
                <w:szCs w:val="18"/>
              </w:rPr>
            </w:pPr>
            <w:r>
              <w:rPr>
                <w:rFonts w:cs="Calibri"/>
                <w:szCs w:val="18"/>
              </w:rPr>
              <w:t> </w:t>
            </w:r>
          </w:p>
        </w:tc>
        <w:tc>
          <w:tcPr>
            <w:tcW w:w="1159"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157"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283" w:type="dxa"/>
            <w:tcBorders>
              <w:top w:val="nil"/>
              <w:left w:val="nil"/>
              <w:bottom w:val="single" w:sz="4" w:space="0" w:color="auto"/>
              <w:right w:val="nil"/>
            </w:tcBorders>
            <w:shd w:val="clear" w:color="FFFFFF" w:fill="FFFFFF"/>
            <w:hideMark/>
          </w:tcPr>
          <w:p w:rsidR="007E1E1E" w:rsidRDefault="007E1E1E" w:rsidP="00B50E5D">
            <w:pPr>
              <w:jc w:val="right"/>
              <w:rPr>
                <w:rFonts w:cs="Calibri"/>
                <w:b/>
                <w:bCs/>
                <w:szCs w:val="18"/>
              </w:rPr>
            </w:pPr>
            <w:r>
              <w:rPr>
                <w:rFonts w:cs="Calibri"/>
                <w:b/>
                <w:bCs/>
                <w:szCs w:val="18"/>
              </w:rPr>
              <w:t> </w:t>
            </w:r>
          </w:p>
        </w:tc>
        <w:tc>
          <w:tcPr>
            <w:tcW w:w="2080" w:type="dxa"/>
            <w:tcBorders>
              <w:top w:val="nil"/>
              <w:left w:val="nil"/>
              <w:bottom w:val="single" w:sz="4" w:space="0" w:color="auto"/>
              <w:right w:val="nil"/>
            </w:tcBorders>
            <w:shd w:val="clear" w:color="FFFFFF" w:fill="FFFFFF"/>
            <w:hideMark/>
          </w:tcPr>
          <w:p w:rsidR="007E1E1E" w:rsidRDefault="007E1E1E" w:rsidP="00B50E5D">
            <w:pPr>
              <w:rPr>
                <w:rFonts w:cs="Calibri"/>
                <w:b/>
                <w:bCs/>
                <w:szCs w:val="18"/>
              </w:rPr>
            </w:pPr>
            <w:r>
              <w:rPr>
                <w:rFonts w:cs="Calibri"/>
                <w:b/>
                <w:bCs/>
                <w:szCs w:val="18"/>
              </w:rPr>
              <w:t>Useful life (consumed economic benefit/Obsolescence of asset)</w:t>
            </w:r>
          </w:p>
        </w:tc>
        <w:tc>
          <w:tcPr>
            <w:tcW w:w="1393"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6.7% - 10.0% (6.7%) per annum</w:t>
            </w:r>
          </w:p>
        </w:tc>
      </w:tr>
    </w:tbl>
    <w:p w:rsidR="007E1E1E" w:rsidRPr="00E84FBD" w:rsidRDefault="007E1E1E" w:rsidP="007E1E1E">
      <w:pPr>
        <w:pStyle w:val="NotesText0"/>
      </w:pPr>
      <w:bookmarkStart w:id="44" w:name="RANGE!D7:D23"/>
      <w:bookmarkStart w:id="45" w:name="RANGE!D7:I23"/>
      <w:bookmarkStart w:id="46" w:name="RANGE!D7:D21"/>
      <w:bookmarkStart w:id="47" w:name="RANGE!D7:I21"/>
      <w:bookmarkStart w:id="48" w:name="RANGE!D7:D15"/>
      <w:bookmarkStart w:id="49" w:name="RANGE!D7:I15"/>
      <w:bookmarkStart w:id="50" w:name="RANGE!D7:D24"/>
      <w:bookmarkStart w:id="51" w:name="RANGE!D7:I24"/>
      <w:bookmarkEnd w:id="44"/>
      <w:bookmarkEnd w:id="45"/>
      <w:bookmarkEnd w:id="46"/>
      <w:bookmarkEnd w:id="47"/>
      <w:bookmarkEnd w:id="48"/>
      <w:bookmarkEnd w:id="49"/>
      <w:bookmarkEnd w:id="50"/>
      <w:bookmarkEnd w:id="51"/>
      <w:r w:rsidRPr="00CC766A">
        <w:rPr>
          <w:vertAlign w:val="superscript"/>
        </w:rPr>
        <w:t>1</w:t>
      </w:r>
      <w:r w:rsidRPr="00E84FBD">
        <w:t xml:space="preserve"> </w:t>
      </w:r>
      <w:r w:rsidRPr="003E1B06">
        <w:t xml:space="preserve">There </w:t>
      </w:r>
      <w:proofErr w:type="gramStart"/>
      <w:r w:rsidRPr="003E1B06">
        <w:t>ha</w:t>
      </w:r>
      <w:r>
        <w:t>ve</w:t>
      </w:r>
      <w:proofErr w:type="gramEnd"/>
      <w:r w:rsidRPr="003E1B06">
        <w:t xml:space="preserve"> been no changes to valuation techniques. </w:t>
      </w:r>
      <w:r w:rsidRPr="00E84FBD">
        <w:tab/>
        <w:t xml:space="preserve"> </w:t>
      </w:r>
    </w:p>
    <w:p w:rsidR="007E1E1E" w:rsidRPr="00E84FBD" w:rsidRDefault="007E1E1E" w:rsidP="007E1E1E">
      <w:pPr>
        <w:pStyle w:val="NotesText0"/>
      </w:pPr>
      <w:proofErr w:type="gramStart"/>
      <w:r w:rsidRPr="00CC766A">
        <w:rPr>
          <w:vertAlign w:val="superscript"/>
        </w:rPr>
        <w:t>2</w:t>
      </w:r>
      <w:r w:rsidRPr="00E84FBD">
        <w:t xml:space="preserve"> Significant unobservable inputs only.</w:t>
      </w:r>
      <w:proofErr w:type="gramEnd"/>
      <w:r w:rsidRPr="00E84FBD">
        <w:t xml:space="preserve"> Not applicable for assets or liabilities in the Level 2 category</w:t>
      </w:r>
      <w:r w:rsidRPr="00E84FBD">
        <w:tab/>
        <w:t xml:space="preserve"> </w:t>
      </w:r>
    </w:p>
    <w:p w:rsidR="007E1E1E" w:rsidRPr="00E84FBD" w:rsidRDefault="007E1E1E" w:rsidP="007E1E1E">
      <w:pPr>
        <w:pStyle w:val="NotesText0"/>
      </w:pPr>
      <w:r w:rsidRPr="00E84FBD">
        <w:t>The Department have a number of assets and liabilities not measured at fair value in the statement of comprehensive income. The carrying amounts of these assets and liabilities are considered to be a reasonable approximation of their fair value.</w:t>
      </w:r>
    </w:p>
    <w:p w:rsidR="007E1E1E" w:rsidRPr="00E84FBD" w:rsidRDefault="007E1E1E" w:rsidP="007E1E1E">
      <w:pPr>
        <w:pStyle w:val="NotesText0"/>
      </w:pPr>
      <w:r w:rsidRPr="00E84FBD">
        <w:t xml:space="preserve">The methods and valuation techniques used for the purpose of measuring fair value of assets and liabilities in 2014 are unchanged from the previous reporting period. </w:t>
      </w:r>
    </w:p>
    <w:p w:rsidR="007E1E1E" w:rsidRDefault="007E1E1E" w:rsidP="007E1E1E">
      <w:pPr>
        <w:spacing w:before="120" w:after="60"/>
        <w:rPr>
          <w:rFonts w:cs="Calibri"/>
          <w:szCs w:val="18"/>
        </w:rPr>
      </w:pPr>
      <w:r w:rsidRPr="000D255F">
        <w:rPr>
          <w:rFonts w:cs="Calibri"/>
          <w:szCs w:val="18"/>
        </w:rPr>
        <w:t>Changing inputs to the level 3 hierarchy valuations to reasonably possible alternate assumptions would not significantly change amounts recognised in net cost of service or other comprehensive income.</w:t>
      </w:r>
    </w:p>
    <w:p w:rsidR="007E1E1E" w:rsidRPr="003E1B06" w:rsidRDefault="007E1E1E" w:rsidP="007E1E1E">
      <w:pPr>
        <w:spacing w:before="120" w:after="60"/>
        <w:rPr>
          <w:rFonts w:cs="Calibri"/>
          <w:b/>
          <w:szCs w:val="18"/>
        </w:rPr>
      </w:pPr>
      <w:r w:rsidRPr="003E1B06">
        <w:rPr>
          <w:rFonts w:cs="Calibri"/>
          <w:b/>
          <w:szCs w:val="18"/>
        </w:rPr>
        <w:lastRenderedPageBreak/>
        <w:t xml:space="preserve">Recurring and non-recurring Level 3 fair value measurements </w:t>
      </w:r>
      <w:r>
        <w:rPr>
          <w:rFonts w:cs="Calibri"/>
          <w:b/>
          <w:szCs w:val="18"/>
        </w:rPr>
        <w:t>–</w:t>
      </w:r>
      <w:r w:rsidRPr="003E1B06">
        <w:rPr>
          <w:rFonts w:cs="Calibri"/>
          <w:b/>
          <w:szCs w:val="18"/>
        </w:rPr>
        <w:t xml:space="preserve"> valuation processes</w:t>
      </w:r>
    </w:p>
    <w:p w:rsidR="007E1E1E" w:rsidRPr="003E1B06" w:rsidRDefault="007E1E1E" w:rsidP="007E1E1E">
      <w:pPr>
        <w:spacing w:before="100" w:after="100" w:line="240" w:lineRule="auto"/>
        <w:rPr>
          <w:rFonts w:cs="Calibri"/>
          <w:szCs w:val="18"/>
        </w:rPr>
      </w:pPr>
      <w:r w:rsidRPr="003E1B06">
        <w:rPr>
          <w:rFonts w:cs="Calibri"/>
          <w:szCs w:val="18"/>
        </w:rPr>
        <w:t>The department has a policy of testing the currency of the valuation of various asset classes at least once every 12 months and to obtain a comprehensive valuation at least once every three years. The entity has engaged Australian Valuation Solutions (</w:t>
      </w:r>
      <w:proofErr w:type="spellStart"/>
      <w:r w:rsidRPr="003E1B06">
        <w:rPr>
          <w:rFonts w:cs="Calibri"/>
          <w:szCs w:val="18"/>
        </w:rPr>
        <w:t>AVS</w:t>
      </w:r>
      <w:proofErr w:type="spellEnd"/>
      <w:r w:rsidRPr="003E1B06">
        <w:rPr>
          <w:rFonts w:cs="Calibri"/>
          <w:szCs w:val="18"/>
        </w:rPr>
        <w:t xml:space="preserve">) to provide written assurance that the methodology developed by the department has complied with the requirements of the new </w:t>
      </w:r>
      <w:proofErr w:type="spellStart"/>
      <w:r w:rsidRPr="00D95A74">
        <w:rPr>
          <w:rFonts w:cs="Calibri"/>
          <w:i/>
          <w:szCs w:val="18"/>
        </w:rPr>
        <w:t>AASB</w:t>
      </w:r>
      <w:proofErr w:type="spellEnd"/>
      <w:r w:rsidRPr="00D95A74">
        <w:rPr>
          <w:rFonts w:cs="Calibri"/>
          <w:i/>
          <w:szCs w:val="18"/>
        </w:rPr>
        <w:t xml:space="preserve"> 13 Fair Value Measurement</w:t>
      </w:r>
      <w:r w:rsidRPr="003E1B06">
        <w:rPr>
          <w:rFonts w:cs="Calibri"/>
          <w:szCs w:val="18"/>
        </w:rPr>
        <w:t xml:space="preserve"> effective from 19 September 2013.</w:t>
      </w:r>
    </w:p>
    <w:p w:rsidR="007E1E1E" w:rsidRPr="003E1B06" w:rsidRDefault="007E1E1E" w:rsidP="007E1E1E">
      <w:pPr>
        <w:spacing w:before="100" w:after="100" w:line="240" w:lineRule="auto"/>
        <w:rPr>
          <w:rFonts w:cs="Calibri"/>
          <w:szCs w:val="18"/>
        </w:rPr>
      </w:pPr>
      <w:proofErr w:type="spellStart"/>
      <w:r w:rsidRPr="003E1B06">
        <w:rPr>
          <w:rFonts w:cs="Calibri"/>
          <w:szCs w:val="18"/>
        </w:rPr>
        <w:t>AVS</w:t>
      </w:r>
      <w:proofErr w:type="spellEnd"/>
      <w:r w:rsidRPr="003E1B06">
        <w:rPr>
          <w:rFonts w:cs="Calibri"/>
          <w:szCs w:val="18"/>
        </w:rPr>
        <w:t xml:space="preserve"> provided written assurance to the </w:t>
      </w:r>
      <w:r>
        <w:rPr>
          <w:rFonts w:cs="Calibri"/>
          <w:szCs w:val="18"/>
        </w:rPr>
        <w:t>department</w:t>
      </w:r>
      <w:r w:rsidRPr="003E1B06">
        <w:rPr>
          <w:rFonts w:cs="Calibri"/>
          <w:szCs w:val="18"/>
        </w:rPr>
        <w:t xml:space="preserve"> that the models developed are in compliance with </w:t>
      </w:r>
      <w:proofErr w:type="spellStart"/>
      <w:r w:rsidRPr="003E1B06">
        <w:rPr>
          <w:rFonts w:cs="Calibri"/>
          <w:szCs w:val="18"/>
        </w:rPr>
        <w:t>AASB</w:t>
      </w:r>
      <w:proofErr w:type="spellEnd"/>
      <w:r w:rsidRPr="003E1B06">
        <w:rPr>
          <w:rFonts w:cs="Calibri"/>
          <w:szCs w:val="18"/>
        </w:rPr>
        <w:t xml:space="preserve"> 13.</w:t>
      </w:r>
    </w:p>
    <w:p w:rsidR="007E1E1E" w:rsidRPr="003E1B06" w:rsidRDefault="007E1E1E" w:rsidP="007E1E1E">
      <w:pPr>
        <w:spacing w:before="100" w:after="100" w:line="240" w:lineRule="auto"/>
        <w:rPr>
          <w:rFonts w:cs="Calibri"/>
          <w:szCs w:val="18"/>
        </w:rPr>
      </w:pPr>
      <w:r w:rsidRPr="003E1B06">
        <w:rPr>
          <w:rFonts w:cs="Calibri"/>
          <w:szCs w:val="18"/>
        </w:rPr>
        <w:t>There is no change in the valuation technique since the prior period.</w:t>
      </w:r>
    </w:p>
    <w:p w:rsidR="007E1E1E" w:rsidRDefault="007E1E1E" w:rsidP="007E1E1E">
      <w:pPr>
        <w:spacing w:before="100" w:after="100" w:line="240" w:lineRule="auto"/>
        <w:rPr>
          <w:rFonts w:cs="Calibri"/>
          <w:szCs w:val="18"/>
        </w:rPr>
      </w:pPr>
      <w:r w:rsidRPr="003E1B06">
        <w:rPr>
          <w:rFonts w:cs="Calibri"/>
          <w:szCs w:val="18"/>
        </w:rPr>
        <w:t>There were no significant inter-relationships between unobservable inputs that materially affect fair value.</w:t>
      </w:r>
    </w:p>
    <w:p w:rsidR="007E1E1E" w:rsidRDefault="007E1E1E" w:rsidP="007E1E1E">
      <w:pPr>
        <w:spacing w:before="120" w:after="60"/>
        <w:rPr>
          <w:rFonts w:cs="Calibri"/>
          <w:b/>
          <w:szCs w:val="18"/>
        </w:rPr>
      </w:pPr>
      <w:r>
        <w:rPr>
          <w:rFonts w:cs="Calibri"/>
          <w:b/>
          <w:szCs w:val="18"/>
        </w:rPr>
        <w:t>Significant Level 3 inputs used by the department are derived and evaluated as follows:</w:t>
      </w:r>
    </w:p>
    <w:p w:rsidR="007E1E1E" w:rsidRPr="00EE2CC2" w:rsidRDefault="007E1E1E" w:rsidP="007E1E1E">
      <w:pPr>
        <w:spacing w:before="120" w:after="60"/>
        <w:rPr>
          <w:rFonts w:cs="Calibri"/>
          <w:b/>
          <w:szCs w:val="18"/>
          <w:u w:val="single"/>
        </w:rPr>
      </w:pPr>
      <w:r w:rsidRPr="00EE2CC2">
        <w:rPr>
          <w:rFonts w:cs="Calibri"/>
          <w:b/>
          <w:szCs w:val="18"/>
          <w:u w:val="single"/>
        </w:rPr>
        <w:t>Leasehold Improvements – Depreciated Replacement Cost Valuation</w:t>
      </w:r>
    </w:p>
    <w:p w:rsidR="007E1E1E" w:rsidRPr="00D95A74" w:rsidRDefault="007E1E1E" w:rsidP="007E1E1E">
      <w:pPr>
        <w:spacing w:before="100" w:after="100" w:line="240" w:lineRule="auto"/>
        <w:rPr>
          <w:rFonts w:cs="Calibri"/>
          <w:szCs w:val="18"/>
        </w:rPr>
      </w:pPr>
      <w:r w:rsidRPr="00D95A74">
        <w:rPr>
          <w:rFonts w:cs="Calibri"/>
          <w:szCs w:val="18"/>
        </w:rPr>
        <w:t>Assets that do not transact with enough frequency or transparency to develop objective opinions of value from observable market evidence have been measured using the Depreciated Replacement Cost (DRC) approach. Under the DRC approach the estimated cost to replace the asset is calculated and then adjusted to take into account its economic useful life and obsolescence (accumulated Depreciation). The economic useful lives and asset obsolescence has been determined based on professional judgment regarding physical, economic and external obsolescence factors relevant to the asset under consideration.</w:t>
      </w:r>
    </w:p>
    <w:p w:rsidR="007E1E1E" w:rsidRPr="00EE2CC2" w:rsidRDefault="007E1E1E" w:rsidP="007E1E1E">
      <w:pPr>
        <w:spacing w:before="120" w:after="60"/>
        <w:rPr>
          <w:rFonts w:cs="Calibri"/>
          <w:b/>
          <w:szCs w:val="18"/>
          <w:u w:val="single"/>
        </w:rPr>
      </w:pPr>
      <w:r w:rsidRPr="00EE2CC2">
        <w:rPr>
          <w:rFonts w:cs="Calibri"/>
          <w:b/>
          <w:szCs w:val="18"/>
          <w:u w:val="single"/>
        </w:rPr>
        <w:t>Other Property, Plant and Equipment – Depreciated Replacement Cost Valuation</w:t>
      </w:r>
    </w:p>
    <w:p w:rsidR="007E1E1E" w:rsidRPr="00D95A74" w:rsidRDefault="007E1E1E" w:rsidP="007E1E1E">
      <w:pPr>
        <w:spacing w:before="100" w:after="100" w:line="240" w:lineRule="auto"/>
        <w:rPr>
          <w:rFonts w:cs="Calibri"/>
          <w:szCs w:val="18"/>
        </w:rPr>
      </w:pPr>
      <w:r w:rsidRPr="00D95A74">
        <w:rPr>
          <w:rFonts w:cs="Calibri"/>
          <w:szCs w:val="18"/>
        </w:rPr>
        <w:t>Assets that do not transact with enough frequency or transparency to develop objective opinions of value from observable market evidence have been measured using the cost (Depreciated Replacement Cost or DRC) approach. Under the DRC approach the estimated cost to replace the asset is calculated and then adjusted to take into account its economic useful life and asset obsolescence (accumulated Depreciation). The economic useful lives and asset obsolescence has been determined based on professional judgment regarding physical, economic and external obsolescence factors relevant to the asset under consideration.</w:t>
      </w:r>
    </w:p>
    <w:p w:rsidR="007E1E1E" w:rsidRDefault="007E1E1E" w:rsidP="007E1E1E">
      <w:pPr>
        <w:spacing w:before="100" w:after="100" w:line="240" w:lineRule="auto"/>
        <w:rPr>
          <w:rFonts w:cs="Calibri"/>
          <w:szCs w:val="18"/>
        </w:rPr>
      </w:pPr>
      <w:r w:rsidRPr="00D95A74">
        <w:rPr>
          <w:rFonts w:cs="Calibri"/>
          <w:szCs w:val="18"/>
        </w:rPr>
        <w:t>The weighted average is determined by assessing the fair value measurement as a proportion of the total fair value for the class against the total useful life of each asset.</w:t>
      </w:r>
    </w:p>
    <w:p w:rsidR="007E1E1E" w:rsidRDefault="007E1E1E" w:rsidP="007E1E1E">
      <w:pPr>
        <w:spacing w:before="120" w:after="60"/>
        <w:rPr>
          <w:rFonts w:cs="Calibri"/>
          <w:b/>
          <w:szCs w:val="18"/>
        </w:rPr>
      </w:pPr>
      <w:r w:rsidRPr="00D95A74">
        <w:rPr>
          <w:rFonts w:cs="Calibri"/>
          <w:b/>
          <w:szCs w:val="18"/>
        </w:rPr>
        <w:t xml:space="preserve">Recurring Level 3 fair value measurements </w:t>
      </w:r>
      <w:r>
        <w:rPr>
          <w:rFonts w:cs="Calibri"/>
          <w:b/>
          <w:szCs w:val="18"/>
        </w:rPr>
        <w:t>–</w:t>
      </w:r>
      <w:r w:rsidRPr="00D95A74">
        <w:rPr>
          <w:rFonts w:cs="Calibri"/>
          <w:b/>
          <w:szCs w:val="18"/>
        </w:rPr>
        <w:t xml:space="preserve"> sensitivity of inputs</w:t>
      </w:r>
    </w:p>
    <w:p w:rsidR="007E1E1E" w:rsidRPr="00EE2CC2" w:rsidRDefault="007E1E1E" w:rsidP="007E1E1E">
      <w:pPr>
        <w:spacing w:before="120" w:after="60"/>
        <w:rPr>
          <w:rFonts w:cs="Calibri"/>
          <w:b/>
          <w:szCs w:val="18"/>
          <w:u w:val="single"/>
        </w:rPr>
      </w:pPr>
      <w:r w:rsidRPr="00EE2CC2">
        <w:rPr>
          <w:rFonts w:cs="Calibri"/>
          <w:b/>
          <w:szCs w:val="18"/>
          <w:u w:val="single"/>
        </w:rPr>
        <w:t>Leasehold Improvements, Other Property, Plant &amp; Equipment – Depreciated Replacement Cost Valuation</w:t>
      </w:r>
    </w:p>
    <w:p w:rsidR="007E1E1E" w:rsidRPr="00D95A74" w:rsidRDefault="007E1E1E" w:rsidP="007E1E1E">
      <w:pPr>
        <w:spacing w:before="100" w:after="100" w:line="240" w:lineRule="auto"/>
        <w:rPr>
          <w:rFonts w:cs="Calibri"/>
          <w:szCs w:val="18"/>
        </w:rPr>
      </w:pPr>
      <w:r w:rsidRPr="00D95A74">
        <w:rPr>
          <w:rFonts w:cs="Calibri"/>
          <w:szCs w:val="18"/>
        </w:rPr>
        <w:t xml:space="preserve">The significant unobservable inputs used in the fair value measurement of </w:t>
      </w:r>
      <w:r>
        <w:rPr>
          <w:rFonts w:cs="Calibri"/>
          <w:szCs w:val="18"/>
        </w:rPr>
        <w:t>the d</w:t>
      </w:r>
      <w:r w:rsidRPr="00D95A74">
        <w:rPr>
          <w:rFonts w:cs="Calibri"/>
          <w:szCs w:val="18"/>
        </w:rPr>
        <w:t>epartment</w:t>
      </w:r>
      <w:r>
        <w:rPr>
          <w:rFonts w:cs="Calibri"/>
          <w:szCs w:val="18"/>
        </w:rPr>
        <w:t>’s</w:t>
      </w:r>
      <w:r w:rsidRPr="00D95A74">
        <w:rPr>
          <w:rFonts w:cs="Calibri"/>
          <w:szCs w:val="18"/>
        </w:rPr>
        <w:t xml:space="preserve"> leasehold improvement</w:t>
      </w:r>
      <w:r>
        <w:rPr>
          <w:rFonts w:cs="Calibri"/>
          <w:szCs w:val="18"/>
        </w:rPr>
        <w:t>s</w:t>
      </w:r>
      <w:r w:rsidRPr="00D95A74">
        <w:rPr>
          <w:rFonts w:cs="Calibri"/>
          <w:szCs w:val="18"/>
        </w:rPr>
        <w:t xml:space="preserve"> and property, plant and equipment asset classes relate to the expected economic useful life and asset obsolescence (accumulated depreciation). A significant increase (decrease) in this input would result in a significantly lower (higher) fair value measurement. The expected economic useful life may be greater than the department’s useful life for assets and this can contribute to the uncertainty of the unobservable inputs.</w:t>
      </w:r>
    </w:p>
    <w:tbl>
      <w:tblPr>
        <w:tblW w:w="9087" w:type="dxa"/>
        <w:tblInd w:w="80" w:type="dxa"/>
        <w:tblLayout w:type="fixed"/>
        <w:tblLook w:val="04A0" w:firstRow="1" w:lastRow="0" w:firstColumn="1" w:lastColumn="0" w:noHBand="0" w:noVBand="1"/>
      </w:tblPr>
      <w:tblGrid>
        <w:gridCol w:w="4157"/>
        <w:gridCol w:w="1192"/>
        <w:gridCol w:w="1190"/>
        <w:gridCol w:w="1358"/>
        <w:gridCol w:w="1190"/>
      </w:tblGrid>
      <w:tr w:rsidR="007E1E1E" w:rsidTr="00B50E5D">
        <w:trPr>
          <w:trHeight w:val="240"/>
        </w:trPr>
        <w:tc>
          <w:tcPr>
            <w:tcW w:w="411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bookmarkStart w:id="52" w:name="Note_FIPTABLE1" w:colFirst="0" w:colLast="0"/>
            <w:r>
              <w:rPr>
                <w:rFonts w:ascii="Arial" w:hAnsi="Arial" w:cs="Arial"/>
                <w:szCs w:val="18"/>
              </w:rPr>
              <w:t> </w:t>
            </w:r>
          </w:p>
        </w:tc>
        <w:tc>
          <w:tcPr>
            <w:tcW w:w="1179"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77"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343"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77" w:type="dxa"/>
            <w:tcBorders>
              <w:top w:val="nil"/>
              <w:left w:val="nil"/>
              <w:bottom w:val="nil"/>
              <w:right w:val="nil"/>
            </w:tcBorders>
            <w:shd w:val="clear" w:color="FFFFFF" w:fill="FFFFFF"/>
            <w:noWrap/>
            <w:vAlign w:val="bottom"/>
            <w:hideMark/>
          </w:tcPr>
          <w:p w:rsidR="007E1E1E" w:rsidRDefault="007E1E1E" w:rsidP="00B50E5D">
            <w:pPr>
              <w:jc w:val="right"/>
              <w:rPr>
                <w:rFonts w:cs="Calibri"/>
                <w:szCs w:val="18"/>
              </w:rPr>
            </w:pPr>
            <w:r>
              <w:rPr>
                <w:rFonts w:cs="Calibri"/>
                <w:szCs w:val="18"/>
              </w:rPr>
              <w:t> </w:t>
            </w:r>
          </w:p>
        </w:tc>
      </w:tr>
      <w:bookmarkEnd w:id="52"/>
      <w:tr w:rsidR="007E1E1E" w:rsidTr="00B50E5D">
        <w:trPr>
          <w:trHeight w:val="240"/>
        </w:trPr>
        <w:tc>
          <w:tcPr>
            <w:tcW w:w="8986" w:type="dxa"/>
            <w:gridSpan w:val="5"/>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5C</w:t>
            </w:r>
            <w:proofErr w:type="spellEnd"/>
            <w:r>
              <w:rPr>
                <w:rFonts w:cs="Calibri"/>
                <w:b/>
                <w:bCs/>
                <w:szCs w:val="18"/>
                <w:u w:val="single"/>
              </w:rPr>
              <w:t>: Reconciliation for recurring Level 3 fair value measurements</w:t>
            </w:r>
          </w:p>
        </w:tc>
      </w:tr>
      <w:tr w:rsidR="007E1E1E" w:rsidTr="00B50E5D">
        <w:trPr>
          <w:trHeight w:val="240"/>
        </w:trPr>
        <w:tc>
          <w:tcPr>
            <w:tcW w:w="411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79"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77"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343"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77" w:type="dxa"/>
            <w:tcBorders>
              <w:top w:val="nil"/>
              <w:left w:val="nil"/>
              <w:bottom w:val="nil"/>
              <w:right w:val="nil"/>
            </w:tcBorders>
            <w:shd w:val="clear" w:color="FFFFFF" w:fill="FFFFFF"/>
            <w:noWrap/>
            <w:vAlign w:val="bottom"/>
            <w:hideMark/>
          </w:tcPr>
          <w:p w:rsidR="007E1E1E" w:rsidRDefault="007E1E1E" w:rsidP="00B50E5D">
            <w:pPr>
              <w:jc w:val="right"/>
              <w:rPr>
                <w:rFonts w:cs="Calibri"/>
                <w:szCs w:val="18"/>
              </w:rPr>
            </w:pPr>
            <w:r>
              <w:rPr>
                <w:rFonts w:cs="Calibri"/>
                <w:szCs w:val="18"/>
              </w:rPr>
              <w:t> </w:t>
            </w:r>
          </w:p>
        </w:tc>
      </w:tr>
      <w:tr w:rsidR="007E1E1E" w:rsidTr="00B50E5D">
        <w:trPr>
          <w:trHeight w:val="240"/>
        </w:trPr>
        <w:tc>
          <w:tcPr>
            <w:tcW w:w="4110"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There have been no transfers between levels</w:t>
            </w:r>
          </w:p>
        </w:tc>
        <w:tc>
          <w:tcPr>
            <w:tcW w:w="1179"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77"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343"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77" w:type="dxa"/>
            <w:tcBorders>
              <w:top w:val="nil"/>
              <w:left w:val="nil"/>
              <w:bottom w:val="nil"/>
              <w:right w:val="nil"/>
            </w:tcBorders>
            <w:shd w:val="clear" w:color="FFFFFF" w:fill="FFFFFF"/>
            <w:noWrap/>
            <w:vAlign w:val="bottom"/>
            <w:hideMark/>
          </w:tcPr>
          <w:p w:rsidR="007E1E1E" w:rsidRDefault="007E1E1E" w:rsidP="00B50E5D">
            <w:pPr>
              <w:jc w:val="right"/>
              <w:rPr>
                <w:rFonts w:cs="Calibri"/>
                <w:szCs w:val="18"/>
              </w:rPr>
            </w:pPr>
            <w:r>
              <w:rPr>
                <w:rFonts w:cs="Calibri"/>
                <w:szCs w:val="18"/>
              </w:rPr>
              <w:t> </w:t>
            </w:r>
          </w:p>
        </w:tc>
      </w:tr>
      <w:tr w:rsidR="007E1E1E" w:rsidTr="00B50E5D">
        <w:trPr>
          <w:trHeight w:val="240"/>
        </w:trPr>
        <w:tc>
          <w:tcPr>
            <w:tcW w:w="411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79"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77"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343"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77" w:type="dxa"/>
            <w:tcBorders>
              <w:top w:val="nil"/>
              <w:left w:val="nil"/>
              <w:bottom w:val="nil"/>
              <w:right w:val="nil"/>
            </w:tcBorders>
            <w:shd w:val="clear" w:color="FFFFFF" w:fill="FFFFFF"/>
            <w:noWrap/>
            <w:vAlign w:val="bottom"/>
            <w:hideMark/>
          </w:tcPr>
          <w:p w:rsidR="007E1E1E" w:rsidRDefault="007E1E1E" w:rsidP="00B50E5D">
            <w:pPr>
              <w:jc w:val="right"/>
              <w:rPr>
                <w:rFonts w:cs="Calibri"/>
                <w:szCs w:val="18"/>
              </w:rPr>
            </w:pPr>
            <w:r>
              <w:rPr>
                <w:rFonts w:cs="Calibri"/>
                <w:szCs w:val="18"/>
              </w:rPr>
              <w:t> </w:t>
            </w:r>
          </w:p>
        </w:tc>
      </w:tr>
      <w:tr w:rsidR="007E1E1E" w:rsidTr="00B50E5D">
        <w:trPr>
          <w:trHeight w:val="240"/>
        </w:trPr>
        <w:tc>
          <w:tcPr>
            <w:tcW w:w="8986" w:type="dxa"/>
            <w:gridSpan w:val="5"/>
            <w:tcBorders>
              <w:top w:val="nil"/>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Recurring Level 3 fair value measurements - reconciliation for assets</w:t>
            </w:r>
          </w:p>
        </w:tc>
      </w:tr>
      <w:tr w:rsidR="007E1E1E" w:rsidTr="00B50E5D">
        <w:trPr>
          <w:trHeight w:val="240"/>
        </w:trPr>
        <w:tc>
          <w:tcPr>
            <w:tcW w:w="411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4876" w:type="dxa"/>
            <w:gridSpan w:val="4"/>
            <w:tcBorders>
              <w:top w:val="single" w:sz="4" w:space="0" w:color="auto"/>
              <w:left w:val="nil"/>
              <w:bottom w:val="single" w:sz="4" w:space="0" w:color="auto"/>
              <w:right w:val="nil"/>
            </w:tcBorders>
            <w:shd w:val="clear" w:color="FFFFFF" w:fill="FFFFFF"/>
            <w:vAlign w:val="bottom"/>
            <w:hideMark/>
          </w:tcPr>
          <w:p w:rsidR="007E1E1E" w:rsidRDefault="007E1E1E" w:rsidP="00B50E5D">
            <w:pPr>
              <w:jc w:val="center"/>
              <w:rPr>
                <w:rFonts w:cs="Calibri"/>
                <w:b/>
                <w:bCs/>
                <w:szCs w:val="18"/>
              </w:rPr>
            </w:pPr>
            <w:r>
              <w:rPr>
                <w:rFonts w:cs="Calibri"/>
                <w:b/>
                <w:bCs/>
                <w:szCs w:val="18"/>
              </w:rPr>
              <w:t>Non-financial assets</w:t>
            </w:r>
          </w:p>
        </w:tc>
      </w:tr>
      <w:tr w:rsidR="007E1E1E" w:rsidTr="00B50E5D">
        <w:trPr>
          <w:trHeight w:val="720"/>
        </w:trPr>
        <w:tc>
          <w:tcPr>
            <w:tcW w:w="411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79"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Land and buildings</w:t>
            </w:r>
          </w:p>
        </w:tc>
        <w:tc>
          <w:tcPr>
            <w:tcW w:w="1177"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Property, plant and equipment</w:t>
            </w:r>
          </w:p>
        </w:tc>
        <w:tc>
          <w:tcPr>
            <w:tcW w:w="1343"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Leasehold Improvements</w:t>
            </w:r>
          </w:p>
        </w:tc>
        <w:tc>
          <w:tcPr>
            <w:tcW w:w="1177"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Total</w:t>
            </w:r>
          </w:p>
        </w:tc>
      </w:tr>
      <w:tr w:rsidR="007E1E1E" w:rsidTr="00B50E5D">
        <w:trPr>
          <w:trHeight w:val="240"/>
        </w:trPr>
        <w:tc>
          <w:tcPr>
            <w:tcW w:w="411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79"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2014</w:t>
            </w:r>
          </w:p>
        </w:tc>
        <w:tc>
          <w:tcPr>
            <w:tcW w:w="1177"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2014</w:t>
            </w:r>
          </w:p>
        </w:tc>
        <w:tc>
          <w:tcPr>
            <w:tcW w:w="1343"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2014</w:t>
            </w:r>
          </w:p>
        </w:tc>
        <w:tc>
          <w:tcPr>
            <w:tcW w:w="1177"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2014</w:t>
            </w:r>
          </w:p>
        </w:tc>
      </w:tr>
      <w:tr w:rsidR="007E1E1E" w:rsidTr="00B50E5D">
        <w:trPr>
          <w:trHeight w:val="240"/>
        </w:trPr>
        <w:tc>
          <w:tcPr>
            <w:tcW w:w="411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79"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$'000</w:t>
            </w:r>
          </w:p>
        </w:tc>
        <w:tc>
          <w:tcPr>
            <w:tcW w:w="1177"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$'000</w:t>
            </w:r>
          </w:p>
        </w:tc>
        <w:tc>
          <w:tcPr>
            <w:tcW w:w="1343"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$'000</w:t>
            </w:r>
          </w:p>
        </w:tc>
        <w:tc>
          <w:tcPr>
            <w:tcW w:w="1177"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40"/>
        </w:trPr>
        <w:tc>
          <w:tcPr>
            <w:tcW w:w="4110" w:type="dxa"/>
            <w:tcBorders>
              <w:top w:val="single" w:sz="4" w:space="0" w:color="auto"/>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Restructuring opening balance</w:t>
            </w:r>
          </w:p>
        </w:tc>
        <w:tc>
          <w:tcPr>
            <w:tcW w:w="1179"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640 </w:t>
            </w:r>
          </w:p>
        </w:tc>
        <w:tc>
          <w:tcPr>
            <w:tcW w:w="1177"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7,573 </w:t>
            </w:r>
          </w:p>
        </w:tc>
        <w:tc>
          <w:tcPr>
            <w:tcW w:w="1343"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55,913 </w:t>
            </w:r>
          </w:p>
        </w:tc>
        <w:tc>
          <w:tcPr>
            <w:tcW w:w="1177"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64,126 </w:t>
            </w:r>
          </w:p>
        </w:tc>
      </w:tr>
      <w:tr w:rsidR="007E1E1E" w:rsidTr="00B50E5D">
        <w:trPr>
          <w:trHeight w:val="240"/>
        </w:trPr>
        <w:tc>
          <w:tcPr>
            <w:tcW w:w="4110"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 xml:space="preserve">Total gains/(losses) recognised in net cost of </w:t>
            </w:r>
            <w:proofErr w:type="spellStart"/>
            <w:r>
              <w:rPr>
                <w:rFonts w:cs="Calibri"/>
                <w:szCs w:val="18"/>
              </w:rPr>
              <w:t>services</w:t>
            </w:r>
            <w:r>
              <w:rPr>
                <w:rFonts w:ascii="Arial" w:hAnsi="Arial" w:cs="Arial"/>
                <w:szCs w:val="18"/>
                <w:vertAlign w:val="superscript"/>
              </w:rPr>
              <w:t>1</w:t>
            </w:r>
            <w:proofErr w:type="spellEnd"/>
          </w:p>
        </w:tc>
        <w:tc>
          <w:tcPr>
            <w:tcW w:w="1179" w:type="dxa"/>
            <w:tcBorders>
              <w:top w:val="nil"/>
              <w:left w:val="nil"/>
              <w:bottom w:val="nil"/>
              <w:right w:val="nil"/>
            </w:tcBorders>
            <w:shd w:val="clear" w:color="FFFFFF" w:fill="FFFFFF"/>
            <w:noWrap/>
            <w:vAlign w:val="bottom"/>
            <w:hideMark/>
          </w:tcPr>
          <w:p w:rsidR="007E1E1E" w:rsidRDefault="007E1E1E" w:rsidP="00B50E5D">
            <w:pPr>
              <w:jc w:val="right"/>
              <w:rPr>
                <w:rFonts w:cs="Calibri"/>
                <w:szCs w:val="18"/>
              </w:rPr>
            </w:pPr>
            <w:r>
              <w:rPr>
                <w:rFonts w:cs="Calibri"/>
                <w:szCs w:val="18"/>
              </w:rPr>
              <w:t xml:space="preserve"> -</w:t>
            </w:r>
          </w:p>
        </w:tc>
        <w:tc>
          <w:tcPr>
            <w:tcW w:w="1177" w:type="dxa"/>
            <w:tcBorders>
              <w:top w:val="nil"/>
              <w:left w:val="nil"/>
              <w:bottom w:val="nil"/>
              <w:right w:val="nil"/>
            </w:tcBorders>
            <w:shd w:val="clear" w:color="FFFFFF" w:fill="FFFFFF"/>
            <w:noWrap/>
            <w:vAlign w:val="bottom"/>
            <w:hideMark/>
          </w:tcPr>
          <w:p w:rsidR="007E1E1E" w:rsidRDefault="007E1E1E" w:rsidP="00B50E5D">
            <w:pPr>
              <w:jc w:val="right"/>
              <w:rPr>
                <w:rFonts w:cs="Calibri"/>
                <w:szCs w:val="18"/>
              </w:rPr>
            </w:pPr>
            <w:r>
              <w:rPr>
                <w:rFonts w:cs="Calibri"/>
                <w:szCs w:val="18"/>
              </w:rPr>
              <w:t>(1,765)</w:t>
            </w:r>
          </w:p>
        </w:tc>
        <w:tc>
          <w:tcPr>
            <w:tcW w:w="1343" w:type="dxa"/>
            <w:tcBorders>
              <w:top w:val="nil"/>
              <w:left w:val="nil"/>
              <w:bottom w:val="nil"/>
              <w:right w:val="nil"/>
            </w:tcBorders>
            <w:shd w:val="clear" w:color="FFFFFF" w:fill="FFFFFF"/>
            <w:noWrap/>
            <w:vAlign w:val="bottom"/>
            <w:hideMark/>
          </w:tcPr>
          <w:p w:rsidR="007E1E1E" w:rsidRDefault="007E1E1E" w:rsidP="00B50E5D">
            <w:pPr>
              <w:jc w:val="right"/>
              <w:rPr>
                <w:rFonts w:cs="Calibri"/>
                <w:szCs w:val="18"/>
              </w:rPr>
            </w:pPr>
            <w:r>
              <w:rPr>
                <w:rFonts w:cs="Calibri"/>
                <w:szCs w:val="18"/>
              </w:rPr>
              <w:t>(5,312)</w:t>
            </w:r>
          </w:p>
        </w:tc>
        <w:tc>
          <w:tcPr>
            <w:tcW w:w="1177"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(7,078)</w:t>
            </w:r>
          </w:p>
        </w:tc>
      </w:tr>
      <w:tr w:rsidR="007E1E1E" w:rsidTr="00B50E5D">
        <w:trPr>
          <w:trHeight w:val="240"/>
        </w:trPr>
        <w:tc>
          <w:tcPr>
            <w:tcW w:w="4110"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Transfers to other entities</w:t>
            </w:r>
          </w:p>
        </w:tc>
        <w:tc>
          <w:tcPr>
            <w:tcW w:w="1179" w:type="dxa"/>
            <w:tcBorders>
              <w:top w:val="nil"/>
              <w:left w:val="nil"/>
              <w:bottom w:val="nil"/>
              <w:right w:val="nil"/>
            </w:tcBorders>
            <w:shd w:val="clear" w:color="FFFFFF" w:fill="FFFFFF"/>
            <w:noWrap/>
            <w:vAlign w:val="bottom"/>
            <w:hideMark/>
          </w:tcPr>
          <w:p w:rsidR="007E1E1E" w:rsidRDefault="007E1E1E" w:rsidP="00B50E5D">
            <w:pPr>
              <w:jc w:val="right"/>
              <w:rPr>
                <w:rFonts w:cs="Calibri"/>
                <w:szCs w:val="18"/>
              </w:rPr>
            </w:pPr>
            <w:r>
              <w:rPr>
                <w:rFonts w:cs="Calibri"/>
                <w:szCs w:val="18"/>
              </w:rPr>
              <w:t xml:space="preserve"> -</w:t>
            </w:r>
          </w:p>
        </w:tc>
        <w:tc>
          <w:tcPr>
            <w:tcW w:w="1177" w:type="dxa"/>
            <w:tcBorders>
              <w:top w:val="nil"/>
              <w:left w:val="nil"/>
              <w:bottom w:val="nil"/>
              <w:right w:val="nil"/>
            </w:tcBorders>
            <w:shd w:val="clear" w:color="FFFFFF" w:fill="FFFFFF"/>
            <w:noWrap/>
            <w:vAlign w:val="bottom"/>
            <w:hideMark/>
          </w:tcPr>
          <w:p w:rsidR="007E1E1E" w:rsidRDefault="007E1E1E" w:rsidP="00B50E5D">
            <w:pPr>
              <w:jc w:val="right"/>
              <w:rPr>
                <w:rFonts w:cs="Calibri"/>
                <w:szCs w:val="18"/>
              </w:rPr>
            </w:pPr>
            <w:r>
              <w:rPr>
                <w:rFonts w:cs="Calibri"/>
                <w:szCs w:val="18"/>
              </w:rPr>
              <w:t xml:space="preserve"> -</w:t>
            </w:r>
          </w:p>
        </w:tc>
        <w:tc>
          <w:tcPr>
            <w:tcW w:w="1343" w:type="dxa"/>
            <w:tcBorders>
              <w:top w:val="nil"/>
              <w:left w:val="nil"/>
              <w:bottom w:val="nil"/>
              <w:right w:val="nil"/>
            </w:tcBorders>
            <w:shd w:val="clear" w:color="FFFFFF" w:fill="FFFFFF"/>
            <w:noWrap/>
            <w:vAlign w:val="bottom"/>
            <w:hideMark/>
          </w:tcPr>
          <w:p w:rsidR="007E1E1E" w:rsidRDefault="007E1E1E" w:rsidP="00B50E5D">
            <w:pPr>
              <w:jc w:val="right"/>
              <w:rPr>
                <w:rFonts w:cs="Calibri"/>
                <w:szCs w:val="18"/>
              </w:rPr>
            </w:pPr>
            <w:r>
              <w:rPr>
                <w:rFonts w:cs="Calibri"/>
                <w:szCs w:val="18"/>
              </w:rPr>
              <w:t>(1,352)</w:t>
            </w:r>
          </w:p>
        </w:tc>
        <w:tc>
          <w:tcPr>
            <w:tcW w:w="1177"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(1,352)</w:t>
            </w:r>
          </w:p>
        </w:tc>
      </w:tr>
      <w:tr w:rsidR="007E1E1E" w:rsidTr="00B50E5D">
        <w:trPr>
          <w:trHeight w:val="240"/>
        </w:trPr>
        <w:tc>
          <w:tcPr>
            <w:tcW w:w="4110"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Purchases</w:t>
            </w:r>
          </w:p>
        </w:tc>
        <w:tc>
          <w:tcPr>
            <w:tcW w:w="1179" w:type="dxa"/>
            <w:tcBorders>
              <w:top w:val="nil"/>
              <w:left w:val="nil"/>
              <w:bottom w:val="nil"/>
              <w:right w:val="nil"/>
            </w:tcBorders>
            <w:shd w:val="clear" w:color="FFFFFF" w:fill="FFFFFF"/>
            <w:noWrap/>
            <w:vAlign w:val="bottom"/>
            <w:hideMark/>
          </w:tcPr>
          <w:p w:rsidR="007E1E1E" w:rsidRDefault="007E1E1E" w:rsidP="00B50E5D">
            <w:pPr>
              <w:jc w:val="right"/>
              <w:rPr>
                <w:rFonts w:cs="Calibri"/>
                <w:szCs w:val="18"/>
              </w:rPr>
            </w:pPr>
            <w:r>
              <w:rPr>
                <w:rFonts w:cs="Calibri"/>
                <w:szCs w:val="18"/>
              </w:rPr>
              <w:t xml:space="preserve"> -</w:t>
            </w:r>
          </w:p>
        </w:tc>
        <w:tc>
          <w:tcPr>
            <w:tcW w:w="1177" w:type="dxa"/>
            <w:tcBorders>
              <w:top w:val="nil"/>
              <w:left w:val="nil"/>
              <w:bottom w:val="nil"/>
              <w:right w:val="nil"/>
            </w:tcBorders>
            <w:shd w:val="clear" w:color="FFFFFF" w:fill="FFFFFF"/>
            <w:noWrap/>
            <w:vAlign w:val="bottom"/>
            <w:hideMark/>
          </w:tcPr>
          <w:p w:rsidR="007E1E1E" w:rsidRDefault="007E1E1E" w:rsidP="00B50E5D">
            <w:pPr>
              <w:jc w:val="right"/>
              <w:rPr>
                <w:rFonts w:cs="Calibri"/>
                <w:szCs w:val="18"/>
              </w:rPr>
            </w:pPr>
            <w:r>
              <w:rPr>
                <w:rFonts w:cs="Calibri"/>
                <w:szCs w:val="18"/>
              </w:rPr>
              <w:t xml:space="preserve">1,705 </w:t>
            </w:r>
          </w:p>
        </w:tc>
        <w:tc>
          <w:tcPr>
            <w:tcW w:w="1343" w:type="dxa"/>
            <w:tcBorders>
              <w:top w:val="nil"/>
              <w:left w:val="nil"/>
              <w:bottom w:val="nil"/>
              <w:right w:val="nil"/>
            </w:tcBorders>
            <w:shd w:val="clear" w:color="FFFFFF" w:fill="FFFFFF"/>
            <w:noWrap/>
            <w:vAlign w:val="bottom"/>
            <w:hideMark/>
          </w:tcPr>
          <w:p w:rsidR="007E1E1E" w:rsidRDefault="007E1E1E" w:rsidP="00B50E5D">
            <w:pPr>
              <w:jc w:val="right"/>
              <w:rPr>
                <w:rFonts w:cs="Calibri"/>
                <w:szCs w:val="18"/>
              </w:rPr>
            </w:pPr>
            <w:r>
              <w:rPr>
                <w:rFonts w:cs="Calibri"/>
                <w:szCs w:val="18"/>
              </w:rPr>
              <w:t xml:space="preserve">224 </w:t>
            </w:r>
          </w:p>
        </w:tc>
        <w:tc>
          <w:tcPr>
            <w:tcW w:w="1177"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1,929 </w:t>
            </w:r>
          </w:p>
        </w:tc>
      </w:tr>
      <w:tr w:rsidR="007E1E1E" w:rsidTr="00B50E5D">
        <w:trPr>
          <w:trHeight w:val="240"/>
        </w:trPr>
        <w:tc>
          <w:tcPr>
            <w:tcW w:w="4110"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Write-offs</w:t>
            </w:r>
          </w:p>
        </w:tc>
        <w:tc>
          <w:tcPr>
            <w:tcW w:w="1179" w:type="dxa"/>
            <w:tcBorders>
              <w:top w:val="nil"/>
              <w:left w:val="nil"/>
              <w:bottom w:val="nil"/>
              <w:right w:val="nil"/>
            </w:tcBorders>
            <w:shd w:val="clear" w:color="FFFFFF" w:fill="FFFFFF"/>
            <w:noWrap/>
            <w:vAlign w:val="bottom"/>
            <w:hideMark/>
          </w:tcPr>
          <w:p w:rsidR="007E1E1E" w:rsidRDefault="007E1E1E" w:rsidP="00B50E5D">
            <w:pPr>
              <w:jc w:val="right"/>
              <w:rPr>
                <w:rFonts w:cs="Calibri"/>
                <w:szCs w:val="18"/>
              </w:rPr>
            </w:pPr>
            <w:r>
              <w:rPr>
                <w:rFonts w:cs="Calibri"/>
                <w:szCs w:val="18"/>
              </w:rPr>
              <w:t> </w:t>
            </w:r>
          </w:p>
        </w:tc>
        <w:tc>
          <w:tcPr>
            <w:tcW w:w="1177" w:type="dxa"/>
            <w:tcBorders>
              <w:top w:val="nil"/>
              <w:left w:val="nil"/>
              <w:bottom w:val="nil"/>
              <w:right w:val="nil"/>
            </w:tcBorders>
            <w:shd w:val="clear" w:color="FFFFFF" w:fill="FFFFFF"/>
            <w:noWrap/>
            <w:vAlign w:val="bottom"/>
            <w:hideMark/>
          </w:tcPr>
          <w:p w:rsidR="007E1E1E" w:rsidRDefault="007E1E1E" w:rsidP="00B50E5D">
            <w:pPr>
              <w:jc w:val="right"/>
              <w:rPr>
                <w:rFonts w:cs="Calibri"/>
                <w:szCs w:val="18"/>
              </w:rPr>
            </w:pPr>
            <w:r>
              <w:rPr>
                <w:rFonts w:cs="Calibri"/>
                <w:szCs w:val="18"/>
              </w:rPr>
              <w:t>(57)</w:t>
            </w:r>
          </w:p>
        </w:tc>
        <w:tc>
          <w:tcPr>
            <w:tcW w:w="1343" w:type="dxa"/>
            <w:tcBorders>
              <w:top w:val="nil"/>
              <w:left w:val="nil"/>
              <w:bottom w:val="nil"/>
              <w:right w:val="nil"/>
            </w:tcBorders>
            <w:shd w:val="clear" w:color="FFFFFF" w:fill="FFFFFF"/>
            <w:noWrap/>
            <w:vAlign w:val="bottom"/>
            <w:hideMark/>
          </w:tcPr>
          <w:p w:rsidR="007E1E1E" w:rsidRDefault="007E1E1E" w:rsidP="00B50E5D">
            <w:pPr>
              <w:jc w:val="right"/>
              <w:rPr>
                <w:rFonts w:cs="Calibri"/>
                <w:szCs w:val="18"/>
              </w:rPr>
            </w:pPr>
            <w:r>
              <w:rPr>
                <w:rFonts w:cs="Calibri"/>
                <w:szCs w:val="18"/>
              </w:rPr>
              <w:t xml:space="preserve"> -</w:t>
            </w:r>
          </w:p>
        </w:tc>
        <w:tc>
          <w:tcPr>
            <w:tcW w:w="1177"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(57)</w:t>
            </w:r>
          </w:p>
        </w:tc>
      </w:tr>
      <w:tr w:rsidR="007E1E1E" w:rsidTr="00B50E5D">
        <w:trPr>
          <w:trHeight w:val="240"/>
        </w:trPr>
        <w:tc>
          <w:tcPr>
            <w:tcW w:w="4110" w:type="dxa"/>
            <w:tcBorders>
              <w:top w:val="single" w:sz="4" w:space="0" w:color="auto"/>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Closing balance</w:t>
            </w:r>
          </w:p>
        </w:tc>
        <w:tc>
          <w:tcPr>
            <w:tcW w:w="1179"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640 </w:t>
            </w:r>
          </w:p>
        </w:tc>
        <w:tc>
          <w:tcPr>
            <w:tcW w:w="1177"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7,455 </w:t>
            </w:r>
          </w:p>
        </w:tc>
        <w:tc>
          <w:tcPr>
            <w:tcW w:w="1343"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49,473 </w:t>
            </w:r>
          </w:p>
        </w:tc>
        <w:tc>
          <w:tcPr>
            <w:tcW w:w="1177"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57,568 </w:t>
            </w:r>
          </w:p>
        </w:tc>
      </w:tr>
      <w:tr w:rsidR="007E1E1E" w:rsidTr="00B50E5D">
        <w:trPr>
          <w:trHeight w:val="525"/>
        </w:trPr>
        <w:tc>
          <w:tcPr>
            <w:tcW w:w="8986" w:type="dxa"/>
            <w:gridSpan w:val="5"/>
            <w:tcBorders>
              <w:top w:val="single" w:sz="4" w:space="0" w:color="auto"/>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vertAlign w:val="superscript"/>
              </w:rPr>
              <w:t>1</w:t>
            </w:r>
            <w:r>
              <w:rPr>
                <w:rFonts w:cs="Calibri"/>
                <w:szCs w:val="18"/>
              </w:rPr>
              <w:t xml:space="preserve"> These gains</w:t>
            </w:r>
            <w:proofErr w:type="gramStart"/>
            <w:r>
              <w:rPr>
                <w:rFonts w:cs="Calibri"/>
                <w:szCs w:val="18"/>
              </w:rPr>
              <w:t>/(</w:t>
            </w:r>
            <w:proofErr w:type="gramEnd"/>
            <w:r>
              <w:rPr>
                <w:rFonts w:cs="Calibri"/>
                <w:szCs w:val="18"/>
              </w:rPr>
              <w:t>losses) are presented in the Statement of Comprehensive Income under ‘Depreciation and amortisation’ and ‘Write-down and Impairment of assets’.</w:t>
            </w:r>
          </w:p>
        </w:tc>
      </w:tr>
      <w:tr w:rsidR="007E1E1E" w:rsidTr="00B50E5D">
        <w:trPr>
          <w:trHeight w:val="240"/>
        </w:trPr>
        <w:tc>
          <w:tcPr>
            <w:tcW w:w="8986" w:type="dxa"/>
            <w:gridSpan w:val="5"/>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 </w:t>
            </w:r>
          </w:p>
        </w:tc>
      </w:tr>
    </w:tbl>
    <w:p w:rsidR="007E1E1E" w:rsidRPr="00CC766A" w:rsidRDefault="007E1E1E" w:rsidP="007E1E1E">
      <w:pPr>
        <w:pStyle w:val="NotesHeading-Level1"/>
        <w:rPr>
          <w:rFonts w:cstheme="minorHAnsi"/>
        </w:rPr>
      </w:pPr>
      <w:bookmarkStart w:id="53" w:name="RANGE!D7:H28"/>
      <w:bookmarkStart w:id="54" w:name="RANGE!D7:D28"/>
      <w:bookmarkStart w:id="55" w:name="RANGE!D7:G28"/>
      <w:bookmarkStart w:id="56" w:name="_Toc400713249"/>
      <w:bookmarkEnd w:id="53"/>
      <w:bookmarkEnd w:id="54"/>
      <w:bookmarkEnd w:id="55"/>
      <w:r w:rsidRPr="00CC766A">
        <w:rPr>
          <w:rFonts w:cstheme="minorHAnsi"/>
        </w:rPr>
        <w:lastRenderedPageBreak/>
        <w:t>Financial Assets</w:t>
      </w:r>
      <w:bookmarkEnd w:id="56"/>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bookmarkStart w:id="57" w:name="Note_CSHTABLE1" w:colFirst="0" w:colLast="0"/>
            <w:r>
              <w:rPr>
                <w:rFonts w:cs="Calibri"/>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2014</w:t>
            </w:r>
          </w:p>
        </w:tc>
      </w:tr>
      <w:bookmarkEnd w:id="57"/>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6A</w:t>
            </w:r>
            <w:proofErr w:type="spellEnd"/>
            <w:r>
              <w:rPr>
                <w:rFonts w:cs="Calibri"/>
                <w:b/>
                <w:bCs/>
                <w:szCs w:val="18"/>
                <w:u w:val="single"/>
              </w:rPr>
              <w:t>: Cash and cash equivalents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Cash on hand or on deposit</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8,429</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cash and cash equivalents</w:t>
            </w:r>
          </w:p>
        </w:tc>
        <w:tc>
          <w:tcPr>
            <w:tcW w:w="125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8,429</w:t>
            </w:r>
          </w:p>
        </w:tc>
      </w:tr>
    </w:tbl>
    <w:p w:rsidR="007E1E1E" w:rsidRDefault="007E1E1E" w:rsidP="007E1E1E"/>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58" w:name="RANGE!D7:D49"/>
            <w:bookmarkStart w:id="59" w:name="Note_RECTABLE1" w:colFirst="0" w:colLast="0"/>
            <w:r>
              <w:rPr>
                <w:rFonts w:cs="Calibri"/>
                <w:b/>
                <w:bCs/>
                <w:szCs w:val="18"/>
                <w:u w:val="single"/>
              </w:rPr>
              <w:t xml:space="preserve">Note </w:t>
            </w:r>
            <w:proofErr w:type="spellStart"/>
            <w:r>
              <w:rPr>
                <w:rFonts w:cs="Calibri"/>
                <w:b/>
                <w:bCs/>
                <w:szCs w:val="18"/>
                <w:u w:val="single"/>
              </w:rPr>
              <w:t>6B</w:t>
            </w:r>
            <w:proofErr w:type="spellEnd"/>
            <w:r>
              <w:rPr>
                <w:rFonts w:cs="Calibri"/>
                <w:b/>
                <w:bCs/>
                <w:szCs w:val="18"/>
                <w:u w:val="single"/>
              </w:rPr>
              <w:t>: Trade and other receivables</w:t>
            </w:r>
            <w:bookmarkEnd w:id="58"/>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bookmarkEnd w:id="59"/>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Good and Services receivables in connection with</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Related parties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13,729</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External parties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1,409</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Total goods and services receivables</w:t>
            </w:r>
          </w:p>
        </w:tc>
        <w:tc>
          <w:tcPr>
            <w:tcW w:w="125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15,138</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Appropriations receivable</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Existing programmes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18,106</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Total appropriations receivable</w:t>
            </w:r>
          </w:p>
        </w:tc>
        <w:tc>
          <w:tcPr>
            <w:tcW w:w="125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18,106</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Other receivables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GST receivable from the Australian Taxation Office</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1,589</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Total other receivables</w:t>
            </w:r>
          </w:p>
        </w:tc>
        <w:tc>
          <w:tcPr>
            <w:tcW w:w="125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1,589</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trade and other receivables (gross)</w:t>
            </w:r>
          </w:p>
        </w:tc>
        <w:tc>
          <w:tcPr>
            <w:tcW w:w="1256"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34,833</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Less impairment allowance</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Goods and services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(64)</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Total impairment allowance</w:t>
            </w:r>
          </w:p>
        </w:tc>
        <w:tc>
          <w:tcPr>
            <w:tcW w:w="125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(64)</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trade and other receivables (net)</w:t>
            </w:r>
          </w:p>
        </w:tc>
        <w:tc>
          <w:tcPr>
            <w:tcW w:w="1256" w:type="dxa"/>
            <w:tcBorders>
              <w:top w:val="nil"/>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34,769</w:t>
            </w:r>
          </w:p>
        </w:tc>
      </w:tr>
      <w:tr w:rsidR="007E1E1E" w:rsidTr="00B50E5D">
        <w:trPr>
          <w:trHeight w:val="270"/>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Trade and other receivables (net) expected to be recovered</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No more than 12 months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34,603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More than 12 months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166 </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trade and other receivables (net)</w:t>
            </w:r>
          </w:p>
        </w:tc>
        <w:tc>
          <w:tcPr>
            <w:tcW w:w="125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34,769</w:t>
            </w:r>
          </w:p>
        </w:tc>
      </w:tr>
      <w:tr w:rsidR="007E1E1E" w:rsidTr="00B50E5D">
        <w:trPr>
          <w:trHeight w:val="270"/>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Trade and other receivables (gross) aged as follows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Not overdue</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27,086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Overdue by</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200" w:firstLine="360"/>
              <w:rPr>
                <w:rFonts w:cs="Calibri"/>
                <w:szCs w:val="18"/>
              </w:rPr>
            </w:pPr>
            <w:r>
              <w:rPr>
                <w:rFonts w:cs="Calibri"/>
                <w:szCs w:val="18"/>
              </w:rPr>
              <w:t xml:space="preserve">     0 to 30 days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5,888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200" w:firstLine="360"/>
              <w:rPr>
                <w:rFonts w:cs="Calibri"/>
                <w:szCs w:val="18"/>
              </w:rPr>
            </w:pPr>
            <w:r>
              <w:rPr>
                <w:rFonts w:cs="Calibri"/>
                <w:szCs w:val="18"/>
              </w:rPr>
              <w:t xml:space="preserve">     31 to 60 days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282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200" w:firstLine="360"/>
              <w:rPr>
                <w:rFonts w:cs="Calibri"/>
                <w:szCs w:val="18"/>
              </w:rPr>
            </w:pPr>
            <w:r>
              <w:rPr>
                <w:rFonts w:cs="Calibri"/>
                <w:szCs w:val="18"/>
              </w:rPr>
              <w:t xml:space="preserve">     61 to 90 days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809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200" w:firstLine="360"/>
              <w:rPr>
                <w:rFonts w:cs="Calibri"/>
                <w:szCs w:val="18"/>
              </w:rPr>
            </w:pPr>
            <w:r>
              <w:rPr>
                <w:rFonts w:cs="Calibri"/>
                <w:szCs w:val="18"/>
              </w:rPr>
              <w:t xml:space="preserve">     More than 90 days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768 </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trade and other receivables (gross)</w:t>
            </w:r>
          </w:p>
        </w:tc>
        <w:tc>
          <w:tcPr>
            <w:tcW w:w="125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34,833</w:t>
            </w:r>
          </w:p>
        </w:tc>
      </w:tr>
      <w:tr w:rsidR="007E1E1E" w:rsidTr="00B50E5D">
        <w:trPr>
          <w:trHeight w:val="240"/>
        </w:trPr>
        <w:tc>
          <w:tcPr>
            <w:tcW w:w="63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The impairment allowance aged as follows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Not overdue</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Overdue by</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200" w:firstLine="360"/>
              <w:rPr>
                <w:rFonts w:cs="Calibri"/>
                <w:szCs w:val="18"/>
              </w:rPr>
            </w:pPr>
            <w:r>
              <w:rPr>
                <w:rFonts w:cs="Calibri"/>
                <w:szCs w:val="18"/>
              </w:rPr>
              <w:t xml:space="preserve">     0 to 30 days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200" w:firstLine="360"/>
              <w:rPr>
                <w:rFonts w:cs="Calibri"/>
                <w:szCs w:val="18"/>
              </w:rPr>
            </w:pPr>
            <w:r>
              <w:rPr>
                <w:rFonts w:cs="Calibri"/>
                <w:szCs w:val="18"/>
              </w:rPr>
              <w:t xml:space="preserve">     31 to 60 days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200" w:firstLine="360"/>
              <w:rPr>
                <w:rFonts w:cs="Calibri"/>
                <w:szCs w:val="18"/>
              </w:rPr>
            </w:pPr>
            <w:r>
              <w:rPr>
                <w:rFonts w:cs="Calibri"/>
                <w:szCs w:val="18"/>
              </w:rPr>
              <w:t xml:space="preserve">     61 to 90 days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200" w:firstLine="360"/>
              <w:rPr>
                <w:rFonts w:cs="Calibri"/>
                <w:szCs w:val="18"/>
              </w:rPr>
            </w:pPr>
            <w:r>
              <w:rPr>
                <w:rFonts w:cs="Calibri"/>
                <w:szCs w:val="18"/>
              </w:rPr>
              <w:t xml:space="preserve">     More than 90 days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(64)</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 xml:space="preserve">Total impairment allowance </w:t>
            </w:r>
          </w:p>
        </w:tc>
        <w:tc>
          <w:tcPr>
            <w:tcW w:w="125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(64)</w:t>
            </w:r>
          </w:p>
        </w:tc>
      </w:tr>
    </w:tbl>
    <w:p w:rsidR="007E1E1E" w:rsidRDefault="007E1E1E" w:rsidP="007E1E1E">
      <w:bookmarkStart w:id="60" w:name="RANGE!D7:G49"/>
      <w:bookmarkEnd w:id="60"/>
    </w:p>
    <w:tbl>
      <w:tblPr>
        <w:tblW w:w="9087" w:type="dxa"/>
        <w:tblInd w:w="80" w:type="dxa"/>
        <w:tblLayout w:type="fixed"/>
        <w:tblLook w:val="04A0" w:firstRow="1" w:lastRow="0" w:firstColumn="1" w:lastColumn="0" w:noHBand="0" w:noVBand="1"/>
      </w:tblPr>
      <w:tblGrid>
        <w:gridCol w:w="6577"/>
        <w:gridCol w:w="1255"/>
        <w:gridCol w:w="1255"/>
      </w:tblGrid>
      <w:tr w:rsidR="007E1E1E" w:rsidTr="00B50E5D">
        <w:trPr>
          <w:trHeight w:val="240"/>
        </w:trPr>
        <w:tc>
          <w:tcPr>
            <w:tcW w:w="6500"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bookmarkStart w:id="61" w:name="Note_RIATABLE1" w:colFirst="0" w:colLast="0"/>
            <w:r>
              <w:rPr>
                <w:rFonts w:cs="Calibri"/>
                <w:b/>
                <w:bCs/>
                <w:szCs w:val="18"/>
              </w:rPr>
              <w:t>Reconciliation of the Impairment Allowance</w:t>
            </w:r>
          </w:p>
        </w:tc>
        <w:tc>
          <w:tcPr>
            <w:tcW w:w="1240"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40"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bookmarkEnd w:id="61"/>
      <w:tr w:rsidR="007E1E1E" w:rsidTr="00B50E5D">
        <w:trPr>
          <w:trHeight w:val="240"/>
        </w:trPr>
        <w:tc>
          <w:tcPr>
            <w:tcW w:w="6500"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40"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40"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40"/>
        </w:trPr>
        <w:tc>
          <w:tcPr>
            <w:tcW w:w="6500"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Movements in relation to 2014</w:t>
            </w:r>
          </w:p>
        </w:tc>
        <w:tc>
          <w:tcPr>
            <w:tcW w:w="1240"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40"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495"/>
        </w:trPr>
        <w:tc>
          <w:tcPr>
            <w:tcW w:w="6500" w:type="dxa"/>
            <w:tcBorders>
              <w:top w:val="single" w:sz="4" w:space="0" w:color="auto"/>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40" w:type="dxa"/>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Goods and services</w:t>
            </w:r>
          </w:p>
        </w:tc>
        <w:tc>
          <w:tcPr>
            <w:tcW w:w="1240" w:type="dxa"/>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Total</w:t>
            </w:r>
          </w:p>
        </w:tc>
      </w:tr>
      <w:tr w:rsidR="007E1E1E" w:rsidTr="00B50E5D">
        <w:trPr>
          <w:trHeight w:val="240"/>
        </w:trPr>
        <w:tc>
          <w:tcPr>
            <w:tcW w:w="6500" w:type="dxa"/>
            <w:tcBorders>
              <w:top w:val="nil"/>
              <w:left w:val="nil"/>
              <w:bottom w:val="single" w:sz="4" w:space="0" w:color="auto"/>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40"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240"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40"/>
        </w:trPr>
        <w:tc>
          <w:tcPr>
            <w:tcW w:w="6500"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Opening balance</w:t>
            </w:r>
          </w:p>
        </w:tc>
        <w:tc>
          <w:tcPr>
            <w:tcW w:w="124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24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40"/>
        </w:trPr>
        <w:tc>
          <w:tcPr>
            <w:tcW w:w="6500"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Amounts written off</w:t>
            </w:r>
          </w:p>
        </w:tc>
        <w:tc>
          <w:tcPr>
            <w:tcW w:w="124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(97)</w:t>
            </w:r>
          </w:p>
        </w:tc>
        <w:tc>
          <w:tcPr>
            <w:tcW w:w="124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(97)</w:t>
            </w:r>
          </w:p>
        </w:tc>
      </w:tr>
      <w:tr w:rsidR="007E1E1E" w:rsidTr="00B50E5D">
        <w:trPr>
          <w:trHeight w:val="240"/>
        </w:trPr>
        <w:tc>
          <w:tcPr>
            <w:tcW w:w="6500"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Amounts recovered and reversed</w:t>
            </w:r>
          </w:p>
        </w:tc>
        <w:tc>
          <w:tcPr>
            <w:tcW w:w="124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97 </w:t>
            </w:r>
          </w:p>
        </w:tc>
        <w:tc>
          <w:tcPr>
            <w:tcW w:w="124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97</w:t>
            </w:r>
          </w:p>
        </w:tc>
      </w:tr>
      <w:tr w:rsidR="007E1E1E" w:rsidTr="00B50E5D">
        <w:trPr>
          <w:trHeight w:val="240"/>
        </w:trPr>
        <w:tc>
          <w:tcPr>
            <w:tcW w:w="6500"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Increase/(decrease) recognised in net surplus</w:t>
            </w:r>
          </w:p>
        </w:tc>
        <w:tc>
          <w:tcPr>
            <w:tcW w:w="124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(64)</w:t>
            </w:r>
          </w:p>
        </w:tc>
        <w:tc>
          <w:tcPr>
            <w:tcW w:w="124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(64)</w:t>
            </w:r>
          </w:p>
        </w:tc>
      </w:tr>
      <w:tr w:rsidR="007E1E1E" w:rsidTr="00B50E5D">
        <w:trPr>
          <w:trHeight w:val="240"/>
        </w:trPr>
        <w:tc>
          <w:tcPr>
            <w:tcW w:w="6500" w:type="dxa"/>
            <w:tcBorders>
              <w:top w:val="single" w:sz="4" w:space="0" w:color="auto"/>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Closing balance</w:t>
            </w:r>
          </w:p>
        </w:tc>
        <w:tc>
          <w:tcPr>
            <w:tcW w:w="1240"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(64)</w:t>
            </w:r>
          </w:p>
        </w:tc>
        <w:tc>
          <w:tcPr>
            <w:tcW w:w="1240"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(64)</w:t>
            </w:r>
          </w:p>
        </w:tc>
      </w:tr>
    </w:tbl>
    <w:p w:rsidR="007E1E1E" w:rsidRDefault="007E1E1E" w:rsidP="007E1E1E">
      <w:bookmarkStart w:id="62" w:name="RANGE!D7:D27"/>
      <w:bookmarkStart w:id="63" w:name="RANGE!D7:F27"/>
      <w:bookmarkStart w:id="64" w:name="RANGE!D7:D25"/>
      <w:bookmarkStart w:id="65" w:name="RANGE!D7:F25"/>
      <w:bookmarkStart w:id="66" w:name="RANGE!D8:D26"/>
      <w:bookmarkStart w:id="67" w:name="RANGE!D8:F26"/>
      <w:bookmarkEnd w:id="62"/>
      <w:bookmarkEnd w:id="63"/>
      <w:bookmarkEnd w:id="64"/>
      <w:bookmarkEnd w:id="65"/>
      <w:bookmarkEnd w:id="66"/>
      <w:bookmarkEnd w:id="67"/>
      <w:r>
        <w:br w:type="page"/>
      </w:r>
    </w:p>
    <w:p w:rsidR="007E1E1E" w:rsidRDefault="007E1E1E" w:rsidP="007E1E1E"/>
    <w:p w:rsidR="007E1E1E" w:rsidRDefault="007E1E1E" w:rsidP="007E1E1E"/>
    <w:tbl>
      <w:tblPr>
        <w:tblW w:w="9087" w:type="dxa"/>
        <w:tblInd w:w="80" w:type="dxa"/>
        <w:tblLayout w:type="fixed"/>
        <w:tblLook w:val="04A0" w:firstRow="1" w:lastRow="0" w:firstColumn="1" w:lastColumn="0" w:noHBand="0" w:noVBand="1"/>
      </w:tblPr>
      <w:tblGrid>
        <w:gridCol w:w="7595"/>
        <w:gridCol w:w="1492"/>
      </w:tblGrid>
      <w:tr w:rsidR="007E1E1E" w:rsidTr="00B50E5D">
        <w:trPr>
          <w:trHeight w:val="240"/>
        </w:trPr>
        <w:tc>
          <w:tcPr>
            <w:tcW w:w="63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bookmarkStart w:id="68" w:name="Note_OFATABLE1" w:colFirst="0" w:colLast="0"/>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2014</w:t>
            </w:r>
          </w:p>
        </w:tc>
      </w:tr>
      <w:bookmarkEnd w:id="68"/>
      <w:tr w:rsidR="007E1E1E" w:rsidTr="00B50E5D">
        <w:trPr>
          <w:trHeight w:val="240"/>
        </w:trPr>
        <w:tc>
          <w:tcPr>
            <w:tcW w:w="63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6C</w:t>
            </w:r>
            <w:proofErr w:type="spellEnd"/>
            <w:r>
              <w:rPr>
                <w:rFonts w:cs="Calibri"/>
                <w:b/>
                <w:bCs/>
                <w:szCs w:val="18"/>
                <w:u w:val="single"/>
              </w:rPr>
              <w:t>: Other financial assets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Accrued revenue</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10,113</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other financial assets</w:t>
            </w:r>
          </w:p>
        </w:tc>
        <w:tc>
          <w:tcPr>
            <w:tcW w:w="125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10,113</w:t>
            </w:r>
          </w:p>
        </w:tc>
      </w:tr>
      <w:tr w:rsidR="007E1E1E" w:rsidTr="00B50E5D">
        <w:trPr>
          <w:trHeight w:val="270"/>
        </w:trPr>
        <w:tc>
          <w:tcPr>
            <w:tcW w:w="63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Other financial assets expected to be recovered</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No more than 12 months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10,113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More than 12 months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other financial assets</w:t>
            </w:r>
          </w:p>
        </w:tc>
        <w:tc>
          <w:tcPr>
            <w:tcW w:w="125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10,113</w:t>
            </w:r>
          </w:p>
        </w:tc>
      </w:tr>
    </w:tbl>
    <w:p w:rsidR="007E1E1E" w:rsidRDefault="007E1E1E" w:rsidP="007E1E1E">
      <w:bookmarkStart w:id="69" w:name="RANGE!D7:G51"/>
      <w:bookmarkStart w:id="70" w:name="RANGE!D43:G74"/>
      <w:bookmarkStart w:id="71" w:name="RANGE!D44:G75"/>
      <w:bookmarkStart w:id="72" w:name="RANGE!D44:G74"/>
      <w:bookmarkStart w:id="73" w:name="RANGE!D44:G73"/>
      <w:bookmarkStart w:id="74" w:name="RANGE!D44:G72"/>
      <w:bookmarkStart w:id="75" w:name="RANGE!D53:H70"/>
      <w:bookmarkStart w:id="76" w:name="RANGE!D52:H69"/>
      <w:bookmarkStart w:id="77" w:name="RANGE!D59:H76"/>
      <w:bookmarkStart w:id="78" w:name="RANGE!D62:H80"/>
      <w:bookmarkStart w:id="79" w:name="RANGE!D7:G15"/>
      <w:bookmarkStart w:id="80" w:name="RANGE!D6:D63"/>
      <w:bookmarkStart w:id="81" w:name="RANGE!D6:H63"/>
      <w:bookmarkStart w:id="82" w:name="RANGE!D6:D28"/>
      <w:bookmarkStart w:id="83" w:name="RANGE!D6:H28"/>
      <w:bookmarkStart w:id="84" w:name="RANGE!D6:H13"/>
      <w:bookmarkStart w:id="85" w:name="RANGE!D6:H14"/>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7E1E1E" w:rsidRDefault="007E1E1E" w:rsidP="007E1E1E">
      <w:pPr>
        <w:spacing w:line="240" w:lineRule="auto"/>
      </w:pPr>
      <w:r>
        <w:br w:type="page"/>
      </w:r>
    </w:p>
    <w:p w:rsidR="007E1E1E" w:rsidRDefault="007E1E1E" w:rsidP="007E1E1E">
      <w:pPr>
        <w:pStyle w:val="NotesHeading-Level1"/>
        <w:rPr>
          <w:rFonts w:cstheme="minorHAnsi"/>
        </w:rPr>
      </w:pPr>
      <w:bookmarkStart w:id="86" w:name="_Toc400713250"/>
      <w:r>
        <w:rPr>
          <w:rFonts w:cstheme="minorHAnsi"/>
        </w:rPr>
        <w:lastRenderedPageBreak/>
        <w:t>Non-Financial Assets</w:t>
      </w:r>
      <w:bookmarkEnd w:id="86"/>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bookmarkStart w:id="87" w:name="Note_LABTABLE1" w:colFirst="0" w:colLast="0"/>
            <w:r>
              <w:rPr>
                <w:rFonts w:cs="Calibri"/>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r>
      <w:bookmarkEnd w:id="87"/>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2014</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7A</w:t>
            </w:r>
            <w:proofErr w:type="spellEnd"/>
            <w:r>
              <w:rPr>
                <w:rFonts w:cs="Calibri"/>
                <w:b/>
                <w:bCs/>
                <w:szCs w:val="18"/>
                <w:u w:val="single"/>
              </w:rPr>
              <w:t>: Land and buildings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Land</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Freehold land at fair value</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200</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Total land</w:t>
            </w:r>
          </w:p>
        </w:tc>
        <w:tc>
          <w:tcPr>
            <w:tcW w:w="125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200</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Buildings on freehold land:</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Fair value</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890</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Accumulated depreciation</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Total buildings on freehold land</w:t>
            </w:r>
          </w:p>
        </w:tc>
        <w:tc>
          <w:tcPr>
            <w:tcW w:w="125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890</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Leasehold improvements: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Work in progress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304</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Fair value</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50,178</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Accumulated depreciation</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(19)</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Accumulated impairment losses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(686)</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Total leasehold improvements</w:t>
            </w:r>
          </w:p>
        </w:tc>
        <w:tc>
          <w:tcPr>
            <w:tcW w:w="125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49,777</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land and buildings</w:t>
            </w:r>
          </w:p>
        </w:tc>
        <w:tc>
          <w:tcPr>
            <w:tcW w:w="1256" w:type="dxa"/>
            <w:tcBorders>
              <w:top w:val="nil"/>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50,867</w:t>
            </w:r>
          </w:p>
        </w:tc>
      </w:tr>
    </w:tbl>
    <w:p w:rsidR="007E1E1E" w:rsidRDefault="007E1E1E" w:rsidP="007E1E1E">
      <w:bookmarkStart w:id="88" w:name="RANGE!D6:G26"/>
      <w:bookmarkStart w:id="89" w:name="RANGE!D6:D27"/>
      <w:bookmarkStart w:id="90" w:name="RANGE!D6:G27"/>
      <w:bookmarkEnd w:id="88"/>
      <w:bookmarkEnd w:id="89"/>
      <w:bookmarkEnd w:id="90"/>
    </w:p>
    <w:p w:rsidR="007E1E1E" w:rsidRPr="00640583" w:rsidRDefault="007E1E1E" w:rsidP="007E1E1E">
      <w:pPr>
        <w:pStyle w:val="NotesText0"/>
      </w:pPr>
      <w:r w:rsidRPr="00640583">
        <w:t xml:space="preserve">There are </w:t>
      </w:r>
      <w:r>
        <w:t>three</w:t>
      </w:r>
      <w:r w:rsidRPr="00640583">
        <w:t xml:space="preserve"> residential properties to be s</w:t>
      </w:r>
      <w:r>
        <w:t xml:space="preserve">old within the next 12 months. </w:t>
      </w:r>
      <w:r w:rsidRPr="00640583">
        <w:t xml:space="preserve">The properties have a net book value of $1,090,000 million as at 30 June </w:t>
      </w:r>
      <w:fldSimple w:instr=" DOCPROPERTY  crYear  \* MERGEFORMAT ">
        <w:r>
          <w:t>2014</w:t>
        </w:r>
      </w:fldSimple>
      <w:r w:rsidRPr="00640583">
        <w:t xml:space="preserve">.  </w:t>
      </w:r>
    </w:p>
    <w:p w:rsidR="007E1E1E" w:rsidRPr="00640583" w:rsidRDefault="007E1E1E" w:rsidP="007E1E1E">
      <w:pPr>
        <w:pStyle w:val="NotesText0"/>
      </w:pPr>
      <w:r w:rsidRPr="00640583">
        <w:t xml:space="preserve">There are </w:t>
      </w:r>
      <w:r>
        <w:t>six</w:t>
      </w:r>
      <w:r w:rsidRPr="00640583">
        <w:t xml:space="preserve"> leased properties that the department manages which are due to be vacated within the next 12 months that have</w:t>
      </w:r>
      <w:r>
        <w:t xml:space="preserve"> leasehold improvement assets. </w:t>
      </w:r>
      <w:r w:rsidRPr="00640583">
        <w:t xml:space="preserve">The total net book value of the leasehold improvements including restoration for these properties was $1,010,800 million as at 30 June </w:t>
      </w:r>
      <w:fldSimple w:instr=" DOCPROPERTY  crYear  \* MERGEFORMAT ">
        <w:r>
          <w:t>2014</w:t>
        </w:r>
      </w:fldSimple>
      <w:r w:rsidRPr="00640583">
        <w:t>.</w:t>
      </w:r>
    </w:p>
    <w:p w:rsidR="007E1E1E" w:rsidRPr="00640583" w:rsidRDefault="007E1E1E" w:rsidP="007E1E1E">
      <w:pPr>
        <w:pStyle w:val="NotesText0"/>
      </w:pPr>
      <w:r w:rsidRPr="00640583">
        <w:t xml:space="preserve">An impairment loss of $0.686 million was recognised for one property associated with surplus lease space. </w:t>
      </w:r>
    </w:p>
    <w:p w:rsidR="007E1E1E" w:rsidRDefault="007E1E1E" w:rsidP="007E1E1E">
      <w:pPr>
        <w:pStyle w:val="AdminBlankGreyShade"/>
      </w:pPr>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91" w:name="Note_IPETABLE1" w:colFirst="0" w:colLast="0"/>
            <w:r>
              <w:rPr>
                <w:rFonts w:cs="Calibri"/>
                <w:b/>
                <w:bCs/>
                <w:szCs w:val="18"/>
                <w:u w:val="single"/>
              </w:rPr>
              <w:t xml:space="preserve">Note </w:t>
            </w:r>
            <w:proofErr w:type="spellStart"/>
            <w:r>
              <w:rPr>
                <w:rFonts w:cs="Calibri"/>
                <w:b/>
                <w:bCs/>
                <w:szCs w:val="18"/>
                <w:u w:val="single"/>
              </w:rPr>
              <w:t>7B</w:t>
            </w:r>
            <w:proofErr w:type="spellEnd"/>
            <w:r>
              <w:rPr>
                <w:rFonts w:cs="Calibri"/>
                <w:b/>
                <w:bCs/>
                <w:szCs w:val="18"/>
                <w:u w:val="single"/>
              </w:rPr>
              <w:t>: Infrastructure, plant and equipment</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bookmarkEnd w:id="91"/>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Fair value</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14,460</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Accumulated depreciation</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(3,006)</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infrastructure, plant and equipment</w:t>
            </w:r>
          </w:p>
        </w:tc>
        <w:tc>
          <w:tcPr>
            <w:tcW w:w="125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11,454</w:t>
            </w:r>
          </w:p>
        </w:tc>
      </w:tr>
    </w:tbl>
    <w:p w:rsidR="007E1E1E" w:rsidRDefault="007E1E1E" w:rsidP="007E1E1E">
      <w:pPr>
        <w:rPr>
          <w:rFonts w:ascii="Arial" w:hAnsi="Arial" w:cs="Arial"/>
          <w:sz w:val="16"/>
          <w:szCs w:val="16"/>
        </w:rPr>
      </w:pPr>
      <w:bookmarkStart w:id="92" w:name="RANGE!D7:G12"/>
      <w:bookmarkEnd w:id="92"/>
    </w:p>
    <w:p w:rsidR="007E1E1E" w:rsidRPr="00640583" w:rsidRDefault="007E1E1E" w:rsidP="007E1E1E">
      <w:pPr>
        <w:pStyle w:val="NotesText0"/>
      </w:pPr>
      <w:r w:rsidRPr="00640583">
        <w:t xml:space="preserve">No material amounts of infrastructure, plant and equipment are expected to be sold or disposed of within the next 12 months. </w:t>
      </w:r>
    </w:p>
    <w:p w:rsidR="007E1E1E" w:rsidRPr="00640583" w:rsidRDefault="007E1E1E" w:rsidP="007E1E1E">
      <w:pPr>
        <w:pStyle w:val="NotesText0"/>
      </w:pPr>
      <w:r w:rsidRPr="00640583">
        <w:t>No indicators of impairment were found for infrastructure, plant and equipment assets.</w:t>
      </w:r>
    </w:p>
    <w:p w:rsidR="007E1E1E" w:rsidRPr="00640583" w:rsidRDefault="007E1E1E" w:rsidP="007E1E1E">
      <w:pPr>
        <w:pStyle w:val="NotesText0"/>
        <w:sectPr w:rsidR="007E1E1E" w:rsidRPr="00640583">
          <w:type w:val="continuous"/>
          <w:pgSz w:w="11906" w:h="16838"/>
          <w:pgMar w:top="1134" w:right="1134" w:bottom="1134" w:left="1134" w:header="958" w:footer="737" w:gutter="0"/>
          <w:cols w:space="720"/>
        </w:sectPr>
      </w:pPr>
    </w:p>
    <w:p w:rsidR="007E1E1E" w:rsidRDefault="007E1E1E" w:rsidP="007E1E1E">
      <w:pPr>
        <w:rPr>
          <w:b/>
        </w:rPr>
      </w:pPr>
      <w:r>
        <w:rPr>
          <w:b/>
        </w:rPr>
        <w:lastRenderedPageBreak/>
        <w:t>Revaluations of non-financial assets</w:t>
      </w:r>
    </w:p>
    <w:p w:rsidR="007E1E1E" w:rsidRPr="00640583" w:rsidRDefault="007E1E1E" w:rsidP="007E1E1E">
      <w:pPr>
        <w:pStyle w:val="NotesText0"/>
      </w:pPr>
      <w:r w:rsidRPr="00640583">
        <w:t>All revaluations were conducted in accordance with the revaluation policy stated at Note 1.</w:t>
      </w:r>
    </w:p>
    <w:p w:rsidR="007E1E1E" w:rsidRPr="008E6A94" w:rsidRDefault="007E1E1E" w:rsidP="007E1E1E">
      <w:pPr>
        <w:rPr>
          <w:rFonts w:asciiTheme="minorHAnsi" w:hAnsiTheme="minorHAnsi" w:cs="Arial"/>
          <w:szCs w:val="18"/>
          <w:lang w:eastAsia="en-AU"/>
        </w:rPr>
      </w:pPr>
      <w:r w:rsidRPr="008E6A94">
        <w:rPr>
          <w:rFonts w:asciiTheme="minorHAnsi" w:hAnsiTheme="minorHAnsi" w:cs="Arial"/>
          <w:szCs w:val="18"/>
          <w:lang w:eastAsia="en-AU"/>
        </w:rPr>
        <w:t xml:space="preserve">A revaluation decrement of $40,000 for land and $187,503 for buildings on freehold land were expensed. A </w:t>
      </w:r>
      <w:r>
        <w:rPr>
          <w:rFonts w:asciiTheme="minorHAnsi" w:hAnsiTheme="minorHAnsi" w:cs="Arial"/>
          <w:szCs w:val="18"/>
          <w:lang w:eastAsia="en-AU"/>
        </w:rPr>
        <w:t>revaluation increment of $432,853</w:t>
      </w:r>
      <w:r w:rsidRPr="008E6A94">
        <w:rPr>
          <w:rFonts w:asciiTheme="minorHAnsi" w:hAnsiTheme="minorHAnsi" w:cs="Arial"/>
          <w:szCs w:val="18"/>
          <w:lang w:eastAsia="en-AU"/>
        </w:rPr>
        <w:t xml:space="preserve"> for leasehold </w:t>
      </w:r>
      <w:r>
        <w:rPr>
          <w:rFonts w:asciiTheme="minorHAnsi" w:hAnsiTheme="minorHAnsi" w:cs="Arial"/>
          <w:szCs w:val="18"/>
          <w:lang w:eastAsia="en-AU"/>
        </w:rPr>
        <w:t xml:space="preserve">improvement </w:t>
      </w:r>
      <w:r w:rsidRPr="008E6A94">
        <w:rPr>
          <w:rFonts w:asciiTheme="minorHAnsi" w:hAnsiTheme="minorHAnsi" w:cs="Arial"/>
          <w:szCs w:val="18"/>
          <w:lang w:eastAsia="en-AU"/>
        </w:rPr>
        <w:t>was credited to the asset revaluation surplus by asset class and included in the equity section of the balance sheet. A revaluation was not performed on infrastructure,</w:t>
      </w:r>
      <w:r>
        <w:rPr>
          <w:rFonts w:asciiTheme="minorHAnsi" w:hAnsiTheme="minorHAnsi" w:cs="Arial"/>
          <w:szCs w:val="18"/>
          <w:lang w:eastAsia="en-AU"/>
        </w:rPr>
        <w:t xml:space="preserve"> plant and equipment</w:t>
      </w:r>
      <w:r w:rsidRPr="008E6A94">
        <w:rPr>
          <w:rFonts w:asciiTheme="minorHAnsi" w:hAnsiTheme="minorHAnsi" w:cs="Arial"/>
          <w:szCs w:val="18"/>
          <w:lang w:eastAsia="en-AU"/>
        </w:rPr>
        <w:t xml:space="preserve">. </w:t>
      </w:r>
    </w:p>
    <w:p w:rsidR="007E1E1E" w:rsidRPr="00640583" w:rsidRDefault="007E1E1E" w:rsidP="007E1E1E">
      <w:pPr>
        <w:pStyle w:val="NotesText0"/>
        <w:sectPr w:rsidR="007E1E1E" w:rsidRPr="00640583">
          <w:type w:val="continuous"/>
          <w:pgSz w:w="11906" w:h="16838"/>
          <w:pgMar w:top="1134" w:right="1134" w:bottom="1134" w:left="1134" w:header="958" w:footer="737" w:gutter="0"/>
          <w:cols w:space="720"/>
        </w:sectPr>
      </w:pPr>
    </w:p>
    <w:tbl>
      <w:tblPr>
        <w:tblW w:w="13991" w:type="dxa"/>
        <w:tblInd w:w="80" w:type="dxa"/>
        <w:tblLayout w:type="fixed"/>
        <w:tblLook w:val="04A0" w:firstRow="1" w:lastRow="0" w:firstColumn="1" w:lastColumn="0" w:noHBand="0" w:noVBand="1"/>
      </w:tblPr>
      <w:tblGrid>
        <w:gridCol w:w="6125"/>
        <w:gridCol w:w="1290"/>
        <w:gridCol w:w="1291"/>
        <w:gridCol w:w="1412"/>
        <w:gridCol w:w="1291"/>
        <w:gridCol w:w="1291"/>
        <w:gridCol w:w="1291"/>
      </w:tblGrid>
      <w:tr w:rsidR="007E1E1E" w:rsidTr="00B50E5D">
        <w:trPr>
          <w:trHeight w:val="255"/>
        </w:trPr>
        <w:tc>
          <w:tcPr>
            <w:tcW w:w="12700" w:type="dxa"/>
            <w:gridSpan w:val="6"/>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93" w:name="Note_MTATABLE1" w:colFirst="0" w:colLast="0"/>
            <w:r>
              <w:rPr>
                <w:rFonts w:cs="Calibri"/>
                <w:b/>
                <w:bCs/>
                <w:szCs w:val="18"/>
                <w:u w:val="single"/>
              </w:rPr>
              <w:lastRenderedPageBreak/>
              <w:t xml:space="preserve">Note </w:t>
            </w:r>
            <w:proofErr w:type="spellStart"/>
            <w:r>
              <w:rPr>
                <w:rFonts w:cs="Calibri"/>
                <w:b/>
                <w:bCs/>
                <w:szCs w:val="18"/>
                <w:u w:val="single"/>
              </w:rPr>
              <w:t>7C</w:t>
            </w:r>
            <w:proofErr w:type="spellEnd"/>
            <w:r>
              <w:rPr>
                <w:rFonts w:cs="Calibri"/>
                <w:b/>
                <w:bCs/>
                <w:szCs w:val="18"/>
                <w:u w:val="single"/>
              </w:rPr>
              <w:t>: Reconciliation of the opening and closing balances of property, plant and equipment (2013-14)</w:t>
            </w:r>
          </w:p>
        </w:tc>
        <w:tc>
          <w:tcPr>
            <w:tcW w:w="1291"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bookmarkEnd w:id="93"/>
      <w:tr w:rsidR="007E1E1E" w:rsidTr="00B50E5D">
        <w:trPr>
          <w:trHeight w:val="255"/>
        </w:trPr>
        <w:tc>
          <w:tcPr>
            <w:tcW w:w="6125"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90"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91"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412"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91"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91"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91"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960"/>
        </w:trPr>
        <w:tc>
          <w:tcPr>
            <w:tcW w:w="6125" w:type="dxa"/>
            <w:tcBorders>
              <w:top w:val="single" w:sz="4" w:space="0" w:color="auto"/>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90" w:type="dxa"/>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bookmarkStart w:id="94" w:name="RANGE!F9:J9"/>
            <w:r>
              <w:rPr>
                <w:rFonts w:cs="Calibri"/>
                <w:b/>
                <w:bCs/>
                <w:szCs w:val="18"/>
              </w:rPr>
              <w:t>Land</w:t>
            </w:r>
            <w:bookmarkEnd w:id="94"/>
          </w:p>
        </w:tc>
        <w:tc>
          <w:tcPr>
            <w:tcW w:w="1291" w:type="dxa"/>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Buildings</w:t>
            </w:r>
          </w:p>
        </w:tc>
        <w:tc>
          <w:tcPr>
            <w:tcW w:w="1412" w:type="dxa"/>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Leasehold improvements</w:t>
            </w:r>
          </w:p>
        </w:tc>
        <w:tc>
          <w:tcPr>
            <w:tcW w:w="1291" w:type="dxa"/>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Total land and buildings</w:t>
            </w:r>
          </w:p>
        </w:tc>
        <w:tc>
          <w:tcPr>
            <w:tcW w:w="1291" w:type="dxa"/>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Other property, plant &amp; equipment</w:t>
            </w:r>
          </w:p>
        </w:tc>
        <w:tc>
          <w:tcPr>
            <w:tcW w:w="1291" w:type="dxa"/>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Total</w:t>
            </w:r>
          </w:p>
        </w:tc>
      </w:tr>
      <w:tr w:rsidR="007E1E1E" w:rsidTr="00B50E5D">
        <w:trPr>
          <w:trHeight w:val="255"/>
        </w:trPr>
        <w:tc>
          <w:tcPr>
            <w:tcW w:w="6125" w:type="dxa"/>
            <w:tcBorders>
              <w:top w:val="nil"/>
              <w:left w:val="nil"/>
              <w:bottom w:val="single" w:sz="4" w:space="0" w:color="auto"/>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90"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291"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412"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291"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291"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291"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6125"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As at 19 September 2013</w:t>
            </w:r>
          </w:p>
        </w:tc>
        <w:tc>
          <w:tcPr>
            <w:tcW w:w="129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91"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412"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91"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91"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91"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255"/>
        </w:trPr>
        <w:tc>
          <w:tcPr>
            <w:tcW w:w="6125"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Gross book value</w:t>
            </w:r>
          </w:p>
        </w:tc>
        <w:tc>
          <w:tcPr>
            <w:tcW w:w="129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412"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6125"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Accumulated depreciation and impairment</w:t>
            </w:r>
          </w:p>
        </w:tc>
        <w:tc>
          <w:tcPr>
            <w:tcW w:w="129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412"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6125"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Total as at 19 September 2013</w:t>
            </w:r>
          </w:p>
        </w:tc>
        <w:tc>
          <w:tcPr>
            <w:tcW w:w="1290"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291"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412"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291"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291"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291"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6125"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Additions</w:t>
            </w:r>
          </w:p>
        </w:tc>
        <w:tc>
          <w:tcPr>
            <w:tcW w:w="129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412"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6125"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By purchase</w:t>
            </w:r>
          </w:p>
        </w:tc>
        <w:tc>
          <w:tcPr>
            <w:tcW w:w="129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412"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421 </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421</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3,102 </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3,523</w:t>
            </w:r>
          </w:p>
        </w:tc>
      </w:tr>
      <w:tr w:rsidR="007E1E1E" w:rsidTr="00B50E5D">
        <w:trPr>
          <w:trHeight w:val="255"/>
        </w:trPr>
        <w:tc>
          <w:tcPr>
            <w:tcW w:w="6125"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By restructuring</w:t>
            </w:r>
          </w:p>
        </w:tc>
        <w:tc>
          <w:tcPr>
            <w:tcW w:w="129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1,910 </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1,924 </w:t>
            </w:r>
          </w:p>
        </w:tc>
        <w:tc>
          <w:tcPr>
            <w:tcW w:w="1412"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53,503 </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57,337</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11,579 </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68,916</w:t>
            </w:r>
          </w:p>
        </w:tc>
      </w:tr>
      <w:tr w:rsidR="007E1E1E" w:rsidTr="00B50E5D">
        <w:trPr>
          <w:trHeight w:val="255"/>
        </w:trPr>
        <w:tc>
          <w:tcPr>
            <w:tcW w:w="6125"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By revaluations and impairments</w:t>
            </w:r>
          </w:p>
        </w:tc>
        <w:tc>
          <w:tcPr>
            <w:tcW w:w="129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412"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433 </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433</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433</w:t>
            </w:r>
          </w:p>
        </w:tc>
      </w:tr>
      <w:tr w:rsidR="007E1E1E" w:rsidTr="00B50E5D">
        <w:trPr>
          <w:trHeight w:val="255"/>
        </w:trPr>
        <w:tc>
          <w:tcPr>
            <w:tcW w:w="6125"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First time recognition</w:t>
            </w:r>
          </w:p>
        </w:tc>
        <w:tc>
          <w:tcPr>
            <w:tcW w:w="129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412"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1,353 </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1,353</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145 </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1,498</w:t>
            </w:r>
          </w:p>
        </w:tc>
      </w:tr>
      <w:tr w:rsidR="007E1E1E" w:rsidTr="00B50E5D">
        <w:trPr>
          <w:trHeight w:val="255"/>
        </w:trPr>
        <w:tc>
          <w:tcPr>
            <w:tcW w:w="6125"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Leasehold Restoration</w:t>
            </w:r>
          </w:p>
        </w:tc>
        <w:tc>
          <w:tcPr>
            <w:tcW w:w="129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412"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6125"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Reclassification</w:t>
            </w:r>
          </w:p>
        </w:tc>
        <w:tc>
          <w:tcPr>
            <w:tcW w:w="129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412"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28</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28</w:t>
            </w:r>
          </w:p>
        </w:tc>
      </w:tr>
      <w:tr w:rsidR="007E1E1E" w:rsidTr="00B50E5D">
        <w:trPr>
          <w:trHeight w:val="255"/>
        </w:trPr>
        <w:tc>
          <w:tcPr>
            <w:tcW w:w="6125"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Revaluations and impairments recognised in other comprehensive income</w:t>
            </w:r>
          </w:p>
        </w:tc>
        <w:tc>
          <w:tcPr>
            <w:tcW w:w="129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(40)</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(187)</w:t>
            </w:r>
          </w:p>
        </w:tc>
        <w:tc>
          <w:tcPr>
            <w:tcW w:w="1412"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(227)</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(227)</w:t>
            </w:r>
          </w:p>
        </w:tc>
      </w:tr>
      <w:tr w:rsidR="007E1E1E" w:rsidTr="00B50E5D">
        <w:trPr>
          <w:trHeight w:val="255"/>
        </w:trPr>
        <w:tc>
          <w:tcPr>
            <w:tcW w:w="6125"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Impairments recognised in net cost of services</w:t>
            </w:r>
          </w:p>
        </w:tc>
        <w:tc>
          <w:tcPr>
            <w:tcW w:w="129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412"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(405)</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(405)</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(405)</w:t>
            </w:r>
          </w:p>
        </w:tc>
      </w:tr>
      <w:tr w:rsidR="007E1E1E" w:rsidTr="00B50E5D">
        <w:trPr>
          <w:trHeight w:val="255"/>
        </w:trPr>
        <w:tc>
          <w:tcPr>
            <w:tcW w:w="6125"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 xml:space="preserve">Depreciation </w:t>
            </w:r>
          </w:p>
        </w:tc>
        <w:tc>
          <w:tcPr>
            <w:tcW w:w="129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(62)</w:t>
            </w:r>
          </w:p>
        </w:tc>
        <w:tc>
          <w:tcPr>
            <w:tcW w:w="1412"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(5,448)</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(5,510)</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(3,006)</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(8,516)</w:t>
            </w:r>
          </w:p>
        </w:tc>
      </w:tr>
      <w:tr w:rsidR="007E1E1E" w:rsidTr="00B50E5D">
        <w:trPr>
          <w:trHeight w:val="255"/>
        </w:trPr>
        <w:tc>
          <w:tcPr>
            <w:tcW w:w="6125"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Other movements</w:t>
            </w:r>
          </w:p>
        </w:tc>
        <w:tc>
          <w:tcPr>
            <w:tcW w:w="129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412"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6125"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Disposals</w:t>
            </w:r>
          </w:p>
        </w:tc>
        <w:tc>
          <w:tcPr>
            <w:tcW w:w="129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91"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412"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91"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91"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6125"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From disposal of entities or operations (including restructuring)</w:t>
            </w:r>
          </w:p>
        </w:tc>
        <w:tc>
          <w:tcPr>
            <w:tcW w:w="129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(1,670)</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(785)</w:t>
            </w:r>
          </w:p>
        </w:tc>
        <w:tc>
          <w:tcPr>
            <w:tcW w:w="1412"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(80)</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(2,535)</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(19)</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(2,554)</w:t>
            </w:r>
          </w:p>
        </w:tc>
      </w:tr>
      <w:tr w:rsidR="007E1E1E" w:rsidTr="00B50E5D">
        <w:trPr>
          <w:trHeight w:val="255"/>
        </w:trPr>
        <w:tc>
          <w:tcPr>
            <w:tcW w:w="6125"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Other</w:t>
            </w:r>
          </w:p>
        </w:tc>
        <w:tc>
          <w:tcPr>
            <w:tcW w:w="129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412"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(318)</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(318)</w:t>
            </w:r>
          </w:p>
        </w:tc>
      </w:tr>
      <w:tr w:rsidR="007E1E1E" w:rsidTr="00B50E5D">
        <w:trPr>
          <w:trHeight w:val="255"/>
        </w:trPr>
        <w:tc>
          <w:tcPr>
            <w:tcW w:w="6125"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Write-offs</w:t>
            </w:r>
          </w:p>
        </w:tc>
        <w:tc>
          <w:tcPr>
            <w:tcW w:w="129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412"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(57)</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(57)</w:t>
            </w:r>
          </w:p>
        </w:tc>
      </w:tr>
      <w:tr w:rsidR="007E1E1E" w:rsidTr="00B50E5D">
        <w:trPr>
          <w:trHeight w:val="270"/>
        </w:trPr>
        <w:tc>
          <w:tcPr>
            <w:tcW w:w="6125"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Total as at 30 June 2014</w:t>
            </w:r>
          </w:p>
        </w:tc>
        <w:tc>
          <w:tcPr>
            <w:tcW w:w="1290"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200</w:t>
            </w:r>
          </w:p>
        </w:tc>
        <w:tc>
          <w:tcPr>
            <w:tcW w:w="1291"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890</w:t>
            </w:r>
          </w:p>
        </w:tc>
        <w:tc>
          <w:tcPr>
            <w:tcW w:w="1412"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49,777</w:t>
            </w:r>
          </w:p>
        </w:tc>
        <w:tc>
          <w:tcPr>
            <w:tcW w:w="1291"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50,867</w:t>
            </w:r>
          </w:p>
        </w:tc>
        <w:tc>
          <w:tcPr>
            <w:tcW w:w="1291"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11,454</w:t>
            </w:r>
          </w:p>
        </w:tc>
        <w:tc>
          <w:tcPr>
            <w:tcW w:w="1291"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62,321</w:t>
            </w:r>
          </w:p>
        </w:tc>
      </w:tr>
      <w:tr w:rsidR="007E1E1E" w:rsidTr="00B50E5D">
        <w:trPr>
          <w:trHeight w:val="270"/>
        </w:trPr>
        <w:tc>
          <w:tcPr>
            <w:tcW w:w="6125"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9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91"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412"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91"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91"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91"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125"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Total as at 30 June 2014 represented by</w:t>
            </w:r>
          </w:p>
        </w:tc>
        <w:tc>
          <w:tcPr>
            <w:tcW w:w="129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91"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412"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91"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91"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91"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125"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Gross book value</w:t>
            </w:r>
          </w:p>
        </w:tc>
        <w:tc>
          <w:tcPr>
            <w:tcW w:w="129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200</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890</w:t>
            </w:r>
          </w:p>
        </w:tc>
        <w:tc>
          <w:tcPr>
            <w:tcW w:w="1412"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49,796</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50,886</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14,460</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65,346</w:t>
            </w:r>
          </w:p>
        </w:tc>
      </w:tr>
      <w:tr w:rsidR="007E1E1E" w:rsidTr="00B50E5D">
        <w:trPr>
          <w:trHeight w:val="255"/>
        </w:trPr>
        <w:tc>
          <w:tcPr>
            <w:tcW w:w="6125"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Accumulated depreciation and impairment</w:t>
            </w:r>
          </w:p>
        </w:tc>
        <w:tc>
          <w:tcPr>
            <w:tcW w:w="129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412"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(19)</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(19)</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(3,006)</w:t>
            </w:r>
          </w:p>
        </w:tc>
        <w:tc>
          <w:tcPr>
            <w:tcW w:w="129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(3,025)</w:t>
            </w:r>
          </w:p>
        </w:tc>
      </w:tr>
      <w:tr w:rsidR="007E1E1E" w:rsidTr="00B50E5D">
        <w:trPr>
          <w:trHeight w:val="270"/>
        </w:trPr>
        <w:tc>
          <w:tcPr>
            <w:tcW w:w="6125"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Total as at 30 June 2014</w:t>
            </w:r>
          </w:p>
        </w:tc>
        <w:tc>
          <w:tcPr>
            <w:tcW w:w="1290"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200</w:t>
            </w:r>
          </w:p>
        </w:tc>
        <w:tc>
          <w:tcPr>
            <w:tcW w:w="1291"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890</w:t>
            </w:r>
          </w:p>
        </w:tc>
        <w:tc>
          <w:tcPr>
            <w:tcW w:w="1412"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49,777</w:t>
            </w:r>
          </w:p>
        </w:tc>
        <w:tc>
          <w:tcPr>
            <w:tcW w:w="1291"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50,867</w:t>
            </w:r>
          </w:p>
        </w:tc>
        <w:tc>
          <w:tcPr>
            <w:tcW w:w="1291"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11,454</w:t>
            </w:r>
          </w:p>
        </w:tc>
        <w:tc>
          <w:tcPr>
            <w:tcW w:w="1291"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62,321</w:t>
            </w:r>
          </w:p>
        </w:tc>
      </w:tr>
    </w:tbl>
    <w:p w:rsidR="007E1E1E" w:rsidRDefault="007E1E1E" w:rsidP="007E1E1E">
      <w:pPr>
        <w:spacing w:line="240" w:lineRule="auto"/>
        <w:rPr>
          <w:rFonts w:ascii="Arial" w:hAnsi="Arial" w:cs="Arial"/>
          <w:sz w:val="16"/>
          <w:szCs w:val="16"/>
        </w:rPr>
        <w:sectPr w:rsidR="007E1E1E">
          <w:type w:val="continuous"/>
          <w:pgSz w:w="16838" w:h="11906" w:orient="landscape"/>
          <w:pgMar w:top="1134" w:right="1134" w:bottom="1134" w:left="1134" w:header="958" w:footer="737" w:gutter="0"/>
          <w:cols w:space="720"/>
        </w:sectPr>
      </w:pPr>
      <w:bookmarkStart w:id="95" w:name="RANGE!E7:K57"/>
      <w:bookmarkStart w:id="96" w:name="RANGE!E7:K56"/>
      <w:bookmarkStart w:id="97" w:name="RANGE!E7:K52"/>
      <w:bookmarkStart w:id="98" w:name="RANGE!E7:K53"/>
      <w:bookmarkStart w:id="99" w:name="RANGE!E7:K49"/>
      <w:bookmarkStart w:id="100" w:name="RANGE!E6:K48"/>
      <w:bookmarkStart w:id="101" w:name="RANGE!E6:K47"/>
      <w:bookmarkStart w:id="102" w:name="RANGE!E6:K49"/>
      <w:bookmarkStart w:id="103" w:name="RANGE!E6:E50"/>
      <w:bookmarkStart w:id="104" w:name="RANGE!E6:K50"/>
      <w:bookmarkStart w:id="105" w:name="RANGE!E64:K90"/>
      <w:bookmarkStart w:id="106" w:name="RANGE!E61:K87"/>
      <w:bookmarkStart w:id="107" w:name="RANGE!E60:K85"/>
      <w:bookmarkStart w:id="108" w:name="RANGE!E61:K86"/>
      <w:bookmarkStart w:id="109" w:name="RANGE!E57:K82"/>
      <w:bookmarkStart w:id="110" w:name="RANGE!E58:K83"/>
      <w:bookmarkStart w:id="111" w:name="RANGE!E57:K81"/>
      <w:bookmarkStart w:id="112" w:name="RANGE!E56:K79"/>
      <w:bookmarkStart w:id="113" w:name="RANGE!E58:K81"/>
      <w:bookmarkStart w:id="114" w:name="RANGE!E59:K82"/>
      <w:bookmarkStart w:id="115" w:name="RANGE!E59:K83"/>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tbl>
      <w:tblPr>
        <w:tblW w:w="9087" w:type="dxa"/>
        <w:tblInd w:w="80" w:type="dxa"/>
        <w:tblLayout w:type="fixed"/>
        <w:tblLook w:val="04A0" w:firstRow="1" w:lastRow="0" w:firstColumn="1" w:lastColumn="0" w:noHBand="0" w:noVBand="1"/>
      </w:tblPr>
      <w:tblGrid>
        <w:gridCol w:w="7287"/>
        <w:gridCol w:w="1800"/>
      </w:tblGrid>
      <w:tr w:rsidR="007E1E1E" w:rsidTr="00B50E5D">
        <w:trPr>
          <w:trHeight w:val="240"/>
        </w:trPr>
        <w:tc>
          <w:tcPr>
            <w:tcW w:w="44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bookmarkStart w:id="116" w:name="Note_INTTABLE1" w:colFirst="0" w:colLast="0"/>
            <w:r>
              <w:rPr>
                <w:rFonts w:ascii="Arial" w:hAnsi="Arial" w:cs="Arial"/>
                <w:szCs w:val="18"/>
              </w:rPr>
              <w:lastRenderedPageBreak/>
              <w:t> </w:t>
            </w:r>
          </w:p>
        </w:tc>
        <w:tc>
          <w:tcPr>
            <w:tcW w:w="10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2014</w:t>
            </w:r>
          </w:p>
        </w:tc>
      </w:tr>
      <w:bookmarkEnd w:id="116"/>
      <w:tr w:rsidR="007E1E1E" w:rsidTr="00B50E5D">
        <w:trPr>
          <w:trHeight w:val="240"/>
        </w:trPr>
        <w:tc>
          <w:tcPr>
            <w:tcW w:w="44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0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443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7D</w:t>
            </w:r>
            <w:proofErr w:type="spellEnd"/>
            <w:r>
              <w:rPr>
                <w:rFonts w:cs="Calibri"/>
                <w:b/>
                <w:bCs/>
                <w:szCs w:val="18"/>
                <w:u w:val="single"/>
              </w:rPr>
              <w:t>: Intangibles</w:t>
            </w:r>
          </w:p>
        </w:tc>
        <w:tc>
          <w:tcPr>
            <w:tcW w:w="10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443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0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443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Computer software</w:t>
            </w:r>
          </w:p>
        </w:tc>
        <w:tc>
          <w:tcPr>
            <w:tcW w:w="10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443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xml:space="preserve">Internally developed – in progress </w:t>
            </w:r>
          </w:p>
        </w:tc>
        <w:tc>
          <w:tcPr>
            <w:tcW w:w="10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3,024</w:t>
            </w:r>
          </w:p>
        </w:tc>
      </w:tr>
      <w:tr w:rsidR="007E1E1E" w:rsidTr="00B50E5D">
        <w:trPr>
          <w:trHeight w:val="255"/>
        </w:trPr>
        <w:tc>
          <w:tcPr>
            <w:tcW w:w="443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Internally developed – in use</w:t>
            </w:r>
          </w:p>
        </w:tc>
        <w:tc>
          <w:tcPr>
            <w:tcW w:w="10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71,743</w:t>
            </w:r>
          </w:p>
        </w:tc>
      </w:tr>
      <w:tr w:rsidR="007E1E1E" w:rsidTr="00B50E5D">
        <w:trPr>
          <w:trHeight w:val="255"/>
        </w:trPr>
        <w:tc>
          <w:tcPr>
            <w:tcW w:w="443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Purchased</w:t>
            </w:r>
          </w:p>
        </w:tc>
        <w:tc>
          <w:tcPr>
            <w:tcW w:w="10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575</w:t>
            </w:r>
          </w:p>
        </w:tc>
      </w:tr>
      <w:tr w:rsidR="007E1E1E" w:rsidTr="00B50E5D">
        <w:trPr>
          <w:trHeight w:val="255"/>
        </w:trPr>
        <w:tc>
          <w:tcPr>
            <w:tcW w:w="443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Total computer software (gross)</w:t>
            </w:r>
          </w:p>
        </w:tc>
        <w:tc>
          <w:tcPr>
            <w:tcW w:w="109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75,342</w:t>
            </w:r>
          </w:p>
        </w:tc>
      </w:tr>
      <w:tr w:rsidR="007E1E1E" w:rsidTr="00B50E5D">
        <w:trPr>
          <w:trHeight w:val="255"/>
        </w:trPr>
        <w:tc>
          <w:tcPr>
            <w:tcW w:w="44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0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443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Accumulated amortisation - internally developed</w:t>
            </w:r>
          </w:p>
        </w:tc>
        <w:tc>
          <w:tcPr>
            <w:tcW w:w="10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(11,728)</w:t>
            </w:r>
          </w:p>
        </w:tc>
      </w:tr>
      <w:tr w:rsidR="007E1E1E" w:rsidTr="00B50E5D">
        <w:trPr>
          <w:trHeight w:val="255"/>
        </w:trPr>
        <w:tc>
          <w:tcPr>
            <w:tcW w:w="443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Accumulated amortisation - purchased</w:t>
            </w:r>
          </w:p>
        </w:tc>
        <w:tc>
          <w:tcPr>
            <w:tcW w:w="10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(64)</w:t>
            </w:r>
          </w:p>
        </w:tc>
      </w:tr>
      <w:tr w:rsidR="007E1E1E" w:rsidTr="00B50E5D">
        <w:trPr>
          <w:trHeight w:val="255"/>
        </w:trPr>
        <w:tc>
          <w:tcPr>
            <w:tcW w:w="443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Total computer software (net)</w:t>
            </w:r>
          </w:p>
        </w:tc>
        <w:tc>
          <w:tcPr>
            <w:tcW w:w="109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63,550</w:t>
            </w:r>
          </w:p>
        </w:tc>
      </w:tr>
      <w:tr w:rsidR="007E1E1E" w:rsidTr="00B50E5D">
        <w:trPr>
          <w:trHeight w:val="255"/>
        </w:trPr>
        <w:tc>
          <w:tcPr>
            <w:tcW w:w="44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0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70"/>
        </w:trPr>
        <w:tc>
          <w:tcPr>
            <w:tcW w:w="443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intangibles</w:t>
            </w:r>
          </w:p>
        </w:tc>
        <w:tc>
          <w:tcPr>
            <w:tcW w:w="109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63,550</w:t>
            </w:r>
          </w:p>
        </w:tc>
      </w:tr>
    </w:tbl>
    <w:p w:rsidR="007E1E1E" w:rsidRDefault="007E1E1E" w:rsidP="007E1E1E">
      <w:bookmarkStart w:id="117" w:name="RANGE!D6:G22"/>
      <w:bookmarkStart w:id="118" w:name="RANGE!D6:D23"/>
      <w:bookmarkStart w:id="119" w:name="RANGE!D6:G23"/>
      <w:bookmarkEnd w:id="117"/>
      <w:bookmarkEnd w:id="118"/>
      <w:bookmarkEnd w:id="119"/>
    </w:p>
    <w:p w:rsidR="007E1E1E" w:rsidRPr="00640583" w:rsidRDefault="007E1E1E" w:rsidP="007E1E1E">
      <w:pPr>
        <w:pStyle w:val="NotesText0"/>
      </w:pPr>
      <w:r w:rsidRPr="003A5E86">
        <w:t>No indicators of impairment were found for intangible assets.</w:t>
      </w:r>
      <w:r w:rsidRPr="00640583">
        <w:t xml:space="preserve">  </w:t>
      </w:r>
    </w:p>
    <w:p w:rsidR="007E1E1E" w:rsidRPr="00640583" w:rsidRDefault="007E1E1E" w:rsidP="007E1E1E">
      <w:pPr>
        <w:pStyle w:val="NotesText0"/>
      </w:pPr>
      <w:r w:rsidRPr="00640583">
        <w:t xml:space="preserve">No material amounts of intangibles are expected to be sold or disposed of within the next 12 months. </w:t>
      </w:r>
    </w:p>
    <w:p w:rsidR="007E1E1E" w:rsidRPr="00640583" w:rsidRDefault="007E1E1E" w:rsidP="007E1E1E">
      <w:pPr>
        <w:pStyle w:val="NotesText0"/>
        <w:sectPr w:rsidR="007E1E1E" w:rsidRPr="00640583">
          <w:type w:val="continuous"/>
          <w:pgSz w:w="11906" w:h="16838"/>
          <w:pgMar w:top="1134" w:right="1134" w:bottom="1134" w:left="1134" w:header="958" w:footer="737" w:gutter="0"/>
          <w:cols w:space="720"/>
        </w:sectPr>
      </w:pPr>
    </w:p>
    <w:tbl>
      <w:tblPr>
        <w:tblW w:w="13991" w:type="dxa"/>
        <w:tblInd w:w="80" w:type="dxa"/>
        <w:tblLayout w:type="fixed"/>
        <w:tblLook w:val="04A0" w:firstRow="1" w:lastRow="0" w:firstColumn="1" w:lastColumn="0" w:noHBand="0" w:noVBand="1"/>
      </w:tblPr>
      <w:tblGrid>
        <w:gridCol w:w="9680"/>
        <w:gridCol w:w="1437"/>
        <w:gridCol w:w="1437"/>
        <w:gridCol w:w="1437"/>
      </w:tblGrid>
      <w:tr w:rsidR="007E1E1E" w:rsidTr="00B50E5D">
        <w:trPr>
          <w:trHeight w:val="255"/>
        </w:trPr>
        <w:tc>
          <w:tcPr>
            <w:tcW w:w="805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120" w:name="RANGE!E7:E50"/>
            <w:bookmarkStart w:id="121" w:name="Note_INRTABLE1" w:colFirst="0" w:colLast="0"/>
            <w:r>
              <w:rPr>
                <w:rFonts w:cs="Calibri"/>
                <w:b/>
                <w:bCs/>
                <w:szCs w:val="18"/>
                <w:u w:val="single"/>
              </w:rPr>
              <w:lastRenderedPageBreak/>
              <w:t xml:space="preserve">Note </w:t>
            </w:r>
            <w:proofErr w:type="spellStart"/>
            <w:r>
              <w:rPr>
                <w:rFonts w:cs="Calibri"/>
                <w:b/>
                <w:bCs/>
                <w:szCs w:val="18"/>
                <w:u w:val="single"/>
              </w:rPr>
              <w:t>7E</w:t>
            </w:r>
            <w:proofErr w:type="spellEnd"/>
            <w:r>
              <w:rPr>
                <w:rFonts w:cs="Calibri"/>
                <w:b/>
                <w:bCs/>
                <w:szCs w:val="18"/>
                <w:u w:val="single"/>
              </w:rPr>
              <w:t>: Reconciliation of the opening and closing balances of intangibles (2013-14)</w:t>
            </w:r>
            <w:bookmarkEnd w:id="120"/>
          </w:p>
        </w:tc>
        <w:tc>
          <w:tcPr>
            <w:tcW w:w="11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bookmarkStart w:id="122" w:name="RANGE!H7:H50"/>
            <w:r>
              <w:rPr>
                <w:rFonts w:cs="Calibri"/>
                <w:szCs w:val="18"/>
              </w:rPr>
              <w:t> </w:t>
            </w:r>
            <w:bookmarkEnd w:id="122"/>
          </w:p>
        </w:tc>
      </w:tr>
      <w:bookmarkEnd w:id="121"/>
      <w:tr w:rsidR="007E1E1E" w:rsidTr="00B50E5D">
        <w:trPr>
          <w:trHeight w:val="255"/>
        </w:trPr>
        <w:tc>
          <w:tcPr>
            <w:tcW w:w="80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960"/>
        </w:trPr>
        <w:tc>
          <w:tcPr>
            <w:tcW w:w="8056" w:type="dxa"/>
            <w:tcBorders>
              <w:top w:val="single" w:sz="4" w:space="0" w:color="auto"/>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196" w:type="dxa"/>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Computer software internally developed</w:t>
            </w:r>
          </w:p>
        </w:tc>
        <w:tc>
          <w:tcPr>
            <w:tcW w:w="1196" w:type="dxa"/>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Computer  software purchased</w:t>
            </w:r>
          </w:p>
        </w:tc>
        <w:tc>
          <w:tcPr>
            <w:tcW w:w="1196" w:type="dxa"/>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Total</w:t>
            </w:r>
          </w:p>
        </w:tc>
      </w:tr>
      <w:tr w:rsidR="007E1E1E" w:rsidTr="00B50E5D">
        <w:trPr>
          <w:trHeight w:val="255"/>
        </w:trPr>
        <w:tc>
          <w:tcPr>
            <w:tcW w:w="8056" w:type="dxa"/>
            <w:tcBorders>
              <w:top w:val="nil"/>
              <w:left w:val="nil"/>
              <w:bottom w:val="single" w:sz="4" w:space="0" w:color="auto"/>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9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19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19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805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As at 19 September 2013</w:t>
            </w:r>
          </w:p>
        </w:tc>
        <w:tc>
          <w:tcPr>
            <w:tcW w:w="11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255"/>
        </w:trPr>
        <w:tc>
          <w:tcPr>
            <w:tcW w:w="805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Gross book value</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805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Accumulated amortisation and impairment</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805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Total as at 19 September 2013</w:t>
            </w:r>
          </w:p>
        </w:tc>
        <w:tc>
          <w:tcPr>
            <w:tcW w:w="119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19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19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80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805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Additions</w:t>
            </w:r>
          </w:p>
        </w:tc>
        <w:tc>
          <w:tcPr>
            <w:tcW w:w="11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805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By purchase</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513 </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513</w:t>
            </w:r>
          </w:p>
        </w:tc>
      </w:tr>
      <w:tr w:rsidR="007E1E1E" w:rsidTr="00B50E5D">
        <w:trPr>
          <w:trHeight w:val="255"/>
        </w:trPr>
        <w:tc>
          <w:tcPr>
            <w:tcW w:w="805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Internally developed</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17,169 </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17,169</w:t>
            </w:r>
          </w:p>
        </w:tc>
      </w:tr>
      <w:tr w:rsidR="007E1E1E" w:rsidTr="00B50E5D">
        <w:trPr>
          <w:trHeight w:val="255"/>
        </w:trPr>
        <w:tc>
          <w:tcPr>
            <w:tcW w:w="805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By restructure</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57,794 </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123 </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57,917</w:t>
            </w:r>
          </w:p>
        </w:tc>
      </w:tr>
      <w:tr w:rsidR="007E1E1E" w:rsidTr="00B50E5D">
        <w:trPr>
          <w:trHeight w:val="255"/>
        </w:trPr>
        <w:tc>
          <w:tcPr>
            <w:tcW w:w="805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Reclassification</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(28)</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(28)</w:t>
            </w:r>
          </w:p>
        </w:tc>
      </w:tr>
      <w:tr w:rsidR="007E1E1E" w:rsidTr="00B50E5D">
        <w:trPr>
          <w:trHeight w:val="255"/>
        </w:trPr>
        <w:tc>
          <w:tcPr>
            <w:tcW w:w="805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Revaluations and impairments recognised in other comprehensive income</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805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Impairments recognised in the net cost of services</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805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Amortisation</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(11,728)</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(64)</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(11,792)</w:t>
            </w:r>
          </w:p>
        </w:tc>
      </w:tr>
      <w:tr w:rsidR="007E1E1E" w:rsidTr="00B50E5D">
        <w:trPr>
          <w:trHeight w:val="255"/>
        </w:trPr>
        <w:tc>
          <w:tcPr>
            <w:tcW w:w="805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Disposals</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805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From disposal of entities or operations (including restructuring)</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(196)</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(196)</w:t>
            </w:r>
          </w:p>
        </w:tc>
      </w:tr>
      <w:tr w:rsidR="007E1E1E" w:rsidTr="00B50E5D">
        <w:trPr>
          <w:trHeight w:val="255"/>
        </w:trPr>
        <w:tc>
          <w:tcPr>
            <w:tcW w:w="805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Other</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805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Write-offs</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(33)</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(33)</w:t>
            </w:r>
          </w:p>
        </w:tc>
      </w:tr>
      <w:tr w:rsidR="007E1E1E" w:rsidTr="00B50E5D">
        <w:trPr>
          <w:trHeight w:val="270"/>
        </w:trPr>
        <w:tc>
          <w:tcPr>
            <w:tcW w:w="805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Total as at 30 June 2014</w:t>
            </w:r>
          </w:p>
        </w:tc>
        <w:tc>
          <w:tcPr>
            <w:tcW w:w="119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63,039</w:t>
            </w:r>
          </w:p>
        </w:tc>
        <w:tc>
          <w:tcPr>
            <w:tcW w:w="119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511</w:t>
            </w:r>
          </w:p>
        </w:tc>
        <w:tc>
          <w:tcPr>
            <w:tcW w:w="119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63,550</w:t>
            </w:r>
          </w:p>
        </w:tc>
      </w:tr>
      <w:tr w:rsidR="007E1E1E" w:rsidTr="00B50E5D">
        <w:trPr>
          <w:trHeight w:val="270"/>
        </w:trPr>
        <w:tc>
          <w:tcPr>
            <w:tcW w:w="80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805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Total as at 30 June 2014 represented by</w:t>
            </w:r>
          </w:p>
        </w:tc>
        <w:tc>
          <w:tcPr>
            <w:tcW w:w="11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805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Gross book value</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74,767</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575</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75,342</w:t>
            </w:r>
          </w:p>
        </w:tc>
      </w:tr>
      <w:tr w:rsidR="007E1E1E" w:rsidTr="00B50E5D">
        <w:trPr>
          <w:trHeight w:val="255"/>
        </w:trPr>
        <w:tc>
          <w:tcPr>
            <w:tcW w:w="805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Accumulated amortisation and impairment</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(11,728)</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(64)</w:t>
            </w:r>
          </w:p>
        </w:tc>
        <w:tc>
          <w:tcPr>
            <w:tcW w:w="11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(11,792)</w:t>
            </w:r>
          </w:p>
        </w:tc>
      </w:tr>
      <w:tr w:rsidR="007E1E1E" w:rsidTr="00B50E5D">
        <w:trPr>
          <w:trHeight w:val="270"/>
        </w:trPr>
        <w:tc>
          <w:tcPr>
            <w:tcW w:w="805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Total as at 30 June 2014</w:t>
            </w:r>
          </w:p>
        </w:tc>
        <w:tc>
          <w:tcPr>
            <w:tcW w:w="119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63,039</w:t>
            </w:r>
          </w:p>
        </w:tc>
        <w:tc>
          <w:tcPr>
            <w:tcW w:w="119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511</w:t>
            </w:r>
          </w:p>
        </w:tc>
        <w:tc>
          <w:tcPr>
            <w:tcW w:w="119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63,550</w:t>
            </w:r>
          </w:p>
        </w:tc>
      </w:tr>
    </w:tbl>
    <w:p w:rsidR="007E1E1E" w:rsidRDefault="007E1E1E" w:rsidP="007E1E1E">
      <w:bookmarkStart w:id="123" w:name="RANGE!E7:H50"/>
      <w:bookmarkStart w:id="124" w:name="RANGE!E7:H48"/>
      <w:bookmarkStart w:id="125" w:name="RANGE!E7:H47"/>
      <w:bookmarkStart w:id="126" w:name="RANGE!E7:H46"/>
      <w:bookmarkStart w:id="127" w:name="RANGE!E7:H43"/>
      <w:bookmarkStart w:id="128" w:name="RANGE!E6:H41"/>
      <w:bookmarkStart w:id="129" w:name="RANGE!E6:H47"/>
      <w:bookmarkStart w:id="130" w:name="RANGE!E6:H46"/>
      <w:bookmarkStart w:id="131" w:name="RANGE!E6:J46"/>
      <w:bookmarkStart w:id="132" w:name="RANGE!E6:E47"/>
      <w:bookmarkStart w:id="133" w:name="RANGE!E6:J47"/>
      <w:bookmarkEnd w:id="123"/>
      <w:bookmarkEnd w:id="124"/>
      <w:bookmarkEnd w:id="125"/>
      <w:bookmarkEnd w:id="126"/>
      <w:bookmarkEnd w:id="127"/>
      <w:bookmarkEnd w:id="128"/>
      <w:bookmarkEnd w:id="129"/>
      <w:bookmarkEnd w:id="130"/>
      <w:bookmarkEnd w:id="131"/>
      <w:bookmarkEnd w:id="132"/>
      <w:bookmarkEnd w:id="133"/>
    </w:p>
    <w:p w:rsidR="007E1E1E" w:rsidRPr="00251468" w:rsidRDefault="007E1E1E" w:rsidP="007E1E1E">
      <w:pPr>
        <w:spacing w:line="240" w:lineRule="auto"/>
        <w:sectPr w:rsidR="007E1E1E" w:rsidRPr="00251468">
          <w:type w:val="continuous"/>
          <w:pgSz w:w="16838" w:h="11906" w:orient="landscape"/>
          <w:pgMar w:top="1134" w:right="1134" w:bottom="1134" w:left="1134" w:header="958" w:footer="737" w:gutter="0"/>
          <w:cols w:space="720"/>
        </w:sectPr>
      </w:pPr>
      <w:r>
        <w:t xml:space="preserve">In the 2013–14 financial year </w:t>
      </w:r>
      <w:r w:rsidRPr="003A5E86">
        <w:t>write</w:t>
      </w:r>
      <w:r>
        <w:t>-</w:t>
      </w:r>
      <w:r w:rsidRPr="003A5E86">
        <w:t>offs of $33,000 were</w:t>
      </w:r>
      <w:r>
        <w:t xml:space="preserve"> carried out for internally developed software. There were no write-offs of purchased software.</w:t>
      </w:r>
      <w:r>
        <w:br w:type="page"/>
      </w:r>
      <w:bookmarkStart w:id="134" w:name="RANGE!E55:H77"/>
      <w:bookmarkStart w:id="135" w:name="RANGE!E52:H74"/>
      <w:bookmarkStart w:id="136" w:name="RANGE!E50:H68"/>
      <w:bookmarkStart w:id="137" w:name="RANGE!E56:H74"/>
      <w:bookmarkStart w:id="138" w:name="RANGE!E55:H73"/>
      <w:bookmarkStart w:id="139" w:name="RANGE!E55:J79"/>
      <w:bookmarkStart w:id="140" w:name="RANGE!E56:J80"/>
      <w:bookmarkEnd w:id="134"/>
      <w:bookmarkEnd w:id="135"/>
      <w:bookmarkEnd w:id="136"/>
      <w:bookmarkEnd w:id="137"/>
      <w:bookmarkEnd w:id="138"/>
      <w:bookmarkEnd w:id="139"/>
      <w:bookmarkEnd w:id="140"/>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bookmarkStart w:id="141" w:name="Note_ONATABLE1" w:colFirst="0" w:colLast="0"/>
            <w:r>
              <w:rPr>
                <w:rFonts w:cs="Calibri"/>
                <w:b/>
                <w:bCs/>
                <w:szCs w:val="18"/>
              </w:rPr>
              <w:lastRenderedPageBreak/>
              <w:t>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2014</w:t>
            </w:r>
          </w:p>
        </w:tc>
      </w:tr>
      <w:bookmarkEnd w:id="141"/>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7F</w:t>
            </w:r>
            <w:proofErr w:type="spellEnd"/>
            <w:r>
              <w:rPr>
                <w:rFonts w:cs="Calibri"/>
                <w:b/>
                <w:bCs/>
                <w:szCs w:val="18"/>
                <w:u w:val="single"/>
              </w:rPr>
              <w:t>: Other non-financial assets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Prepayments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8,599</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other non-financial assets</w:t>
            </w:r>
          </w:p>
        </w:tc>
        <w:tc>
          <w:tcPr>
            <w:tcW w:w="125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8,599</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xml:space="preserve">Total other non-financial assets expected to be recovered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No more than 12 months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6,901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More than 12 months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1,698 </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other non-financial assets</w:t>
            </w:r>
          </w:p>
        </w:tc>
        <w:tc>
          <w:tcPr>
            <w:tcW w:w="125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8,599</w:t>
            </w:r>
          </w:p>
        </w:tc>
      </w:tr>
    </w:tbl>
    <w:p w:rsidR="007E1E1E" w:rsidRDefault="007E1E1E" w:rsidP="007E1E1E">
      <w:pPr>
        <w:spacing w:line="240" w:lineRule="auto"/>
      </w:pPr>
    </w:p>
    <w:p w:rsidR="007E1E1E" w:rsidRDefault="007E1E1E" w:rsidP="007E1E1E">
      <w:pPr>
        <w:spacing w:line="240" w:lineRule="auto"/>
      </w:pPr>
      <w:r>
        <w:t>No indicators of impairment were found for other non-financial assets.</w:t>
      </w:r>
      <w:r>
        <w:br w:type="page"/>
      </w:r>
    </w:p>
    <w:p w:rsidR="007E1E1E" w:rsidRDefault="007E1E1E" w:rsidP="007E1E1E">
      <w:pPr>
        <w:spacing w:line="240" w:lineRule="auto"/>
      </w:pPr>
    </w:p>
    <w:p w:rsidR="007E1E1E" w:rsidRDefault="007E1E1E" w:rsidP="007E1E1E">
      <w:pPr>
        <w:pStyle w:val="NotesHeading-Level1"/>
        <w:rPr>
          <w:rFonts w:cstheme="minorHAnsi"/>
        </w:rPr>
      </w:pPr>
      <w:bookmarkStart w:id="142" w:name="_Toc400713251"/>
      <w:r>
        <w:rPr>
          <w:rFonts w:cstheme="minorHAnsi"/>
        </w:rPr>
        <w:t>Payables</w:t>
      </w:r>
      <w:bookmarkEnd w:id="142"/>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bookmarkStart w:id="143" w:name="Note_SPATABLE1" w:colFirst="0" w:colLast="0"/>
            <w:r>
              <w:rPr>
                <w:rFonts w:cs="Calibri"/>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2014</w:t>
            </w:r>
          </w:p>
        </w:tc>
      </w:tr>
      <w:bookmarkEnd w:id="143"/>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8A</w:t>
            </w:r>
            <w:proofErr w:type="spellEnd"/>
            <w:r>
              <w:rPr>
                <w:rFonts w:cs="Calibri"/>
                <w:b/>
                <w:bCs/>
                <w:szCs w:val="18"/>
                <w:u w:val="single"/>
              </w:rPr>
              <w:t>: Suppliers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Trade creditors and accruals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7,451</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Operating lease rentals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7,149</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suppliers</w:t>
            </w:r>
          </w:p>
        </w:tc>
        <w:tc>
          <w:tcPr>
            <w:tcW w:w="125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14,600</w:t>
            </w:r>
          </w:p>
        </w:tc>
      </w:tr>
      <w:tr w:rsidR="007E1E1E" w:rsidTr="00B50E5D">
        <w:trPr>
          <w:trHeight w:val="270"/>
        </w:trPr>
        <w:tc>
          <w:tcPr>
            <w:tcW w:w="63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Suppliers expected to be settled</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No more than 12 months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8,171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More than 12 months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6,429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Total suppliers</w:t>
            </w:r>
          </w:p>
        </w:tc>
        <w:tc>
          <w:tcPr>
            <w:tcW w:w="125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14,600</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Suppliers in connection with</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Related parties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1,284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External parties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13,316 </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suppliers</w:t>
            </w:r>
          </w:p>
        </w:tc>
        <w:tc>
          <w:tcPr>
            <w:tcW w:w="125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14,600</w:t>
            </w:r>
          </w:p>
        </w:tc>
      </w:tr>
    </w:tbl>
    <w:p w:rsidR="007E1E1E" w:rsidRDefault="007E1E1E" w:rsidP="007E1E1E">
      <w:bookmarkStart w:id="144" w:name="RANGE!D6:D24"/>
      <w:bookmarkStart w:id="145" w:name="RANGE!D6:G24"/>
      <w:bookmarkEnd w:id="144"/>
      <w:bookmarkEnd w:id="145"/>
    </w:p>
    <w:p w:rsidR="007E1E1E" w:rsidRDefault="007E1E1E" w:rsidP="007E1E1E">
      <w:r>
        <w:t>Settlement is usually made within 30 days.</w:t>
      </w:r>
    </w:p>
    <w:p w:rsidR="007E1E1E" w:rsidRDefault="007E1E1E" w:rsidP="007E1E1E"/>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146" w:name="Note_OPBTABLE1" w:colFirst="0" w:colLast="0"/>
            <w:r>
              <w:rPr>
                <w:rFonts w:cs="Calibri"/>
                <w:b/>
                <w:bCs/>
                <w:szCs w:val="18"/>
                <w:u w:val="single"/>
              </w:rPr>
              <w:t xml:space="preserve">Note </w:t>
            </w:r>
            <w:proofErr w:type="spellStart"/>
            <w:r>
              <w:rPr>
                <w:rFonts w:cs="Calibri"/>
                <w:b/>
                <w:bCs/>
                <w:szCs w:val="18"/>
                <w:u w:val="single"/>
              </w:rPr>
              <w:t>8B</w:t>
            </w:r>
            <w:proofErr w:type="spellEnd"/>
            <w:r>
              <w:rPr>
                <w:rFonts w:cs="Calibri"/>
                <w:b/>
                <w:bCs/>
                <w:szCs w:val="18"/>
                <w:u w:val="single"/>
              </w:rPr>
              <w:t>: Other payables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bookmarkEnd w:id="146"/>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Wages and salaries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5,908</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Superannuation</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1,024</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Separations and redundancies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8,477</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Other employee benefits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946</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Lease incentives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16,249</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Unearned income</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1,821</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Payable to the Official Public Account</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Surplus lease space</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3,326</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other payables</w:t>
            </w:r>
          </w:p>
        </w:tc>
        <w:tc>
          <w:tcPr>
            <w:tcW w:w="125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37,752</w:t>
            </w:r>
          </w:p>
        </w:tc>
      </w:tr>
      <w:tr w:rsidR="007E1E1E" w:rsidTr="00B50E5D">
        <w:trPr>
          <w:trHeight w:val="270"/>
        </w:trPr>
        <w:tc>
          <w:tcPr>
            <w:tcW w:w="63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Other payables expected to be settled</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No more than 12 months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23,368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More than 12 months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14,384 </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other payables</w:t>
            </w:r>
          </w:p>
        </w:tc>
        <w:tc>
          <w:tcPr>
            <w:tcW w:w="125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37,752</w:t>
            </w:r>
          </w:p>
        </w:tc>
      </w:tr>
    </w:tbl>
    <w:p w:rsidR="007E1E1E" w:rsidRDefault="007E1E1E" w:rsidP="007E1E1E">
      <w:r>
        <w:br w:type="page"/>
      </w:r>
      <w:bookmarkStart w:id="147" w:name="RANGE!D7:G23"/>
      <w:bookmarkEnd w:id="147"/>
    </w:p>
    <w:p w:rsidR="007E1E1E" w:rsidRDefault="007E1E1E" w:rsidP="007E1E1E">
      <w:pPr>
        <w:pStyle w:val="NotesHeading-Level1"/>
        <w:rPr>
          <w:rFonts w:cstheme="minorHAnsi"/>
        </w:rPr>
      </w:pPr>
      <w:bookmarkStart w:id="148" w:name="RANGE!D6:H21"/>
      <w:bookmarkStart w:id="149" w:name="RANGE!D6:D22"/>
      <w:bookmarkStart w:id="150" w:name="RANGE!D6:H22"/>
      <w:bookmarkStart w:id="151" w:name="RANGE!D6:D21"/>
      <w:bookmarkStart w:id="152" w:name="RANGE!D6:G21"/>
      <w:bookmarkStart w:id="153" w:name="RANGE!D6:H20"/>
      <w:bookmarkStart w:id="154" w:name="RANGE!D6:H16"/>
      <w:bookmarkStart w:id="155" w:name="_Toc400713252"/>
      <w:bookmarkEnd w:id="148"/>
      <w:bookmarkEnd w:id="149"/>
      <w:bookmarkEnd w:id="150"/>
      <w:bookmarkEnd w:id="151"/>
      <w:bookmarkEnd w:id="152"/>
      <w:bookmarkEnd w:id="153"/>
      <w:bookmarkEnd w:id="154"/>
      <w:r>
        <w:rPr>
          <w:rFonts w:cstheme="minorHAnsi"/>
        </w:rPr>
        <w:lastRenderedPageBreak/>
        <w:t>Provisions</w:t>
      </w:r>
      <w:bookmarkEnd w:id="155"/>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bookmarkStart w:id="156" w:name="Note_PROTABLE1" w:colFirst="0" w:colLast="0"/>
            <w:r>
              <w:rPr>
                <w:rFonts w:cs="Calibri"/>
                <w:szCs w:val="18"/>
              </w:rPr>
              <w:t> </w:t>
            </w:r>
          </w:p>
        </w:tc>
        <w:tc>
          <w:tcPr>
            <w:tcW w:w="125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2014</w:t>
            </w:r>
          </w:p>
        </w:tc>
      </w:tr>
      <w:bookmarkEnd w:id="156"/>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5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9A</w:t>
            </w:r>
            <w:proofErr w:type="spellEnd"/>
            <w:r>
              <w:rPr>
                <w:rFonts w:cs="Calibri"/>
                <w:b/>
                <w:bCs/>
                <w:szCs w:val="18"/>
                <w:u w:val="single"/>
              </w:rPr>
              <w:t>: Employee provisions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Leave</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61,052</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employee provisions</w:t>
            </w:r>
          </w:p>
        </w:tc>
        <w:tc>
          <w:tcPr>
            <w:tcW w:w="125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61,052</w:t>
            </w:r>
          </w:p>
        </w:tc>
      </w:tr>
      <w:tr w:rsidR="007E1E1E" w:rsidTr="00B50E5D">
        <w:trPr>
          <w:trHeight w:val="270"/>
        </w:trPr>
        <w:tc>
          <w:tcPr>
            <w:tcW w:w="63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color w:val="FF0000"/>
                <w:szCs w:val="18"/>
              </w:rPr>
            </w:pPr>
            <w:r>
              <w:rPr>
                <w:rFonts w:ascii="Arial" w:hAnsi="Arial" w:cs="Arial"/>
                <w:color w:val="FF0000"/>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Employee provisions expected to be settled</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No more than 12 months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21,286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More than 12 months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39,766 </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employee provisions</w:t>
            </w:r>
          </w:p>
        </w:tc>
        <w:tc>
          <w:tcPr>
            <w:tcW w:w="125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61,052</w:t>
            </w:r>
          </w:p>
        </w:tc>
      </w:tr>
    </w:tbl>
    <w:p w:rsidR="007E1E1E" w:rsidRDefault="007E1E1E" w:rsidP="007E1E1E">
      <w:pPr>
        <w:spacing w:line="240" w:lineRule="auto"/>
      </w:pPr>
      <w:bookmarkStart w:id="157" w:name="RANGE!D6:D18"/>
      <w:bookmarkStart w:id="158" w:name="RANGE!D6:G18"/>
      <w:bookmarkEnd w:id="157"/>
      <w:bookmarkEnd w:id="158"/>
    </w:p>
    <w:tbl>
      <w:tblPr>
        <w:tblW w:w="9087" w:type="dxa"/>
        <w:tblInd w:w="80" w:type="dxa"/>
        <w:tblLayout w:type="fixed"/>
        <w:tblLook w:val="04A0" w:firstRow="1" w:lastRow="0" w:firstColumn="1" w:lastColumn="0" w:noHBand="0" w:noVBand="1"/>
      </w:tblPr>
      <w:tblGrid>
        <w:gridCol w:w="7761"/>
        <w:gridCol w:w="1326"/>
      </w:tblGrid>
      <w:tr w:rsidR="007E1E1E" w:rsidTr="00B50E5D">
        <w:trPr>
          <w:trHeight w:val="255"/>
        </w:trPr>
        <w:tc>
          <w:tcPr>
            <w:tcW w:w="641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159" w:name="Note_OPRTABLE1" w:colFirst="0" w:colLast="0"/>
            <w:r>
              <w:rPr>
                <w:rFonts w:cs="Calibri"/>
                <w:b/>
                <w:bCs/>
                <w:szCs w:val="18"/>
                <w:u w:val="single"/>
              </w:rPr>
              <w:t xml:space="preserve">Note </w:t>
            </w:r>
            <w:proofErr w:type="spellStart"/>
            <w:r>
              <w:rPr>
                <w:rFonts w:cs="Calibri"/>
                <w:b/>
                <w:bCs/>
                <w:szCs w:val="18"/>
                <w:u w:val="single"/>
              </w:rPr>
              <w:t>9B</w:t>
            </w:r>
            <w:proofErr w:type="spellEnd"/>
            <w:r>
              <w:rPr>
                <w:rFonts w:cs="Calibri"/>
                <w:b/>
                <w:bCs/>
                <w:szCs w:val="18"/>
                <w:u w:val="single"/>
              </w:rPr>
              <w:t>: Other provisions</w:t>
            </w:r>
          </w:p>
        </w:tc>
        <w:tc>
          <w:tcPr>
            <w:tcW w:w="10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bookmarkEnd w:id="159"/>
      <w:tr w:rsidR="007E1E1E" w:rsidTr="00B50E5D">
        <w:trPr>
          <w:trHeight w:val="255"/>
        </w:trPr>
        <w:tc>
          <w:tcPr>
            <w:tcW w:w="641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0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41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Provision for legal obligations</w:t>
            </w:r>
          </w:p>
        </w:tc>
        <w:tc>
          <w:tcPr>
            <w:tcW w:w="10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700</w:t>
            </w:r>
          </w:p>
        </w:tc>
      </w:tr>
      <w:tr w:rsidR="007E1E1E" w:rsidTr="00B50E5D">
        <w:trPr>
          <w:trHeight w:val="255"/>
        </w:trPr>
        <w:tc>
          <w:tcPr>
            <w:tcW w:w="641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Provision for restoration obligations</w:t>
            </w:r>
          </w:p>
        </w:tc>
        <w:tc>
          <w:tcPr>
            <w:tcW w:w="10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645</w:t>
            </w:r>
          </w:p>
        </w:tc>
      </w:tr>
      <w:tr w:rsidR="007E1E1E" w:rsidTr="00B50E5D">
        <w:trPr>
          <w:trHeight w:val="270"/>
        </w:trPr>
        <w:tc>
          <w:tcPr>
            <w:tcW w:w="641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other provisions</w:t>
            </w:r>
          </w:p>
        </w:tc>
        <w:tc>
          <w:tcPr>
            <w:tcW w:w="109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1,345</w:t>
            </w:r>
          </w:p>
        </w:tc>
      </w:tr>
      <w:tr w:rsidR="007E1E1E" w:rsidTr="00B50E5D">
        <w:trPr>
          <w:trHeight w:val="270"/>
        </w:trPr>
        <w:tc>
          <w:tcPr>
            <w:tcW w:w="641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0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41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Other provisions expected to be settled</w:t>
            </w:r>
          </w:p>
        </w:tc>
        <w:tc>
          <w:tcPr>
            <w:tcW w:w="10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41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No more than 12 months</w:t>
            </w:r>
          </w:p>
        </w:tc>
        <w:tc>
          <w:tcPr>
            <w:tcW w:w="10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1,015 </w:t>
            </w:r>
          </w:p>
        </w:tc>
      </w:tr>
      <w:tr w:rsidR="007E1E1E" w:rsidTr="00B50E5D">
        <w:trPr>
          <w:trHeight w:val="255"/>
        </w:trPr>
        <w:tc>
          <w:tcPr>
            <w:tcW w:w="641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More than 12 months</w:t>
            </w:r>
          </w:p>
        </w:tc>
        <w:tc>
          <w:tcPr>
            <w:tcW w:w="109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330 </w:t>
            </w:r>
          </w:p>
        </w:tc>
      </w:tr>
      <w:tr w:rsidR="007E1E1E" w:rsidTr="00B50E5D">
        <w:trPr>
          <w:trHeight w:val="270"/>
        </w:trPr>
        <w:tc>
          <w:tcPr>
            <w:tcW w:w="641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other provisions</w:t>
            </w:r>
          </w:p>
        </w:tc>
        <w:tc>
          <w:tcPr>
            <w:tcW w:w="109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1,345</w:t>
            </w:r>
          </w:p>
        </w:tc>
      </w:tr>
    </w:tbl>
    <w:p w:rsidR="007E1E1E" w:rsidRDefault="007E1E1E" w:rsidP="007E1E1E">
      <w:bookmarkStart w:id="160" w:name="RANGE!D7:F17"/>
      <w:bookmarkStart w:id="161" w:name="RANGE!D7:F16"/>
      <w:bookmarkEnd w:id="160"/>
      <w:bookmarkEnd w:id="161"/>
    </w:p>
    <w:p w:rsidR="007E1E1E" w:rsidRDefault="007E1E1E" w:rsidP="007E1E1E"/>
    <w:tbl>
      <w:tblPr>
        <w:tblW w:w="9087" w:type="dxa"/>
        <w:tblInd w:w="80" w:type="dxa"/>
        <w:tblLayout w:type="fixed"/>
        <w:tblLook w:val="04A0" w:firstRow="1" w:lastRow="0" w:firstColumn="1" w:lastColumn="0" w:noHBand="0" w:noVBand="1"/>
      </w:tblPr>
      <w:tblGrid>
        <w:gridCol w:w="5731"/>
        <w:gridCol w:w="1124"/>
        <w:gridCol w:w="1117"/>
        <w:gridCol w:w="1115"/>
      </w:tblGrid>
      <w:tr w:rsidR="007E1E1E" w:rsidTr="00B50E5D">
        <w:trPr>
          <w:trHeight w:val="720"/>
        </w:trPr>
        <w:tc>
          <w:tcPr>
            <w:tcW w:w="5672" w:type="dxa"/>
            <w:tcBorders>
              <w:top w:val="single" w:sz="4" w:space="0" w:color="auto"/>
              <w:left w:val="nil"/>
              <w:bottom w:val="nil"/>
              <w:right w:val="nil"/>
            </w:tcBorders>
            <w:shd w:val="clear" w:color="FFFFFF" w:fill="FFFFFF"/>
            <w:vAlign w:val="bottom"/>
            <w:hideMark/>
          </w:tcPr>
          <w:p w:rsidR="007E1E1E" w:rsidRDefault="007E1E1E" w:rsidP="00B50E5D">
            <w:pPr>
              <w:rPr>
                <w:rFonts w:ascii="Arial" w:hAnsi="Arial" w:cs="Arial"/>
                <w:szCs w:val="18"/>
              </w:rPr>
            </w:pPr>
            <w:bookmarkStart w:id="162" w:name="Note_ROPTABLE1" w:colFirst="0" w:colLast="0"/>
            <w:r>
              <w:rPr>
                <w:rFonts w:ascii="Arial" w:hAnsi="Arial" w:cs="Arial"/>
                <w:szCs w:val="18"/>
              </w:rPr>
              <w:t> </w:t>
            </w:r>
          </w:p>
        </w:tc>
        <w:tc>
          <w:tcPr>
            <w:tcW w:w="1113" w:type="dxa"/>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Provision for legal obligations</w:t>
            </w:r>
          </w:p>
        </w:tc>
        <w:tc>
          <w:tcPr>
            <w:tcW w:w="1106" w:type="dxa"/>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Provision for restoration obligations</w:t>
            </w:r>
          </w:p>
        </w:tc>
        <w:tc>
          <w:tcPr>
            <w:tcW w:w="1104" w:type="dxa"/>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Total</w:t>
            </w:r>
          </w:p>
        </w:tc>
      </w:tr>
      <w:bookmarkEnd w:id="162"/>
      <w:tr w:rsidR="007E1E1E" w:rsidTr="00B50E5D">
        <w:trPr>
          <w:trHeight w:val="255"/>
        </w:trPr>
        <w:tc>
          <w:tcPr>
            <w:tcW w:w="5672" w:type="dxa"/>
            <w:tcBorders>
              <w:top w:val="nil"/>
              <w:left w:val="nil"/>
              <w:bottom w:val="single" w:sz="4" w:space="0" w:color="auto"/>
              <w:right w:val="nil"/>
            </w:tcBorders>
            <w:shd w:val="clear" w:color="FFFFFF" w:fill="FFFFFF"/>
            <w:vAlign w:val="bottom"/>
            <w:hideMark/>
          </w:tcPr>
          <w:p w:rsidR="007E1E1E" w:rsidRDefault="007E1E1E" w:rsidP="00B50E5D">
            <w:pPr>
              <w:rPr>
                <w:rFonts w:ascii="Arial" w:hAnsi="Arial" w:cs="Arial"/>
                <w:szCs w:val="18"/>
              </w:rPr>
            </w:pPr>
            <w:r>
              <w:rPr>
                <w:rFonts w:ascii="Arial" w:hAnsi="Arial" w:cs="Arial"/>
                <w:szCs w:val="18"/>
              </w:rPr>
              <w:t> </w:t>
            </w:r>
          </w:p>
        </w:tc>
        <w:tc>
          <w:tcPr>
            <w:tcW w:w="1113"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10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104"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5672"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As at 19 September 2013</w:t>
            </w:r>
          </w:p>
        </w:tc>
        <w:tc>
          <w:tcPr>
            <w:tcW w:w="1113"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10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104"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5672"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Opening balance from restructuring</w:t>
            </w:r>
          </w:p>
        </w:tc>
        <w:tc>
          <w:tcPr>
            <w:tcW w:w="1113"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1,363 </w:t>
            </w:r>
          </w:p>
        </w:tc>
        <w:tc>
          <w:tcPr>
            <w:tcW w:w="110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499 </w:t>
            </w:r>
          </w:p>
        </w:tc>
        <w:tc>
          <w:tcPr>
            <w:tcW w:w="1104"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1,862</w:t>
            </w:r>
          </w:p>
        </w:tc>
      </w:tr>
      <w:tr w:rsidR="007E1E1E" w:rsidTr="00B50E5D">
        <w:trPr>
          <w:trHeight w:val="255"/>
        </w:trPr>
        <w:tc>
          <w:tcPr>
            <w:tcW w:w="5672"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Additional provisions made</w:t>
            </w:r>
          </w:p>
        </w:tc>
        <w:tc>
          <w:tcPr>
            <w:tcW w:w="1113"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400 </w:t>
            </w:r>
          </w:p>
        </w:tc>
        <w:tc>
          <w:tcPr>
            <w:tcW w:w="110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146 </w:t>
            </w:r>
          </w:p>
        </w:tc>
        <w:tc>
          <w:tcPr>
            <w:tcW w:w="1104"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546</w:t>
            </w:r>
          </w:p>
        </w:tc>
      </w:tr>
      <w:tr w:rsidR="007E1E1E" w:rsidTr="00B50E5D">
        <w:trPr>
          <w:trHeight w:val="255"/>
        </w:trPr>
        <w:tc>
          <w:tcPr>
            <w:tcW w:w="5672"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Amounts reversed</w:t>
            </w:r>
          </w:p>
        </w:tc>
        <w:tc>
          <w:tcPr>
            <w:tcW w:w="1113"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(1,063)</w:t>
            </w:r>
          </w:p>
        </w:tc>
        <w:tc>
          <w:tcPr>
            <w:tcW w:w="110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104"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(1,063)</w:t>
            </w:r>
          </w:p>
        </w:tc>
      </w:tr>
      <w:tr w:rsidR="007E1E1E" w:rsidTr="00B50E5D">
        <w:trPr>
          <w:trHeight w:val="255"/>
        </w:trPr>
        <w:tc>
          <w:tcPr>
            <w:tcW w:w="5672"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Amounts used</w:t>
            </w:r>
          </w:p>
        </w:tc>
        <w:tc>
          <w:tcPr>
            <w:tcW w:w="1113"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10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104"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5672"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Unwinding of discount or change in discount rate</w:t>
            </w:r>
          </w:p>
        </w:tc>
        <w:tc>
          <w:tcPr>
            <w:tcW w:w="1113"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10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104"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5672"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Adjustments to asset revaluation reserve</w:t>
            </w:r>
          </w:p>
        </w:tc>
        <w:tc>
          <w:tcPr>
            <w:tcW w:w="1113"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10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104"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5672" w:type="dxa"/>
            <w:tcBorders>
              <w:top w:val="single" w:sz="4" w:space="0" w:color="auto"/>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Total as at 30 June 2014</w:t>
            </w:r>
          </w:p>
        </w:tc>
        <w:tc>
          <w:tcPr>
            <w:tcW w:w="1113"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700</w:t>
            </w:r>
          </w:p>
        </w:tc>
        <w:tc>
          <w:tcPr>
            <w:tcW w:w="110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645</w:t>
            </w:r>
          </w:p>
        </w:tc>
        <w:tc>
          <w:tcPr>
            <w:tcW w:w="1104"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1,345</w:t>
            </w:r>
          </w:p>
        </w:tc>
      </w:tr>
    </w:tbl>
    <w:p w:rsidR="007E1E1E" w:rsidRDefault="007E1E1E" w:rsidP="007E1E1E">
      <w:bookmarkStart w:id="163" w:name="RANGE!D7:F15"/>
      <w:bookmarkStart w:id="164" w:name="RANGE!D8:F16"/>
      <w:bookmarkEnd w:id="163"/>
      <w:bookmarkEnd w:id="164"/>
    </w:p>
    <w:p w:rsidR="007E1E1E" w:rsidRDefault="007E1E1E" w:rsidP="007E1E1E">
      <w:bookmarkStart w:id="165" w:name="RANGE!D18:G26"/>
      <w:bookmarkStart w:id="166" w:name="RANGE!D18:G27"/>
      <w:bookmarkStart w:id="167" w:name="RANGE!D18:G25"/>
      <w:bookmarkEnd w:id="165"/>
      <w:bookmarkEnd w:id="166"/>
      <w:bookmarkEnd w:id="167"/>
    </w:p>
    <w:p w:rsidR="007E1E1E" w:rsidRDefault="007E1E1E" w:rsidP="007E1E1E">
      <w:pPr>
        <w:pStyle w:val="AdminBlankGreyShade"/>
      </w:pPr>
      <w:r>
        <w:t>The department currently has four agreements for the leasing of premises which have restoration provisions requiring the department to restore the premises to their original condition at the conclusion of the lease. The department has made a provision to reflect the present value of this obligation.</w:t>
      </w:r>
    </w:p>
    <w:p w:rsidR="007E1E1E" w:rsidRDefault="007E1E1E" w:rsidP="007E1E1E">
      <w:pPr>
        <w:pStyle w:val="AdminBlankGreyShade"/>
        <w:rPr>
          <w:rFonts w:cs="Arial"/>
        </w:rPr>
        <w:sectPr w:rsidR="007E1E1E">
          <w:pgSz w:w="11906" w:h="16838"/>
          <w:pgMar w:top="1134" w:right="1134" w:bottom="1134" w:left="1134" w:header="958" w:footer="737" w:gutter="0"/>
          <w:cols w:space="720"/>
        </w:sectPr>
      </w:pPr>
    </w:p>
    <w:p w:rsidR="007E1E1E" w:rsidRDefault="007E1E1E" w:rsidP="007E1E1E">
      <w:pPr>
        <w:pStyle w:val="NotesHeading-Level1"/>
        <w:rPr>
          <w:rFonts w:cstheme="minorHAnsi"/>
        </w:rPr>
      </w:pPr>
      <w:bookmarkStart w:id="168" w:name="_Toc400713253"/>
      <w:r>
        <w:rPr>
          <w:rFonts w:cstheme="minorHAnsi"/>
        </w:rPr>
        <w:lastRenderedPageBreak/>
        <w:t>Restructuring</w:t>
      </w:r>
      <w:bookmarkEnd w:id="168"/>
    </w:p>
    <w:tbl>
      <w:tblPr>
        <w:tblW w:w="13991" w:type="dxa"/>
        <w:tblInd w:w="80" w:type="dxa"/>
        <w:tblLayout w:type="fixed"/>
        <w:tblLook w:val="04A0" w:firstRow="1" w:lastRow="0" w:firstColumn="1" w:lastColumn="0" w:noHBand="0" w:noVBand="1"/>
      </w:tblPr>
      <w:tblGrid>
        <w:gridCol w:w="3423"/>
        <w:gridCol w:w="311"/>
        <w:gridCol w:w="2303"/>
        <w:gridCol w:w="1907"/>
        <w:gridCol w:w="1907"/>
        <w:gridCol w:w="1907"/>
        <w:gridCol w:w="2233"/>
      </w:tblGrid>
      <w:tr w:rsidR="007E1E1E" w:rsidTr="00B50E5D">
        <w:trPr>
          <w:trHeight w:val="255"/>
        </w:trPr>
        <w:tc>
          <w:tcPr>
            <w:tcW w:w="12003" w:type="dxa"/>
            <w:gridSpan w:val="7"/>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169" w:name="Note_RESTABLE1" w:colFirst="0" w:colLast="0"/>
            <w:r>
              <w:rPr>
                <w:rFonts w:cs="Calibri"/>
                <w:b/>
                <w:bCs/>
                <w:szCs w:val="18"/>
                <w:u w:val="single"/>
              </w:rPr>
              <w:t xml:space="preserve">Note </w:t>
            </w:r>
            <w:proofErr w:type="spellStart"/>
            <w:r>
              <w:rPr>
                <w:rFonts w:cs="Calibri"/>
                <w:b/>
                <w:bCs/>
                <w:szCs w:val="18"/>
                <w:u w:val="single"/>
              </w:rPr>
              <w:t>10A</w:t>
            </w:r>
            <w:proofErr w:type="spellEnd"/>
            <w:r>
              <w:rPr>
                <w:rFonts w:cs="Calibri"/>
                <w:b/>
                <w:bCs/>
                <w:szCs w:val="18"/>
                <w:u w:val="single"/>
              </w:rPr>
              <w:t>: Departmental restructuring</w:t>
            </w:r>
          </w:p>
        </w:tc>
      </w:tr>
      <w:bookmarkEnd w:id="169"/>
      <w:tr w:rsidR="007E1E1E" w:rsidTr="00B50E5D">
        <w:trPr>
          <w:trHeight w:val="255"/>
        </w:trPr>
        <w:tc>
          <w:tcPr>
            <w:tcW w:w="29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267"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97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6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6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6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91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255"/>
        </w:trPr>
        <w:tc>
          <w:tcPr>
            <w:tcW w:w="293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267"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3612" w:type="dxa"/>
            <w:gridSpan w:val="2"/>
            <w:tcBorders>
              <w:top w:val="single" w:sz="4" w:space="0" w:color="auto"/>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2014</w:t>
            </w:r>
          </w:p>
        </w:tc>
        <w:tc>
          <w:tcPr>
            <w:tcW w:w="1636" w:type="dxa"/>
            <w:tcBorders>
              <w:top w:val="single" w:sz="4" w:space="0" w:color="auto"/>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636" w:type="dxa"/>
            <w:tcBorders>
              <w:top w:val="single" w:sz="4" w:space="0" w:color="auto"/>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916" w:type="dxa"/>
            <w:tcBorders>
              <w:top w:val="single" w:sz="4" w:space="0" w:color="auto"/>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r>
      <w:tr w:rsidR="007E1E1E" w:rsidTr="00B50E5D">
        <w:trPr>
          <w:trHeight w:val="1200"/>
        </w:trPr>
        <w:tc>
          <w:tcPr>
            <w:tcW w:w="2936" w:type="dxa"/>
            <w:tcBorders>
              <w:top w:val="nil"/>
              <w:left w:val="nil"/>
              <w:bottom w:val="nil"/>
              <w:right w:val="nil"/>
            </w:tcBorders>
            <w:shd w:val="clear" w:color="FFFFFF" w:fill="FFFFFF"/>
            <w:noWrap/>
            <w:hideMark/>
          </w:tcPr>
          <w:p w:rsidR="007E1E1E" w:rsidRDefault="007E1E1E" w:rsidP="00B50E5D">
            <w:pPr>
              <w:rPr>
                <w:rFonts w:ascii="Arial" w:hAnsi="Arial" w:cs="Arial"/>
                <w:b/>
                <w:bCs/>
                <w:szCs w:val="18"/>
              </w:rPr>
            </w:pPr>
            <w:r>
              <w:rPr>
                <w:rFonts w:ascii="Arial" w:hAnsi="Arial" w:cs="Arial"/>
                <w:b/>
                <w:bCs/>
                <w:szCs w:val="18"/>
              </w:rPr>
              <w:t>Function</w:t>
            </w:r>
          </w:p>
        </w:tc>
        <w:tc>
          <w:tcPr>
            <w:tcW w:w="267"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976" w:type="dxa"/>
            <w:tcBorders>
              <w:top w:val="nil"/>
              <w:left w:val="nil"/>
              <w:bottom w:val="nil"/>
              <w:right w:val="nil"/>
            </w:tcBorders>
            <w:shd w:val="clear" w:color="FFFFFF" w:fill="FFFFFF"/>
            <w:hideMark/>
          </w:tcPr>
          <w:p w:rsidR="007E1E1E" w:rsidRDefault="007E1E1E" w:rsidP="00B50E5D">
            <w:pPr>
              <w:rPr>
                <w:rFonts w:cs="Calibri"/>
                <w:b/>
                <w:bCs/>
                <w:szCs w:val="18"/>
              </w:rPr>
            </w:pPr>
            <w:r>
              <w:rPr>
                <w:rFonts w:cs="Calibri"/>
                <w:b/>
                <w:bCs/>
                <w:szCs w:val="18"/>
              </w:rPr>
              <w:t>Education including: Early Childhood Education and Care and Schools and Youth</w:t>
            </w:r>
          </w:p>
        </w:tc>
        <w:tc>
          <w:tcPr>
            <w:tcW w:w="1636" w:type="dxa"/>
            <w:tcBorders>
              <w:top w:val="nil"/>
              <w:left w:val="nil"/>
              <w:bottom w:val="nil"/>
              <w:right w:val="nil"/>
            </w:tcBorders>
            <w:shd w:val="clear" w:color="FFFFFF" w:fill="FFFFFF"/>
            <w:hideMark/>
          </w:tcPr>
          <w:p w:rsidR="007E1E1E" w:rsidRDefault="007E1E1E" w:rsidP="00B50E5D">
            <w:pPr>
              <w:rPr>
                <w:rFonts w:cs="Calibri"/>
                <w:b/>
                <w:bCs/>
                <w:szCs w:val="18"/>
              </w:rPr>
            </w:pPr>
            <w:r>
              <w:rPr>
                <w:rFonts w:cs="Calibri"/>
                <w:b/>
                <w:bCs/>
                <w:szCs w:val="18"/>
              </w:rPr>
              <w:t>Education including: State Network and Corporate Functions</w:t>
            </w:r>
          </w:p>
        </w:tc>
        <w:tc>
          <w:tcPr>
            <w:tcW w:w="1636" w:type="dxa"/>
            <w:tcBorders>
              <w:top w:val="nil"/>
              <w:left w:val="nil"/>
              <w:bottom w:val="nil"/>
              <w:right w:val="nil"/>
            </w:tcBorders>
            <w:shd w:val="clear" w:color="FFFFFF" w:fill="FFFFFF"/>
            <w:hideMark/>
          </w:tcPr>
          <w:p w:rsidR="007E1E1E" w:rsidRDefault="007E1E1E" w:rsidP="00B50E5D">
            <w:pPr>
              <w:rPr>
                <w:rFonts w:cs="Calibri"/>
                <w:b/>
                <w:bCs/>
                <w:szCs w:val="18"/>
              </w:rPr>
            </w:pPr>
            <w:r>
              <w:rPr>
                <w:rFonts w:cs="Calibri"/>
                <w:b/>
                <w:bCs/>
                <w:szCs w:val="18"/>
              </w:rPr>
              <w:t>Education including: Higher Education, Research and International</w:t>
            </w:r>
          </w:p>
        </w:tc>
        <w:tc>
          <w:tcPr>
            <w:tcW w:w="1636" w:type="dxa"/>
            <w:tcBorders>
              <w:top w:val="nil"/>
              <w:left w:val="nil"/>
              <w:bottom w:val="nil"/>
              <w:right w:val="nil"/>
            </w:tcBorders>
            <w:shd w:val="clear" w:color="FFFFFF" w:fill="FFFFFF"/>
            <w:hideMark/>
          </w:tcPr>
          <w:p w:rsidR="007E1E1E" w:rsidRDefault="007E1E1E" w:rsidP="00B50E5D">
            <w:pPr>
              <w:rPr>
                <w:rFonts w:cs="Calibri"/>
                <w:b/>
                <w:bCs/>
                <w:szCs w:val="18"/>
              </w:rPr>
            </w:pPr>
            <w:r>
              <w:rPr>
                <w:rFonts w:cs="Calibri"/>
                <w:b/>
                <w:bCs/>
                <w:szCs w:val="18"/>
              </w:rPr>
              <w:t>Education including: Indigenous education</w:t>
            </w:r>
          </w:p>
        </w:tc>
        <w:tc>
          <w:tcPr>
            <w:tcW w:w="1916" w:type="dxa"/>
            <w:tcBorders>
              <w:top w:val="nil"/>
              <w:left w:val="nil"/>
              <w:bottom w:val="nil"/>
              <w:right w:val="nil"/>
            </w:tcBorders>
            <w:shd w:val="clear" w:color="FFFFFF" w:fill="FFFFFF"/>
            <w:hideMark/>
          </w:tcPr>
          <w:p w:rsidR="007E1E1E" w:rsidRDefault="007E1E1E" w:rsidP="00B50E5D">
            <w:pPr>
              <w:rPr>
                <w:rFonts w:cs="Calibri"/>
                <w:b/>
                <w:bCs/>
                <w:szCs w:val="18"/>
              </w:rPr>
            </w:pPr>
            <w:r>
              <w:rPr>
                <w:rFonts w:cs="Calibri"/>
                <w:b/>
                <w:bCs/>
                <w:szCs w:val="18"/>
              </w:rPr>
              <w:t>Corporate functions supporting Working Age Payments and Disability Employment Services</w:t>
            </w:r>
          </w:p>
        </w:tc>
      </w:tr>
      <w:tr w:rsidR="007E1E1E" w:rsidTr="00B50E5D">
        <w:trPr>
          <w:trHeight w:val="1005"/>
        </w:trPr>
        <w:tc>
          <w:tcPr>
            <w:tcW w:w="2936" w:type="dxa"/>
            <w:tcBorders>
              <w:top w:val="nil"/>
              <w:left w:val="nil"/>
              <w:bottom w:val="nil"/>
              <w:right w:val="nil"/>
            </w:tcBorders>
            <w:shd w:val="clear" w:color="FFFFFF" w:fill="FFFFFF"/>
            <w:noWrap/>
            <w:hideMark/>
          </w:tcPr>
          <w:p w:rsidR="007E1E1E" w:rsidRDefault="007E1E1E" w:rsidP="00B50E5D">
            <w:pPr>
              <w:rPr>
                <w:rFonts w:ascii="Arial" w:hAnsi="Arial" w:cs="Arial"/>
                <w:b/>
                <w:bCs/>
                <w:szCs w:val="18"/>
              </w:rPr>
            </w:pPr>
            <w:r>
              <w:rPr>
                <w:rFonts w:ascii="Arial" w:hAnsi="Arial" w:cs="Arial"/>
                <w:b/>
                <w:bCs/>
                <w:szCs w:val="18"/>
              </w:rPr>
              <w:t>Entity</w:t>
            </w:r>
          </w:p>
        </w:tc>
        <w:tc>
          <w:tcPr>
            <w:tcW w:w="267"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976" w:type="dxa"/>
            <w:tcBorders>
              <w:top w:val="nil"/>
              <w:left w:val="nil"/>
              <w:bottom w:val="nil"/>
              <w:right w:val="nil"/>
            </w:tcBorders>
            <w:shd w:val="clear" w:color="FFFFFF" w:fill="FFFFFF"/>
            <w:hideMark/>
          </w:tcPr>
          <w:p w:rsidR="007E1E1E" w:rsidRDefault="007E1E1E" w:rsidP="00B50E5D">
            <w:pPr>
              <w:rPr>
                <w:rFonts w:cs="Calibri"/>
                <w:b/>
                <w:bCs/>
                <w:szCs w:val="18"/>
              </w:rPr>
            </w:pPr>
            <w:r>
              <w:rPr>
                <w:rFonts w:cs="Calibri"/>
                <w:b/>
                <w:bCs/>
                <w:szCs w:val="18"/>
              </w:rPr>
              <w:t xml:space="preserve">Department of Education, Employment and Workplace </w:t>
            </w:r>
            <w:proofErr w:type="spellStart"/>
            <w:r>
              <w:rPr>
                <w:rFonts w:cs="Calibri"/>
                <w:b/>
                <w:bCs/>
                <w:szCs w:val="18"/>
              </w:rPr>
              <w:t>Relations</w:t>
            </w:r>
            <w:r>
              <w:rPr>
                <w:rFonts w:cs="Calibri"/>
                <w:b/>
                <w:bCs/>
                <w:szCs w:val="18"/>
                <w:vertAlign w:val="superscript"/>
              </w:rPr>
              <w:t>1</w:t>
            </w:r>
            <w:proofErr w:type="spellEnd"/>
          </w:p>
        </w:tc>
        <w:tc>
          <w:tcPr>
            <w:tcW w:w="1636" w:type="dxa"/>
            <w:tcBorders>
              <w:top w:val="nil"/>
              <w:left w:val="nil"/>
              <w:bottom w:val="nil"/>
              <w:right w:val="nil"/>
            </w:tcBorders>
            <w:shd w:val="clear" w:color="FFFFFF" w:fill="FFFFFF"/>
            <w:hideMark/>
          </w:tcPr>
          <w:p w:rsidR="007E1E1E" w:rsidRDefault="007E1E1E" w:rsidP="00B50E5D">
            <w:pPr>
              <w:rPr>
                <w:rFonts w:cs="Calibri"/>
                <w:b/>
                <w:bCs/>
                <w:szCs w:val="18"/>
              </w:rPr>
            </w:pPr>
            <w:r>
              <w:rPr>
                <w:rFonts w:cs="Calibri"/>
                <w:b/>
                <w:bCs/>
                <w:szCs w:val="18"/>
              </w:rPr>
              <w:t xml:space="preserve">Department of </w:t>
            </w:r>
            <w:proofErr w:type="spellStart"/>
            <w:r>
              <w:rPr>
                <w:rFonts w:cs="Calibri"/>
                <w:b/>
                <w:bCs/>
                <w:szCs w:val="18"/>
              </w:rPr>
              <w:t>Employment</w:t>
            </w:r>
            <w:r>
              <w:rPr>
                <w:rFonts w:cs="Calibri"/>
                <w:b/>
                <w:bCs/>
                <w:szCs w:val="18"/>
                <w:vertAlign w:val="superscript"/>
              </w:rPr>
              <w:t>2</w:t>
            </w:r>
            <w:proofErr w:type="spellEnd"/>
          </w:p>
        </w:tc>
        <w:tc>
          <w:tcPr>
            <w:tcW w:w="1636" w:type="dxa"/>
            <w:tcBorders>
              <w:top w:val="nil"/>
              <w:left w:val="nil"/>
              <w:bottom w:val="nil"/>
              <w:right w:val="nil"/>
            </w:tcBorders>
            <w:shd w:val="clear" w:color="FFFFFF" w:fill="FFFFFF"/>
            <w:hideMark/>
          </w:tcPr>
          <w:p w:rsidR="007E1E1E" w:rsidRDefault="007E1E1E" w:rsidP="00B50E5D">
            <w:pPr>
              <w:rPr>
                <w:rFonts w:cs="Calibri"/>
                <w:b/>
                <w:bCs/>
                <w:szCs w:val="18"/>
              </w:rPr>
            </w:pPr>
            <w:r>
              <w:rPr>
                <w:rFonts w:cs="Calibri"/>
                <w:b/>
                <w:bCs/>
                <w:szCs w:val="18"/>
              </w:rPr>
              <w:t xml:space="preserve">Department of </w:t>
            </w:r>
            <w:proofErr w:type="spellStart"/>
            <w:r>
              <w:rPr>
                <w:rFonts w:cs="Calibri"/>
                <w:b/>
                <w:bCs/>
                <w:szCs w:val="18"/>
              </w:rPr>
              <w:t>Industry</w:t>
            </w:r>
            <w:r>
              <w:rPr>
                <w:rFonts w:cs="Calibri"/>
                <w:b/>
                <w:bCs/>
                <w:szCs w:val="18"/>
                <w:vertAlign w:val="superscript"/>
              </w:rPr>
              <w:t>3</w:t>
            </w:r>
            <w:proofErr w:type="spellEnd"/>
          </w:p>
        </w:tc>
        <w:tc>
          <w:tcPr>
            <w:tcW w:w="1636" w:type="dxa"/>
            <w:tcBorders>
              <w:top w:val="nil"/>
              <w:left w:val="nil"/>
              <w:bottom w:val="nil"/>
              <w:right w:val="nil"/>
            </w:tcBorders>
            <w:shd w:val="clear" w:color="FFFFFF" w:fill="FFFFFF"/>
            <w:hideMark/>
          </w:tcPr>
          <w:p w:rsidR="007E1E1E" w:rsidRDefault="007E1E1E" w:rsidP="00B50E5D">
            <w:pPr>
              <w:rPr>
                <w:rFonts w:cs="Calibri"/>
                <w:b/>
                <w:bCs/>
                <w:szCs w:val="18"/>
              </w:rPr>
            </w:pPr>
            <w:r>
              <w:rPr>
                <w:rFonts w:cs="Calibri"/>
                <w:b/>
                <w:bCs/>
                <w:szCs w:val="18"/>
              </w:rPr>
              <w:t xml:space="preserve">Department of the Prime Minister and </w:t>
            </w:r>
            <w:proofErr w:type="spellStart"/>
            <w:r>
              <w:rPr>
                <w:rFonts w:cs="Calibri"/>
                <w:b/>
                <w:bCs/>
                <w:szCs w:val="18"/>
              </w:rPr>
              <w:t>Cabinet</w:t>
            </w:r>
            <w:r>
              <w:rPr>
                <w:rFonts w:cs="Calibri"/>
                <w:szCs w:val="18"/>
                <w:vertAlign w:val="superscript"/>
              </w:rPr>
              <w:t>4</w:t>
            </w:r>
            <w:proofErr w:type="spellEnd"/>
          </w:p>
        </w:tc>
        <w:tc>
          <w:tcPr>
            <w:tcW w:w="1916" w:type="dxa"/>
            <w:tcBorders>
              <w:top w:val="nil"/>
              <w:left w:val="nil"/>
              <w:bottom w:val="nil"/>
              <w:right w:val="nil"/>
            </w:tcBorders>
            <w:shd w:val="clear" w:color="FFFFFF" w:fill="FFFFFF"/>
            <w:hideMark/>
          </w:tcPr>
          <w:p w:rsidR="007E1E1E" w:rsidRDefault="007E1E1E" w:rsidP="00B50E5D">
            <w:pPr>
              <w:rPr>
                <w:rFonts w:cs="Calibri"/>
                <w:b/>
                <w:bCs/>
                <w:szCs w:val="18"/>
              </w:rPr>
            </w:pPr>
            <w:r>
              <w:rPr>
                <w:rFonts w:cs="Calibri"/>
                <w:b/>
                <w:bCs/>
                <w:szCs w:val="18"/>
              </w:rPr>
              <w:t xml:space="preserve">Department of Social </w:t>
            </w:r>
            <w:proofErr w:type="spellStart"/>
            <w:r>
              <w:rPr>
                <w:rFonts w:cs="Calibri"/>
                <w:b/>
                <w:bCs/>
                <w:szCs w:val="18"/>
              </w:rPr>
              <w:t>Services</w:t>
            </w:r>
            <w:r>
              <w:rPr>
                <w:rFonts w:cs="Calibri"/>
                <w:b/>
                <w:bCs/>
                <w:szCs w:val="18"/>
                <w:vertAlign w:val="superscript"/>
              </w:rPr>
              <w:t>5</w:t>
            </w:r>
            <w:proofErr w:type="spellEnd"/>
          </w:p>
        </w:tc>
      </w:tr>
      <w:tr w:rsidR="007E1E1E" w:rsidTr="00B50E5D">
        <w:trPr>
          <w:trHeight w:val="255"/>
        </w:trPr>
        <w:tc>
          <w:tcPr>
            <w:tcW w:w="2936" w:type="dxa"/>
            <w:tcBorders>
              <w:top w:val="nil"/>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267" w:type="dxa"/>
            <w:tcBorders>
              <w:top w:val="nil"/>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97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63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63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63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91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293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FUNCTION ASSUMED</w:t>
            </w:r>
          </w:p>
        </w:tc>
        <w:tc>
          <w:tcPr>
            <w:tcW w:w="267"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97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63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63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63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91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r>
      <w:tr w:rsidR="007E1E1E" w:rsidTr="00B50E5D">
        <w:trPr>
          <w:trHeight w:val="255"/>
        </w:trPr>
        <w:tc>
          <w:tcPr>
            <w:tcW w:w="293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Assets recognised</w:t>
            </w:r>
          </w:p>
        </w:tc>
        <w:tc>
          <w:tcPr>
            <w:tcW w:w="267"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97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w:t>
            </w:r>
          </w:p>
        </w:tc>
        <w:tc>
          <w:tcPr>
            <w:tcW w:w="163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w:t>
            </w:r>
          </w:p>
        </w:tc>
        <w:tc>
          <w:tcPr>
            <w:tcW w:w="163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w:t>
            </w:r>
          </w:p>
        </w:tc>
        <w:tc>
          <w:tcPr>
            <w:tcW w:w="163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w:t>
            </w:r>
          </w:p>
        </w:tc>
        <w:tc>
          <w:tcPr>
            <w:tcW w:w="191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w:t>
            </w:r>
          </w:p>
        </w:tc>
      </w:tr>
      <w:tr w:rsidR="007E1E1E" w:rsidTr="00B50E5D">
        <w:trPr>
          <w:trHeight w:val="255"/>
        </w:trPr>
        <w:tc>
          <w:tcPr>
            <w:tcW w:w="293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Cash and cash equivalents</w:t>
            </w:r>
          </w:p>
        </w:tc>
        <w:tc>
          <w:tcPr>
            <w:tcW w:w="267"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w:t>
            </w:r>
          </w:p>
        </w:tc>
        <w:tc>
          <w:tcPr>
            <w:tcW w:w="197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2,618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91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293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Trade and other receivables</w:t>
            </w:r>
          </w:p>
        </w:tc>
        <w:tc>
          <w:tcPr>
            <w:tcW w:w="267"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w:t>
            </w:r>
          </w:p>
        </w:tc>
        <w:tc>
          <w:tcPr>
            <w:tcW w:w="197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19,789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2,066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91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293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Other financial assets</w:t>
            </w:r>
          </w:p>
        </w:tc>
        <w:tc>
          <w:tcPr>
            <w:tcW w:w="267"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w:t>
            </w:r>
          </w:p>
        </w:tc>
        <w:tc>
          <w:tcPr>
            <w:tcW w:w="197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2,395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91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293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Land and buildings</w:t>
            </w:r>
          </w:p>
        </w:tc>
        <w:tc>
          <w:tcPr>
            <w:tcW w:w="267"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w:t>
            </w:r>
          </w:p>
        </w:tc>
        <w:tc>
          <w:tcPr>
            <w:tcW w:w="197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57,229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487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91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293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Property, plant and equipment</w:t>
            </w:r>
          </w:p>
        </w:tc>
        <w:tc>
          <w:tcPr>
            <w:tcW w:w="267"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w:t>
            </w:r>
          </w:p>
        </w:tc>
        <w:tc>
          <w:tcPr>
            <w:tcW w:w="197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11,310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218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91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293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Intangibles</w:t>
            </w:r>
          </w:p>
        </w:tc>
        <w:tc>
          <w:tcPr>
            <w:tcW w:w="267"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w:t>
            </w:r>
          </w:p>
        </w:tc>
        <w:tc>
          <w:tcPr>
            <w:tcW w:w="197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43,407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14,510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91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293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Other non-financial assets</w:t>
            </w:r>
          </w:p>
        </w:tc>
        <w:tc>
          <w:tcPr>
            <w:tcW w:w="267"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w:t>
            </w:r>
          </w:p>
        </w:tc>
        <w:tc>
          <w:tcPr>
            <w:tcW w:w="197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8,145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554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91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2936" w:type="dxa"/>
            <w:tcBorders>
              <w:top w:val="single" w:sz="4" w:space="0" w:color="auto"/>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Total assets recognised</w:t>
            </w:r>
          </w:p>
        </w:tc>
        <w:tc>
          <w:tcPr>
            <w:tcW w:w="267" w:type="dxa"/>
            <w:tcBorders>
              <w:top w:val="single" w:sz="4" w:space="0" w:color="auto"/>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97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144,893</w:t>
            </w:r>
          </w:p>
        </w:tc>
        <w:tc>
          <w:tcPr>
            <w:tcW w:w="163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63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17,835</w:t>
            </w:r>
          </w:p>
        </w:tc>
        <w:tc>
          <w:tcPr>
            <w:tcW w:w="163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91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293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267"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97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63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63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63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91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r>
      <w:tr w:rsidR="007E1E1E" w:rsidTr="00B50E5D">
        <w:trPr>
          <w:trHeight w:val="255"/>
        </w:trPr>
        <w:tc>
          <w:tcPr>
            <w:tcW w:w="293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Liabilities recognised</w:t>
            </w:r>
          </w:p>
        </w:tc>
        <w:tc>
          <w:tcPr>
            <w:tcW w:w="267"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97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63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63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63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91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r>
      <w:tr w:rsidR="007E1E1E" w:rsidTr="00B50E5D">
        <w:trPr>
          <w:trHeight w:val="255"/>
        </w:trPr>
        <w:tc>
          <w:tcPr>
            <w:tcW w:w="293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Suppliers</w:t>
            </w:r>
          </w:p>
        </w:tc>
        <w:tc>
          <w:tcPr>
            <w:tcW w:w="267"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w:t>
            </w:r>
          </w:p>
        </w:tc>
        <w:tc>
          <w:tcPr>
            <w:tcW w:w="197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8,203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91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293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Other payables</w:t>
            </w:r>
          </w:p>
        </w:tc>
        <w:tc>
          <w:tcPr>
            <w:tcW w:w="267"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w:t>
            </w:r>
          </w:p>
        </w:tc>
        <w:tc>
          <w:tcPr>
            <w:tcW w:w="197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27,309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660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91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293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Employee provisions</w:t>
            </w:r>
          </w:p>
        </w:tc>
        <w:tc>
          <w:tcPr>
            <w:tcW w:w="267"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w:t>
            </w:r>
          </w:p>
        </w:tc>
        <w:tc>
          <w:tcPr>
            <w:tcW w:w="197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59,126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6,504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14,023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91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293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Other provisions</w:t>
            </w:r>
          </w:p>
        </w:tc>
        <w:tc>
          <w:tcPr>
            <w:tcW w:w="267"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w:t>
            </w:r>
          </w:p>
        </w:tc>
        <w:tc>
          <w:tcPr>
            <w:tcW w:w="197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1,864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91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2936" w:type="dxa"/>
            <w:tcBorders>
              <w:top w:val="single" w:sz="4" w:space="0" w:color="auto"/>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Total liabilities recognised</w:t>
            </w:r>
          </w:p>
        </w:tc>
        <w:tc>
          <w:tcPr>
            <w:tcW w:w="267" w:type="dxa"/>
            <w:tcBorders>
              <w:top w:val="single" w:sz="4" w:space="0" w:color="auto"/>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97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96,502</w:t>
            </w:r>
          </w:p>
        </w:tc>
        <w:tc>
          <w:tcPr>
            <w:tcW w:w="163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6,504</w:t>
            </w:r>
          </w:p>
        </w:tc>
        <w:tc>
          <w:tcPr>
            <w:tcW w:w="163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14,683</w:t>
            </w:r>
          </w:p>
        </w:tc>
        <w:tc>
          <w:tcPr>
            <w:tcW w:w="163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91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2936" w:type="dxa"/>
            <w:tcBorders>
              <w:top w:val="nil"/>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Net assets recognised</w:t>
            </w:r>
          </w:p>
        </w:tc>
        <w:tc>
          <w:tcPr>
            <w:tcW w:w="267" w:type="dxa"/>
            <w:tcBorders>
              <w:top w:val="nil"/>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976"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48,391</w:t>
            </w:r>
          </w:p>
        </w:tc>
        <w:tc>
          <w:tcPr>
            <w:tcW w:w="1636"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(6,504)</w:t>
            </w:r>
          </w:p>
        </w:tc>
        <w:tc>
          <w:tcPr>
            <w:tcW w:w="1636"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3,152</w:t>
            </w:r>
          </w:p>
        </w:tc>
        <w:tc>
          <w:tcPr>
            <w:tcW w:w="1636"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916"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29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267"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97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6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6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6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91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1200"/>
        </w:trPr>
        <w:tc>
          <w:tcPr>
            <w:tcW w:w="2936" w:type="dxa"/>
            <w:tcBorders>
              <w:top w:val="nil"/>
              <w:left w:val="nil"/>
              <w:bottom w:val="nil"/>
              <w:right w:val="nil"/>
            </w:tcBorders>
            <w:shd w:val="clear" w:color="FFFFFF" w:fill="FFFFFF"/>
            <w:noWrap/>
            <w:hideMark/>
          </w:tcPr>
          <w:p w:rsidR="007E1E1E" w:rsidRDefault="007E1E1E" w:rsidP="00B50E5D">
            <w:pPr>
              <w:rPr>
                <w:rFonts w:ascii="Arial" w:hAnsi="Arial" w:cs="Arial"/>
                <w:b/>
                <w:bCs/>
                <w:szCs w:val="18"/>
              </w:rPr>
            </w:pPr>
            <w:r>
              <w:rPr>
                <w:rFonts w:ascii="Arial" w:hAnsi="Arial" w:cs="Arial"/>
                <w:b/>
                <w:bCs/>
                <w:szCs w:val="18"/>
              </w:rPr>
              <w:lastRenderedPageBreak/>
              <w:t>Function</w:t>
            </w:r>
          </w:p>
        </w:tc>
        <w:tc>
          <w:tcPr>
            <w:tcW w:w="267"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976" w:type="dxa"/>
            <w:tcBorders>
              <w:top w:val="nil"/>
              <w:left w:val="nil"/>
              <w:bottom w:val="nil"/>
              <w:right w:val="nil"/>
            </w:tcBorders>
            <w:shd w:val="clear" w:color="FFFFFF" w:fill="FFFFFF"/>
            <w:hideMark/>
          </w:tcPr>
          <w:p w:rsidR="007E1E1E" w:rsidRDefault="007E1E1E" w:rsidP="00B50E5D">
            <w:pPr>
              <w:rPr>
                <w:rFonts w:cs="Calibri"/>
                <w:b/>
                <w:bCs/>
                <w:szCs w:val="18"/>
              </w:rPr>
            </w:pPr>
            <w:r>
              <w:rPr>
                <w:rFonts w:cs="Calibri"/>
                <w:b/>
                <w:bCs/>
                <w:szCs w:val="18"/>
              </w:rPr>
              <w:t>Education including: Early Childhood Education and Care and Schools and Youth</w:t>
            </w:r>
          </w:p>
        </w:tc>
        <w:tc>
          <w:tcPr>
            <w:tcW w:w="1636" w:type="dxa"/>
            <w:tcBorders>
              <w:top w:val="nil"/>
              <w:left w:val="nil"/>
              <w:bottom w:val="nil"/>
              <w:right w:val="nil"/>
            </w:tcBorders>
            <w:shd w:val="clear" w:color="FFFFFF" w:fill="FFFFFF"/>
            <w:hideMark/>
          </w:tcPr>
          <w:p w:rsidR="007E1E1E" w:rsidRDefault="007E1E1E" w:rsidP="00B50E5D">
            <w:pPr>
              <w:rPr>
                <w:rFonts w:cs="Calibri"/>
                <w:b/>
                <w:bCs/>
                <w:szCs w:val="18"/>
              </w:rPr>
            </w:pPr>
            <w:r>
              <w:rPr>
                <w:rFonts w:cs="Calibri"/>
                <w:b/>
                <w:bCs/>
                <w:szCs w:val="18"/>
              </w:rPr>
              <w:t>Education including: State Network and Corporate Functions</w:t>
            </w:r>
          </w:p>
        </w:tc>
        <w:tc>
          <w:tcPr>
            <w:tcW w:w="1636" w:type="dxa"/>
            <w:tcBorders>
              <w:top w:val="nil"/>
              <w:left w:val="nil"/>
              <w:bottom w:val="nil"/>
              <w:right w:val="nil"/>
            </w:tcBorders>
            <w:shd w:val="clear" w:color="FFFFFF" w:fill="FFFFFF"/>
            <w:hideMark/>
          </w:tcPr>
          <w:p w:rsidR="007E1E1E" w:rsidRDefault="007E1E1E" w:rsidP="00B50E5D">
            <w:pPr>
              <w:rPr>
                <w:rFonts w:cs="Calibri"/>
                <w:b/>
                <w:bCs/>
                <w:szCs w:val="18"/>
              </w:rPr>
            </w:pPr>
            <w:r>
              <w:rPr>
                <w:rFonts w:cs="Calibri"/>
                <w:b/>
                <w:bCs/>
                <w:szCs w:val="18"/>
              </w:rPr>
              <w:t>Education including: Higher Education, Research and International</w:t>
            </w:r>
          </w:p>
        </w:tc>
        <w:tc>
          <w:tcPr>
            <w:tcW w:w="1636" w:type="dxa"/>
            <w:tcBorders>
              <w:top w:val="nil"/>
              <w:left w:val="nil"/>
              <w:bottom w:val="nil"/>
              <w:right w:val="nil"/>
            </w:tcBorders>
            <w:shd w:val="clear" w:color="FFFFFF" w:fill="FFFFFF"/>
            <w:hideMark/>
          </w:tcPr>
          <w:p w:rsidR="007E1E1E" w:rsidRDefault="007E1E1E" w:rsidP="00B50E5D">
            <w:pPr>
              <w:rPr>
                <w:rFonts w:cs="Calibri"/>
                <w:b/>
                <w:bCs/>
                <w:szCs w:val="18"/>
              </w:rPr>
            </w:pPr>
            <w:r>
              <w:rPr>
                <w:rFonts w:cs="Calibri"/>
                <w:b/>
                <w:bCs/>
                <w:szCs w:val="18"/>
              </w:rPr>
              <w:t>Education including Indigenous education</w:t>
            </w:r>
          </w:p>
        </w:tc>
        <w:tc>
          <w:tcPr>
            <w:tcW w:w="1916" w:type="dxa"/>
            <w:tcBorders>
              <w:top w:val="nil"/>
              <w:left w:val="nil"/>
              <w:bottom w:val="nil"/>
              <w:right w:val="nil"/>
            </w:tcBorders>
            <w:shd w:val="clear" w:color="FFFFFF" w:fill="FFFFFF"/>
            <w:hideMark/>
          </w:tcPr>
          <w:p w:rsidR="007E1E1E" w:rsidRDefault="007E1E1E" w:rsidP="00B50E5D">
            <w:pPr>
              <w:rPr>
                <w:rFonts w:cs="Calibri"/>
                <w:b/>
                <w:bCs/>
                <w:szCs w:val="18"/>
              </w:rPr>
            </w:pPr>
            <w:r>
              <w:rPr>
                <w:rFonts w:cs="Calibri"/>
                <w:b/>
                <w:bCs/>
                <w:szCs w:val="18"/>
              </w:rPr>
              <w:t>Corporate functions supporting Working Age Payments and Disability Employment Services</w:t>
            </w:r>
          </w:p>
        </w:tc>
      </w:tr>
      <w:tr w:rsidR="007E1E1E" w:rsidTr="00B50E5D">
        <w:trPr>
          <w:trHeight w:val="1005"/>
        </w:trPr>
        <w:tc>
          <w:tcPr>
            <w:tcW w:w="2936" w:type="dxa"/>
            <w:tcBorders>
              <w:top w:val="nil"/>
              <w:left w:val="nil"/>
              <w:bottom w:val="nil"/>
              <w:right w:val="nil"/>
            </w:tcBorders>
            <w:shd w:val="clear" w:color="FFFFFF" w:fill="FFFFFF"/>
            <w:noWrap/>
            <w:hideMark/>
          </w:tcPr>
          <w:p w:rsidR="007E1E1E" w:rsidRDefault="007E1E1E" w:rsidP="00B50E5D">
            <w:pPr>
              <w:rPr>
                <w:rFonts w:ascii="Arial" w:hAnsi="Arial" w:cs="Arial"/>
                <w:b/>
                <w:bCs/>
                <w:szCs w:val="18"/>
              </w:rPr>
            </w:pPr>
            <w:r>
              <w:rPr>
                <w:rFonts w:ascii="Arial" w:hAnsi="Arial" w:cs="Arial"/>
                <w:b/>
                <w:bCs/>
                <w:szCs w:val="18"/>
              </w:rPr>
              <w:t>Entity</w:t>
            </w:r>
          </w:p>
        </w:tc>
        <w:tc>
          <w:tcPr>
            <w:tcW w:w="267"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976" w:type="dxa"/>
            <w:tcBorders>
              <w:top w:val="nil"/>
              <w:left w:val="nil"/>
              <w:bottom w:val="nil"/>
              <w:right w:val="nil"/>
            </w:tcBorders>
            <w:shd w:val="clear" w:color="FFFFFF" w:fill="FFFFFF"/>
            <w:hideMark/>
          </w:tcPr>
          <w:p w:rsidR="007E1E1E" w:rsidRDefault="007E1E1E" w:rsidP="00B50E5D">
            <w:pPr>
              <w:rPr>
                <w:rFonts w:cs="Calibri"/>
                <w:b/>
                <w:bCs/>
                <w:szCs w:val="18"/>
              </w:rPr>
            </w:pPr>
            <w:r>
              <w:rPr>
                <w:rFonts w:cs="Calibri"/>
                <w:b/>
                <w:bCs/>
                <w:szCs w:val="18"/>
              </w:rPr>
              <w:t xml:space="preserve">Department of Education, Employment and Workplace </w:t>
            </w:r>
            <w:proofErr w:type="spellStart"/>
            <w:r>
              <w:rPr>
                <w:rFonts w:cs="Calibri"/>
                <w:b/>
                <w:bCs/>
                <w:szCs w:val="18"/>
              </w:rPr>
              <w:t>Relations</w:t>
            </w:r>
            <w:r>
              <w:rPr>
                <w:rFonts w:cs="Calibri"/>
                <w:b/>
                <w:bCs/>
                <w:szCs w:val="18"/>
                <w:vertAlign w:val="superscript"/>
              </w:rPr>
              <w:t>1</w:t>
            </w:r>
            <w:proofErr w:type="spellEnd"/>
          </w:p>
        </w:tc>
        <w:tc>
          <w:tcPr>
            <w:tcW w:w="1636" w:type="dxa"/>
            <w:tcBorders>
              <w:top w:val="nil"/>
              <w:left w:val="nil"/>
              <w:bottom w:val="nil"/>
              <w:right w:val="nil"/>
            </w:tcBorders>
            <w:shd w:val="clear" w:color="FFFFFF" w:fill="FFFFFF"/>
            <w:hideMark/>
          </w:tcPr>
          <w:p w:rsidR="007E1E1E" w:rsidRDefault="007E1E1E" w:rsidP="00B50E5D">
            <w:pPr>
              <w:rPr>
                <w:rFonts w:cs="Calibri"/>
                <w:b/>
                <w:bCs/>
                <w:szCs w:val="18"/>
              </w:rPr>
            </w:pPr>
            <w:r>
              <w:rPr>
                <w:rFonts w:cs="Calibri"/>
                <w:b/>
                <w:bCs/>
                <w:szCs w:val="18"/>
              </w:rPr>
              <w:t xml:space="preserve">Department of </w:t>
            </w:r>
            <w:proofErr w:type="spellStart"/>
            <w:r>
              <w:rPr>
                <w:rFonts w:cs="Calibri"/>
                <w:b/>
                <w:bCs/>
                <w:szCs w:val="18"/>
              </w:rPr>
              <w:t>Employment</w:t>
            </w:r>
            <w:r>
              <w:rPr>
                <w:rFonts w:cs="Calibri"/>
                <w:b/>
                <w:bCs/>
                <w:szCs w:val="18"/>
                <w:vertAlign w:val="superscript"/>
              </w:rPr>
              <w:t>2</w:t>
            </w:r>
            <w:proofErr w:type="spellEnd"/>
          </w:p>
        </w:tc>
        <w:tc>
          <w:tcPr>
            <w:tcW w:w="1636" w:type="dxa"/>
            <w:tcBorders>
              <w:top w:val="nil"/>
              <w:left w:val="nil"/>
              <w:bottom w:val="nil"/>
              <w:right w:val="nil"/>
            </w:tcBorders>
            <w:shd w:val="clear" w:color="FFFFFF" w:fill="FFFFFF"/>
            <w:hideMark/>
          </w:tcPr>
          <w:p w:rsidR="007E1E1E" w:rsidRDefault="007E1E1E" w:rsidP="00B50E5D">
            <w:pPr>
              <w:rPr>
                <w:rFonts w:cs="Calibri"/>
                <w:b/>
                <w:bCs/>
                <w:szCs w:val="18"/>
              </w:rPr>
            </w:pPr>
            <w:r>
              <w:rPr>
                <w:rFonts w:cs="Calibri"/>
                <w:b/>
                <w:bCs/>
                <w:szCs w:val="18"/>
              </w:rPr>
              <w:t xml:space="preserve">Department of </w:t>
            </w:r>
            <w:proofErr w:type="spellStart"/>
            <w:r>
              <w:rPr>
                <w:rFonts w:cs="Calibri"/>
                <w:b/>
                <w:bCs/>
                <w:szCs w:val="18"/>
              </w:rPr>
              <w:t>Industry</w:t>
            </w:r>
            <w:r>
              <w:rPr>
                <w:rFonts w:cs="Calibri"/>
                <w:b/>
                <w:bCs/>
                <w:szCs w:val="18"/>
                <w:vertAlign w:val="superscript"/>
              </w:rPr>
              <w:t>3</w:t>
            </w:r>
            <w:proofErr w:type="spellEnd"/>
          </w:p>
        </w:tc>
        <w:tc>
          <w:tcPr>
            <w:tcW w:w="1636" w:type="dxa"/>
            <w:tcBorders>
              <w:top w:val="nil"/>
              <w:left w:val="nil"/>
              <w:bottom w:val="nil"/>
              <w:right w:val="nil"/>
            </w:tcBorders>
            <w:shd w:val="clear" w:color="FFFFFF" w:fill="FFFFFF"/>
            <w:hideMark/>
          </w:tcPr>
          <w:p w:rsidR="007E1E1E" w:rsidRDefault="007E1E1E" w:rsidP="00B50E5D">
            <w:pPr>
              <w:rPr>
                <w:rFonts w:cs="Calibri"/>
                <w:b/>
                <w:bCs/>
                <w:szCs w:val="18"/>
              </w:rPr>
            </w:pPr>
            <w:r>
              <w:rPr>
                <w:rFonts w:cs="Calibri"/>
                <w:b/>
                <w:bCs/>
                <w:szCs w:val="18"/>
              </w:rPr>
              <w:t xml:space="preserve">Department of the Prime Minister and </w:t>
            </w:r>
            <w:proofErr w:type="spellStart"/>
            <w:r>
              <w:rPr>
                <w:rFonts w:cs="Calibri"/>
                <w:b/>
                <w:bCs/>
                <w:szCs w:val="18"/>
              </w:rPr>
              <w:t>Cabinet</w:t>
            </w:r>
            <w:r>
              <w:rPr>
                <w:rFonts w:cs="Calibri"/>
                <w:szCs w:val="18"/>
                <w:vertAlign w:val="superscript"/>
              </w:rPr>
              <w:t>4</w:t>
            </w:r>
            <w:proofErr w:type="spellEnd"/>
          </w:p>
        </w:tc>
        <w:tc>
          <w:tcPr>
            <w:tcW w:w="1916" w:type="dxa"/>
            <w:tcBorders>
              <w:top w:val="nil"/>
              <w:left w:val="nil"/>
              <w:bottom w:val="nil"/>
              <w:right w:val="nil"/>
            </w:tcBorders>
            <w:shd w:val="clear" w:color="FFFFFF" w:fill="FFFFFF"/>
            <w:hideMark/>
          </w:tcPr>
          <w:p w:rsidR="007E1E1E" w:rsidRDefault="007E1E1E" w:rsidP="00B50E5D">
            <w:pPr>
              <w:rPr>
                <w:rFonts w:cs="Calibri"/>
                <w:b/>
                <w:bCs/>
                <w:szCs w:val="18"/>
              </w:rPr>
            </w:pPr>
            <w:r>
              <w:rPr>
                <w:rFonts w:cs="Calibri"/>
                <w:b/>
                <w:bCs/>
                <w:szCs w:val="18"/>
              </w:rPr>
              <w:t xml:space="preserve">Department of Social </w:t>
            </w:r>
            <w:proofErr w:type="spellStart"/>
            <w:r>
              <w:rPr>
                <w:rFonts w:cs="Calibri"/>
                <w:b/>
                <w:bCs/>
                <w:szCs w:val="18"/>
              </w:rPr>
              <w:t>Services</w:t>
            </w:r>
            <w:r>
              <w:rPr>
                <w:rFonts w:cs="Calibri"/>
                <w:b/>
                <w:bCs/>
                <w:szCs w:val="18"/>
                <w:vertAlign w:val="superscript"/>
              </w:rPr>
              <w:t>5</w:t>
            </w:r>
            <w:proofErr w:type="spellEnd"/>
          </w:p>
        </w:tc>
      </w:tr>
      <w:tr w:rsidR="007E1E1E" w:rsidTr="00B50E5D">
        <w:trPr>
          <w:trHeight w:val="255"/>
        </w:trPr>
        <w:tc>
          <w:tcPr>
            <w:tcW w:w="2936" w:type="dxa"/>
            <w:tcBorders>
              <w:top w:val="nil"/>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267" w:type="dxa"/>
            <w:tcBorders>
              <w:top w:val="nil"/>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97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63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63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63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91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29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267"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97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6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6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6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91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293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FUNCTIONS RELINQUISHED</w:t>
            </w:r>
          </w:p>
        </w:tc>
        <w:tc>
          <w:tcPr>
            <w:tcW w:w="267"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97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63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63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63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91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r>
      <w:tr w:rsidR="007E1E1E" w:rsidTr="00B50E5D">
        <w:trPr>
          <w:trHeight w:val="255"/>
        </w:trPr>
        <w:tc>
          <w:tcPr>
            <w:tcW w:w="293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Assets relinquished</w:t>
            </w:r>
          </w:p>
        </w:tc>
        <w:tc>
          <w:tcPr>
            <w:tcW w:w="267"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97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w:t>
            </w:r>
          </w:p>
        </w:tc>
        <w:tc>
          <w:tcPr>
            <w:tcW w:w="163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w:t>
            </w:r>
          </w:p>
        </w:tc>
        <w:tc>
          <w:tcPr>
            <w:tcW w:w="163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w:t>
            </w:r>
          </w:p>
        </w:tc>
        <w:tc>
          <w:tcPr>
            <w:tcW w:w="163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w:t>
            </w:r>
          </w:p>
        </w:tc>
        <w:tc>
          <w:tcPr>
            <w:tcW w:w="191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w:t>
            </w:r>
          </w:p>
        </w:tc>
      </w:tr>
      <w:tr w:rsidR="007E1E1E" w:rsidTr="00B50E5D">
        <w:trPr>
          <w:trHeight w:val="255"/>
        </w:trPr>
        <w:tc>
          <w:tcPr>
            <w:tcW w:w="293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Land and buildings</w:t>
            </w:r>
          </w:p>
        </w:tc>
        <w:tc>
          <w:tcPr>
            <w:tcW w:w="267"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w:t>
            </w:r>
          </w:p>
        </w:tc>
        <w:tc>
          <w:tcPr>
            <w:tcW w:w="197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(2,535)</w:t>
            </w:r>
          </w:p>
        </w:tc>
        <w:tc>
          <w:tcPr>
            <w:tcW w:w="191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293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Property, plant and equipment</w:t>
            </w:r>
          </w:p>
        </w:tc>
        <w:tc>
          <w:tcPr>
            <w:tcW w:w="267"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w:t>
            </w:r>
          </w:p>
        </w:tc>
        <w:tc>
          <w:tcPr>
            <w:tcW w:w="197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(18)</w:t>
            </w:r>
          </w:p>
        </w:tc>
        <w:tc>
          <w:tcPr>
            <w:tcW w:w="191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293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Intangibles</w:t>
            </w:r>
          </w:p>
        </w:tc>
        <w:tc>
          <w:tcPr>
            <w:tcW w:w="267"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w:t>
            </w:r>
          </w:p>
        </w:tc>
        <w:tc>
          <w:tcPr>
            <w:tcW w:w="197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(197)</w:t>
            </w:r>
          </w:p>
        </w:tc>
        <w:tc>
          <w:tcPr>
            <w:tcW w:w="191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2936" w:type="dxa"/>
            <w:tcBorders>
              <w:top w:val="single" w:sz="4" w:space="0" w:color="auto"/>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Total assets relinquished</w:t>
            </w:r>
          </w:p>
        </w:tc>
        <w:tc>
          <w:tcPr>
            <w:tcW w:w="267" w:type="dxa"/>
            <w:tcBorders>
              <w:top w:val="single" w:sz="4" w:space="0" w:color="auto"/>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97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63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63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63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(2,750)</w:t>
            </w:r>
          </w:p>
        </w:tc>
        <w:tc>
          <w:tcPr>
            <w:tcW w:w="191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29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267"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97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6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6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6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91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293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Liabilities relinquished</w:t>
            </w:r>
          </w:p>
        </w:tc>
        <w:tc>
          <w:tcPr>
            <w:tcW w:w="267"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97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63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63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63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91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r>
      <w:tr w:rsidR="007E1E1E" w:rsidTr="00B50E5D">
        <w:trPr>
          <w:trHeight w:val="255"/>
        </w:trPr>
        <w:tc>
          <w:tcPr>
            <w:tcW w:w="293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Employee provisions</w:t>
            </w:r>
          </w:p>
        </w:tc>
        <w:tc>
          <w:tcPr>
            <w:tcW w:w="267"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w:t>
            </w:r>
          </w:p>
        </w:tc>
        <w:tc>
          <w:tcPr>
            <w:tcW w:w="197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(14,277)</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(2,941)</w:t>
            </w:r>
          </w:p>
        </w:tc>
        <w:tc>
          <w:tcPr>
            <w:tcW w:w="191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(417)</w:t>
            </w:r>
          </w:p>
        </w:tc>
      </w:tr>
      <w:tr w:rsidR="007E1E1E" w:rsidTr="00B50E5D">
        <w:trPr>
          <w:trHeight w:val="255"/>
        </w:trPr>
        <w:tc>
          <w:tcPr>
            <w:tcW w:w="2936" w:type="dxa"/>
            <w:tcBorders>
              <w:top w:val="single" w:sz="4" w:space="0" w:color="auto"/>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Total liabilities relinquished</w:t>
            </w:r>
          </w:p>
        </w:tc>
        <w:tc>
          <w:tcPr>
            <w:tcW w:w="267" w:type="dxa"/>
            <w:tcBorders>
              <w:top w:val="single" w:sz="4" w:space="0" w:color="auto"/>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97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63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(14,277)</w:t>
            </w:r>
          </w:p>
        </w:tc>
        <w:tc>
          <w:tcPr>
            <w:tcW w:w="163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63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(2,941)</w:t>
            </w:r>
          </w:p>
        </w:tc>
        <w:tc>
          <w:tcPr>
            <w:tcW w:w="191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(417)</w:t>
            </w:r>
          </w:p>
        </w:tc>
      </w:tr>
      <w:tr w:rsidR="007E1E1E" w:rsidTr="00B50E5D">
        <w:trPr>
          <w:trHeight w:val="255"/>
        </w:trPr>
        <w:tc>
          <w:tcPr>
            <w:tcW w:w="2936" w:type="dxa"/>
            <w:tcBorders>
              <w:top w:val="nil"/>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Net assets relinquished</w:t>
            </w:r>
          </w:p>
        </w:tc>
        <w:tc>
          <w:tcPr>
            <w:tcW w:w="267" w:type="dxa"/>
            <w:tcBorders>
              <w:top w:val="nil"/>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976"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636"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14,277</w:t>
            </w:r>
          </w:p>
        </w:tc>
        <w:tc>
          <w:tcPr>
            <w:tcW w:w="1636"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636"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191</w:t>
            </w:r>
          </w:p>
        </w:tc>
        <w:tc>
          <w:tcPr>
            <w:tcW w:w="1916"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417</w:t>
            </w:r>
          </w:p>
        </w:tc>
      </w:tr>
      <w:tr w:rsidR="007E1E1E" w:rsidTr="00B50E5D">
        <w:trPr>
          <w:trHeight w:val="255"/>
        </w:trPr>
        <w:tc>
          <w:tcPr>
            <w:tcW w:w="29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267"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97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6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6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6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91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2936" w:type="dxa"/>
            <w:tcBorders>
              <w:top w:val="nil"/>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Income assumed</w:t>
            </w:r>
          </w:p>
        </w:tc>
        <w:tc>
          <w:tcPr>
            <w:tcW w:w="267" w:type="dxa"/>
            <w:tcBorders>
              <w:top w:val="nil"/>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97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 </w:t>
            </w:r>
          </w:p>
        </w:tc>
        <w:tc>
          <w:tcPr>
            <w:tcW w:w="163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 </w:t>
            </w:r>
          </w:p>
        </w:tc>
        <w:tc>
          <w:tcPr>
            <w:tcW w:w="163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 </w:t>
            </w:r>
          </w:p>
        </w:tc>
        <w:tc>
          <w:tcPr>
            <w:tcW w:w="163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 </w:t>
            </w:r>
          </w:p>
        </w:tc>
        <w:tc>
          <w:tcPr>
            <w:tcW w:w="191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3203" w:type="dxa"/>
            <w:gridSpan w:val="2"/>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Recognised by the receiving entity</w:t>
            </w:r>
          </w:p>
        </w:tc>
        <w:tc>
          <w:tcPr>
            <w:tcW w:w="197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13,941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12,473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91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293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Recognised by the losing entity</w:t>
            </w:r>
          </w:p>
        </w:tc>
        <w:tc>
          <w:tcPr>
            <w:tcW w:w="267"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w:t>
            </w:r>
          </w:p>
        </w:tc>
        <w:tc>
          <w:tcPr>
            <w:tcW w:w="197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6,141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667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91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2936" w:type="dxa"/>
            <w:tcBorders>
              <w:top w:val="single" w:sz="4" w:space="0" w:color="auto"/>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Total income assumed</w:t>
            </w:r>
          </w:p>
        </w:tc>
        <w:tc>
          <w:tcPr>
            <w:tcW w:w="267" w:type="dxa"/>
            <w:tcBorders>
              <w:top w:val="single" w:sz="4" w:space="0" w:color="auto"/>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97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20,082</w:t>
            </w:r>
          </w:p>
        </w:tc>
        <w:tc>
          <w:tcPr>
            <w:tcW w:w="163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63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13,140</w:t>
            </w:r>
          </w:p>
        </w:tc>
        <w:tc>
          <w:tcPr>
            <w:tcW w:w="163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91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29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267"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97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6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6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6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91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2936" w:type="dxa"/>
            <w:tcBorders>
              <w:top w:val="nil"/>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Expenses assumed</w:t>
            </w:r>
          </w:p>
        </w:tc>
        <w:tc>
          <w:tcPr>
            <w:tcW w:w="267" w:type="dxa"/>
            <w:tcBorders>
              <w:top w:val="nil"/>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97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 </w:t>
            </w:r>
          </w:p>
        </w:tc>
        <w:tc>
          <w:tcPr>
            <w:tcW w:w="163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 </w:t>
            </w:r>
          </w:p>
        </w:tc>
        <w:tc>
          <w:tcPr>
            <w:tcW w:w="163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 </w:t>
            </w:r>
          </w:p>
        </w:tc>
        <w:tc>
          <w:tcPr>
            <w:tcW w:w="163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 </w:t>
            </w:r>
          </w:p>
        </w:tc>
        <w:tc>
          <w:tcPr>
            <w:tcW w:w="191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3203" w:type="dxa"/>
            <w:gridSpan w:val="2"/>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Recognised by the receiving entity</w:t>
            </w:r>
          </w:p>
        </w:tc>
        <w:tc>
          <w:tcPr>
            <w:tcW w:w="197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164,361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80,694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91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293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Recognised by the losing entity</w:t>
            </w:r>
          </w:p>
        </w:tc>
        <w:tc>
          <w:tcPr>
            <w:tcW w:w="267"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w:t>
            </w:r>
          </w:p>
        </w:tc>
        <w:tc>
          <w:tcPr>
            <w:tcW w:w="197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55,998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30,497 </w:t>
            </w:r>
          </w:p>
        </w:tc>
        <w:tc>
          <w:tcPr>
            <w:tcW w:w="16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91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2936" w:type="dxa"/>
            <w:tcBorders>
              <w:top w:val="single" w:sz="4" w:space="0" w:color="auto"/>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Total expenses assumed</w:t>
            </w:r>
          </w:p>
        </w:tc>
        <w:tc>
          <w:tcPr>
            <w:tcW w:w="267" w:type="dxa"/>
            <w:tcBorders>
              <w:top w:val="single" w:sz="4" w:space="0" w:color="auto"/>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97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220,359</w:t>
            </w:r>
          </w:p>
        </w:tc>
        <w:tc>
          <w:tcPr>
            <w:tcW w:w="163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63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111,191</w:t>
            </w:r>
          </w:p>
        </w:tc>
        <w:tc>
          <w:tcPr>
            <w:tcW w:w="163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91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bl>
    <w:p w:rsidR="007E1E1E" w:rsidRDefault="007E1E1E" w:rsidP="007E1E1E">
      <w:pPr>
        <w:pStyle w:val="ReferenceText"/>
      </w:pPr>
      <w:bookmarkStart w:id="170" w:name="RANGE!D7:J56"/>
      <w:bookmarkStart w:id="171" w:name="RANGE!D7:J52"/>
      <w:bookmarkStart w:id="172" w:name="RANGE!D7:J25"/>
      <w:bookmarkStart w:id="173" w:name="RANGE!D6:K7"/>
      <w:bookmarkStart w:id="174" w:name="RANGE!D6:L7"/>
      <w:bookmarkEnd w:id="170"/>
      <w:bookmarkEnd w:id="171"/>
      <w:bookmarkEnd w:id="172"/>
      <w:bookmarkEnd w:id="173"/>
      <w:bookmarkEnd w:id="174"/>
    </w:p>
    <w:p w:rsidR="007E1E1E" w:rsidRDefault="007E1E1E" w:rsidP="007E1E1E">
      <w:pPr>
        <w:pStyle w:val="ReferenceText"/>
      </w:pPr>
    </w:p>
    <w:p w:rsidR="007E1E1E" w:rsidRDefault="007E1E1E" w:rsidP="007E1E1E">
      <w:pPr>
        <w:pStyle w:val="ReferenceText"/>
      </w:pPr>
      <w:r>
        <w:lastRenderedPageBreak/>
        <w:t>Notes:</w:t>
      </w:r>
    </w:p>
    <w:p w:rsidR="007E1E1E" w:rsidRDefault="007E1E1E" w:rsidP="007E1E1E">
      <w:pPr>
        <w:pStyle w:val="ReferenceText"/>
      </w:pPr>
    </w:p>
    <w:p w:rsidR="007E1E1E" w:rsidRDefault="007E1E1E" w:rsidP="007E1E1E">
      <w:pPr>
        <w:pStyle w:val="ReferenceText"/>
      </w:pPr>
      <w:r w:rsidRPr="00DF5B46">
        <w:rPr>
          <w:vertAlign w:val="superscript"/>
        </w:rPr>
        <w:t>1</w:t>
      </w:r>
      <w:r>
        <w:rPr>
          <w:vertAlign w:val="superscript"/>
        </w:rPr>
        <w:t xml:space="preserve"> </w:t>
      </w:r>
      <w:r w:rsidRPr="00AA4057">
        <w:t>The Early Childhood Education and Care and Schools and Youth Education functions were acquired from the former Department of Education, Employment and Workplace Relations following the Administrative Arrangement Orders changes on 18 September 2013</w:t>
      </w:r>
      <w:r>
        <w:t>.</w:t>
      </w:r>
    </w:p>
    <w:p w:rsidR="007E1E1E" w:rsidRDefault="007E1E1E" w:rsidP="007E1E1E">
      <w:pPr>
        <w:pStyle w:val="ReferenceText"/>
      </w:pPr>
      <w:r w:rsidRPr="00DF5B46">
        <w:rPr>
          <w:vertAlign w:val="superscript"/>
        </w:rPr>
        <w:t>2</w:t>
      </w:r>
      <w:r>
        <w:rPr>
          <w:vertAlign w:val="superscript"/>
        </w:rPr>
        <w:t xml:space="preserve"> </w:t>
      </w:r>
      <w:r w:rsidRPr="00AA4057">
        <w:t xml:space="preserve">Responsibility for Corporate and State Network functions in relation to the former </w:t>
      </w:r>
      <w:proofErr w:type="spellStart"/>
      <w:r w:rsidRPr="00AA4057">
        <w:t>DEEWR</w:t>
      </w:r>
      <w:proofErr w:type="spellEnd"/>
      <w:r w:rsidRPr="00AA4057">
        <w:t xml:space="preserve"> were </w:t>
      </w:r>
      <w:proofErr w:type="gramStart"/>
      <w:r w:rsidRPr="00AA4057">
        <w:t>acquired/relinquished</w:t>
      </w:r>
      <w:proofErr w:type="gramEnd"/>
      <w:r w:rsidRPr="00AA4057">
        <w:t xml:space="preserve"> from/to the Department of Employment on 28 February 2014.  The transfer of staff followed the transfer of function resulting from the Administrative Arrangement Orders changes on 18 September 2013.</w:t>
      </w:r>
    </w:p>
    <w:p w:rsidR="007E1E1E" w:rsidRDefault="007E1E1E" w:rsidP="007E1E1E">
      <w:pPr>
        <w:pStyle w:val="ReferenceText"/>
      </w:pPr>
      <w:r w:rsidRPr="00DF5B46">
        <w:rPr>
          <w:vertAlign w:val="superscript"/>
        </w:rPr>
        <w:t>3</w:t>
      </w:r>
      <w:r>
        <w:rPr>
          <w:vertAlign w:val="superscript"/>
        </w:rPr>
        <w:t xml:space="preserve"> </w:t>
      </w:r>
      <w:r w:rsidRPr="00AA4057">
        <w:t>The Tertiary Education functions including higher education, research and international education were acquired from the Department of Industry during 2013</w:t>
      </w:r>
      <w:r>
        <w:t>–</w:t>
      </w:r>
      <w:r w:rsidRPr="00AA4057">
        <w:t>14 due to the Administrative Arrangement Order changes on 18 September 2013 and 12 December 2014.</w:t>
      </w:r>
    </w:p>
    <w:p w:rsidR="007E1E1E" w:rsidRDefault="007E1E1E" w:rsidP="007E1E1E">
      <w:pPr>
        <w:pStyle w:val="ReferenceText"/>
      </w:pPr>
      <w:r w:rsidRPr="00DF5B46">
        <w:rPr>
          <w:vertAlign w:val="superscript"/>
        </w:rPr>
        <w:t>4</w:t>
      </w:r>
      <w:r>
        <w:rPr>
          <w:vertAlign w:val="superscript"/>
        </w:rPr>
        <w:t xml:space="preserve"> </w:t>
      </w:r>
      <w:r w:rsidRPr="00AA4057">
        <w:t xml:space="preserve">Indigenous education functions were </w:t>
      </w:r>
      <w:r>
        <w:t>relinquished</w:t>
      </w:r>
      <w:r w:rsidRPr="00AA4057">
        <w:t xml:space="preserve"> to the Department of the Prime Minister and Cabinet during 2013</w:t>
      </w:r>
      <w:r>
        <w:t>–</w:t>
      </w:r>
      <w:r w:rsidRPr="00AA4057">
        <w:t>14 following the Administrative Arrangement Orders of 18 September 2013.</w:t>
      </w:r>
    </w:p>
    <w:p w:rsidR="007E1E1E" w:rsidRDefault="007E1E1E" w:rsidP="007E1E1E">
      <w:pPr>
        <w:pStyle w:val="ReferenceText"/>
      </w:pPr>
      <w:r w:rsidRPr="00DF5B46">
        <w:rPr>
          <w:vertAlign w:val="superscript"/>
        </w:rPr>
        <w:t>5</w:t>
      </w:r>
      <w:r>
        <w:rPr>
          <w:vertAlign w:val="superscript"/>
        </w:rPr>
        <w:t xml:space="preserve"> </w:t>
      </w:r>
      <w:r w:rsidRPr="00AA4057">
        <w:t xml:space="preserve">Responsibility for certain </w:t>
      </w:r>
      <w:proofErr w:type="gramStart"/>
      <w:r w:rsidRPr="00AA4057">
        <w:t>Corporate</w:t>
      </w:r>
      <w:proofErr w:type="gramEnd"/>
      <w:r w:rsidRPr="00AA4057">
        <w:t xml:space="preserve"> functions relating to Working Age Payments and Disability Employment Services were </w:t>
      </w:r>
      <w:r>
        <w:t>relinquished</w:t>
      </w:r>
      <w:r w:rsidRPr="00AA4057">
        <w:t xml:space="preserve"> to the Department of Social Services on 13 February 2014</w:t>
      </w:r>
      <w:r>
        <w:t>.</w:t>
      </w:r>
      <w:r w:rsidRPr="00AA4057">
        <w:t xml:space="preserve"> </w:t>
      </w:r>
    </w:p>
    <w:p w:rsidR="007E1E1E" w:rsidRDefault="007E1E1E" w:rsidP="007E1E1E">
      <w:pPr>
        <w:pStyle w:val="ReferenceText"/>
      </w:pPr>
      <w:r w:rsidRPr="00AA4057">
        <w:t>In respect of the functions assumed and relinquished the net book value of assets were transferred to the entity for no consideration.</w:t>
      </w:r>
      <w:r>
        <w:t xml:space="preserve"> </w:t>
      </w:r>
    </w:p>
    <w:p w:rsidR="007E1E1E" w:rsidRDefault="007E1E1E" w:rsidP="007E1E1E">
      <w:pPr>
        <w:pStyle w:val="ReferenceText"/>
      </w:pPr>
      <w:r>
        <w:t>The net assets/liabilities assumed from all entities were $45.039 million.</w:t>
      </w:r>
    </w:p>
    <w:p w:rsidR="007E1E1E" w:rsidRDefault="007E1E1E" w:rsidP="007E1E1E">
      <w:pPr>
        <w:pStyle w:val="ReferenceText"/>
      </w:pPr>
      <w:r>
        <w:t>The net assets/liabilities relinquished to all entities were $14.885 million.</w:t>
      </w:r>
    </w:p>
    <w:p w:rsidR="007E1E1E" w:rsidRDefault="007E1E1E" w:rsidP="007E1E1E">
      <w:pPr>
        <w:tabs>
          <w:tab w:val="num" w:pos="567"/>
        </w:tabs>
        <w:spacing w:line="240" w:lineRule="auto"/>
        <w:ind w:left="567" w:hanging="567"/>
        <w:rPr>
          <w:rFonts w:asciiTheme="minorHAnsi" w:hAnsiTheme="minorHAnsi" w:cstheme="minorHAnsi"/>
          <w:lang w:eastAsia="en-AU"/>
        </w:rPr>
        <w:sectPr w:rsidR="007E1E1E">
          <w:pgSz w:w="16838" w:h="11906" w:orient="landscape"/>
          <w:pgMar w:top="1134" w:right="1134" w:bottom="1134" w:left="1134" w:header="958" w:footer="737" w:gutter="0"/>
          <w:cols w:space="720"/>
        </w:sectPr>
      </w:pPr>
    </w:p>
    <w:tbl>
      <w:tblPr>
        <w:tblW w:w="13991" w:type="dxa"/>
        <w:tblInd w:w="80" w:type="dxa"/>
        <w:tblLayout w:type="fixed"/>
        <w:tblLook w:val="04A0" w:firstRow="1" w:lastRow="0" w:firstColumn="1" w:lastColumn="0" w:noHBand="0" w:noVBand="1"/>
      </w:tblPr>
      <w:tblGrid>
        <w:gridCol w:w="4451"/>
        <w:gridCol w:w="3180"/>
        <w:gridCol w:w="3180"/>
        <w:gridCol w:w="3180"/>
      </w:tblGrid>
      <w:tr w:rsidR="007E1E1E" w:rsidTr="00B50E5D">
        <w:trPr>
          <w:trHeight w:val="255"/>
        </w:trPr>
        <w:tc>
          <w:tcPr>
            <w:tcW w:w="12124" w:type="dxa"/>
            <w:gridSpan w:val="4"/>
            <w:tcBorders>
              <w:top w:val="nil"/>
              <w:left w:val="nil"/>
              <w:bottom w:val="nil"/>
              <w:right w:val="nil"/>
            </w:tcBorders>
            <w:shd w:val="clear" w:color="000000" w:fill="D9D9D9"/>
            <w:noWrap/>
            <w:vAlign w:val="bottom"/>
            <w:hideMark/>
          </w:tcPr>
          <w:p w:rsidR="007E1E1E" w:rsidRDefault="007E1E1E" w:rsidP="00B50E5D">
            <w:pPr>
              <w:rPr>
                <w:rFonts w:cs="Calibri"/>
                <w:b/>
                <w:bCs/>
                <w:szCs w:val="18"/>
                <w:u w:val="single"/>
              </w:rPr>
            </w:pPr>
            <w:bookmarkStart w:id="175" w:name="RANGE!D7:D56"/>
            <w:bookmarkStart w:id="176" w:name="Note_AESTABLE1" w:colFirst="0" w:colLast="0"/>
            <w:r>
              <w:rPr>
                <w:rFonts w:cs="Calibri"/>
                <w:b/>
                <w:bCs/>
                <w:szCs w:val="18"/>
                <w:u w:val="single"/>
              </w:rPr>
              <w:lastRenderedPageBreak/>
              <w:t xml:space="preserve">Note </w:t>
            </w:r>
            <w:proofErr w:type="spellStart"/>
            <w:r>
              <w:rPr>
                <w:rFonts w:cs="Calibri"/>
                <w:b/>
                <w:bCs/>
                <w:szCs w:val="18"/>
                <w:u w:val="single"/>
              </w:rPr>
              <w:t>10B</w:t>
            </w:r>
            <w:proofErr w:type="spellEnd"/>
            <w:r>
              <w:rPr>
                <w:rFonts w:cs="Calibri"/>
                <w:b/>
                <w:bCs/>
                <w:szCs w:val="18"/>
                <w:u w:val="single"/>
              </w:rPr>
              <w:t>: Administered restructuring</w:t>
            </w:r>
            <w:bookmarkEnd w:id="175"/>
          </w:p>
        </w:tc>
      </w:tr>
      <w:bookmarkEnd w:id="176"/>
      <w:tr w:rsidR="007E1E1E" w:rsidTr="00B50E5D">
        <w:trPr>
          <w:trHeight w:val="255"/>
        </w:trPr>
        <w:tc>
          <w:tcPr>
            <w:tcW w:w="38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27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27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27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38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2756" w:type="dxa"/>
            <w:tcBorders>
              <w:top w:val="single" w:sz="4" w:space="0" w:color="auto"/>
              <w:left w:val="nil"/>
              <w:bottom w:val="single" w:sz="4" w:space="0" w:color="auto"/>
              <w:right w:val="nil"/>
            </w:tcBorders>
            <w:shd w:val="clear" w:color="000000" w:fill="D9D9D9"/>
            <w:vAlign w:val="bottom"/>
            <w:hideMark/>
          </w:tcPr>
          <w:p w:rsidR="007E1E1E" w:rsidRDefault="007E1E1E" w:rsidP="00B50E5D">
            <w:pPr>
              <w:pStyle w:val="AdminHeaderCentered"/>
            </w:pPr>
            <w:r>
              <w:t> </w:t>
            </w:r>
          </w:p>
        </w:tc>
        <w:tc>
          <w:tcPr>
            <w:tcW w:w="2756" w:type="dxa"/>
            <w:tcBorders>
              <w:top w:val="single" w:sz="4" w:space="0" w:color="auto"/>
              <w:left w:val="nil"/>
              <w:bottom w:val="single" w:sz="4" w:space="0" w:color="auto"/>
              <w:right w:val="nil"/>
            </w:tcBorders>
            <w:shd w:val="clear" w:color="000000" w:fill="D9D9D9"/>
            <w:vAlign w:val="bottom"/>
            <w:hideMark/>
          </w:tcPr>
          <w:p w:rsidR="007E1E1E" w:rsidRDefault="007E1E1E" w:rsidP="00B50E5D">
            <w:pPr>
              <w:pStyle w:val="AdminHeaderCentered"/>
            </w:pPr>
            <w:r>
              <w:t>2014</w:t>
            </w:r>
          </w:p>
        </w:tc>
        <w:tc>
          <w:tcPr>
            <w:tcW w:w="2756" w:type="dxa"/>
            <w:tcBorders>
              <w:top w:val="single" w:sz="4" w:space="0" w:color="auto"/>
              <w:left w:val="nil"/>
              <w:bottom w:val="single" w:sz="4" w:space="0" w:color="auto"/>
              <w:right w:val="nil"/>
            </w:tcBorders>
            <w:shd w:val="clear" w:color="000000" w:fill="D9D9D9"/>
            <w:vAlign w:val="bottom"/>
            <w:hideMark/>
          </w:tcPr>
          <w:p w:rsidR="007E1E1E" w:rsidRDefault="007E1E1E" w:rsidP="00B50E5D">
            <w:pPr>
              <w:pStyle w:val="AdminHeaderCentered"/>
            </w:pPr>
            <w:r>
              <w:t> </w:t>
            </w:r>
          </w:p>
        </w:tc>
      </w:tr>
      <w:tr w:rsidR="007E1E1E" w:rsidTr="00B50E5D">
        <w:trPr>
          <w:trHeight w:val="960"/>
        </w:trPr>
        <w:tc>
          <w:tcPr>
            <w:tcW w:w="3856" w:type="dxa"/>
            <w:tcBorders>
              <w:top w:val="nil"/>
              <w:left w:val="nil"/>
              <w:bottom w:val="nil"/>
              <w:right w:val="nil"/>
            </w:tcBorders>
            <w:shd w:val="clear" w:color="000000" w:fill="D9D9D9"/>
            <w:noWrap/>
            <w:hideMark/>
          </w:tcPr>
          <w:p w:rsidR="007E1E1E" w:rsidRDefault="007E1E1E" w:rsidP="00B50E5D">
            <w:pPr>
              <w:rPr>
                <w:rFonts w:ascii="Arial" w:hAnsi="Arial" w:cs="Arial"/>
                <w:b/>
                <w:bCs/>
                <w:sz w:val="16"/>
                <w:szCs w:val="16"/>
              </w:rPr>
            </w:pPr>
            <w:r>
              <w:rPr>
                <w:rFonts w:ascii="Arial" w:hAnsi="Arial" w:cs="Arial"/>
                <w:b/>
                <w:bCs/>
                <w:sz w:val="16"/>
                <w:szCs w:val="16"/>
              </w:rPr>
              <w:t>Function</w:t>
            </w:r>
          </w:p>
        </w:tc>
        <w:tc>
          <w:tcPr>
            <w:tcW w:w="2756" w:type="dxa"/>
            <w:tcBorders>
              <w:top w:val="nil"/>
              <w:left w:val="nil"/>
              <w:bottom w:val="nil"/>
              <w:right w:val="nil"/>
            </w:tcBorders>
            <w:shd w:val="clear" w:color="000000" w:fill="D9D9D9"/>
            <w:hideMark/>
          </w:tcPr>
          <w:p w:rsidR="007E1E1E" w:rsidRDefault="007E1E1E" w:rsidP="00B50E5D">
            <w:pPr>
              <w:pStyle w:val="AdminCurrentYearHeadersGrey"/>
            </w:pPr>
            <w:r>
              <w:t>Education: Early Childhood Education and Care, Schools and Youth</w:t>
            </w:r>
          </w:p>
        </w:tc>
        <w:tc>
          <w:tcPr>
            <w:tcW w:w="2756" w:type="dxa"/>
            <w:tcBorders>
              <w:top w:val="nil"/>
              <w:left w:val="nil"/>
              <w:bottom w:val="nil"/>
              <w:right w:val="nil"/>
            </w:tcBorders>
            <w:shd w:val="clear" w:color="000000" w:fill="D9D9D9"/>
            <w:hideMark/>
          </w:tcPr>
          <w:p w:rsidR="007E1E1E" w:rsidRDefault="007E1E1E" w:rsidP="00B50E5D">
            <w:pPr>
              <w:pStyle w:val="AdminCurrentYearHeadersGrey"/>
            </w:pPr>
            <w:r>
              <w:t>Tertiary Education: including Higher Education, Research and International Education</w:t>
            </w:r>
          </w:p>
        </w:tc>
        <w:tc>
          <w:tcPr>
            <w:tcW w:w="2756" w:type="dxa"/>
            <w:tcBorders>
              <w:top w:val="nil"/>
              <w:left w:val="nil"/>
              <w:bottom w:val="nil"/>
              <w:right w:val="nil"/>
            </w:tcBorders>
            <w:shd w:val="clear" w:color="000000" w:fill="D9D9D9"/>
            <w:hideMark/>
          </w:tcPr>
          <w:p w:rsidR="007E1E1E" w:rsidRDefault="007E1E1E" w:rsidP="00B50E5D">
            <w:pPr>
              <w:pStyle w:val="AdminCurrentYearHeadersGrey"/>
            </w:pPr>
            <w:r>
              <w:t>Tertiary Education: including Research</w:t>
            </w:r>
          </w:p>
        </w:tc>
      </w:tr>
      <w:tr w:rsidR="007E1E1E" w:rsidTr="00B50E5D">
        <w:trPr>
          <w:trHeight w:val="105"/>
        </w:trPr>
        <w:tc>
          <w:tcPr>
            <w:tcW w:w="3856" w:type="dxa"/>
            <w:tcBorders>
              <w:top w:val="nil"/>
              <w:left w:val="nil"/>
              <w:bottom w:val="nil"/>
              <w:right w:val="nil"/>
            </w:tcBorders>
            <w:shd w:val="clear" w:color="000000" w:fill="D9D9D9"/>
            <w:noWrap/>
            <w:hideMark/>
          </w:tcPr>
          <w:p w:rsidR="007E1E1E" w:rsidRDefault="007E1E1E" w:rsidP="00B50E5D">
            <w:pPr>
              <w:rPr>
                <w:rFonts w:ascii="Arial" w:hAnsi="Arial" w:cs="Arial"/>
                <w:b/>
                <w:bCs/>
                <w:sz w:val="16"/>
                <w:szCs w:val="16"/>
              </w:rPr>
            </w:pPr>
            <w:r>
              <w:rPr>
                <w:rFonts w:ascii="Arial" w:hAnsi="Arial" w:cs="Arial"/>
                <w:b/>
                <w:bCs/>
                <w:sz w:val="16"/>
                <w:szCs w:val="16"/>
              </w:rPr>
              <w:t> </w:t>
            </w:r>
          </w:p>
        </w:tc>
        <w:tc>
          <w:tcPr>
            <w:tcW w:w="27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27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27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780"/>
        </w:trPr>
        <w:tc>
          <w:tcPr>
            <w:tcW w:w="3856" w:type="dxa"/>
            <w:tcBorders>
              <w:top w:val="nil"/>
              <w:left w:val="nil"/>
              <w:bottom w:val="nil"/>
              <w:right w:val="nil"/>
            </w:tcBorders>
            <w:shd w:val="clear" w:color="000000" w:fill="D9D9D9"/>
            <w:noWrap/>
            <w:hideMark/>
          </w:tcPr>
          <w:p w:rsidR="007E1E1E" w:rsidRDefault="007E1E1E" w:rsidP="00B50E5D">
            <w:pPr>
              <w:rPr>
                <w:rFonts w:ascii="Arial" w:hAnsi="Arial" w:cs="Arial"/>
                <w:b/>
                <w:bCs/>
                <w:sz w:val="16"/>
                <w:szCs w:val="16"/>
              </w:rPr>
            </w:pPr>
            <w:r>
              <w:rPr>
                <w:rFonts w:ascii="Arial" w:hAnsi="Arial" w:cs="Arial"/>
                <w:b/>
                <w:bCs/>
                <w:sz w:val="16"/>
                <w:szCs w:val="16"/>
              </w:rPr>
              <w:t>Entity</w:t>
            </w:r>
          </w:p>
        </w:tc>
        <w:tc>
          <w:tcPr>
            <w:tcW w:w="2756" w:type="dxa"/>
            <w:tcBorders>
              <w:top w:val="nil"/>
              <w:left w:val="nil"/>
              <w:bottom w:val="nil"/>
              <w:right w:val="nil"/>
            </w:tcBorders>
            <w:shd w:val="clear" w:color="000000" w:fill="D9D9D9"/>
            <w:hideMark/>
          </w:tcPr>
          <w:p w:rsidR="007E1E1E" w:rsidRDefault="007E1E1E" w:rsidP="00B50E5D">
            <w:pPr>
              <w:pStyle w:val="AdminCurrentYearHeadersGrey"/>
            </w:pPr>
            <w:r>
              <w:t xml:space="preserve">Department of Education, Employment and Workplace </w:t>
            </w:r>
            <w:proofErr w:type="spellStart"/>
            <w:r>
              <w:t>Relations</w:t>
            </w:r>
            <w:r>
              <w:rPr>
                <w:vertAlign w:val="superscript"/>
              </w:rPr>
              <w:t>1</w:t>
            </w:r>
            <w:proofErr w:type="spellEnd"/>
          </w:p>
        </w:tc>
        <w:tc>
          <w:tcPr>
            <w:tcW w:w="2756" w:type="dxa"/>
            <w:tcBorders>
              <w:top w:val="nil"/>
              <w:left w:val="nil"/>
              <w:bottom w:val="nil"/>
              <w:right w:val="nil"/>
            </w:tcBorders>
            <w:shd w:val="clear" w:color="000000" w:fill="D9D9D9"/>
            <w:hideMark/>
          </w:tcPr>
          <w:p w:rsidR="007E1E1E" w:rsidRDefault="007E1E1E" w:rsidP="00B50E5D">
            <w:pPr>
              <w:pStyle w:val="AdminCurrentYearHeadersGrey"/>
            </w:pPr>
            <w:r>
              <w:t xml:space="preserve">Department of Industry, Innovation, Science, Research and Tertiary </w:t>
            </w:r>
            <w:proofErr w:type="spellStart"/>
            <w:r>
              <w:t>Education</w:t>
            </w:r>
            <w:r>
              <w:rPr>
                <w:vertAlign w:val="superscript"/>
              </w:rPr>
              <w:t>2</w:t>
            </w:r>
            <w:proofErr w:type="spellEnd"/>
          </w:p>
        </w:tc>
        <w:tc>
          <w:tcPr>
            <w:tcW w:w="2756" w:type="dxa"/>
            <w:tcBorders>
              <w:top w:val="nil"/>
              <w:left w:val="nil"/>
              <w:bottom w:val="nil"/>
              <w:right w:val="nil"/>
            </w:tcBorders>
            <w:shd w:val="clear" w:color="000000" w:fill="D9D9D9"/>
            <w:hideMark/>
          </w:tcPr>
          <w:p w:rsidR="007E1E1E" w:rsidRDefault="007E1E1E" w:rsidP="00B50E5D">
            <w:pPr>
              <w:pStyle w:val="AdminCurrentYearHeadersGrey"/>
            </w:pPr>
            <w:r>
              <w:t xml:space="preserve">Department of the Prime Minister and </w:t>
            </w:r>
            <w:proofErr w:type="spellStart"/>
            <w:r>
              <w:t>Cabinet</w:t>
            </w:r>
            <w:r>
              <w:rPr>
                <w:vertAlign w:val="superscript"/>
              </w:rPr>
              <w:t>3</w:t>
            </w:r>
            <w:proofErr w:type="spellEnd"/>
          </w:p>
        </w:tc>
      </w:tr>
      <w:tr w:rsidR="007E1E1E" w:rsidTr="00B50E5D">
        <w:trPr>
          <w:trHeight w:val="255"/>
        </w:trPr>
        <w:tc>
          <w:tcPr>
            <w:tcW w:w="3856" w:type="dxa"/>
            <w:tcBorders>
              <w:top w:val="nil"/>
              <w:left w:val="nil"/>
              <w:bottom w:val="single" w:sz="4" w:space="0" w:color="auto"/>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2756" w:type="dxa"/>
            <w:tcBorders>
              <w:top w:val="nil"/>
              <w:left w:val="nil"/>
              <w:bottom w:val="single" w:sz="4" w:space="0" w:color="auto"/>
              <w:right w:val="nil"/>
            </w:tcBorders>
            <w:shd w:val="clear" w:color="000000" w:fill="D9D9D9"/>
            <w:vAlign w:val="bottom"/>
            <w:hideMark/>
          </w:tcPr>
          <w:p w:rsidR="007E1E1E" w:rsidRDefault="007E1E1E" w:rsidP="00B50E5D">
            <w:pPr>
              <w:pStyle w:val="AdminCurrentYearHeadersGrey"/>
            </w:pPr>
            <w:r>
              <w:t>$’000</w:t>
            </w:r>
          </w:p>
        </w:tc>
        <w:tc>
          <w:tcPr>
            <w:tcW w:w="2756" w:type="dxa"/>
            <w:tcBorders>
              <w:top w:val="nil"/>
              <w:left w:val="nil"/>
              <w:bottom w:val="single" w:sz="4" w:space="0" w:color="auto"/>
              <w:right w:val="nil"/>
            </w:tcBorders>
            <w:shd w:val="clear" w:color="000000" w:fill="D9D9D9"/>
            <w:vAlign w:val="bottom"/>
            <w:hideMark/>
          </w:tcPr>
          <w:p w:rsidR="007E1E1E" w:rsidRDefault="007E1E1E" w:rsidP="00B50E5D">
            <w:pPr>
              <w:pStyle w:val="AdminCurrentYearHeadersGrey"/>
            </w:pPr>
            <w:r>
              <w:t>$’000</w:t>
            </w:r>
          </w:p>
        </w:tc>
        <w:tc>
          <w:tcPr>
            <w:tcW w:w="2756" w:type="dxa"/>
            <w:tcBorders>
              <w:top w:val="nil"/>
              <w:left w:val="nil"/>
              <w:bottom w:val="single" w:sz="4" w:space="0" w:color="auto"/>
              <w:right w:val="nil"/>
            </w:tcBorders>
            <w:shd w:val="clear" w:color="000000" w:fill="D9D9D9"/>
            <w:vAlign w:val="bottom"/>
            <w:hideMark/>
          </w:tcPr>
          <w:p w:rsidR="007E1E1E" w:rsidRDefault="007E1E1E" w:rsidP="00B50E5D">
            <w:pPr>
              <w:pStyle w:val="AdminCurrentYearHeadersGrey"/>
            </w:pPr>
            <w:r>
              <w:t>$’000</w:t>
            </w:r>
          </w:p>
        </w:tc>
      </w:tr>
      <w:tr w:rsidR="007E1E1E" w:rsidTr="00B50E5D">
        <w:trPr>
          <w:trHeight w:val="255"/>
        </w:trPr>
        <w:tc>
          <w:tcPr>
            <w:tcW w:w="3856" w:type="dxa"/>
            <w:tcBorders>
              <w:top w:val="nil"/>
              <w:left w:val="nil"/>
              <w:bottom w:val="nil"/>
              <w:right w:val="nil"/>
            </w:tcBorders>
            <w:shd w:val="clear" w:color="000000" w:fill="D9D9D9"/>
            <w:vAlign w:val="bottom"/>
            <w:hideMark/>
          </w:tcPr>
          <w:p w:rsidR="007E1E1E" w:rsidRDefault="007E1E1E" w:rsidP="00B50E5D">
            <w:pPr>
              <w:pStyle w:val="AdminRowTextHeaderBoldGrey"/>
            </w:pPr>
            <w:r>
              <w:t>FUNCTIONS ASSUMED</w:t>
            </w:r>
          </w:p>
        </w:tc>
        <w:tc>
          <w:tcPr>
            <w:tcW w:w="27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27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27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3856" w:type="dxa"/>
            <w:tcBorders>
              <w:top w:val="nil"/>
              <w:left w:val="nil"/>
              <w:bottom w:val="nil"/>
              <w:right w:val="nil"/>
            </w:tcBorders>
            <w:shd w:val="clear" w:color="000000" w:fill="D9D9D9"/>
            <w:vAlign w:val="bottom"/>
            <w:hideMark/>
          </w:tcPr>
          <w:p w:rsidR="007E1E1E" w:rsidRDefault="007E1E1E" w:rsidP="00B50E5D">
            <w:pPr>
              <w:pStyle w:val="AdminRowTextHeaderBoldGrey"/>
            </w:pPr>
            <w:r>
              <w:t>Assets assumed</w:t>
            </w:r>
          </w:p>
        </w:tc>
        <w:tc>
          <w:tcPr>
            <w:tcW w:w="27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27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27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3856" w:type="dxa"/>
            <w:tcBorders>
              <w:top w:val="nil"/>
              <w:left w:val="nil"/>
              <w:bottom w:val="nil"/>
              <w:right w:val="nil"/>
            </w:tcBorders>
            <w:shd w:val="clear" w:color="000000" w:fill="D9D9D9"/>
            <w:noWrap/>
            <w:vAlign w:val="bottom"/>
            <w:hideMark/>
          </w:tcPr>
          <w:p w:rsidR="007E1E1E" w:rsidRDefault="007E1E1E" w:rsidP="00B50E5D">
            <w:pPr>
              <w:pStyle w:val="AdminRowTextIndentGrey"/>
            </w:pPr>
            <w:r>
              <w:t>Cash and cash equivalents</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139,331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 -</w:t>
            </w:r>
          </w:p>
        </w:tc>
      </w:tr>
      <w:tr w:rsidR="007E1E1E" w:rsidTr="00B50E5D">
        <w:trPr>
          <w:trHeight w:val="255"/>
        </w:trPr>
        <w:tc>
          <w:tcPr>
            <w:tcW w:w="3856" w:type="dxa"/>
            <w:tcBorders>
              <w:top w:val="nil"/>
              <w:left w:val="nil"/>
              <w:bottom w:val="nil"/>
              <w:right w:val="nil"/>
            </w:tcBorders>
            <w:shd w:val="clear" w:color="000000" w:fill="D9D9D9"/>
            <w:noWrap/>
            <w:vAlign w:val="bottom"/>
            <w:hideMark/>
          </w:tcPr>
          <w:p w:rsidR="007E1E1E" w:rsidRDefault="007E1E1E" w:rsidP="00B50E5D">
            <w:pPr>
              <w:pStyle w:val="AdminRowTextIndentGrey"/>
            </w:pPr>
            <w:r>
              <w:t>Trade and other receivables</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9,478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431,524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 -</w:t>
            </w:r>
          </w:p>
        </w:tc>
      </w:tr>
      <w:tr w:rsidR="007E1E1E" w:rsidTr="00B50E5D">
        <w:trPr>
          <w:trHeight w:val="255"/>
        </w:trPr>
        <w:tc>
          <w:tcPr>
            <w:tcW w:w="3856" w:type="dxa"/>
            <w:tcBorders>
              <w:top w:val="nil"/>
              <w:left w:val="nil"/>
              <w:bottom w:val="nil"/>
              <w:right w:val="nil"/>
            </w:tcBorders>
            <w:shd w:val="clear" w:color="000000" w:fill="D9D9D9"/>
            <w:noWrap/>
            <w:vAlign w:val="bottom"/>
            <w:hideMark/>
          </w:tcPr>
          <w:p w:rsidR="007E1E1E" w:rsidRDefault="007E1E1E" w:rsidP="00B50E5D">
            <w:pPr>
              <w:pStyle w:val="AdminRowTextIndentGrey"/>
            </w:pPr>
            <w:r>
              <w:t>Personal benefits receivable</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295,752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 -</w:t>
            </w:r>
          </w:p>
        </w:tc>
      </w:tr>
      <w:tr w:rsidR="007E1E1E" w:rsidTr="00B50E5D">
        <w:trPr>
          <w:trHeight w:val="255"/>
        </w:trPr>
        <w:tc>
          <w:tcPr>
            <w:tcW w:w="3856" w:type="dxa"/>
            <w:tcBorders>
              <w:top w:val="nil"/>
              <w:left w:val="nil"/>
              <w:bottom w:val="nil"/>
              <w:right w:val="nil"/>
            </w:tcBorders>
            <w:shd w:val="clear" w:color="000000" w:fill="D9D9D9"/>
            <w:noWrap/>
            <w:vAlign w:val="bottom"/>
            <w:hideMark/>
          </w:tcPr>
          <w:p w:rsidR="007E1E1E" w:rsidRDefault="007E1E1E" w:rsidP="00B50E5D">
            <w:pPr>
              <w:pStyle w:val="AdminRowTextIndentGrey"/>
            </w:pPr>
            <w:r>
              <w:t>Advances and loans</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11,885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22,432,432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 -</w:t>
            </w:r>
          </w:p>
        </w:tc>
      </w:tr>
      <w:tr w:rsidR="007E1E1E" w:rsidTr="00B50E5D">
        <w:trPr>
          <w:trHeight w:val="255"/>
        </w:trPr>
        <w:tc>
          <w:tcPr>
            <w:tcW w:w="3856" w:type="dxa"/>
            <w:tcBorders>
              <w:top w:val="nil"/>
              <w:left w:val="nil"/>
              <w:bottom w:val="nil"/>
              <w:right w:val="nil"/>
            </w:tcBorders>
            <w:shd w:val="clear" w:color="000000" w:fill="D9D9D9"/>
            <w:noWrap/>
            <w:vAlign w:val="bottom"/>
            <w:hideMark/>
          </w:tcPr>
          <w:p w:rsidR="007E1E1E" w:rsidRDefault="007E1E1E" w:rsidP="00B50E5D">
            <w:pPr>
              <w:pStyle w:val="AdminRowTextIndentGrey"/>
            </w:pPr>
            <w:r>
              <w:t>Other non-financial assets</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3,864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 -</w:t>
            </w:r>
          </w:p>
        </w:tc>
      </w:tr>
      <w:tr w:rsidR="007E1E1E" w:rsidTr="00B50E5D">
        <w:trPr>
          <w:trHeight w:val="255"/>
        </w:trPr>
        <w:tc>
          <w:tcPr>
            <w:tcW w:w="3856" w:type="dxa"/>
            <w:tcBorders>
              <w:top w:val="nil"/>
              <w:left w:val="nil"/>
              <w:bottom w:val="single" w:sz="4" w:space="0" w:color="D9D9D9"/>
              <w:right w:val="nil"/>
            </w:tcBorders>
            <w:shd w:val="clear" w:color="000000" w:fill="D9D9D9"/>
            <w:noWrap/>
            <w:vAlign w:val="bottom"/>
            <w:hideMark/>
          </w:tcPr>
          <w:p w:rsidR="007E1E1E" w:rsidRDefault="007E1E1E" w:rsidP="00B50E5D">
            <w:pPr>
              <w:pStyle w:val="AdminRowTextIndentGrey"/>
            </w:pPr>
            <w:r>
              <w:t>Investments</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6,987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1,960,654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38,465 </w:t>
            </w:r>
          </w:p>
        </w:tc>
      </w:tr>
      <w:tr w:rsidR="007E1E1E" w:rsidTr="00B50E5D">
        <w:trPr>
          <w:trHeight w:val="255"/>
        </w:trPr>
        <w:tc>
          <w:tcPr>
            <w:tcW w:w="38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rPr>
                <w:rFonts w:cs="Calibri"/>
                <w:b/>
                <w:bCs/>
                <w:szCs w:val="18"/>
              </w:rPr>
            </w:pPr>
            <w:r>
              <w:rPr>
                <w:rFonts w:cs="Calibri"/>
                <w:b/>
                <w:bCs/>
                <w:szCs w:val="18"/>
              </w:rPr>
              <w:t>Total assets assumed</w:t>
            </w:r>
          </w:p>
        </w:tc>
        <w:tc>
          <w:tcPr>
            <w:tcW w:w="27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467,297</w:t>
            </w:r>
          </w:p>
        </w:tc>
        <w:tc>
          <w:tcPr>
            <w:tcW w:w="27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24,824,610</w:t>
            </w:r>
          </w:p>
        </w:tc>
        <w:tc>
          <w:tcPr>
            <w:tcW w:w="27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38,465</w:t>
            </w:r>
          </w:p>
        </w:tc>
      </w:tr>
      <w:tr w:rsidR="007E1E1E" w:rsidTr="00B50E5D">
        <w:trPr>
          <w:trHeight w:val="255"/>
        </w:trPr>
        <w:tc>
          <w:tcPr>
            <w:tcW w:w="3856" w:type="dxa"/>
            <w:tcBorders>
              <w:top w:val="nil"/>
              <w:left w:val="nil"/>
              <w:bottom w:val="nil"/>
              <w:right w:val="nil"/>
            </w:tcBorders>
            <w:shd w:val="clear" w:color="000000" w:fill="D9D9D9"/>
            <w:vAlign w:val="bottom"/>
            <w:hideMark/>
          </w:tcPr>
          <w:p w:rsidR="007E1E1E" w:rsidRDefault="007E1E1E" w:rsidP="00B50E5D">
            <w:pPr>
              <w:pStyle w:val="AdminRowTextHeaderBoldGrey"/>
            </w:pPr>
            <w:r>
              <w:t> </w:t>
            </w:r>
          </w:p>
        </w:tc>
        <w:tc>
          <w:tcPr>
            <w:tcW w:w="27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27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27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3856" w:type="dxa"/>
            <w:tcBorders>
              <w:top w:val="nil"/>
              <w:left w:val="nil"/>
              <w:bottom w:val="nil"/>
              <w:right w:val="nil"/>
            </w:tcBorders>
            <w:shd w:val="clear" w:color="000000" w:fill="D9D9D9"/>
            <w:vAlign w:val="bottom"/>
            <w:hideMark/>
          </w:tcPr>
          <w:p w:rsidR="007E1E1E" w:rsidRDefault="007E1E1E" w:rsidP="00B50E5D">
            <w:pPr>
              <w:pStyle w:val="AdminRowTextHeaderBoldGrey"/>
            </w:pPr>
            <w:r>
              <w:t>Liabilities assumed</w:t>
            </w:r>
          </w:p>
        </w:tc>
        <w:tc>
          <w:tcPr>
            <w:tcW w:w="27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27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27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3856" w:type="dxa"/>
            <w:tcBorders>
              <w:top w:val="nil"/>
              <w:left w:val="nil"/>
              <w:bottom w:val="nil"/>
              <w:right w:val="nil"/>
            </w:tcBorders>
            <w:shd w:val="clear" w:color="000000" w:fill="D9D9D9"/>
            <w:noWrap/>
            <w:vAlign w:val="bottom"/>
            <w:hideMark/>
          </w:tcPr>
          <w:p w:rsidR="007E1E1E" w:rsidRDefault="007E1E1E" w:rsidP="00B50E5D">
            <w:pPr>
              <w:pStyle w:val="AdminRowTextIndentGrey"/>
            </w:pPr>
            <w:r>
              <w:t>Suppliers</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33,327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551,779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 -</w:t>
            </w:r>
          </w:p>
        </w:tc>
      </w:tr>
      <w:tr w:rsidR="007E1E1E" w:rsidTr="00B50E5D">
        <w:trPr>
          <w:trHeight w:val="255"/>
        </w:trPr>
        <w:tc>
          <w:tcPr>
            <w:tcW w:w="3856" w:type="dxa"/>
            <w:tcBorders>
              <w:top w:val="nil"/>
              <w:left w:val="nil"/>
              <w:bottom w:val="nil"/>
              <w:right w:val="nil"/>
            </w:tcBorders>
            <w:shd w:val="clear" w:color="000000" w:fill="D9D9D9"/>
            <w:noWrap/>
            <w:vAlign w:val="bottom"/>
            <w:hideMark/>
          </w:tcPr>
          <w:p w:rsidR="007E1E1E" w:rsidRDefault="007E1E1E" w:rsidP="00B50E5D">
            <w:pPr>
              <w:pStyle w:val="AdminRowTextIndentGrey"/>
            </w:pPr>
            <w:r>
              <w:t>Personal benefits payable</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118,561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 -</w:t>
            </w:r>
          </w:p>
        </w:tc>
      </w:tr>
      <w:tr w:rsidR="007E1E1E" w:rsidTr="00B50E5D">
        <w:trPr>
          <w:trHeight w:val="255"/>
        </w:trPr>
        <w:tc>
          <w:tcPr>
            <w:tcW w:w="3856" w:type="dxa"/>
            <w:tcBorders>
              <w:top w:val="nil"/>
              <w:left w:val="nil"/>
              <w:bottom w:val="nil"/>
              <w:right w:val="nil"/>
            </w:tcBorders>
            <w:shd w:val="clear" w:color="000000" w:fill="D9D9D9"/>
            <w:noWrap/>
            <w:vAlign w:val="bottom"/>
            <w:hideMark/>
          </w:tcPr>
          <w:p w:rsidR="007E1E1E" w:rsidRDefault="007E1E1E" w:rsidP="00B50E5D">
            <w:pPr>
              <w:pStyle w:val="AdminRowTextIndentGrey"/>
            </w:pPr>
            <w:r>
              <w:t>Grants payable</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13,663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 -</w:t>
            </w:r>
          </w:p>
        </w:tc>
      </w:tr>
      <w:tr w:rsidR="007E1E1E" w:rsidTr="00B50E5D">
        <w:trPr>
          <w:trHeight w:val="255"/>
        </w:trPr>
        <w:tc>
          <w:tcPr>
            <w:tcW w:w="3856" w:type="dxa"/>
            <w:tcBorders>
              <w:top w:val="nil"/>
              <w:left w:val="nil"/>
              <w:bottom w:val="nil"/>
              <w:right w:val="nil"/>
            </w:tcBorders>
            <w:shd w:val="clear" w:color="000000" w:fill="D9D9D9"/>
            <w:noWrap/>
            <w:vAlign w:val="bottom"/>
            <w:hideMark/>
          </w:tcPr>
          <w:p w:rsidR="007E1E1E" w:rsidRDefault="007E1E1E" w:rsidP="00B50E5D">
            <w:pPr>
              <w:pStyle w:val="AdminRowTextIndentGrey"/>
            </w:pPr>
            <w:r>
              <w:t>Other payable</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2,794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 -</w:t>
            </w:r>
          </w:p>
        </w:tc>
      </w:tr>
      <w:tr w:rsidR="007E1E1E" w:rsidTr="00B50E5D">
        <w:trPr>
          <w:trHeight w:val="255"/>
        </w:trPr>
        <w:tc>
          <w:tcPr>
            <w:tcW w:w="3856" w:type="dxa"/>
            <w:tcBorders>
              <w:top w:val="nil"/>
              <w:left w:val="nil"/>
              <w:bottom w:val="nil"/>
              <w:right w:val="nil"/>
            </w:tcBorders>
            <w:shd w:val="clear" w:color="000000" w:fill="D9D9D9"/>
            <w:noWrap/>
            <w:vAlign w:val="bottom"/>
            <w:hideMark/>
          </w:tcPr>
          <w:p w:rsidR="007E1E1E" w:rsidRDefault="007E1E1E" w:rsidP="00B50E5D">
            <w:pPr>
              <w:pStyle w:val="AdminRowTextIndentGrey"/>
            </w:pPr>
            <w:r>
              <w:t>Provision for personal benefits</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624,484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 -</w:t>
            </w:r>
          </w:p>
        </w:tc>
      </w:tr>
      <w:tr w:rsidR="007E1E1E" w:rsidTr="00B50E5D">
        <w:trPr>
          <w:trHeight w:val="255"/>
        </w:trPr>
        <w:tc>
          <w:tcPr>
            <w:tcW w:w="3856" w:type="dxa"/>
            <w:tcBorders>
              <w:top w:val="nil"/>
              <w:left w:val="nil"/>
              <w:bottom w:val="single" w:sz="4" w:space="0" w:color="auto"/>
              <w:right w:val="nil"/>
            </w:tcBorders>
            <w:shd w:val="clear" w:color="000000" w:fill="D9D9D9"/>
            <w:noWrap/>
            <w:vAlign w:val="bottom"/>
            <w:hideMark/>
          </w:tcPr>
          <w:p w:rsidR="007E1E1E" w:rsidRDefault="007E1E1E" w:rsidP="00B50E5D">
            <w:pPr>
              <w:pStyle w:val="AdminRowTextIndentGrey"/>
            </w:pPr>
            <w:r>
              <w:t>Provision for grants</w:t>
            </w:r>
          </w:p>
        </w:tc>
        <w:tc>
          <w:tcPr>
            <w:tcW w:w="2756" w:type="dxa"/>
            <w:tcBorders>
              <w:top w:val="nil"/>
              <w:left w:val="nil"/>
              <w:bottom w:val="single" w:sz="4" w:space="0" w:color="auto"/>
              <w:right w:val="nil"/>
            </w:tcBorders>
            <w:shd w:val="clear" w:color="000000" w:fill="D9D9D9"/>
            <w:noWrap/>
            <w:vAlign w:val="bottom"/>
            <w:hideMark/>
          </w:tcPr>
          <w:p w:rsidR="007E1E1E" w:rsidRDefault="007E1E1E" w:rsidP="00B50E5D">
            <w:pPr>
              <w:pStyle w:val="AdminManualEntryCell"/>
            </w:pPr>
            <w:r>
              <w:t xml:space="preserve"> -</w:t>
            </w:r>
          </w:p>
        </w:tc>
        <w:tc>
          <w:tcPr>
            <w:tcW w:w="2756" w:type="dxa"/>
            <w:tcBorders>
              <w:top w:val="nil"/>
              <w:left w:val="nil"/>
              <w:bottom w:val="single" w:sz="4" w:space="0" w:color="auto"/>
              <w:right w:val="nil"/>
            </w:tcBorders>
            <w:shd w:val="clear" w:color="000000" w:fill="D9D9D9"/>
            <w:noWrap/>
            <w:vAlign w:val="bottom"/>
            <w:hideMark/>
          </w:tcPr>
          <w:p w:rsidR="007E1E1E" w:rsidRDefault="007E1E1E" w:rsidP="00B50E5D">
            <w:pPr>
              <w:pStyle w:val="AdminManualEntryCell"/>
            </w:pPr>
            <w:r>
              <w:t xml:space="preserve">6,676,618 </w:t>
            </w:r>
          </w:p>
        </w:tc>
        <w:tc>
          <w:tcPr>
            <w:tcW w:w="2756" w:type="dxa"/>
            <w:tcBorders>
              <w:top w:val="nil"/>
              <w:left w:val="nil"/>
              <w:bottom w:val="single" w:sz="4" w:space="0" w:color="auto"/>
              <w:right w:val="nil"/>
            </w:tcBorders>
            <w:shd w:val="clear" w:color="000000" w:fill="D9D9D9"/>
            <w:noWrap/>
            <w:vAlign w:val="bottom"/>
            <w:hideMark/>
          </w:tcPr>
          <w:p w:rsidR="007E1E1E" w:rsidRDefault="007E1E1E" w:rsidP="00B50E5D">
            <w:pPr>
              <w:pStyle w:val="AdminManualEntryCell"/>
            </w:pPr>
            <w:r>
              <w:t xml:space="preserve"> -</w:t>
            </w:r>
          </w:p>
        </w:tc>
      </w:tr>
      <w:tr w:rsidR="007E1E1E" w:rsidTr="00B50E5D">
        <w:trPr>
          <w:trHeight w:val="255"/>
        </w:trPr>
        <w:tc>
          <w:tcPr>
            <w:tcW w:w="3856" w:type="dxa"/>
            <w:tcBorders>
              <w:top w:val="nil"/>
              <w:left w:val="nil"/>
              <w:bottom w:val="single" w:sz="4" w:space="0" w:color="auto"/>
              <w:right w:val="nil"/>
            </w:tcBorders>
            <w:shd w:val="clear" w:color="000000" w:fill="D9D9D9"/>
            <w:noWrap/>
            <w:vAlign w:val="bottom"/>
            <w:hideMark/>
          </w:tcPr>
          <w:p w:rsidR="007E1E1E" w:rsidRDefault="007E1E1E" w:rsidP="00B50E5D">
            <w:pPr>
              <w:rPr>
                <w:rFonts w:cs="Calibri"/>
                <w:b/>
                <w:bCs/>
                <w:szCs w:val="18"/>
              </w:rPr>
            </w:pPr>
            <w:r>
              <w:rPr>
                <w:rFonts w:cs="Calibri"/>
                <w:b/>
                <w:bCs/>
                <w:szCs w:val="18"/>
              </w:rPr>
              <w:t>Total liabilities assumed</w:t>
            </w:r>
          </w:p>
        </w:tc>
        <w:tc>
          <w:tcPr>
            <w:tcW w:w="2756" w:type="dxa"/>
            <w:tcBorders>
              <w:top w:val="nil"/>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792,829</w:t>
            </w:r>
          </w:p>
        </w:tc>
        <w:tc>
          <w:tcPr>
            <w:tcW w:w="2756" w:type="dxa"/>
            <w:tcBorders>
              <w:top w:val="nil"/>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7,228,397</w:t>
            </w:r>
          </w:p>
        </w:tc>
        <w:tc>
          <w:tcPr>
            <w:tcW w:w="2756" w:type="dxa"/>
            <w:tcBorders>
              <w:top w:val="nil"/>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3856" w:type="dxa"/>
            <w:tcBorders>
              <w:top w:val="nil"/>
              <w:left w:val="nil"/>
              <w:bottom w:val="single" w:sz="4" w:space="0" w:color="auto"/>
              <w:right w:val="nil"/>
            </w:tcBorders>
            <w:shd w:val="clear" w:color="000000" w:fill="D9D9D9"/>
            <w:noWrap/>
            <w:vAlign w:val="bottom"/>
            <w:hideMark/>
          </w:tcPr>
          <w:p w:rsidR="007E1E1E" w:rsidRDefault="007E1E1E" w:rsidP="00B50E5D">
            <w:pPr>
              <w:rPr>
                <w:rFonts w:cs="Calibri"/>
                <w:b/>
                <w:bCs/>
                <w:szCs w:val="18"/>
              </w:rPr>
            </w:pPr>
            <w:r>
              <w:rPr>
                <w:rFonts w:cs="Calibri"/>
                <w:b/>
                <w:bCs/>
                <w:szCs w:val="18"/>
              </w:rPr>
              <w:t>Net assets assumed</w:t>
            </w:r>
          </w:p>
        </w:tc>
        <w:tc>
          <w:tcPr>
            <w:tcW w:w="2756" w:type="dxa"/>
            <w:tcBorders>
              <w:top w:val="nil"/>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(325,532)</w:t>
            </w:r>
          </w:p>
        </w:tc>
        <w:tc>
          <w:tcPr>
            <w:tcW w:w="2756" w:type="dxa"/>
            <w:tcBorders>
              <w:top w:val="nil"/>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17,596,213</w:t>
            </w:r>
          </w:p>
        </w:tc>
        <w:tc>
          <w:tcPr>
            <w:tcW w:w="2756" w:type="dxa"/>
            <w:tcBorders>
              <w:top w:val="nil"/>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38,465</w:t>
            </w:r>
          </w:p>
        </w:tc>
      </w:tr>
      <w:tr w:rsidR="007E1E1E" w:rsidTr="00B50E5D">
        <w:trPr>
          <w:trHeight w:val="960"/>
        </w:trPr>
        <w:tc>
          <w:tcPr>
            <w:tcW w:w="3856" w:type="dxa"/>
            <w:tcBorders>
              <w:top w:val="nil"/>
              <w:left w:val="nil"/>
              <w:bottom w:val="nil"/>
              <w:right w:val="nil"/>
            </w:tcBorders>
            <w:shd w:val="clear" w:color="000000" w:fill="D9D9D9"/>
            <w:noWrap/>
            <w:hideMark/>
          </w:tcPr>
          <w:p w:rsidR="007E1E1E" w:rsidRDefault="007E1E1E" w:rsidP="00B50E5D">
            <w:pPr>
              <w:rPr>
                <w:rFonts w:ascii="Arial" w:hAnsi="Arial" w:cs="Arial"/>
                <w:b/>
                <w:bCs/>
                <w:sz w:val="16"/>
                <w:szCs w:val="16"/>
              </w:rPr>
            </w:pPr>
            <w:r>
              <w:rPr>
                <w:rFonts w:ascii="Arial" w:hAnsi="Arial" w:cs="Arial"/>
                <w:b/>
                <w:bCs/>
                <w:sz w:val="16"/>
                <w:szCs w:val="16"/>
              </w:rPr>
              <w:lastRenderedPageBreak/>
              <w:t>Function</w:t>
            </w:r>
          </w:p>
        </w:tc>
        <w:tc>
          <w:tcPr>
            <w:tcW w:w="2756" w:type="dxa"/>
            <w:tcBorders>
              <w:top w:val="nil"/>
              <w:left w:val="nil"/>
              <w:bottom w:val="nil"/>
              <w:right w:val="nil"/>
            </w:tcBorders>
            <w:shd w:val="clear" w:color="000000" w:fill="D9D9D9"/>
            <w:hideMark/>
          </w:tcPr>
          <w:p w:rsidR="007E1E1E" w:rsidRDefault="007E1E1E" w:rsidP="00B50E5D">
            <w:pPr>
              <w:pStyle w:val="AdminCurrentYearHeadersGrey"/>
            </w:pPr>
            <w:r>
              <w:t>Education: including Early Childhood Education and Care, Schools and Youth</w:t>
            </w:r>
          </w:p>
        </w:tc>
        <w:tc>
          <w:tcPr>
            <w:tcW w:w="2756" w:type="dxa"/>
            <w:tcBorders>
              <w:top w:val="nil"/>
              <w:left w:val="nil"/>
              <w:bottom w:val="nil"/>
              <w:right w:val="nil"/>
            </w:tcBorders>
            <w:shd w:val="clear" w:color="000000" w:fill="D9D9D9"/>
            <w:hideMark/>
          </w:tcPr>
          <w:p w:rsidR="007E1E1E" w:rsidRDefault="007E1E1E" w:rsidP="00B50E5D">
            <w:pPr>
              <w:pStyle w:val="AdminCurrentYearHeadersGrey"/>
            </w:pPr>
            <w:r>
              <w:t>Tertiary Education: including Higher Education, Vocational Education and International Education</w:t>
            </w:r>
          </w:p>
        </w:tc>
        <w:tc>
          <w:tcPr>
            <w:tcW w:w="2756" w:type="dxa"/>
            <w:tcBorders>
              <w:top w:val="nil"/>
              <w:left w:val="nil"/>
              <w:bottom w:val="nil"/>
              <w:right w:val="nil"/>
            </w:tcBorders>
            <w:shd w:val="clear" w:color="000000" w:fill="D9D9D9"/>
            <w:hideMark/>
          </w:tcPr>
          <w:p w:rsidR="007E1E1E" w:rsidRDefault="007E1E1E" w:rsidP="00B50E5D">
            <w:pPr>
              <w:pStyle w:val="AdminCurrentYearHeadersGrey"/>
            </w:pPr>
            <w:r>
              <w:t>Tertiary Education: including Research</w:t>
            </w:r>
          </w:p>
        </w:tc>
      </w:tr>
      <w:tr w:rsidR="007E1E1E" w:rsidTr="00B50E5D">
        <w:trPr>
          <w:trHeight w:val="765"/>
        </w:trPr>
        <w:tc>
          <w:tcPr>
            <w:tcW w:w="3856" w:type="dxa"/>
            <w:tcBorders>
              <w:top w:val="nil"/>
              <w:left w:val="nil"/>
              <w:bottom w:val="nil"/>
              <w:right w:val="nil"/>
            </w:tcBorders>
            <w:shd w:val="clear" w:color="000000" w:fill="D9D9D9"/>
            <w:noWrap/>
            <w:hideMark/>
          </w:tcPr>
          <w:p w:rsidR="007E1E1E" w:rsidRDefault="007E1E1E" w:rsidP="00B50E5D">
            <w:pPr>
              <w:rPr>
                <w:rFonts w:ascii="Arial" w:hAnsi="Arial" w:cs="Arial"/>
                <w:b/>
                <w:bCs/>
                <w:sz w:val="16"/>
                <w:szCs w:val="16"/>
              </w:rPr>
            </w:pPr>
            <w:r>
              <w:rPr>
                <w:rFonts w:ascii="Arial" w:hAnsi="Arial" w:cs="Arial"/>
                <w:b/>
                <w:bCs/>
                <w:sz w:val="16"/>
                <w:szCs w:val="16"/>
              </w:rPr>
              <w:t>Entity</w:t>
            </w:r>
          </w:p>
        </w:tc>
        <w:tc>
          <w:tcPr>
            <w:tcW w:w="2756" w:type="dxa"/>
            <w:tcBorders>
              <w:top w:val="nil"/>
              <w:left w:val="nil"/>
              <w:bottom w:val="nil"/>
              <w:right w:val="nil"/>
            </w:tcBorders>
            <w:shd w:val="clear" w:color="000000" w:fill="D9D9D9"/>
            <w:hideMark/>
          </w:tcPr>
          <w:p w:rsidR="007E1E1E" w:rsidRDefault="007E1E1E" w:rsidP="00B50E5D">
            <w:pPr>
              <w:pStyle w:val="AdminCurrentYearHeadersGrey"/>
            </w:pPr>
            <w:r>
              <w:t xml:space="preserve">Department of Education, Employment and Workplace </w:t>
            </w:r>
            <w:proofErr w:type="spellStart"/>
            <w:r>
              <w:t>Relations</w:t>
            </w:r>
            <w:r>
              <w:rPr>
                <w:vertAlign w:val="superscript"/>
              </w:rPr>
              <w:t>1</w:t>
            </w:r>
            <w:proofErr w:type="spellEnd"/>
          </w:p>
        </w:tc>
        <w:tc>
          <w:tcPr>
            <w:tcW w:w="2756" w:type="dxa"/>
            <w:tcBorders>
              <w:top w:val="nil"/>
              <w:left w:val="nil"/>
              <w:bottom w:val="nil"/>
              <w:right w:val="nil"/>
            </w:tcBorders>
            <w:shd w:val="clear" w:color="000000" w:fill="D9D9D9"/>
            <w:hideMark/>
          </w:tcPr>
          <w:p w:rsidR="007E1E1E" w:rsidRDefault="007E1E1E" w:rsidP="00B50E5D">
            <w:pPr>
              <w:pStyle w:val="AdminCurrentYearHeadersGrey"/>
            </w:pPr>
            <w:r>
              <w:t xml:space="preserve">Department of Industry, Innovation, Science, Research and Tertiary </w:t>
            </w:r>
            <w:proofErr w:type="spellStart"/>
            <w:r>
              <w:t>Education</w:t>
            </w:r>
            <w:r>
              <w:rPr>
                <w:vertAlign w:val="superscript"/>
              </w:rPr>
              <w:t>2</w:t>
            </w:r>
            <w:proofErr w:type="spellEnd"/>
          </w:p>
        </w:tc>
        <w:tc>
          <w:tcPr>
            <w:tcW w:w="2756" w:type="dxa"/>
            <w:tcBorders>
              <w:top w:val="nil"/>
              <w:left w:val="nil"/>
              <w:bottom w:val="nil"/>
              <w:right w:val="nil"/>
            </w:tcBorders>
            <w:shd w:val="clear" w:color="000000" w:fill="D9D9D9"/>
            <w:hideMark/>
          </w:tcPr>
          <w:p w:rsidR="007E1E1E" w:rsidRDefault="007E1E1E" w:rsidP="00B50E5D">
            <w:pPr>
              <w:pStyle w:val="AdminCurrentYearHeadersGrey"/>
            </w:pPr>
            <w:r>
              <w:t xml:space="preserve">Department of the Prime Minister and </w:t>
            </w:r>
            <w:proofErr w:type="spellStart"/>
            <w:r>
              <w:t>Cabinet</w:t>
            </w:r>
            <w:r>
              <w:rPr>
                <w:vertAlign w:val="superscript"/>
              </w:rPr>
              <w:t>3</w:t>
            </w:r>
            <w:proofErr w:type="spellEnd"/>
          </w:p>
        </w:tc>
      </w:tr>
      <w:tr w:rsidR="007E1E1E" w:rsidTr="00B50E5D">
        <w:trPr>
          <w:trHeight w:val="255"/>
        </w:trPr>
        <w:tc>
          <w:tcPr>
            <w:tcW w:w="3856" w:type="dxa"/>
            <w:tcBorders>
              <w:top w:val="nil"/>
              <w:left w:val="nil"/>
              <w:bottom w:val="single" w:sz="4" w:space="0" w:color="auto"/>
              <w:right w:val="nil"/>
            </w:tcBorders>
            <w:shd w:val="clear" w:color="000000" w:fill="D9D9D9"/>
            <w:noWrap/>
            <w:hideMark/>
          </w:tcPr>
          <w:p w:rsidR="007E1E1E" w:rsidRDefault="007E1E1E" w:rsidP="00B50E5D">
            <w:pPr>
              <w:rPr>
                <w:rFonts w:ascii="Arial" w:hAnsi="Arial" w:cs="Arial"/>
                <w:b/>
                <w:bCs/>
                <w:sz w:val="16"/>
                <w:szCs w:val="16"/>
              </w:rPr>
            </w:pPr>
            <w:r>
              <w:rPr>
                <w:rFonts w:ascii="Arial" w:hAnsi="Arial" w:cs="Arial"/>
                <w:b/>
                <w:bCs/>
                <w:sz w:val="16"/>
                <w:szCs w:val="16"/>
              </w:rPr>
              <w:t> </w:t>
            </w:r>
          </w:p>
        </w:tc>
        <w:tc>
          <w:tcPr>
            <w:tcW w:w="2756" w:type="dxa"/>
            <w:tcBorders>
              <w:top w:val="nil"/>
              <w:left w:val="nil"/>
              <w:bottom w:val="single" w:sz="4" w:space="0" w:color="auto"/>
              <w:right w:val="nil"/>
            </w:tcBorders>
            <w:shd w:val="clear" w:color="000000" w:fill="D9D9D9"/>
            <w:vAlign w:val="bottom"/>
            <w:hideMark/>
          </w:tcPr>
          <w:p w:rsidR="007E1E1E" w:rsidRDefault="007E1E1E" w:rsidP="00B50E5D">
            <w:pPr>
              <w:pStyle w:val="AdminCurrentYearHeadersGrey"/>
            </w:pPr>
            <w:r>
              <w:t>$’000</w:t>
            </w:r>
          </w:p>
        </w:tc>
        <w:tc>
          <w:tcPr>
            <w:tcW w:w="2756" w:type="dxa"/>
            <w:tcBorders>
              <w:top w:val="nil"/>
              <w:left w:val="nil"/>
              <w:bottom w:val="single" w:sz="4" w:space="0" w:color="auto"/>
              <w:right w:val="nil"/>
            </w:tcBorders>
            <w:shd w:val="clear" w:color="000000" w:fill="D9D9D9"/>
            <w:vAlign w:val="bottom"/>
            <w:hideMark/>
          </w:tcPr>
          <w:p w:rsidR="007E1E1E" w:rsidRDefault="007E1E1E" w:rsidP="00B50E5D">
            <w:pPr>
              <w:pStyle w:val="AdminCurrentYearHeadersGrey"/>
            </w:pPr>
            <w:r>
              <w:t>$’000</w:t>
            </w:r>
          </w:p>
        </w:tc>
        <w:tc>
          <w:tcPr>
            <w:tcW w:w="2756" w:type="dxa"/>
            <w:tcBorders>
              <w:top w:val="nil"/>
              <w:left w:val="nil"/>
              <w:bottom w:val="single" w:sz="4" w:space="0" w:color="auto"/>
              <w:right w:val="nil"/>
            </w:tcBorders>
            <w:shd w:val="clear" w:color="000000" w:fill="D9D9D9"/>
            <w:vAlign w:val="bottom"/>
            <w:hideMark/>
          </w:tcPr>
          <w:p w:rsidR="007E1E1E" w:rsidRDefault="007E1E1E" w:rsidP="00B50E5D">
            <w:pPr>
              <w:pStyle w:val="AdminCurrentYearHeadersGrey"/>
            </w:pPr>
            <w:r>
              <w:t>$’000</w:t>
            </w:r>
          </w:p>
        </w:tc>
      </w:tr>
      <w:tr w:rsidR="007E1E1E" w:rsidTr="00B50E5D">
        <w:trPr>
          <w:trHeight w:val="255"/>
        </w:trPr>
        <w:tc>
          <w:tcPr>
            <w:tcW w:w="3856"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Income assumed</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CurrentYearSubTotal"/>
            </w:pPr>
            <w:r>
              <w:t>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CurrentYearSubTotal"/>
            </w:pPr>
            <w:r>
              <w:t>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CurrentYearSubTotal"/>
            </w:pPr>
            <w:r>
              <w:t> </w:t>
            </w:r>
          </w:p>
        </w:tc>
      </w:tr>
      <w:tr w:rsidR="007E1E1E" w:rsidTr="00B50E5D">
        <w:trPr>
          <w:trHeight w:val="255"/>
        </w:trPr>
        <w:tc>
          <w:tcPr>
            <w:tcW w:w="3856" w:type="dxa"/>
            <w:tcBorders>
              <w:top w:val="nil"/>
              <w:left w:val="nil"/>
              <w:bottom w:val="nil"/>
              <w:right w:val="nil"/>
            </w:tcBorders>
            <w:shd w:val="clear" w:color="000000" w:fill="D9D9D9"/>
            <w:noWrap/>
            <w:vAlign w:val="bottom"/>
            <w:hideMark/>
          </w:tcPr>
          <w:p w:rsidR="007E1E1E" w:rsidRDefault="007E1E1E" w:rsidP="00B50E5D">
            <w:pPr>
              <w:pStyle w:val="AdminRowTextIndentGrey"/>
            </w:pPr>
            <w:r>
              <w:t>Recognised by the receiving entity</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20,856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881,148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 -</w:t>
            </w:r>
          </w:p>
        </w:tc>
      </w:tr>
      <w:tr w:rsidR="007E1E1E" w:rsidTr="00B50E5D">
        <w:trPr>
          <w:trHeight w:val="255"/>
        </w:trPr>
        <w:tc>
          <w:tcPr>
            <w:tcW w:w="3856" w:type="dxa"/>
            <w:tcBorders>
              <w:top w:val="nil"/>
              <w:left w:val="nil"/>
              <w:bottom w:val="nil"/>
              <w:right w:val="nil"/>
            </w:tcBorders>
            <w:shd w:val="clear" w:color="000000" w:fill="D9D9D9"/>
            <w:noWrap/>
            <w:vAlign w:val="bottom"/>
            <w:hideMark/>
          </w:tcPr>
          <w:p w:rsidR="007E1E1E" w:rsidRDefault="007E1E1E" w:rsidP="00B50E5D">
            <w:pPr>
              <w:pStyle w:val="AdminRowTextIndentGrey"/>
            </w:pPr>
            <w:r>
              <w:t>Recognised by the losing entity</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144,614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8,405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 -</w:t>
            </w:r>
          </w:p>
        </w:tc>
      </w:tr>
      <w:tr w:rsidR="007E1E1E" w:rsidTr="00B50E5D">
        <w:trPr>
          <w:trHeight w:val="255"/>
        </w:trPr>
        <w:tc>
          <w:tcPr>
            <w:tcW w:w="38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rPr>
                <w:rFonts w:cs="Calibri"/>
                <w:b/>
                <w:bCs/>
                <w:szCs w:val="18"/>
              </w:rPr>
            </w:pPr>
            <w:r>
              <w:rPr>
                <w:rFonts w:cs="Calibri"/>
                <w:b/>
                <w:bCs/>
                <w:szCs w:val="18"/>
              </w:rPr>
              <w:t>Total income assumed</w:t>
            </w:r>
          </w:p>
        </w:tc>
        <w:tc>
          <w:tcPr>
            <w:tcW w:w="27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165,470</w:t>
            </w:r>
          </w:p>
        </w:tc>
        <w:tc>
          <w:tcPr>
            <w:tcW w:w="27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889,553</w:t>
            </w:r>
          </w:p>
        </w:tc>
        <w:tc>
          <w:tcPr>
            <w:tcW w:w="27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3856" w:type="dxa"/>
            <w:tcBorders>
              <w:top w:val="nil"/>
              <w:left w:val="nil"/>
              <w:bottom w:val="single" w:sz="4" w:space="0" w:color="D9D9D9"/>
              <w:right w:val="nil"/>
            </w:tcBorders>
            <w:shd w:val="clear" w:color="000000" w:fill="D9D9D9"/>
            <w:noWrap/>
            <w:vAlign w:val="bottom"/>
            <w:hideMark/>
          </w:tcPr>
          <w:p w:rsidR="007E1E1E" w:rsidRDefault="007E1E1E" w:rsidP="00B50E5D">
            <w:pPr>
              <w:pStyle w:val="AdminBlankGreyShade"/>
            </w:pPr>
            <w:r>
              <w:t> </w:t>
            </w:r>
          </w:p>
        </w:tc>
        <w:tc>
          <w:tcPr>
            <w:tcW w:w="2756" w:type="dxa"/>
            <w:tcBorders>
              <w:top w:val="nil"/>
              <w:left w:val="nil"/>
              <w:bottom w:val="single" w:sz="4" w:space="0" w:color="D9D9D9"/>
              <w:right w:val="nil"/>
            </w:tcBorders>
            <w:shd w:val="clear" w:color="000000" w:fill="D9D9D9"/>
            <w:noWrap/>
            <w:vAlign w:val="bottom"/>
            <w:hideMark/>
          </w:tcPr>
          <w:p w:rsidR="007E1E1E" w:rsidRDefault="007E1E1E" w:rsidP="00B50E5D">
            <w:pPr>
              <w:pStyle w:val="AdminBlankGreyShade"/>
            </w:pPr>
            <w:r>
              <w:t> </w:t>
            </w:r>
          </w:p>
        </w:tc>
        <w:tc>
          <w:tcPr>
            <w:tcW w:w="2756" w:type="dxa"/>
            <w:tcBorders>
              <w:top w:val="nil"/>
              <w:left w:val="nil"/>
              <w:bottom w:val="single" w:sz="4" w:space="0" w:color="D9D9D9"/>
              <w:right w:val="nil"/>
            </w:tcBorders>
            <w:shd w:val="clear" w:color="000000" w:fill="D9D9D9"/>
            <w:noWrap/>
            <w:vAlign w:val="bottom"/>
            <w:hideMark/>
          </w:tcPr>
          <w:p w:rsidR="007E1E1E" w:rsidRDefault="007E1E1E" w:rsidP="00B50E5D">
            <w:pPr>
              <w:pStyle w:val="AdminBlankGreyShade"/>
            </w:pPr>
            <w:r>
              <w:t> </w:t>
            </w:r>
          </w:p>
        </w:tc>
        <w:tc>
          <w:tcPr>
            <w:tcW w:w="2756" w:type="dxa"/>
            <w:tcBorders>
              <w:top w:val="nil"/>
              <w:left w:val="nil"/>
              <w:bottom w:val="single" w:sz="4" w:space="0" w:color="D9D9D9"/>
              <w:right w:val="nil"/>
            </w:tcBorders>
            <w:shd w:val="clear" w:color="000000" w:fill="D9D9D9"/>
            <w:noWrap/>
            <w:vAlign w:val="bottom"/>
            <w:hideMark/>
          </w:tcPr>
          <w:p w:rsidR="007E1E1E" w:rsidRDefault="007E1E1E" w:rsidP="00B50E5D">
            <w:pPr>
              <w:pStyle w:val="AdminBlankGreyShade"/>
            </w:pPr>
            <w:r>
              <w:t> </w:t>
            </w:r>
          </w:p>
        </w:tc>
      </w:tr>
      <w:tr w:rsidR="007E1E1E" w:rsidTr="00B50E5D">
        <w:trPr>
          <w:trHeight w:val="255"/>
        </w:trPr>
        <w:tc>
          <w:tcPr>
            <w:tcW w:w="3856"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Expenses assumed</w:t>
            </w:r>
          </w:p>
        </w:tc>
        <w:tc>
          <w:tcPr>
            <w:tcW w:w="27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27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27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3856" w:type="dxa"/>
            <w:tcBorders>
              <w:top w:val="nil"/>
              <w:left w:val="nil"/>
              <w:bottom w:val="nil"/>
              <w:right w:val="nil"/>
            </w:tcBorders>
            <w:shd w:val="clear" w:color="000000" w:fill="D9D9D9"/>
            <w:noWrap/>
            <w:vAlign w:val="bottom"/>
            <w:hideMark/>
          </w:tcPr>
          <w:p w:rsidR="007E1E1E" w:rsidRDefault="007E1E1E" w:rsidP="00B50E5D">
            <w:pPr>
              <w:pStyle w:val="AdminRowTextIndentGrey"/>
            </w:pPr>
            <w:r>
              <w:t>Recognised by the receiving entity</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14,251,244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8,462,473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5,360 </w:t>
            </w:r>
          </w:p>
        </w:tc>
      </w:tr>
      <w:tr w:rsidR="007E1E1E" w:rsidTr="00B50E5D">
        <w:trPr>
          <w:trHeight w:val="255"/>
        </w:trPr>
        <w:tc>
          <w:tcPr>
            <w:tcW w:w="3856" w:type="dxa"/>
            <w:tcBorders>
              <w:top w:val="nil"/>
              <w:left w:val="nil"/>
              <w:bottom w:val="single" w:sz="4" w:space="0" w:color="auto"/>
              <w:right w:val="nil"/>
            </w:tcBorders>
            <w:shd w:val="clear" w:color="000000" w:fill="D9D9D9"/>
            <w:noWrap/>
            <w:vAlign w:val="bottom"/>
            <w:hideMark/>
          </w:tcPr>
          <w:p w:rsidR="007E1E1E" w:rsidRDefault="007E1E1E" w:rsidP="00B50E5D">
            <w:pPr>
              <w:pStyle w:val="AdminRowTextIndentGrey"/>
            </w:pPr>
            <w:r>
              <w:t>Recognised by losing entity</w:t>
            </w:r>
          </w:p>
        </w:tc>
        <w:tc>
          <w:tcPr>
            <w:tcW w:w="2756" w:type="dxa"/>
            <w:tcBorders>
              <w:top w:val="nil"/>
              <w:left w:val="nil"/>
              <w:bottom w:val="single" w:sz="4" w:space="0" w:color="auto"/>
              <w:right w:val="nil"/>
            </w:tcBorders>
            <w:shd w:val="clear" w:color="000000" w:fill="D9D9D9"/>
            <w:noWrap/>
            <w:vAlign w:val="bottom"/>
            <w:hideMark/>
          </w:tcPr>
          <w:p w:rsidR="007E1E1E" w:rsidRDefault="007E1E1E" w:rsidP="00B50E5D">
            <w:pPr>
              <w:pStyle w:val="AdminManualEntryCell"/>
            </w:pPr>
            <w:r>
              <w:t xml:space="preserve">3,531,369 </w:t>
            </w:r>
          </w:p>
        </w:tc>
        <w:tc>
          <w:tcPr>
            <w:tcW w:w="2756" w:type="dxa"/>
            <w:tcBorders>
              <w:top w:val="nil"/>
              <w:left w:val="nil"/>
              <w:bottom w:val="single" w:sz="4" w:space="0" w:color="auto"/>
              <w:right w:val="nil"/>
            </w:tcBorders>
            <w:shd w:val="clear" w:color="000000" w:fill="D9D9D9"/>
            <w:noWrap/>
            <w:vAlign w:val="bottom"/>
            <w:hideMark/>
          </w:tcPr>
          <w:p w:rsidR="007E1E1E" w:rsidRDefault="007E1E1E" w:rsidP="00B50E5D">
            <w:pPr>
              <w:pStyle w:val="AdminManualEntryCell"/>
            </w:pPr>
            <w:r>
              <w:t xml:space="preserve">2,230,376 </w:t>
            </w:r>
          </w:p>
        </w:tc>
        <w:tc>
          <w:tcPr>
            <w:tcW w:w="2756" w:type="dxa"/>
            <w:tcBorders>
              <w:top w:val="nil"/>
              <w:left w:val="nil"/>
              <w:bottom w:val="single" w:sz="4" w:space="0" w:color="auto"/>
              <w:right w:val="nil"/>
            </w:tcBorders>
            <w:shd w:val="clear" w:color="000000" w:fill="D9D9D9"/>
            <w:noWrap/>
            <w:vAlign w:val="bottom"/>
            <w:hideMark/>
          </w:tcPr>
          <w:p w:rsidR="007E1E1E" w:rsidRDefault="007E1E1E" w:rsidP="00B50E5D">
            <w:pPr>
              <w:pStyle w:val="AdminManualEntryCell"/>
            </w:pPr>
            <w:r>
              <w:t xml:space="preserve">2,279 </w:t>
            </w:r>
          </w:p>
        </w:tc>
      </w:tr>
      <w:tr w:rsidR="007E1E1E" w:rsidTr="00B50E5D">
        <w:trPr>
          <w:trHeight w:val="255"/>
        </w:trPr>
        <w:tc>
          <w:tcPr>
            <w:tcW w:w="3856" w:type="dxa"/>
            <w:tcBorders>
              <w:top w:val="nil"/>
              <w:left w:val="nil"/>
              <w:bottom w:val="single" w:sz="4" w:space="0" w:color="auto"/>
              <w:right w:val="nil"/>
            </w:tcBorders>
            <w:shd w:val="clear" w:color="000000" w:fill="D9D9D9"/>
            <w:noWrap/>
            <w:vAlign w:val="bottom"/>
            <w:hideMark/>
          </w:tcPr>
          <w:p w:rsidR="007E1E1E" w:rsidRDefault="007E1E1E" w:rsidP="00B50E5D">
            <w:pPr>
              <w:rPr>
                <w:rFonts w:cs="Calibri"/>
                <w:b/>
                <w:bCs/>
                <w:szCs w:val="18"/>
              </w:rPr>
            </w:pPr>
            <w:r>
              <w:rPr>
                <w:rFonts w:cs="Calibri"/>
                <w:b/>
                <w:bCs/>
                <w:szCs w:val="18"/>
              </w:rPr>
              <w:t>Total expenses assumed</w:t>
            </w:r>
          </w:p>
        </w:tc>
        <w:tc>
          <w:tcPr>
            <w:tcW w:w="2756" w:type="dxa"/>
            <w:tcBorders>
              <w:top w:val="nil"/>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17,782,613</w:t>
            </w:r>
          </w:p>
        </w:tc>
        <w:tc>
          <w:tcPr>
            <w:tcW w:w="2756" w:type="dxa"/>
            <w:tcBorders>
              <w:top w:val="nil"/>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10,692,849</w:t>
            </w:r>
          </w:p>
        </w:tc>
        <w:tc>
          <w:tcPr>
            <w:tcW w:w="2756" w:type="dxa"/>
            <w:tcBorders>
              <w:top w:val="nil"/>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7,639</w:t>
            </w:r>
          </w:p>
        </w:tc>
      </w:tr>
      <w:tr w:rsidR="007E1E1E" w:rsidTr="00B50E5D">
        <w:trPr>
          <w:trHeight w:val="960"/>
        </w:trPr>
        <w:tc>
          <w:tcPr>
            <w:tcW w:w="3856" w:type="dxa"/>
            <w:tcBorders>
              <w:top w:val="nil"/>
              <w:left w:val="nil"/>
              <w:bottom w:val="nil"/>
              <w:right w:val="nil"/>
            </w:tcBorders>
            <w:shd w:val="clear" w:color="000000" w:fill="D9D9D9"/>
            <w:noWrap/>
            <w:hideMark/>
          </w:tcPr>
          <w:p w:rsidR="007E1E1E" w:rsidRDefault="007E1E1E" w:rsidP="00B50E5D">
            <w:pPr>
              <w:rPr>
                <w:rFonts w:ascii="Arial" w:hAnsi="Arial" w:cs="Arial"/>
                <w:b/>
                <w:bCs/>
                <w:sz w:val="16"/>
                <w:szCs w:val="16"/>
              </w:rPr>
            </w:pPr>
            <w:r>
              <w:rPr>
                <w:rFonts w:ascii="Arial" w:hAnsi="Arial" w:cs="Arial"/>
                <w:b/>
                <w:bCs/>
                <w:sz w:val="16"/>
                <w:szCs w:val="16"/>
              </w:rPr>
              <w:t>Function</w:t>
            </w:r>
          </w:p>
        </w:tc>
        <w:tc>
          <w:tcPr>
            <w:tcW w:w="2756" w:type="dxa"/>
            <w:tcBorders>
              <w:top w:val="nil"/>
              <w:left w:val="nil"/>
              <w:bottom w:val="nil"/>
              <w:right w:val="nil"/>
            </w:tcBorders>
            <w:shd w:val="clear" w:color="000000" w:fill="D9D9D9"/>
            <w:hideMark/>
          </w:tcPr>
          <w:p w:rsidR="007E1E1E" w:rsidRDefault="007E1E1E" w:rsidP="00B50E5D">
            <w:pPr>
              <w:pStyle w:val="AdminCurrentYearHeadersGrey"/>
            </w:pPr>
            <w:r>
              <w:t>Education: including Early Childhood and Care, Schools and Youth</w:t>
            </w:r>
          </w:p>
        </w:tc>
        <w:tc>
          <w:tcPr>
            <w:tcW w:w="2756" w:type="dxa"/>
            <w:tcBorders>
              <w:top w:val="nil"/>
              <w:left w:val="nil"/>
              <w:bottom w:val="nil"/>
              <w:right w:val="nil"/>
            </w:tcBorders>
            <w:shd w:val="clear" w:color="000000" w:fill="D9D9D9"/>
            <w:hideMark/>
          </w:tcPr>
          <w:p w:rsidR="007E1E1E" w:rsidRDefault="007E1E1E" w:rsidP="00B50E5D">
            <w:pPr>
              <w:pStyle w:val="AdminCurrentYearHeadersGrey"/>
            </w:pPr>
            <w:r>
              <w:t>Tertiary Education: including Higher Education, Vocational Education and International Education</w:t>
            </w:r>
          </w:p>
        </w:tc>
        <w:tc>
          <w:tcPr>
            <w:tcW w:w="2756" w:type="dxa"/>
            <w:tcBorders>
              <w:top w:val="nil"/>
              <w:left w:val="nil"/>
              <w:bottom w:val="nil"/>
              <w:right w:val="nil"/>
            </w:tcBorders>
            <w:shd w:val="clear" w:color="000000" w:fill="D9D9D9"/>
            <w:hideMark/>
          </w:tcPr>
          <w:p w:rsidR="007E1E1E" w:rsidRDefault="007E1E1E" w:rsidP="00B50E5D">
            <w:pPr>
              <w:pStyle w:val="AdminCurrentYearHeadersGrey"/>
            </w:pPr>
            <w:r>
              <w:t>Education: including Indigenous Education</w:t>
            </w:r>
          </w:p>
        </w:tc>
      </w:tr>
      <w:tr w:rsidR="007E1E1E" w:rsidTr="00B50E5D">
        <w:trPr>
          <w:trHeight w:val="765"/>
        </w:trPr>
        <w:tc>
          <w:tcPr>
            <w:tcW w:w="3856" w:type="dxa"/>
            <w:tcBorders>
              <w:top w:val="nil"/>
              <w:left w:val="nil"/>
              <w:bottom w:val="nil"/>
              <w:right w:val="nil"/>
            </w:tcBorders>
            <w:shd w:val="clear" w:color="000000" w:fill="D9D9D9"/>
            <w:noWrap/>
            <w:hideMark/>
          </w:tcPr>
          <w:p w:rsidR="007E1E1E" w:rsidRDefault="007E1E1E" w:rsidP="00B50E5D">
            <w:pPr>
              <w:rPr>
                <w:rFonts w:ascii="Arial" w:hAnsi="Arial" w:cs="Arial"/>
                <w:b/>
                <w:bCs/>
                <w:sz w:val="16"/>
                <w:szCs w:val="16"/>
              </w:rPr>
            </w:pPr>
            <w:r>
              <w:rPr>
                <w:rFonts w:ascii="Arial" w:hAnsi="Arial" w:cs="Arial"/>
                <w:b/>
                <w:bCs/>
                <w:sz w:val="16"/>
                <w:szCs w:val="16"/>
              </w:rPr>
              <w:t>Entity</w:t>
            </w:r>
          </w:p>
        </w:tc>
        <w:tc>
          <w:tcPr>
            <w:tcW w:w="2756" w:type="dxa"/>
            <w:tcBorders>
              <w:top w:val="nil"/>
              <w:left w:val="nil"/>
              <w:bottom w:val="nil"/>
              <w:right w:val="nil"/>
            </w:tcBorders>
            <w:shd w:val="clear" w:color="000000" w:fill="D9D9D9"/>
            <w:hideMark/>
          </w:tcPr>
          <w:p w:rsidR="007E1E1E" w:rsidRDefault="007E1E1E" w:rsidP="00B50E5D">
            <w:pPr>
              <w:pStyle w:val="AdminCurrentYearHeadersGrey"/>
            </w:pPr>
            <w:r>
              <w:t xml:space="preserve">Department of Education, Employment and Workplace </w:t>
            </w:r>
            <w:proofErr w:type="spellStart"/>
            <w:r>
              <w:t>Relations</w:t>
            </w:r>
            <w:r>
              <w:rPr>
                <w:vertAlign w:val="superscript"/>
              </w:rPr>
              <w:t>1</w:t>
            </w:r>
            <w:proofErr w:type="spellEnd"/>
          </w:p>
        </w:tc>
        <w:tc>
          <w:tcPr>
            <w:tcW w:w="2756" w:type="dxa"/>
            <w:tcBorders>
              <w:top w:val="nil"/>
              <w:left w:val="nil"/>
              <w:bottom w:val="nil"/>
              <w:right w:val="nil"/>
            </w:tcBorders>
            <w:shd w:val="clear" w:color="000000" w:fill="D9D9D9"/>
            <w:hideMark/>
          </w:tcPr>
          <w:p w:rsidR="007E1E1E" w:rsidRDefault="007E1E1E" w:rsidP="00B50E5D">
            <w:pPr>
              <w:pStyle w:val="AdminCurrentYearHeadersGrey"/>
            </w:pPr>
            <w:r>
              <w:t xml:space="preserve">Department of Industry, Innovation, Science, Research and Tertiary </w:t>
            </w:r>
            <w:proofErr w:type="spellStart"/>
            <w:r>
              <w:t>Education</w:t>
            </w:r>
            <w:r>
              <w:rPr>
                <w:vertAlign w:val="superscript"/>
              </w:rPr>
              <w:t>2</w:t>
            </w:r>
            <w:proofErr w:type="spellEnd"/>
          </w:p>
        </w:tc>
        <w:tc>
          <w:tcPr>
            <w:tcW w:w="2756" w:type="dxa"/>
            <w:tcBorders>
              <w:top w:val="nil"/>
              <w:left w:val="nil"/>
              <w:bottom w:val="nil"/>
              <w:right w:val="nil"/>
            </w:tcBorders>
            <w:shd w:val="clear" w:color="000000" w:fill="D9D9D9"/>
            <w:hideMark/>
          </w:tcPr>
          <w:p w:rsidR="007E1E1E" w:rsidRDefault="007E1E1E" w:rsidP="00B50E5D">
            <w:pPr>
              <w:pStyle w:val="AdminCurrentYearHeadersGrey"/>
            </w:pPr>
            <w:r>
              <w:t xml:space="preserve">Department of the Prime Minister and </w:t>
            </w:r>
            <w:proofErr w:type="spellStart"/>
            <w:r>
              <w:t>Cabinet</w:t>
            </w:r>
            <w:r>
              <w:rPr>
                <w:vertAlign w:val="superscript"/>
              </w:rPr>
              <w:t>4</w:t>
            </w:r>
            <w:proofErr w:type="spellEnd"/>
          </w:p>
        </w:tc>
      </w:tr>
      <w:tr w:rsidR="007E1E1E" w:rsidTr="00B50E5D">
        <w:trPr>
          <w:trHeight w:val="255"/>
        </w:trPr>
        <w:tc>
          <w:tcPr>
            <w:tcW w:w="3856" w:type="dxa"/>
            <w:tcBorders>
              <w:top w:val="nil"/>
              <w:left w:val="nil"/>
              <w:bottom w:val="single" w:sz="4" w:space="0" w:color="auto"/>
              <w:right w:val="nil"/>
            </w:tcBorders>
            <w:shd w:val="clear" w:color="000000" w:fill="D9D9D9"/>
            <w:noWrap/>
            <w:vAlign w:val="bottom"/>
            <w:hideMark/>
          </w:tcPr>
          <w:p w:rsidR="007E1E1E" w:rsidRDefault="007E1E1E" w:rsidP="00B50E5D">
            <w:pPr>
              <w:rPr>
                <w:rFonts w:ascii="Arial" w:hAnsi="Arial" w:cs="Arial"/>
                <w:b/>
                <w:bCs/>
                <w:sz w:val="16"/>
                <w:szCs w:val="16"/>
              </w:rPr>
            </w:pPr>
            <w:r>
              <w:rPr>
                <w:rFonts w:ascii="Arial" w:hAnsi="Arial" w:cs="Arial"/>
                <w:b/>
                <w:bCs/>
                <w:sz w:val="16"/>
                <w:szCs w:val="16"/>
              </w:rPr>
              <w:t> </w:t>
            </w:r>
          </w:p>
        </w:tc>
        <w:tc>
          <w:tcPr>
            <w:tcW w:w="2756" w:type="dxa"/>
            <w:tcBorders>
              <w:top w:val="nil"/>
              <w:left w:val="nil"/>
              <w:bottom w:val="single" w:sz="4" w:space="0" w:color="auto"/>
              <w:right w:val="nil"/>
            </w:tcBorders>
            <w:shd w:val="clear" w:color="000000" w:fill="D9D9D9"/>
            <w:vAlign w:val="bottom"/>
            <w:hideMark/>
          </w:tcPr>
          <w:p w:rsidR="007E1E1E" w:rsidRDefault="007E1E1E" w:rsidP="00B50E5D">
            <w:pPr>
              <w:pStyle w:val="AdminCurrentYearHeadersGrey"/>
            </w:pPr>
            <w:r>
              <w:t>$’000</w:t>
            </w:r>
          </w:p>
        </w:tc>
        <w:tc>
          <w:tcPr>
            <w:tcW w:w="2756" w:type="dxa"/>
            <w:tcBorders>
              <w:top w:val="nil"/>
              <w:left w:val="nil"/>
              <w:bottom w:val="single" w:sz="4" w:space="0" w:color="auto"/>
              <w:right w:val="nil"/>
            </w:tcBorders>
            <w:shd w:val="clear" w:color="000000" w:fill="D9D9D9"/>
            <w:vAlign w:val="bottom"/>
            <w:hideMark/>
          </w:tcPr>
          <w:p w:rsidR="007E1E1E" w:rsidRDefault="007E1E1E" w:rsidP="00B50E5D">
            <w:pPr>
              <w:pStyle w:val="AdminCurrentYearHeadersGrey"/>
            </w:pPr>
            <w:r>
              <w:t>$’000</w:t>
            </w:r>
          </w:p>
        </w:tc>
        <w:tc>
          <w:tcPr>
            <w:tcW w:w="2756" w:type="dxa"/>
            <w:tcBorders>
              <w:top w:val="nil"/>
              <w:left w:val="nil"/>
              <w:bottom w:val="single" w:sz="4" w:space="0" w:color="auto"/>
              <w:right w:val="nil"/>
            </w:tcBorders>
            <w:shd w:val="clear" w:color="000000" w:fill="D9D9D9"/>
            <w:vAlign w:val="bottom"/>
            <w:hideMark/>
          </w:tcPr>
          <w:p w:rsidR="007E1E1E" w:rsidRDefault="007E1E1E" w:rsidP="00B50E5D">
            <w:pPr>
              <w:pStyle w:val="AdminCurrentYearHeadersGrey"/>
            </w:pPr>
            <w:r>
              <w:t>$’000</w:t>
            </w:r>
          </w:p>
        </w:tc>
      </w:tr>
      <w:tr w:rsidR="007E1E1E" w:rsidTr="00B50E5D">
        <w:trPr>
          <w:trHeight w:val="255"/>
        </w:trPr>
        <w:tc>
          <w:tcPr>
            <w:tcW w:w="3856"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FUNCTIONS RELINQUISHED</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CurrentYearSubTotal"/>
            </w:pPr>
            <w:r>
              <w:t>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CurrentYearSubTotal"/>
            </w:pPr>
            <w:r>
              <w:t>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CurrentYearSubTotal"/>
            </w:pPr>
            <w:r>
              <w:t> </w:t>
            </w:r>
          </w:p>
        </w:tc>
      </w:tr>
      <w:tr w:rsidR="007E1E1E" w:rsidTr="00B50E5D">
        <w:trPr>
          <w:trHeight w:val="255"/>
        </w:trPr>
        <w:tc>
          <w:tcPr>
            <w:tcW w:w="3856"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Assets relinquished</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CurrentYearSubTotal"/>
            </w:pPr>
            <w:r>
              <w:t>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CurrentYearSubTotal"/>
            </w:pPr>
            <w:r>
              <w:t>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CurrentYearSubTotal"/>
            </w:pPr>
            <w:r>
              <w:t> </w:t>
            </w:r>
          </w:p>
        </w:tc>
      </w:tr>
      <w:tr w:rsidR="007E1E1E" w:rsidTr="00B50E5D">
        <w:trPr>
          <w:trHeight w:val="255"/>
        </w:trPr>
        <w:tc>
          <w:tcPr>
            <w:tcW w:w="3856" w:type="dxa"/>
            <w:tcBorders>
              <w:top w:val="nil"/>
              <w:left w:val="nil"/>
              <w:bottom w:val="nil"/>
              <w:right w:val="nil"/>
            </w:tcBorders>
            <w:shd w:val="clear" w:color="000000" w:fill="D9D9D9"/>
            <w:noWrap/>
            <w:vAlign w:val="bottom"/>
            <w:hideMark/>
          </w:tcPr>
          <w:p w:rsidR="007E1E1E" w:rsidRDefault="007E1E1E" w:rsidP="00B50E5D">
            <w:pPr>
              <w:pStyle w:val="AdminRowTextIndentGrey"/>
            </w:pPr>
            <w:r>
              <w:t>Trade and other receivables</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(1,847)</w:t>
            </w:r>
          </w:p>
        </w:tc>
      </w:tr>
      <w:tr w:rsidR="007E1E1E" w:rsidTr="00B50E5D">
        <w:trPr>
          <w:trHeight w:val="255"/>
        </w:trPr>
        <w:tc>
          <w:tcPr>
            <w:tcW w:w="38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rPr>
                <w:rFonts w:cs="Calibri"/>
                <w:b/>
                <w:bCs/>
                <w:szCs w:val="18"/>
              </w:rPr>
            </w:pPr>
            <w:r>
              <w:rPr>
                <w:rFonts w:cs="Calibri"/>
                <w:b/>
                <w:bCs/>
                <w:szCs w:val="18"/>
              </w:rPr>
              <w:t>Total assets relinquished</w:t>
            </w:r>
          </w:p>
        </w:tc>
        <w:tc>
          <w:tcPr>
            <w:tcW w:w="27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w:t>
            </w:r>
          </w:p>
        </w:tc>
        <w:tc>
          <w:tcPr>
            <w:tcW w:w="27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w:t>
            </w:r>
          </w:p>
        </w:tc>
        <w:tc>
          <w:tcPr>
            <w:tcW w:w="27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(1,847)</w:t>
            </w:r>
          </w:p>
        </w:tc>
      </w:tr>
      <w:tr w:rsidR="007E1E1E" w:rsidTr="00B50E5D">
        <w:trPr>
          <w:trHeight w:val="255"/>
        </w:trPr>
        <w:tc>
          <w:tcPr>
            <w:tcW w:w="3856" w:type="dxa"/>
            <w:tcBorders>
              <w:top w:val="nil"/>
              <w:left w:val="nil"/>
              <w:bottom w:val="single" w:sz="4" w:space="0" w:color="D9D9D9"/>
              <w:right w:val="nil"/>
            </w:tcBorders>
            <w:shd w:val="clear" w:color="000000" w:fill="D9D9D9"/>
            <w:noWrap/>
            <w:vAlign w:val="bottom"/>
            <w:hideMark/>
          </w:tcPr>
          <w:p w:rsidR="007E1E1E" w:rsidRDefault="007E1E1E" w:rsidP="00B50E5D">
            <w:pPr>
              <w:pStyle w:val="AdminBlankGreyShade"/>
            </w:pPr>
            <w:r>
              <w:t> </w:t>
            </w:r>
          </w:p>
        </w:tc>
        <w:tc>
          <w:tcPr>
            <w:tcW w:w="2756" w:type="dxa"/>
            <w:tcBorders>
              <w:top w:val="nil"/>
              <w:left w:val="nil"/>
              <w:bottom w:val="single" w:sz="4" w:space="0" w:color="D9D9D9"/>
              <w:right w:val="nil"/>
            </w:tcBorders>
            <w:shd w:val="clear" w:color="000000" w:fill="D9D9D9"/>
            <w:noWrap/>
            <w:vAlign w:val="bottom"/>
            <w:hideMark/>
          </w:tcPr>
          <w:p w:rsidR="007E1E1E" w:rsidRDefault="007E1E1E" w:rsidP="00B50E5D">
            <w:pPr>
              <w:pStyle w:val="AdminBlankGreyShade"/>
            </w:pPr>
            <w:r>
              <w:t> </w:t>
            </w:r>
          </w:p>
        </w:tc>
        <w:tc>
          <w:tcPr>
            <w:tcW w:w="2756" w:type="dxa"/>
            <w:tcBorders>
              <w:top w:val="nil"/>
              <w:left w:val="nil"/>
              <w:bottom w:val="single" w:sz="4" w:space="0" w:color="D9D9D9"/>
              <w:right w:val="nil"/>
            </w:tcBorders>
            <w:shd w:val="clear" w:color="000000" w:fill="D9D9D9"/>
            <w:noWrap/>
            <w:vAlign w:val="bottom"/>
            <w:hideMark/>
          </w:tcPr>
          <w:p w:rsidR="007E1E1E" w:rsidRDefault="007E1E1E" w:rsidP="00B50E5D">
            <w:pPr>
              <w:pStyle w:val="AdminBlankGreyShade"/>
            </w:pPr>
            <w:r>
              <w:t> </w:t>
            </w:r>
          </w:p>
        </w:tc>
        <w:tc>
          <w:tcPr>
            <w:tcW w:w="2756" w:type="dxa"/>
            <w:tcBorders>
              <w:top w:val="nil"/>
              <w:left w:val="nil"/>
              <w:bottom w:val="single" w:sz="4" w:space="0" w:color="D9D9D9"/>
              <w:right w:val="nil"/>
            </w:tcBorders>
            <w:shd w:val="clear" w:color="000000" w:fill="D9D9D9"/>
            <w:noWrap/>
            <w:vAlign w:val="bottom"/>
            <w:hideMark/>
          </w:tcPr>
          <w:p w:rsidR="007E1E1E" w:rsidRDefault="007E1E1E" w:rsidP="00B50E5D">
            <w:pPr>
              <w:pStyle w:val="AdminBlankGreyShade"/>
            </w:pPr>
            <w:r>
              <w:t> </w:t>
            </w:r>
          </w:p>
        </w:tc>
      </w:tr>
      <w:tr w:rsidR="007E1E1E" w:rsidTr="00B50E5D">
        <w:trPr>
          <w:trHeight w:val="255"/>
        </w:trPr>
        <w:tc>
          <w:tcPr>
            <w:tcW w:w="3856"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Liabilities relinquished</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CurrentYearSubTotal"/>
            </w:pPr>
            <w:r>
              <w:t>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CurrentYearSubTotal"/>
            </w:pPr>
            <w:r>
              <w:t>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CurrentYearSubTotal"/>
            </w:pPr>
            <w:r>
              <w:t> </w:t>
            </w:r>
          </w:p>
        </w:tc>
      </w:tr>
      <w:tr w:rsidR="007E1E1E" w:rsidTr="00B50E5D">
        <w:trPr>
          <w:trHeight w:val="255"/>
        </w:trPr>
        <w:tc>
          <w:tcPr>
            <w:tcW w:w="3856" w:type="dxa"/>
            <w:tcBorders>
              <w:top w:val="nil"/>
              <w:left w:val="nil"/>
              <w:bottom w:val="nil"/>
              <w:right w:val="nil"/>
            </w:tcBorders>
            <w:shd w:val="clear" w:color="000000" w:fill="D9D9D9"/>
            <w:noWrap/>
            <w:vAlign w:val="bottom"/>
            <w:hideMark/>
          </w:tcPr>
          <w:p w:rsidR="007E1E1E" w:rsidRDefault="007E1E1E" w:rsidP="00B50E5D">
            <w:pPr>
              <w:pStyle w:val="AdminRowTextIndentGrey"/>
            </w:pPr>
            <w:r>
              <w:t>Suppliers payable</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 -</w:t>
            </w:r>
          </w:p>
        </w:tc>
        <w:tc>
          <w:tcPr>
            <w:tcW w:w="27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966 </w:t>
            </w:r>
          </w:p>
        </w:tc>
      </w:tr>
      <w:tr w:rsidR="007E1E1E" w:rsidTr="00B50E5D">
        <w:trPr>
          <w:trHeight w:val="255"/>
        </w:trPr>
        <w:tc>
          <w:tcPr>
            <w:tcW w:w="38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rPr>
                <w:rFonts w:cs="Calibri"/>
                <w:b/>
                <w:bCs/>
                <w:szCs w:val="18"/>
              </w:rPr>
            </w:pPr>
            <w:r>
              <w:rPr>
                <w:rFonts w:cs="Calibri"/>
                <w:b/>
                <w:bCs/>
                <w:szCs w:val="18"/>
              </w:rPr>
              <w:t>Total liabilities relinquished</w:t>
            </w:r>
          </w:p>
        </w:tc>
        <w:tc>
          <w:tcPr>
            <w:tcW w:w="27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w:t>
            </w:r>
          </w:p>
        </w:tc>
        <w:tc>
          <w:tcPr>
            <w:tcW w:w="27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w:t>
            </w:r>
          </w:p>
        </w:tc>
        <w:tc>
          <w:tcPr>
            <w:tcW w:w="27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966</w:t>
            </w:r>
          </w:p>
        </w:tc>
      </w:tr>
      <w:tr w:rsidR="007E1E1E" w:rsidTr="00B50E5D">
        <w:trPr>
          <w:trHeight w:val="255"/>
        </w:trPr>
        <w:tc>
          <w:tcPr>
            <w:tcW w:w="3856" w:type="dxa"/>
            <w:tcBorders>
              <w:top w:val="nil"/>
              <w:left w:val="nil"/>
              <w:bottom w:val="single" w:sz="4" w:space="0" w:color="auto"/>
              <w:right w:val="nil"/>
            </w:tcBorders>
            <w:shd w:val="clear" w:color="000000" w:fill="D9D9D9"/>
            <w:noWrap/>
            <w:vAlign w:val="bottom"/>
            <w:hideMark/>
          </w:tcPr>
          <w:p w:rsidR="007E1E1E" w:rsidRDefault="007E1E1E" w:rsidP="00B50E5D">
            <w:pPr>
              <w:rPr>
                <w:rFonts w:cs="Calibri"/>
                <w:b/>
                <w:bCs/>
                <w:szCs w:val="18"/>
              </w:rPr>
            </w:pPr>
            <w:r>
              <w:rPr>
                <w:rFonts w:cs="Calibri"/>
                <w:b/>
                <w:bCs/>
                <w:szCs w:val="18"/>
              </w:rPr>
              <w:t>Net assets relinquished</w:t>
            </w:r>
          </w:p>
        </w:tc>
        <w:tc>
          <w:tcPr>
            <w:tcW w:w="2756" w:type="dxa"/>
            <w:tcBorders>
              <w:top w:val="nil"/>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w:t>
            </w:r>
          </w:p>
        </w:tc>
        <w:tc>
          <w:tcPr>
            <w:tcW w:w="2756" w:type="dxa"/>
            <w:tcBorders>
              <w:top w:val="nil"/>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w:t>
            </w:r>
          </w:p>
        </w:tc>
        <w:tc>
          <w:tcPr>
            <w:tcW w:w="2756" w:type="dxa"/>
            <w:tcBorders>
              <w:top w:val="nil"/>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(881)</w:t>
            </w:r>
          </w:p>
        </w:tc>
      </w:tr>
    </w:tbl>
    <w:p w:rsidR="007E1E1E" w:rsidRDefault="007E1E1E" w:rsidP="007E1E1E">
      <w:bookmarkStart w:id="177" w:name="RANGE!D7:G57"/>
      <w:bookmarkStart w:id="178" w:name="RANGE!D7:G58"/>
      <w:bookmarkStart w:id="179" w:name="RANGE!D7:G59"/>
      <w:bookmarkStart w:id="180" w:name="RANGE!D7:G56"/>
      <w:bookmarkStart w:id="181" w:name="RANGE!D7:G30"/>
      <w:bookmarkStart w:id="182" w:name="RANGE!D7:G26"/>
      <w:bookmarkStart w:id="183" w:name="RANGE!D6:I41"/>
      <w:bookmarkEnd w:id="177"/>
      <w:bookmarkEnd w:id="178"/>
      <w:bookmarkEnd w:id="179"/>
      <w:bookmarkEnd w:id="180"/>
      <w:bookmarkEnd w:id="181"/>
      <w:bookmarkEnd w:id="182"/>
      <w:bookmarkEnd w:id="183"/>
    </w:p>
    <w:p w:rsidR="007E1E1E" w:rsidRDefault="007E1E1E" w:rsidP="007E1E1E">
      <w:pPr>
        <w:pStyle w:val="ReferenceText"/>
      </w:pPr>
      <w:r>
        <w:t>Notes:</w:t>
      </w:r>
    </w:p>
    <w:p w:rsidR="007E1E1E" w:rsidRDefault="007E1E1E" w:rsidP="007E1E1E">
      <w:pPr>
        <w:pStyle w:val="ReferenceText"/>
      </w:pPr>
      <w:r w:rsidRPr="00DF5B46">
        <w:rPr>
          <w:vertAlign w:val="superscript"/>
        </w:rPr>
        <w:t>1</w:t>
      </w:r>
      <w:r>
        <w:rPr>
          <w:vertAlign w:val="superscript"/>
        </w:rPr>
        <w:t xml:space="preserve"> </w:t>
      </w:r>
      <w:r w:rsidRPr="00AA4057">
        <w:t>The Early Childhood Education and Care and Schools and Youth</w:t>
      </w:r>
      <w:r>
        <w:t xml:space="preserve"> Education functions were assum</w:t>
      </w:r>
      <w:r w:rsidRPr="00AA4057">
        <w:t>ed from the former Department of Education, Employment and Workplace Relations following the Administrative Arrangement Orders changes on 18 September 2013</w:t>
      </w:r>
      <w:r>
        <w:t>.</w:t>
      </w:r>
    </w:p>
    <w:p w:rsidR="007E1E1E" w:rsidRDefault="007E1E1E" w:rsidP="007E1E1E">
      <w:pPr>
        <w:pStyle w:val="ReferenceText"/>
      </w:pPr>
      <w:r>
        <w:rPr>
          <w:vertAlign w:val="superscript"/>
        </w:rPr>
        <w:t xml:space="preserve">2 </w:t>
      </w:r>
      <w:r w:rsidRPr="00AA4057">
        <w:t xml:space="preserve">The Tertiary Education functions including higher education, research and international education were </w:t>
      </w:r>
      <w:r>
        <w:t>assum</w:t>
      </w:r>
      <w:r w:rsidRPr="00AA4057">
        <w:t>ed from the Department of Industry during 2013</w:t>
      </w:r>
      <w:r>
        <w:t>-</w:t>
      </w:r>
      <w:r w:rsidRPr="00AA4057">
        <w:t>14 due to the Administrative Arrangement Order changes on 18 September 2013 and 12 December 2014.</w:t>
      </w:r>
    </w:p>
    <w:p w:rsidR="007E1E1E" w:rsidRDefault="007E1E1E" w:rsidP="007E1E1E">
      <w:pPr>
        <w:pStyle w:val="ReferenceText"/>
      </w:pPr>
      <w:r w:rsidRPr="00E36CB0">
        <w:rPr>
          <w:vertAlign w:val="superscript"/>
        </w:rPr>
        <w:t>3</w:t>
      </w:r>
      <w:r>
        <w:t xml:space="preserve"> The </w:t>
      </w:r>
      <w:r w:rsidRPr="00AA4057">
        <w:t>Tertiary Education functions including</w:t>
      </w:r>
      <w:r>
        <w:t xml:space="preserve"> research were assumed from the Department of the Prime Minister and Cabinet during 2013–14 due to the Administrative Arrangement Orders of </w:t>
      </w:r>
      <w:r>
        <w:br/>
        <w:t>18 September 2013.</w:t>
      </w:r>
    </w:p>
    <w:p w:rsidR="007E1E1E" w:rsidRDefault="007E1E1E" w:rsidP="007E1E1E">
      <w:pPr>
        <w:pStyle w:val="ReferenceText"/>
      </w:pPr>
      <w:r>
        <w:rPr>
          <w:vertAlign w:val="superscript"/>
        </w:rPr>
        <w:t xml:space="preserve">4 </w:t>
      </w:r>
      <w:r w:rsidRPr="00AA4057">
        <w:t>Indigenous educ</w:t>
      </w:r>
      <w:r>
        <w:t>ation functions were relinquished</w:t>
      </w:r>
      <w:r w:rsidRPr="00AA4057">
        <w:t xml:space="preserve"> to the Department of the Prime Minister and Cabinet during 2013</w:t>
      </w:r>
      <w:r>
        <w:t>–</w:t>
      </w:r>
      <w:r w:rsidRPr="00AA4057">
        <w:t>14 following the Administrative Arrangem</w:t>
      </w:r>
      <w:r>
        <w:t>ent Orders of 18 September 2013.</w:t>
      </w:r>
    </w:p>
    <w:p w:rsidR="007E1E1E" w:rsidRDefault="007E1E1E" w:rsidP="007E1E1E">
      <w:pPr>
        <w:pStyle w:val="ReferenceText"/>
      </w:pPr>
      <w:r>
        <w:t>The net assets/liabilities assumed from all entities were $17.309 billion.</w:t>
      </w:r>
    </w:p>
    <w:p w:rsidR="007E1E1E" w:rsidRDefault="007E1E1E" w:rsidP="007E1E1E">
      <w:pPr>
        <w:pStyle w:val="ReferenceText"/>
      </w:pPr>
      <w:r>
        <w:t>The net assets/liabilities relinquished to all entities were $0.881 million.</w:t>
      </w:r>
    </w:p>
    <w:p w:rsidR="007E1E1E" w:rsidRDefault="007E1E1E" w:rsidP="007E1E1E">
      <w:pPr>
        <w:pStyle w:val="ReferenceText"/>
        <w:sectPr w:rsidR="007E1E1E">
          <w:pgSz w:w="16838" w:h="11906" w:orient="landscape"/>
          <w:pgMar w:top="1134" w:right="1134" w:bottom="1134" w:left="1134" w:header="958" w:footer="737" w:gutter="0"/>
          <w:cols w:space="720"/>
        </w:sectPr>
      </w:pPr>
    </w:p>
    <w:p w:rsidR="007E1E1E" w:rsidRDefault="007E1E1E" w:rsidP="007E1E1E"/>
    <w:p w:rsidR="007E1E1E" w:rsidRDefault="007E1E1E" w:rsidP="007E1E1E">
      <w:pPr>
        <w:pStyle w:val="NotesHeading-Level1"/>
        <w:rPr>
          <w:rFonts w:cstheme="minorHAnsi"/>
        </w:rPr>
      </w:pPr>
      <w:bookmarkStart w:id="184" w:name="_Toc400713254"/>
      <w:r>
        <w:rPr>
          <w:rFonts w:cstheme="minorHAnsi"/>
        </w:rPr>
        <w:t>Cash Flow Reconciliation</w:t>
      </w:r>
      <w:bookmarkEnd w:id="184"/>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bookmarkStart w:id="185" w:name="Note_CFRTABLE1" w:colFirst="0" w:colLast="0"/>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2014</w:t>
            </w:r>
          </w:p>
        </w:tc>
      </w:tr>
      <w:bookmarkEnd w:id="185"/>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48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Reconciliation of cash and cash equivalents as per statement of financial position to cash flow statement</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Cash and cash equivalents as per</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Cash flow statement</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8,429</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Statement of financial position</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8,429</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Discrepancy</w:t>
            </w:r>
          </w:p>
        </w:tc>
        <w:tc>
          <w:tcPr>
            <w:tcW w:w="125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255"/>
        </w:trPr>
        <w:tc>
          <w:tcPr>
            <w:tcW w:w="7652" w:type="dxa"/>
            <w:gridSpan w:val="2"/>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Reconciliation of net cost of services to net cash from (used by) operating activities</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Net (cost of) contribution by services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(218,640)</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Revenue from Government</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196,102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Adjustments for non-cash items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First time recognition of non-financial assets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(1,498)</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Reversal of previous asset impairment</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(74)</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Write-down and impairment of goods and services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106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Depreciation / amortisation</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20,308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Net write-down and impairment of assets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796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Net losses from sale of assets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314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Movements in assets and liabilities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Assets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Decrease / (increase) in net receivables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(11,477)</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Decrease / (increase) in accrued income</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472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Decrease / (increase) in prepayments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100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Liabilities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Increase / (decrease) in employee provisions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(693)</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Increase / (decrease) in supplier payables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10,391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Increase / (decrease) in other provisions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(518)</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Increase / (decrease) in other payables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4,992 </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Net cash from (used by) operating activities</w:t>
            </w:r>
          </w:p>
        </w:tc>
        <w:tc>
          <w:tcPr>
            <w:tcW w:w="125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681</w:t>
            </w:r>
          </w:p>
        </w:tc>
      </w:tr>
    </w:tbl>
    <w:p w:rsidR="007E1E1E" w:rsidRDefault="007E1E1E" w:rsidP="007E1E1E">
      <w:pPr>
        <w:spacing w:line="240" w:lineRule="auto"/>
        <w:sectPr w:rsidR="007E1E1E">
          <w:pgSz w:w="11906" w:h="16838"/>
          <w:pgMar w:top="1134" w:right="1134" w:bottom="1134" w:left="1134" w:header="958" w:footer="737" w:gutter="0"/>
          <w:cols w:space="720"/>
        </w:sectPr>
      </w:pPr>
    </w:p>
    <w:p w:rsidR="007E1E1E" w:rsidRDefault="007E1E1E" w:rsidP="007E1E1E">
      <w:pPr>
        <w:pStyle w:val="NotesHeading-Level1"/>
        <w:rPr>
          <w:rFonts w:cstheme="minorHAnsi"/>
        </w:rPr>
      </w:pPr>
      <w:bookmarkStart w:id="186" w:name="RANGE!E6:H38"/>
      <w:bookmarkStart w:id="187" w:name="RANGE!E6:E39"/>
      <w:bookmarkStart w:id="188" w:name="RANGE!E6:H39"/>
      <w:bookmarkStart w:id="189" w:name="_Ref317489574"/>
      <w:bookmarkStart w:id="190" w:name="_Toc400713255"/>
      <w:bookmarkEnd w:id="186"/>
      <w:bookmarkEnd w:id="187"/>
      <w:bookmarkEnd w:id="188"/>
      <w:r>
        <w:rPr>
          <w:rFonts w:cstheme="minorHAnsi"/>
        </w:rPr>
        <w:lastRenderedPageBreak/>
        <w:t>Contingent Assets and Liabilities</w:t>
      </w:r>
      <w:bookmarkEnd w:id="189"/>
      <w:bookmarkEnd w:id="190"/>
    </w:p>
    <w:p w:rsidR="007E1E1E" w:rsidRDefault="007E1E1E" w:rsidP="007E1E1E">
      <w:pPr>
        <w:pStyle w:val="UnderlineItalics"/>
        <w:spacing w:before="120" w:after="60"/>
        <w:rPr>
          <w:sz w:val="20"/>
        </w:rPr>
      </w:pPr>
      <w:bookmarkStart w:id="191" w:name="RANGE!D7:K25"/>
      <w:bookmarkStart w:id="192" w:name="RANGE!D7:K24"/>
      <w:bookmarkStart w:id="193" w:name="RANGE!D7:K23"/>
      <w:bookmarkStart w:id="194" w:name="RANGE!D6:K22"/>
      <w:bookmarkStart w:id="195" w:name="RANGE!D6:K24"/>
      <w:bookmarkEnd w:id="191"/>
      <w:bookmarkEnd w:id="192"/>
      <w:bookmarkEnd w:id="193"/>
      <w:bookmarkEnd w:id="194"/>
      <w:bookmarkEnd w:id="195"/>
      <w:r>
        <w:rPr>
          <w:sz w:val="20"/>
        </w:rPr>
        <w:t>Quantifiable Contingencies</w:t>
      </w:r>
    </w:p>
    <w:p w:rsidR="007E1E1E" w:rsidRDefault="007E1E1E" w:rsidP="007E1E1E">
      <w:pPr>
        <w:pStyle w:val="AdminBlankGreyShade"/>
        <w:spacing w:before="120" w:after="60"/>
      </w:pPr>
      <w:r>
        <w:t xml:space="preserve">The department does not hold contingent assets or liabilities as at 30 June 2014.   </w:t>
      </w:r>
    </w:p>
    <w:p w:rsidR="007E1E1E" w:rsidRDefault="007E1E1E" w:rsidP="007E1E1E">
      <w:pPr>
        <w:pStyle w:val="UnderlineItalics"/>
        <w:spacing w:before="120" w:after="60"/>
        <w:rPr>
          <w:sz w:val="20"/>
        </w:rPr>
      </w:pPr>
      <w:r>
        <w:rPr>
          <w:sz w:val="20"/>
        </w:rPr>
        <w:t>Unquantifiable Contingencies</w:t>
      </w:r>
    </w:p>
    <w:p w:rsidR="007E1E1E" w:rsidRDefault="007E1E1E" w:rsidP="007E1E1E">
      <w:pPr>
        <w:pStyle w:val="AdminBlankGreyShade"/>
        <w:spacing w:before="120" w:after="60"/>
      </w:pPr>
      <w:r>
        <w:t xml:space="preserve">As at </w:t>
      </w:r>
      <w:fldSimple w:instr=" DOCPROPERTY  pEnd  \* MERGEFORMAT ">
        <w:r>
          <w:t>30 June</w:t>
        </w:r>
      </w:fldSimple>
      <w:r>
        <w:t xml:space="preserve"> </w:t>
      </w:r>
      <w:fldSimple w:instr=" DOCPROPERTY  crYear  \* MERGEFORMAT ">
        <w:r>
          <w:t>2014</w:t>
        </w:r>
      </w:fldSimple>
      <w:r>
        <w:t>, the department had contingent liabilities likely to be paid in respect of damages and claims that are not quantifiable. There were two open matters in the hands of the department’s legal representatives. These open matters relate to a wide range of legal issues (departmental and administered) with varying probabilities of success. It is not possible to estimate the amounts of any eventual receipts or payments that may be received or made in relation to these claims. These were not included in the Schedule of Contingencies.</w:t>
      </w:r>
    </w:p>
    <w:p w:rsidR="007E1E1E" w:rsidRDefault="007E1E1E" w:rsidP="007E1E1E">
      <w:pPr>
        <w:pStyle w:val="UnderlineItalics"/>
        <w:spacing w:before="120" w:after="60"/>
        <w:rPr>
          <w:sz w:val="20"/>
        </w:rPr>
      </w:pPr>
      <w:r>
        <w:rPr>
          <w:sz w:val="20"/>
        </w:rPr>
        <w:t>Significant Remote Contingencies</w:t>
      </w:r>
    </w:p>
    <w:p w:rsidR="007E1E1E" w:rsidRDefault="007E1E1E" w:rsidP="007E1E1E">
      <w:pPr>
        <w:pStyle w:val="AdminBlankGreyShade"/>
        <w:spacing w:before="120" w:after="60"/>
      </w:pPr>
      <w:r>
        <w:t>The department has one contingent asset where the likelihood of receipt is remote. The value of contingent liabilities where the likelihood of payment is remote is nil. These are not included in the Schedule of Contingencies.</w:t>
      </w:r>
    </w:p>
    <w:p w:rsidR="007E1E1E" w:rsidRDefault="007E1E1E" w:rsidP="007E1E1E">
      <w:pPr>
        <w:pStyle w:val="AdminBlankGreyShade"/>
        <w:spacing w:before="120" w:after="60"/>
      </w:pPr>
      <w:r>
        <w:t>The department has provided an indemnity to the Reserve Bank of Australia against loss or damage arising from the bank acting in good faith on the instructions given to it under the provision of the contract for the department’s transactional banking services, any error, mistake, fraud or negligence and any failure of the department to observe its obligations. The likelihood of any payment being required under the indemnity is remote and unquantifiable.</w:t>
      </w:r>
    </w:p>
    <w:p w:rsidR="007E1E1E" w:rsidRDefault="007E1E1E" w:rsidP="007E1E1E">
      <w:pPr>
        <w:pStyle w:val="AdminBlankGreyShade"/>
        <w:spacing w:before="120" w:after="60"/>
        <w:rPr>
          <w:sz w:val="20"/>
        </w:rPr>
        <w:sectPr w:rsidR="007E1E1E">
          <w:pgSz w:w="11906" w:h="16838"/>
          <w:pgMar w:top="1134" w:right="1134" w:bottom="1134" w:left="1134" w:header="958" w:footer="737" w:gutter="0"/>
          <w:cols w:space="720"/>
        </w:sectPr>
      </w:pPr>
    </w:p>
    <w:p w:rsidR="007E1E1E" w:rsidRDefault="007E1E1E" w:rsidP="007E1E1E">
      <w:pPr>
        <w:pStyle w:val="NotesHeading-Level1"/>
        <w:rPr>
          <w:rFonts w:cstheme="minorHAnsi"/>
        </w:rPr>
      </w:pPr>
      <w:bookmarkStart w:id="196" w:name="_Toc400713256"/>
      <w:r>
        <w:rPr>
          <w:rFonts w:cstheme="minorHAnsi"/>
        </w:rPr>
        <w:lastRenderedPageBreak/>
        <w:t>Senior Executive Remuneration</w:t>
      </w:r>
      <w:bookmarkEnd w:id="196"/>
    </w:p>
    <w:p w:rsidR="007E1E1E" w:rsidRDefault="007E1E1E" w:rsidP="007E1E1E"/>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7652" w:type="dxa"/>
            <w:gridSpan w:val="2"/>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197" w:name="Note_ERETABLE1" w:colFirst="0" w:colLast="0"/>
            <w:r>
              <w:rPr>
                <w:rFonts w:cs="Calibri"/>
                <w:b/>
                <w:bCs/>
                <w:szCs w:val="18"/>
                <w:u w:val="single"/>
              </w:rPr>
              <w:t xml:space="preserve">Note </w:t>
            </w:r>
            <w:proofErr w:type="spellStart"/>
            <w:r>
              <w:rPr>
                <w:rFonts w:cs="Calibri"/>
                <w:b/>
                <w:bCs/>
                <w:szCs w:val="18"/>
                <w:u w:val="single"/>
              </w:rPr>
              <w:t>13A</w:t>
            </w:r>
            <w:proofErr w:type="spellEnd"/>
            <w:r>
              <w:rPr>
                <w:rFonts w:cs="Calibri"/>
                <w:b/>
                <w:bCs/>
                <w:szCs w:val="18"/>
                <w:u w:val="single"/>
              </w:rPr>
              <w:t>: Senior executive remuneration expenses for the reporting period</w:t>
            </w:r>
          </w:p>
        </w:tc>
      </w:tr>
      <w:bookmarkEnd w:id="197"/>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5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2014</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Short-term employee benefits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xml:space="preserve">Salary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5,035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Annual leave accrued</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Other</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831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short-term employee benefits</w:t>
            </w:r>
          </w:p>
        </w:tc>
        <w:tc>
          <w:tcPr>
            <w:tcW w:w="125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5,866</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Post-employment benefits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Superannuation</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948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post-employment benefits</w:t>
            </w:r>
          </w:p>
        </w:tc>
        <w:tc>
          <w:tcPr>
            <w:tcW w:w="125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948</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Other long-term employee benefits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Annual leave accrued</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149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Long-service leave</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7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other long-term benefits</w:t>
            </w:r>
          </w:p>
        </w:tc>
        <w:tc>
          <w:tcPr>
            <w:tcW w:w="125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156</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Termination benefits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815 </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senior executive remuneration expenses</w:t>
            </w:r>
          </w:p>
        </w:tc>
        <w:tc>
          <w:tcPr>
            <w:tcW w:w="125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7,785</w:t>
            </w:r>
          </w:p>
        </w:tc>
      </w:tr>
    </w:tbl>
    <w:p w:rsidR="007E1E1E" w:rsidRDefault="007E1E1E" w:rsidP="007E1E1E">
      <w:pPr>
        <w:rPr>
          <w:rFonts w:ascii="Arial" w:hAnsi="Arial" w:cs="Arial"/>
          <w:sz w:val="16"/>
          <w:szCs w:val="16"/>
        </w:rPr>
      </w:pPr>
    </w:p>
    <w:p w:rsidR="007E1E1E" w:rsidRDefault="007E1E1E" w:rsidP="007E1E1E">
      <w:r>
        <w:t>Notes</w:t>
      </w:r>
    </w:p>
    <w:p w:rsidR="007E1E1E" w:rsidRDefault="007E1E1E" w:rsidP="007E1E1E">
      <w:pPr>
        <w:pStyle w:val="AdminBlankGreyShade"/>
      </w:pPr>
      <w:r w:rsidRPr="003C0C9A">
        <w:rPr>
          <w:vertAlign w:val="superscript"/>
        </w:rPr>
        <w:t>1</w:t>
      </w:r>
      <w:r>
        <w:t xml:space="preserve"> Note </w:t>
      </w:r>
      <w:proofErr w:type="spellStart"/>
      <w:r>
        <w:t>13A</w:t>
      </w:r>
      <w:proofErr w:type="spellEnd"/>
      <w:r>
        <w:t xml:space="preserve"> was prepared on an accrual basis. It excludes acting arrangements and part-year service where total remuneration expensed as a senior executive was less than $195,000.</w:t>
      </w:r>
    </w:p>
    <w:p w:rsidR="007E1E1E" w:rsidRDefault="007E1E1E" w:rsidP="007E1E1E">
      <w:pPr>
        <w:pStyle w:val="AdminBlankGreyShade"/>
      </w:pPr>
      <w:r w:rsidRPr="003C0C9A">
        <w:rPr>
          <w:vertAlign w:val="superscript"/>
        </w:rPr>
        <w:t>2</w:t>
      </w:r>
      <w:r>
        <w:t xml:space="preserve"> Other includes motor vehicle allowances, other allowances and reportable fringe benefits.</w:t>
      </w:r>
    </w:p>
    <w:p w:rsidR="007E1E1E" w:rsidRDefault="007E1E1E" w:rsidP="007E1E1E">
      <w:pPr>
        <w:pStyle w:val="AdminBlankGreyShade"/>
      </w:pPr>
    </w:p>
    <w:p w:rsidR="007E1E1E" w:rsidRDefault="007E1E1E" w:rsidP="007E1E1E">
      <w:pPr>
        <w:pStyle w:val="AdminBlankGreyShade"/>
        <w:sectPr w:rsidR="007E1E1E">
          <w:pgSz w:w="11906" w:h="16838"/>
          <w:pgMar w:top="1134" w:right="1134" w:bottom="1134" w:left="1134" w:header="958" w:footer="737" w:gutter="0"/>
          <w:cols w:space="720"/>
        </w:sectPr>
      </w:pPr>
    </w:p>
    <w:tbl>
      <w:tblPr>
        <w:tblW w:w="13991" w:type="dxa"/>
        <w:tblInd w:w="80" w:type="dxa"/>
        <w:tblLayout w:type="fixed"/>
        <w:tblLook w:val="04A0" w:firstRow="1" w:lastRow="0" w:firstColumn="1" w:lastColumn="0" w:noHBand="0" w:noVBand="1"/>
      </w:tblPr>
      <w:tblGrid>
        <w:gridCol w:w="6196"/>
        <w:gridCol w:w="1260"/>
        <w:gridCol w:w="1260"/>
        <w:gridCol w:w="1475"/>
        <w:gridCol w:w="1260"/>
        <w:gridCol w:w="1260"/>
        <w:gridCol w:w="1280"/>
      </w:tblGrid>
      <w:tr w:rsidR="007E1E1E" w:rsidTr="00B50E5D">
        <w:trPr>
          <w:trHeight w:val="255"/>
        </w:trPr>
        <w:tc>
          <w:tcPr>
            <w:tcW w:w="13946" w:type="dxa"/>
            <w:gridSpan w:val="7"/>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198" w:name="Note_ERPTABLE1" w:colFirst="0" w:colLast="0"/>
            <w:r>
              <w:rPr>
                <w:rFonts w:cs="Calibri"/>
                <w:b/>
                <w:bCs/>
                <w:szCs w:val="18"/>
                <w:u w:val="single"/>
              </w:rPr>
              <w:lastRenderedPageBreak/>
              <w:t xml:space="preserve">Note </w:t>
            </w:r>
            <w:proofErr w:type="spellStart"/>
            <w:r>
              <w:rPr>
                <w:rFonts w:cs="Calibri"/>
                <w:b/>
                <w:bCs/>
                <w:szCs w:val="18"/>
                <w:u w:val="single"/>
              </w:rPr>
              <w:t>13B</w:t>
            </w:r>
            <w:proofErr w:type="spellEnd"/>
            <w:r>
              <w:rPr>
                <w:rFonts w:cs="Calibri"/>
                <w:b/>
                <w:bCs/>
                <w:szCs w:val="18"/>
                <w:u w:val="single"/>
              </w:rPr>
              <w:t>: Average annual reportable remuneration paid to substantive senior executives during the reporting period</w:t>
            </w:r>
          </w:p>
        </w:tc>
      </w:tr>
      <w:bookmarkEnd w:id="198"/>
      <w:tr w:rsidR="007E1E1E" w:rsidTr="00B50E5D">
        <w:trPr>
          <w:trHeight w:val="255"/>
        </w:trPr>
        <w:tc>
          <w:tcPr>
            <w:tcW w:w="617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47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7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255"/>
        </w:trPr>
        <w:tc>
          <w:tcPr>
            <w:tcW w:w="617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7770" w:type="dxa"/>
            <w:gridSpan w:val="6"/>
            <w:tcBorders>
              <w:top w:val="nil"/>
              <w:left w:val="nil"/>
              <w:bottom w:val="single" w:sz="4" w:space="0" w:color="auto"/>
              <w:right w:val="nil"/>
            </w:tcBorders>
            <w:shd w:val="clear" w:color="FFFFFF" w:fill="FFFFFF"/>
            <w:vAlign w:val="bottom"/>
            <w:hideMark/>
          </w:tcPr>
          <w:p w:rsidR="007E1E1E" w:rsidRDefault="007E1E1E" w:rsidP="00B50E5D">
            <w:pPr>
              <w:jc w:val="center"/>
              <w:rPr>
                <w:rFonts w:cs="Calibri"/>
                <w:b/>
                <w:bCs/>
                <w:szCs w:val="18"/>
              </w:rPr>
            </w:pPr>
            <w:r>
              <w:rPr>
                <w:rFonts w:cs="Calibri"/>
                <w:b/>
                <w:bCs/>
                <w:szCs w:val="18"/>
              </w:rPr>
              <w:t>2013-14</w:t>
            </w:r>
          </w:p>
        </w:tc>
      </w:tr>
      <w:tr w:rsidR="007E1E1E" w:rsidTr="00B50E5D">
        <w:trPr>
          <w:trHeight w:val="750"/>
        </w:trPr>
        <w:tc>
          <w:tcPr>
            <w:tcW w:w="6176" w:type="dxa"/>
            <w:tcBorders>
              <w:top w:val="single" w:sz="4" w:space="0" w:color="auto"/>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xml:space="preserve">Average annual reportable </w:t>
            </w:r>
            <w:proofErr w:type="spellStart"/>
            <w:r>
              <w:rPr>
                <w:rFonts w:cs="Calibri"/>
                <w:b/>
                <w:bCs/>
                <w:szCs w:val="18"/>
              </w:rPr>
              <w:t>remuneration</w:t>
            </w:r>
            <w:r>
              <w:rPr>
                <w:rFonts w:cs="Calibri"/>
                <w:b/>
                <w:bCs/>
                <w:szCs w:val="18"/>
                <w:vertAlign w:val="superscript"/>
              </w:rPr>
              <w:t>1</w:t>
            </w:r>
            <w:proofErr w:type="spellEnd"/>
          </w:p>
        </w:tc>
        <w:tc>
          <w:tcPr>
            <w:tcW w:w="125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Substantive Senior Executives</w:t>
            </w:r>
          </w:p>
        </w:tc>
        <w:tc>
          <w:tcPr>
            <w:tcW w:w="125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 xml:space="preserve">Reportable </w:t>
            </w:r>
            <w:proofErr w:type="spellStart"/>
            <w:r>
              <w:rPr>
                <w:rFonts w:cs="Calibri"/>
                <w:b/>
                <w:bCs/>
                <w:szCs w:val="18"/>
              </w:rPr>
              <w:t>salary</w:t>
            </w:r>
            <w:r>
              <w:rPr>
                <w:rFonts w:ascii="Arial" w:hAnsi="Arial" w:cs="Arial"/>
                <w:b/>
                <w:bCs/>
                <w:szCs w:val="18"/>
                <w:vertAlign w:val="superscript"/>
              </w:rPr>
              <w:t>2</w:t>
            </w:r>
            <w:proofErr w:type="spellEnd"/>
          </w:p>
        </w:tc>
        <w:tc>
          <w:tcPr>
            <w:tcW w:w="1470"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 xml:space="preserve">Contributed </w:t>
            </w:r>
            <w:proofErr w:type="spellStart"/>
            <w:r>
              <w:rPr>
                <w:rFonts w:cs="Calibri"/>
                <w:b/>
                <w:bCs/>
                <w:szCs w:val="18"/>
              </w:rPr>
              <w:t>superannuation</w:t>
            </w:r>
            <w:r>
              <w:rPr>
                <w:rFonts w:ascii="Arial" w:hAnsi="Arial" w:cs="Arial"/>
                <w:b/>
                <w:bCs/>
                <w:szCs w:val="18"/>
                <w:vertAlign w:val="superscript"/>
              </w:rPr>
              <w:t>3</w:t>
            </w:r>
            <w:proofErr w:type="spellEnd"/>
          </w:p>
        </w:tc>
        <w:tc>
          <w:tcPr>
            <w:tcW w:w="125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 xml:space="preserve">Reportable </w:t>
            </w:r>
            <w:proofErr w:type="spellStart"/>
            <w:r>
              <w:rPr>
                <w:rFonts w:cs="Calibri"/>
                <w:b/>
                <w:bCs/>
                <w:szCs w:val="18"/>
              </w:rPr>
              <w:t>allowances</w:t>
            </w:r>
            <w:r>
              <w:rPr>
                <w:rFonts w:ascii="Arial" w:hAnsi="Arial" w:cs="Arial"/>
                <w:b/>
                <w:bCs/>
                <w:szCs w:val="18"/>
                <w:vertAlign w:val="superscript"/>
              </w:rPr>
              <w:t>4</w:t>
            </w:r>
            <w:proofErr w:type="spellEnd"/>
          </w:p>
        </w:tc>
        <w:tc>
          <w:tcPr>
            <w:tcW w:w="125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 xml:space="preserve">Bonus </w:t>
            </w:r>
            <w:proofErr w:type="spellStart"/>
            <w:r>
              <w:rPr>
                <w:rFonts w:cs="Calibri"/>
                <w:b/>
                <w:bCs/>
                <w:szCs w:val="18"/>
              </w:rPr>
              <w:t>paid</w:t>
            </w:r>
            <w:r>
              <w:rPr>
                <w:rFonts w:ascii="Arial" w:hAnsi="Arial" w:cs="Arial"/>
                <w:b/>
                <w:bCs/>
                <w:szCs w:val="18"/>
                <w:vertAlign w:val="superscript"/>
              </w:rPr>
              <w:t>5</w:t>
            </w:r>
            <w:proofErr w:type="spellEnd"/>
          </w:p>
        </w:tc>
        <w:tc>
          <w:tcPr>
            <w:tcW w:w="127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Total reportable remuneration</w:t>
            </w:r>
          </w:p>
        </w:tc>
      </w:tr>
      <w:tr w:rsidR="007E1E1E" w:rsidTr="00B50E5D">
        <w:trPr>
          <w:trHeight w:val="255"/>
        </w:trPr>
        <w:tc>
          <w:tcPr>
            <w:tcW w:w="6176" w:type="dxa"/>
            <w:tcBorders>
              <w:top w:val="nil"/>
              <w:left w:val="nil"/>
              <w:bottom w:val="single" w:sz="4" w:space="0" w:color="auto"/>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No.</w:t>
            </w:r>
          </w:p>
        </w:tc>
        <w:tc>
          <w:tcPr>
            <w:tcW w:w="125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w:t>
            </w:r>
          </w:p>
        </w:tc>
        <w:tc>
          <w:tcPr>
            <w:tcW w:w="1470"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w:t>
            </w:r>
          </w:p>
        </w:tc>
        <w:tc>
          <w:tcPr>
            <w:tcW w:w="125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w:t>
            </w:r>
          </w:p>
        </w:tc>
        <w:tc>
          <w:tcPr>
            <w:tcW w:w="125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w:t>
            </w:r>
          </w:p>
        </w:tc>
        <w:tc>
          <w:tcPr>
            <w:tcW w:w="127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617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Total reportable remuneration (including part-time arrangements)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47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7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255"/>
        </w:trPr>
        <w:tc>
          <w:tcPr>
            <w:tcW w:w="617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Less than $195,000</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74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102,946 </w:t>
            </w:r>
          </w:p>
        </w:tc>
        <w:tc>
          <w:tcPr>
            <w:tcW w:w="147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19,559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27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122,505</w:t>
            </w:r>
          </w:p>
        </w:tc>
      </w:tr>
      <w:tr w:rsidR="007E1E1E" w:rsidTr="00B50E5D">
        <w:trPr>
          <w:trHeight w:val="255"/>
        </w:trPr>
        <w:tc>
          <w:tcPr>
            <w:tcW w:w="617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$195,000 to $224,999</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10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179,368 </w:t>
            </w:r>
          </w:p>
        </w:tc>
        <w:tc>
          <w:tcPr>
            <w:tcW w:w="147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24,664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1,724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27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205,756</w:t>
            </w:r>
          </w:p>
        </w:tc>
      </w:tr>
      <w:tr w:rsidR="007E1E1E" w:rsidTr="00B50E5D">
        <w:trPr>
          <w:trHeight w:val="255"/>
        </w:trPr>
        <w:tc>
          <w:tcPr>
            <w:tcW w:w="617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$225,000 to $254,999</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4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199,484 </w:t>
            </w:r>
          </w:p>
        </w:tc>
        <w:tc>
          <w:tcPr>
            <w:tcW w:w="147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36,727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27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236,211</w:t>
            </w:r>
          </w:p>
        </w:tc>
      </w:tr>
      <w:tr w:rsidR="007E1E1E" w:rsidTr="00B50E5D">
        <w:trPr>
          <w:trHeight w:val="255"/>
        </w:trPr>
        <w:tc>
          <w:tcPr>
            <w:tcW w:w="617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$255,000 to $284,999</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3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229,056 </w:t>
            </w:r>
          </w:p>
        </w:tc>
        <w:tc>
          <w:tcPr>
            <w:tcW w:w="147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39,749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27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268,805</w:t>
            </w:r>
          </w:p>
        </w:tc>
      </w:tr>
      <w:tr w:rsidR="007E1E1E" w:rsidTr="00B50E5D">
        <w:trPr>
          <w:trHeight w:val="255"/>
        </w:trPr>
        <w:tc>
          <w:tcPr>
            <w:tcW w:w="617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$285,000 to $314,999</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259,997 </w:t>
            </w:r>
          </w:p>
        </w:tc>
        <w:tc>
          <w:tcPr>
            <w:tcW w:w="147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36,204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27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296,201</w:t>
            </w:r>
          </w:p>
        </w:tc>
      </w:tr>
      <w:tr w:rsidR="007E1E1E" w:rsidTr="00B50E5D">
        <w:trPr>
          <w:trHeight w:val="255"/>
        </w:trPr>
        <w:tc>
          <w:tcPr>
            <w:tcW w:w="617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$555,000 to $585,999</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476,933 </w:t>
            </w:r>
          </w:p>
        </w:tc>
        <w:tc>
          <w:tcPr>
            <w:tcW w:w="147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78,457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1,011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27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556,401</w:t>
            </w:r>
          </w:p>
        </w:tc>
      </w:tr>
      <w:tr w:rsidR="007E1E1E" w:rsidTr="00B50E5D">
        <w:trPr>
          <w:trHeight w:val="255"/>
        </w:trPr>
        <w:tc>
          <w:tcPr>
            <w:tcW w:w="617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number of substantive senior executives</w:t>
            </w:r>
          </w:p>
        </w:tc>
        <w:tc>
          <w:tcPr>
            <w:tcW w:w="1256"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93</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47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7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bl>
    <w:p w:rsidR="007E1E1E" w:rsidRDefault="007E1E1E" w:rsidP="007E1E1E">
      <w:bookmarkStart w:id="199" w:name="RANGE!D7:J22"/>
      <w:bookmarkStart w:id="200" w:name="RANGE!D7:J23"/>
      <w:bookmarkStart w:id="201" w:name="RANGE!D6:J22"/>
      <w:bookmarkStart w:id="202" w:name="RANGE!D6:J24"/>
      <w:bookmarkStart w:id="203" w:name="RANGE!D6:J18"/>
      <w:bookmarkStart w:id="204" w:name="RANGE!D6:J19"/>
      <w:bookmarkStart w:id="205" w:name="RANGE!D6:J20"/>
      <w:bookmarkEnd w:id="199"/>
      <w:bookmarkEnd w:id="200"/>
      <w:bookmarkEnd w:id="201"/>
      <w:bookmarkEnd w:id="202"/>
      <w:bookmarkEnd w:id="203"/>
      <w:bookmarkEnd w:id="204"/>
      <w:bookmarkEnd w:id="205"/>
    </w:p>
    <w:p w:rsidR="007E1E1E" w:rsidRDefault="007E1E1E" w:rsidP="007E1E1E">
      <w:pPr>
        <w:pStyle w:val="AdminBlankGreyShade"/>
      </w:pPr>
      <w:bookmarkStart w:id="206" w:name="RANGE!D28:J43"/>
      <w:bookmarkStart w:id="207" w:name="RANGE!D30:J44"/>
      <w:bookmarkStart w:id="208" w:name="RANGE!D30:J46"/>
      <w:bookmarkStart w:id="209" w:name="RANGE!D24:J34"/>
      <w:bookmarkEnd w:id="206"/>
      <w:bookmarkEnd w:id="207"/>
      <w:bookmarkEnd w:id="208"/>
      <w:bookmarkEnd w:id="209"/>
      <w:r>
        <w:t>Notes:</w:t>
      </w:r>
    </w:p>
    <w:p w:rsidR="007E1E1E" w:rsidRDefault="007E1E1E" w:rsidP="007E1E1E">
      <w:pPr>
        <w:pStyle w:val="AdminBlankGreyShade"/>
      </w:pPr>
      <w:r w:rsidRPr="007F1FAB">
        <w:rPr>
          <w:vertAlign w:val="superscript"/>
        </w:rPr>
        <w:t>1</w:t>
      </w:r>
      <w:r>
        <w:t xml:space="preserve"> This table reports substantive senior executives who received remuneration during the reporting period. Each row is an averaged figure based on headcount for individuals in the band.</w:t>
      </w:r>
    </w:p>
    <w:p w:rsidR="007E1E1E" w:rsidRDefault="007E1E1E" w:rsidP="007E1E1E">
      <w:pPr>
        <w:pStyle w:val="AdminBlankGreyShade"/>
      </w:pPr>
      <w:r w:rsidRPr="007F1FAB">
        <w:rPr>
          <w:vertAlign w:val="superscript"/>
        </w:rPr>
        <w:t>2</w:t>
      </w:r>
      <w:r>
        <w:t xml:space="preserve"> 'Reportable salary' includes the following: </w:t>
      </w:r>
    </w:p>
    <w:p w:rsidR="007E1E1E" w:rsidRDefault="007E1E1E" w:rsidP="007E1E1E">
      <w:pPr>
        <w:pStyle w:val="AdminBlankGreyShade"/>
        <w:ind w:left="567"/>
      </w:pPr>
      <w:r>
        <w:t xml:space="preserve">a) </w:t>
      </w:r>
      <w:proofErr w:type="gramStart"/>
      <w:r>
        <w:t>gross</w:t>
      </w:r>
      <w:proofErr w:type="gramEnd"/>
      <w:r>
        <w:t xml:space="preserve"> payments (less any bonuses paid, which are separated out and disclosed in the 'bonus paid' column)</w:t>
      </w:r>
    </w:p>
    <w:p w:rsidR="007E1E1E" w:rsidRDefault="007E1E1E" w:rsidP="007E1E1E">
      <w:pPr>
        <w:pStyle w:val="AdminBlankGreyShade"/>
        <w:ind w:left="567"/>
      </w:pPr>
      <w:r>
        <w:t xml:space="preserve">b) </w:t>
      </w:r>
      <w:proofErr w:type="gramStart"/>
      <w:r>
        <w:t>reportable</w:t>
      </w:r>
      <w:proofErr w:type="gramEnd"/>
      <w:r>
        <w:t xml:space="preserve"> fringe benefits (at the net amount prior to 'grossing up' to account for tax purposes)</w:t>
      </w:r>
    </w:p>
    <w:p w:rsidR="007E1E1E" w:rsidRDefault="007E1E1E" w:rsidP="007E1E1E">
      <w:pPr>
        <w:pStyle w:val="AdminBlankGreyShade"/>
        <w:ind w:left="567"/>
      </w:pPr>
      <w:r>
        <w:t xml:space="preserve">c) </w:t>
      </w:r>
      <w:proofErr w:type="gramStart"/>
      <w:r>
        <w:t>reportable</w:t>
      </w:r>
      <w:proofErr w:type="gramEnd"/>
      <w:r>
        <w:t xml:space="preserve"> employer superannuation contributions</w:t>
      </w:r>
    </w:p>
    <w:p w:rsidR="007E1E1E" w:rsidRDefault="007E1E1E" w:rsidP="007E1E1E">
      <w:pPr>
        <w:pStyle w:val="AdminBlankGreyShade"/>
        <w:ind w:left="567"/>
      </w:pPr>
      <w:r>
        <w:t xml:space="preserve">d) </w:t>
      </w:r>
      <w:proofErr w:type="gramStart"/>
      <w:r>
        <w:t>exempt</w:t>
      </w:r>
      <w:proofErr w:type="gramEnd"/>
      <w:r>
        <w:t xml:space="preserve"> foreign employment income.</w:t>
      </w:r>
    </w:p>
    <w:p w:rsidR="007E1E1E" w:rsidRDefault="007E1E1E" w:rsidP="007E1E1E">
      <w:pPr>
        <w:pStyle w:val="AdminBlankGreyShade"/>
      </w:pPr>
      <w:r w:rsidRPr="007F1FAB">
        <w:rPr>
          <w:vertAlign w:val="superscript"/>
        </w:rPr>
        <w:t>3</w:t>
      </w:r>
      <w:r>
        <w:t xml:space="preserve"> The 'contributed superannuation' amount is the average cost to the department for the provision of superannuation benefits to substantive senior executives in that reportable remuneration band during the reporting period.</w:t>
      </w:r>
    </w:p>
    <w:p w:rsidR="007E1E1E" w:rsidRDefault="007E1E1E" w:rsidP="007E1E1E">
      <w:pPr>
        <w:pStyle w:val="AdminBlankGreyShade"/>
      </w:pPr>
      <w:r w:rsidRPr="007F1FAB">
        <w:rPr>
          <w:vertAlign w:val="superscript"/>
        </w:rPr>
        <w:t>4</w:t>
      </w:r>
      <w:r>
        <w:t xml:space="preserve"> 'Reportable allowances' are the average actual allowances paid as per the 'total allowances' line on individuals' payment summaries.</w:t>
      </w:r>
    </w:p>
    <w:p w:rsidR="007E1E1E" w:rsidRDefault="007E1E1E" w:rsidP="007E1E1E">
      <w:pPr>
        <w:pStyle w:val="AdminBlankGreyShade"/>
      </w:pPr>
      <w:r w:rsidRPr="007F1FAB">
        <w:rPr>
          <w:vertAlign w:val="superscript"/>
        </w:rPr>
        <w:t>5</w:t>
      </w:r>
      <w:r>
        <w:t xml:space="preserve"> 'Bonus paid' represents average actual bonuses paid during the reporting period in that reportable remuneration band. Existing remuneration arrangements for senior executives do not provide for the payment of performance bonus.</w:t>
      </w:r>
    </w:p>
    <w:tbl>
      <w:tblPr>
        <w:tblpPr w:leftFromText="180" w:rightFromText="180" w:vertAnchor="text" w:horzAnchor="margin" w:tblpY="341"/>
        <w:tblW w:w="13991" w:type="dxa"/>
        <w:tblLayout w:type="fixed"/>
        <w:tblLook w:val="04A0" w:firstRow="1" w:lastRow="0" w:firstColumn="1" w:lastColumn="0" w:noHBand="0" w:noVBand="1"/>
      </w:tblPr>
      <w:tblGrid>
        <w:gridCol w:w="9634"/>
        <w:gridCol w:w="1453"/>
        <w:gridCol w:w="1452"/>
        <w:gridCol w:w="1452"/>
      </w:tblGrid>
      <w:tr w:rsidR="007E1E1E" w:rsidTr="00B50E5D">
        <w:trPr>
          <w:trHeight w:val="240"/>
        </w:trPr>
        <w:tc>
          <w:tcPr>
            <w:tcW w:w="9634"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210" w:name="Note_HPSTABLE1" w:colFirst="0" w:colLast="0"/>
            <w:r>
              <w:rPr>
                <w:rFonts w:cs="Calibri"/>
                <w:b/>
                <w:bCs/>
                <w:szCs w:val="18"/>
                <w:u w:val="single"/>
              </w:rPr>
              <w:t xml:space="preserve">Note </w:t>
            </w:r>
            <w:proofErr w:type="spellStart"/>
            <w:r>
              <w:rPr>
                <w:rFonts w:cs="Calibri"/>
                <w:b/>
                <w:bCs/>
                <w:szCs w:val="18"/>
                <w:u w:val="single"/>
              </w:rPr>
              <w:t>13C</w:t>
            </w:r>
            <w:proofErr w:type="spellEnd"/>
            <w:r>
              <w:rPr>
                <w:rFonts w:cs="Calibri"/>
                <w:b/>
                <w:bCs/>
                <w:szCs w:val="18"/>
                <w:u w:val="single"/>
              </w:rPr>
              <w:t>: Average annual reportable remuneration paid to other highly paid staff during the reporting period</w:t>
            </w:r>
          </w:p>
          <w:p w:rsidR="007E1E1E" w:rsidRDefault="007E1E1E" w:rsidP="00B50E5D">
            <w:pPr>
              <w:rPr>
                <w:rFonts w:cs="Calibri"/>
                <w:b/>
                <w:bCs/>
                <w:szCs w:val="18"/>
                <w:u w:val="single"/>
              </w:rPr>
            </w:pPr>
          </w:p>
          <w:p w:rsidR="007E1E1E" w:rsidRPr="00450869" w:rsidRDefault="007E1E1E" w:rsidP="00B50E5D">
            <w:pPr>
              <w:rPr>
                <w:rFonts w:cs="Calibri"/>
                <w:bCs/>
                <w:szCs w:val="18"/>
              </w:rPr>
            </w:pPr>
            <w:r w:rsidRPr="00450869">
              <w:rPr>
                <w:rFonts w:cs="Calibri"/>
                <w:bCs/>
                <w:szCs w:val="18"/>
              </w:rPr>
              <w:t xml:space="preserve">The department </w:t>
            </w:r>
            <w:r>
              <w:rPr>
                <w:rFonts w:cs="Calibri"/>
                <w:bCs/>
                <w:szCs w:val="18"/>
              </w:rPr>
              <w:t>has</w:t>
            </w:r>
            <w:r w:rsidRPr="00450869">
              <w:rPr>
                <w:rFonts w:cs="Calibri"/>
                <w:bCs/>
                <w:szCs w:val="18"/>
              </w:rPr>
              <w:t xml:space="preserve"> no highly paid staff during 2013</w:t>
            </w:r>
            <w:r>
              <w:rPr>
                <w:rFonts w:cs="Calibri"/>
                <w:bCs/>
                <w:szCs w:val="18"/>
              </w:rPr>
              <w:t>–</w:t>
            </w:r>
            <w:r w:rsidRPr="00450869">
              <w:rPr>
                <w:rFonts w:cs="Calibri"/>
                <w:bCs/>
                <w:szCs w:val="18"/>
              </w:rPr>
              <w:t>14.</w:t>
            </w:r>
          </w:p>
        </w:tc>
        <w:tc>
          <w:tcPr>
            <w:tcW w:w="1453"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452"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452"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bookmarkEnd w:id="210"/>
    </w:tbl>
    <w:p w:rsidR="007E1E1E" w:rsidRPr="00450869" w:rsidRDefault="007E1E1E" w:rsidP="007E1E1E">
      <w:pPr>
        <w:pStyle w:val="ReferenceText"/>
        <w:sectPr w:rsidR="007E1E1E" w:rsidRPr="00450869">
          <w:type w:val="continuous"/>
          <w:pgSz w:w="16838" w:h="11906" w:orient="landscape"/>
          <w:pgMar w:top="1134" w:right="1134" w:bottom="1134" w:left="1134" w:header="958" w:footer="737" w:gutter="0"/>
          <w:cols w:space="720"/>
        </w:sectPr>
      </w:pPr>
    </w:p>
    <w:p w:rsidR="007E1E1E" w:rsidRDefault="007E1E1E" w:rsidP="007E1E1E"/>
    <w:p w:rsidR="007E1E1E" w:rsidRDefault="007E1E1E" w:rsidP="007E1E1E">
      <w:pPr>
        <w:pStyle w:val="NotesHeading-Level1"/>
        <w:rPr>
          <w:rFonts w:cstheme="minorHAnsi"/>
        </w:rPr>
      </w:pPr>
      <w:bookmarkStart w:id="211" w:name="_Toc400713257"/>
      <w:r>
        <w:rPr>
          <w:rFonts w:cstheme="minorHAnsi"/>
        </w:rPr>
        <w:t>Remuneration of Auditors</w:t>
      </w:r>
      <w:bookmarkEnd w:id="211"/>
    </w:p>
    <w:p w:rsidR="007E1E1E" w:rsidRDefault="007E1E1E" w:rsidP="007E1E1E"/>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bookmarkStart w:id="212" w:name="Note_REATABLE1" w:colFirst="0" w:colLast="0"/>
            <w:r>
              <w:rPr>
                <w:rFonts w:ascii="Arial" w:hAnsi="Arial" w:cs="Arial"/>
                <w:b/>
                <w:bCs/>
                <w:szCs w:val="18"/>
              </w:rPr>
              <w:t> </w:t>
            </w:r>
          </w:p>
        </w:tc>
        <w:tc>
          <w:tcPr>
            <w:tcW w:w="125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2014</w:t>
            </w:r>
          </w:p>
        </w:tc>
      </w:tr>
      <w:bookmarkEnd w:id="212"/>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5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480"/>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 xml:space="preserve">Financial statement audit services were provided free of charge to the department by the Australian National Audit Office.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480"/>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The fair value of the services received for financial statement audit services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1,460 </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fair value of services received</w:t>
            </w:r>
          </w:p>
        </w:tc>
        <w:tc>
          <w:tcPr>
            <w:tcW w:w="125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1,460</w:t>
            </w:r>
          </w:p>
        </w:tc>
      </w:tr>
    </w:tbl>
    <w:p w:rsidR="007E1E1E" w:rsidRDefault="007E1E1E" w:rsidP="007E1E1E"/>
    <w:p w:rsidR="007E1E1E" w:rsidRDefault="007E1E1E" w:rsidP="007E1E1E">
      <w:r>
        <w:t xml:space="preserve">No other services were provided by the auditors of the financial statements. </w:t>
      </w:r>
    </w:p>
    <w:p w:rsidR="007E1E1E" w:rsidRDefault="007E1E1E" w:rsidP="007E1E1E"/>
    <w:p w:rsidR="007E1E1E" w:rsidRDefault="007E1E1E" w:rsidP="007E1E1E">
      <w:pPr>
        <w:pStyle w:val="NotesHeading-Level1"/>
        <w:rPr>
          <w:rFonts w:cstheme="minorHAnsi"/>
        </w:rPr>
      </w:pPr>
      <w:bookmarkStart w:id="213" w:name="_Toc400713258"/>
      <w:r>
        <w:rPr>
          <w:rFonts w:cstheme="minorHAnsi"/>
        </w:rPr>
        <w:t>Financial Instruments</w:t>
      </w:r>
      <w:bookmarkEnd w:id="213"/>
    </w:p>
    <w:p w:rsidR="007E1E1E" w:rsidRDefault="007E1E1E" w:rsidP="007E1E1E"/>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214" w:name="Note_FIATABLE1" w:colFirst="0" w:colLast="0"/>
            <w:r>
              <w:rPr>
                <w:rFonts w:cs="Calibri"/>
                <w:b/>
                <w:bCs/>
                <w:szCs w:val="18"/>
                <w:u w:val="single"/>
              </w:rPr>
              <w:t xml:space="preserve">Note </w:t>
            </w:r>
            <w:proofErr w:type="spellStart"/>
            <w:r>
              <w:rPr>
                <w:rFonts w:cs="Calibri"/>
                <w:b/>
                <w:bCs/>
                <w:szCs w:val="18"/>
                <w:u w:val="single"/>
              </w:rPr>
              <w:t>15A</w:t>
            </w:r>
            <w:proofErr w:type="spellEnd"/>
            <w:r>
              <w:rPr>
                <w:rFonts w:cs="Calibri"/>
                <w:b/>
                <w:bCs/>
                <w:szCs w:val="18"/>
                <w:u w:val="single"/>
              </w:rPr>
              <w:t>: Categories of financial instruments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bookmarkEnd w:id="214"/>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Financial Assets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Loans and receivables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Cash and cash equivalents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8,429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Goods and services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15,138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Accrued revenue</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10,113 </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financial assets</w:t>
            </w:r>
          </w:p>
        </w:tc>
        <w:tc>
          <w:tcPr>
            <w:tcW w:w="125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33,680</w:t>
            </w:r>
          </w:p>
        </w:tc>
      </w:tr>
      <w:tr w:rsidR="007E1E1E" w:rsidTr="00B50E5D">
        <w:trPr>
          <w:trHeight w:val="270"/>
        </w:trPr>
        <w:tc>
          <w:tcPr>
            <w:tcW w:w="63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Financial Liabilities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Measured at amortised cost</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Trade creditors and accruals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7,451 </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financial liabilities</w:t>
            </w:r>
          </w:p>
        </w:tc>
        <w:tc>
          <w:tcPr>
            <w:tcW w:w="125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7,451</w:t>
            </w:r>
          </w:p>
        </w:tc>
      </w:tr>
    </w:tbl>
    <w:p w:rsidR="007E1E1E" w:rsidRDefault="007E1E1E" w:rsidP="007E1E1E">
      <w:bookmarkStart w:id="215" w:name="RANGE!D7:G20"/>
      <w:bookmarkStart w:id="216" w:name="RANGE!D7:G22"/>
      <w:bookmarkStart w:id="217" w:name="RANGE!D6:G44"/>
      <w:bookmarkStart w:id="218" w:name="RANGE!D6:D46"/>
      <w:bookmarkStart w:id="219" w:name="RANGE!D6:G46"/>
      <w:bookmarkEnd w:id="215"/>
      <w:bookmarkEnd w:id="216"/>
      <w:bookmarkEnd w:id="217"/>
      <w:bookmarkEnd w:id="218"/>
      <w:bookmarkEnd w:id="219"/>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220" w:name="Note_FIBTABLE1" w:colFirst="0" w:colLast="0"/>
            <w:r>
              <w:rPr>
                <w:rFonts w:cs="Calibri"/>
                <w:b/>
                <w:bCs/>
                <w:szCs w:val="18"/>
                <w:u w:val="single"/>
              </w:rPr>
              <w:t xml:space="preserve">Note </w:t>
            </w:r>
            <w:proofErr w:type="spellStart"/>
            <w:r>
              <w:rPr>
                <w:rFonts w:cs="Calibri"/>
                <w:b/>
                <w:bCs/>
                <w:szCs w:val="18"/>
                <w:u w:val="single"/>
              </w:rPr>
              <w:t>15B</w:t>
            </w:r>
            <w:proofErr w:type="spellEnd"/>
            <w:r>
              <w:rPr>
                <w:rFonts w:cs="Calibri"/>
                <w:b/>
                <w:bCs/>
                <w:szCs w:val="18"/>
                <w:u w:val="single"/>
              </w:rPr>
              <w:t>: Net gains or losses on financial assets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bookmarkEnd w:id="220"/>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Loans and receivables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Write off impairment - goods and services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97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Impairment of receivables - goods and services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9 </w:t>
            </w:r>
          </w:p>
        </w:tc>
      </w:tr>
      <w:tr w:rsidR="007E1E1E" w:rsidTr="00B50E5D">
        <w:trPr>
          <w:trHeight w:val="255"/>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Net gains (losses) on loans and receivables</w:t>
            </w:r>
          </w:p>
        </w:tc>
        <w:tc>
          <w:tcPr>
            <w:tcW w:w="125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106</w:t>
            </w:r>
          </w:p>
        </w:tc>
      </w:tr>
      <w:tr w:rsidR="007E1E1E" w:rsidTr="00B50E5D">
        <w:trPr>
          <w:trHeight w:val="255"/>
        </w:trPr>
        <w:tc>
          <w:tcPr>
            <w:tcW w:w="63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70"/>
        </w:trPr>
        <w:tc>
          <w:tcPr>
            <w:tcW w:w="63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Net gains (losses) on financial assets</w:t>
            </w:r>
          </w:p>
        </w:tc>
        <w:tc>
          <w:tcPr>
            <w:tcW w:w="125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106</w:t>
            </w:r>
          </w:p>
        </w:tc>
      </w:tr>
    </w:tbl>
    <w:p w:rsidR="007E1E1E" w:rsidRDefault="007E1E1E" w:rsidP="007E1E1E">
      <w:bookmarkStart w:id="221" w:name="RANGE!D6:G49"/>
      <w:bookmarkStart w:id="222" w:name="RANGE!D6:D50"/>
      <w:bookmarkStart w:id="223" w:name="RANGE!D6:G50"/>
      <w:bookmarkEnd w:id="221"/>
      <w:bookmarkEnd w:id="222"/>
      <w:bookmarkEnd w:id="223"/>
    </w:p>
    <w:p w:rsidR="007E1E1E" w:rsidRDefault="007E1E1E" w:rsidP="007E1E1E">
      <w:r>
        <w:t xml:space="preserve">The net income/expenses from financial assets not at fair value through profit or loss </w:t>
      </w:r>
      <w:proofErr w:type="gramStart"/>
      <w:r>
        <w:t>is</w:t>
      </w:r>
      <w:proofErr w:type="gramEnd"/>
      <w:r>
        <w:t xml:space="preserve"> ($106,000). </w:t>
      </w:r>
    </w:p>
    <w:p w:rsidR="007E1E1E" w:rsidRDefault="007E1E1E" w:rsidP="007E1E1E"/>
    <w:p w:rsidR="007E1E1E" w:rsidRDefault="007E1E1E" w:rsidP="007E1E1E">
      <w:r>
        <w:rPr>
          <w:b/>
        </w:rPr>
        <w:br w:type="page"/>
      </w:r>
    </w:p>
    <w:tbl>
      <w:tblPr>
        <w:tblW w:w="9087" w:type="dxa"/>
        <w:tblInd w:w="80" w:type="dxa"/>
        <w:tblLayout w:type="fixed"/>
        <w:tblLook w:val="04A0" w:firstRow="1" w:lastRow="0" w:firstColumn="1" w:lastColumn="0" w:noHBand="0" w:noVBand="1"/>
      </w:tblPr>
      <w:tblGrid>
        <w:gridCol w:w="5633"/>
        <w:gridCol w:w="1727"/>
        <w:gridCol w:w="1727"/>
      </w:tblGrid>
      <w:tr w:rsidR="007E1E1E" w:rsidTr="00B50E5D">
        <w:trPr>
          <w:trHeight w:val="255"/>
        </w:trPr>
        <w:tc>
          <w:tcPr>
            <w:tcW w:w="40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224" w:name="Note_FIETABLE1" w:colFirst="0" w:colLast="0"/>
            <w:r>
              <w:rPr>
                <w:rFonts w:cs="Calibri"/>
                <w:b/>
                <w:bCs/>
                <w:szCs w:val="18"/>
                <w:u w:val="single"/>
              </w:rPr>
              <w:lastRenderedPageBreak/>
              <w:t xml:space="preserve">Note </w:t>
            </w:r>
            <w:proofErr w:type="spellStart"/>
            <w:r>
              <w:rPr>
                <w:rFonts w:cs="Calibri"/>
                <w:b/>
                <w:bCs/>
                <w:szCs w:val="18"/>
                <w:u w:val="single"/>
              </w:rPr>
              <w:t>15C</w:t>
            </w:r>
            <w:proofErr w:type="spellEnd"/>
            <w:r>
              <w:rPr>
                <w:rFonts w:cs="Calibri"/>
                <w:b/>
                <w:bCs/>
                <w:szCs w:val="18"/>
                <w:u w:val="single"/>
              </w:rPr>
              <w:t>: Fair value of financial instruments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bookmarkEnd w:id="224"/>
      <w:tr w:rsidR="007E1E1E" w:rsidTr="00B50E5D">
        <w:trPr>
          <w:trHeight w:val="255"/>
        </w:trPr>
        <w:tc>
          <w:tcPr>
            <w:tcW w:w="40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255"/>
        </w:trPr>
        <w:tc>
          <w:tcPr>
            <w:tcW w:w="4096" w:type="dxa"/>
            <w:tcBorders>
              <w:top w:val="single" w:sz="4" w:space="0" w:color="auto"/>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Carrying</w:t>
            </w:r>
          </w:p>
        </w:tc>
        <w:tc>
          <w:tcPr>
            <w:tcW w:w="1256" w:type="dxa"/>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Fair</w:t>
            </w:r>
          </w:p>
        </w:tc>
      </w:tr>
      <w:tr w:rsidR="007E1E1E" w:rsidTr="00B50E5D">
        <w:trPr>
          <w:trHeight w:val="255"/>
        </w:trPr>
        <w:tc>
          <w:tcPr>
            <w:tcW w:w="40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amount</w:t>
            </w:r>
          </w:p>
        </w:tc>
        <w:tc>
          <w:tcPr>
            <w:tcW w:w="125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value</w:t>
            </w:r>
          </w:p>
        </w:tc>
      </w:tr>
      <w:tr w:rsidR="007E1E1E" w:rsidTr="00B50E5D">
        <w:trPr>
          <w:trHeight w:val="255"/>
        </w:trPr>
        <w:tc>
          <w:tcPr>
            <w:tcW w:w="40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2014</w:t>
            </w:r>
          </w:p>
        </w:tc>
        <w:tc>
          <w:tcPr>
            <w:tcW w:w="125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2014</w:t>
            </w:r>
          </w:p>
        </w:tc>
      </w:tr>
      <w:tr w:rsidR="007E1E1E" w:rsidTr="00B50E5D">
        <w:trPr>
          <w:trHeight w:val="255"/>
        </w:trPr>
        <w:tc>
          <w:tcPr>
            <w:tcW w:w="4096" w:type="dxa"/>
            <w:tcBorders>
              <w:top w:val="nil"/>
              <w:left w:val="nil"/>
              <w:bottom w:val="single" w:sz="4" w:space="0" w:color="auto"/>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25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40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Financial Assets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255"/>
        </w:trPr>
        <w:tc>
          <w:tcPr>
            <w:tcW w:w="40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Cash and cash equivalents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8,429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8,429 </w:t>
            </w:r>
          </w:p>
        </w:tc>
      </w:tr>
      <w:tr w:rsidR="007E1E1E" w:rsidTr="00B50E5D">
        <w:trPr>
          <w:trHeight w:val="255"/>
        </w:trPr>
        <w:tc>
          <w:tcPr>
            <w:tcW w:w="40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Goods and services receivable</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15,138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15,074 </w:t>
            </w:r>
          </w:p>
        </w:tc>
      </w:tr>
      <w:tr w:rsidR="007E1E1E" w:rsidTr="00B50E5D">
        <w:trPr>
          <w:trHeight w:val="255"/>
        </w:trPr>
        <w:tc>
          <w:tcPr>
            <w:tcW w:w="40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Accrued revenue</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10,113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10,113 </w:t>
            </w:r>
          </w:p>
        </w:tc>
      </w:tr>
      <w:tr w:rsidR="007E1E1E" w:rsidTr="00B50E5D">
        <w:trPr>
          <w:trHeight w:val="255"/>
        </w:trPr>
        <w:tc>
          <w:tcPr>
            <w:tcW w:w="4096" w:type="dxa"/>
            <w:tcBorders>
              <w:top w:val="single" w:sz="4" w:space="0" w:color="auto"/>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Total financial assets</w:t>
            </w:r>
          </w:p>
        </w:tc>
        <w:tc>
          <w:tcPr>
            <w:tcW w:w="125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33,680</w:t>
            </w:r>
          </w:p>
        </w:tc>
        <w:tc>
          <w:tcPr>
            <w:tcW w:w="125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33,616</w:t>
            </w:r>
          </w:p>
        </w:tc>
      </w:tr>
      <w:tr w:rsidR="007E1E1E" w:rsidTr="00B50E5D">
        <w:trPr>
          <w:trHeight w:val="255"/>
        </w:trPr>
        <w:tc>
          <w:tcPr>
            <w:tcW w:w="40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40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Financial Liabilities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409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At amortised cost</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r>
      <w:tr w:rsidR="007E1E1E" w:rsidTr="00B50E5D">
        <w:trPr>
          <w:trHeight w:val="255"/>
        </w:trPr>
        <w:tc>
          <w:tcPr>
            <w:tcW w:w="409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Trade creditors and accruals</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7,451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7,451 </w:t>
            </w:r>
          </w:p>
        </w:tc>
      </w:tr>
      <w:tr w:rsidR="007E1E1E" w:rsidTr="00B50E5D">
        <w:trPr>
          <w:trHeight w:val="255"/>
        </w:trPr>
        <w:tc>
          <w:tcPr>
            <w:tcW w:w="4096" w:type="dxa"/>
            <w:tcBorders>
              <w:top w:val="single" w:sz="4" w:space="0" w:color="auto"/>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Total financial liabilities</w:t>
            </w:r>
          </w:p>
        </w:tc>
        <w:tc>
          <w:tcPr>
            <w:tcW w:w="125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7,451</w:t>
            </w:r>
          </w:p>
        </w:tc>
        <w:tc>
          <w:tcPr>
            <w:tcW w:w="125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7,451</w:t>
            </w:r>
          </w:p>
        </w:tc>
      </w:tr>
    </w:tbl>
    <w:p w:rsidR="007E1E1E" w:rsidRDefault="007E1E1E" w:rsidP="007E1E1E">
      <w:bookmarkStart w:id="225" w:name="RANGE!D7:H23"/>
      <w:bookmarkStart w:id="226" w:name="RANGE!D6:H23"/>
      <w:bookmarkStart w:id="227" w:name="RANGE!D6:G28"/>
      <w:bookmarkStart w:id="228" w:name="RANGE!D6:D29"/>
      <w:bookmarkStart w:id="229" w:name="RANGE!D6:G29"/>
      <w:bookmarkStart w:id="230" w:name="RANGE!D6:H18"/>
      <w:bookmarkStart w:id="231" w:name="RANGE!D6:H19"/>
      <w:bookmarkEnd w:id="225"/>
      <w:bookmarkEnd w:id="226"/>
      <w:bookmarkEnd w:id="227"/>
      <w:bookmarkEnd w:id="228"/>
      <w:bookmarkEnd w:id="229"/>
      <w:bookmarkEnd w:id="230"/>
      <w:bookmarkEnd w:id="231"/>
    </w:p>
    <w:tbl>
      <w:tblPr>
        <w:tblW w:w="9087" w:type="dxa"/>
        <w:tblInd w:w="80" w:type="dxa"/>
        <w:tblLayout w:type="fixed"/>
        <w:tblLook w:val="04A0" w:firstRow="1" w:lastRow="0" w:firstColumn="1" w:lastColumn="0" w:noHBand="0" w:noVBand="1"/>
      </w:tblPr>
      <w:tblGrid>
        <w:gridCol w:w="2838"/>
        <w:gridCol w:w="1251"/>
        <w:gridCol w:w="1250"/>
        <w:gridCol w:w="1250"/>
        <w:gridCol w:w="1249"/>
        <w:gridCol w:w="1249"/>
      </w:tblGrid>
      <w:tr w:rsidR="007E1E1E" w:rsidTr="00B50E5D">
        <w:trPr>
          <w:trHeight w:val="255"/>
        </w:trPr>
        <w:tc>
          <w:tcPr>
            <w:tcW w:w="2804"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232" w:name="Note_FIHTABLE1" w:colFirst="0" w:colLast="0"/>
            <w:r>
              <w:rPr>
                <w:rFonts w:cs="Calibri"/>
                <w:b/>
                <w:bCs/>
                <w:szCs w:val="18"/>
                <w:u w:val="single"/>
              </w:rPr>
              <w:t xml:space="preserve">Note </w:t>
            </w:r>
            <w:proofErr w:type="spellStart"/>
            <w:r>
              <w:rPr>
                <w:rFonts w:cs="Calibri"/>
                <w:b/>
                <w:bCs/>
                <w:szCs w:val="18"/>
                <w:u w:val="single"/>
              </w:rPr>
              <w:t>15D</w:t>
            </w:r>
            <w:proofErr w:type="spellEnd"/>
            <w:r>
              <w:rPr>
                <w:rFonts w:cs="Calibri"/>
                <w:b/>
                <w:bCs/>
                <w:szCs w:val="18"/>
                <w:u w:val="single"/>
              </w:rPr>
              <w:t>: Credit risk</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bookmarkEnd w:id="232"/>
      <w:tr w:rsidR="007E1E1E" w:rsidTr="00B50E5D">
        <w:trPr>
          <w:trHeight w:val="255"/>
        </w:trPr>
        <w:tc>
          <w:tcPr>
            <w:tcW w:w="2804"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1140"/>
        </w:trPr>
        <w:tc>
          <w:tcPr>
            <w:tcW w:w="8982" w:type="dxa"/>
            <w:gridSpan w:val="6"/>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The department is exposed to minimal credit risk as loans and receivables are cash, cash on deposit and trade receivables. The maximum exposure to credit risk is the risk that arises from potential default of a debtor. This amount is equal to the total amount of trade receivables in 2014: $15,074. The department has assessed the risk of the default on payment and has allocated nil in 2014 to an impairment allowance for doubtful debts.</w:t>
            </w:r>
          </w:p>
        </w:tc>
      </w:tr>
      <w:tr w:rsidR="007E1E1E" w:rsidTr="00B50E5D">
        <w:trPr>
          <w:trHeight w:val="255"/>
        </w:trPr>
        <w:tc>
          <w:tcPr>
            <w:tcW w:w="8982" w:type="dxa"/>
            <w:gridSpan w:val="6"/>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The department has no liabilities carried at amounts not best representing maximum exposure to credit risk.</w:t>
            </w:r>
          </w:p>
        </w:tc>
      </w:tr>
      <w:tr w:rsidR="007E1E1E" w:rsidTr="00B50E5D">
        <w:trPr>
          <w:trHeight w:val="525"/>
        </w:trPr>
        <w:tc>
          <w:tcPr>
            <w:tcW w:w="8982" w:type="dxa"/>
            <w:gridSpan w:val="6"/>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The department has no significant exposures to any concentrations of credit risk. All figures for credit risk referred to do not take into account the value of any collateral of other security.</w:t>
            </w:r>
          </w:p>
        </w:tc>
      </w:tr>
      <w:tr w:rsidR="007E1E1E" w:rsidTr="00B50E5D">
        <w:trPr>
          <w:trHeight w:val="255"/>
        </w:trPr>
        <w:tc>
          <w:tcPr>
            <w:tcW w:w="8982" w:type="dxa"/>
            <w:gridSpan w:val="6"/>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Maximum exposure to credit risk (excluding any collateral or credit enhancements)</w:t>
            </w:r>
          </w:p>
        </w:tc>
      </w:tr>
      <w:tr w:rsidR="007E1E1E" w:rsidTr="00B50E5D">
        <w:trPr>
          <w:trHeight w:val="255"/>
        </w:trPr>
        <w:tc>
          <w:tcPr>
            <w:tcW w:w="2804"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35"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2014</w:t>
            </w:r>
          </w:p>
        </w:tc>
      </w:tr>
      <w:tr w:rsidR="007E1E1E" w:rsidTr="00B50E5D">
        <w:trPr>
          <w:trHeight w:val="255"/>
        </w:trPr>
        <w:tc>
          <w:tcPr>
            <w:tcW w:w="2804"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35"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7747" w:type="dxa"/>
            <w:gridSpan w:val="5"/>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Financial assets carried at amount not best representing maximum exposure to credit risk</w:t>
            </w:r>
          </w:p>
        </w:tc>
        <w:tc>
          <w:tcPr>
            <w:tcW w:w="1235"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255"/>
        </w:trPr>
        <w:tc>
          <w:tcPr>
            <w:tcW w:w="2804"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Cash and cash equivalents</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8,429 </w:t>
            </w:r>
          </w:p>
        </w:tc>
      </w:tr>
      <w:tr w:rsidR="007E1E1E" w:rsidTr="00B50E5D">
        <w:trPr>
          <w:trHeight w:val="255"/>
        </w:trPr>
        <w:tc>
          <w:tcPr>
            <w:tcW w:w="2804"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Goods and services receivable</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15,138 </w:t>
            </w:r>
          </w:p>
        </w:tc>
      </w:tr>
      <w:tr w:rsidR="007E1E1E" w:rsidTr="00B50E5D">
        <w:trPr>
          <w:trHeight w:val="255"/>
        </w:trPr>
        <w:tc>
          <w:tcPr>
            <w:tcW w:w="2804"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Accrued revenue</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10,113 </w:t>
            </w:r>
          </w:p>
        </w:tc>
      </w:tr>
      <w:tr w:rsidR="007E1E1E" w:rsidTr="00B50E5D">
        <w:trPr>
          <w:trHeight w:val="255"/>
        </w:trPr>
        <w:tc>
          <w:tcPr>
            <w:tcW w:w="7747" w:type="dxa"/>
            <w:gridSpan w:val="5"/>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xml:space="preserve">Total financial assets carried at amount not best representing maximum exposure to credit risk </w:t>
            </w:r>
          </w:p>
        </w:tc>
        <w:tc>
          <w:tcPr>
            <w:tcW w:w="1235"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33,680</w:t>
            </w:r>
          </w:p>
        </w:tc>
      </w:tr>
      <w:tr w:rsidR="007E1E1E" w:rsidTr="00B50E5D">
        <w:trPr>
          <w:trHeight w:val="255"/>
        </w:trPr>
        <w:tc>
          <w:tcPr>
            <w:tcW w:w="2804"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855"/>
        </w:trPr>
        <w:tc>
          <w:tcPr>
            <w:tcW w:w="8982" w:type="dxa"/>
            <w:gridSpan w:val="6"/>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In relation to the department’s gross credit risk and the financial effect in respect of the amount that best represents the maximum exposure to credit risk there is no collateral held however in 2014: 2 limited indemnities were given in respect of venue hire between the Commonwealth and third parties.</w:t>
            </w:r>
          </w:p>
        </w:tc>
      </w:tr>
      <w:tr w:rsidR="007E1E1E" w:rsidTr="00B50E5D">
        <w:trPr>
          <w:trHeight w:val="255"/>
        </w:trPr>
        <w:tc>
          <w:tcPr>
            <w:tcW w:w="2804"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255"/>
        </w:trPr>
        <w:tc>
          <w:tcPr>
            <w:tcW w:w="6512" w:type="dxa"/>
            <w:gridSpan w:val="4"/>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Credit quality of financial assets not past due or individually determined as impaired</w:t>
            </w:r>
          </w:p>
        </w:tc>
        <w:tc>
          <w:tcPr>
            <w:tcW w:w="1235"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480"/>
        </w:trPr>
        <w:tc>
          <w:tcPr>
            <w:tcW w:w="2804"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 w:val="20"/>
              </w:rPr>
            </w:pPr>
            <w:r>
              <w:rPr>
                <w:rFonts w:ascii="Arial" w:hAnsi="Arial" w:cs="Arial"/>
                <w:sz w:val="20"/>
              </w:rPr>
              <w:t> </w:t>
            </w:r>
          </w:p>
        </w:tc>
        <w:tc>
          <w:tcPr>
            <w:tcW w:w="1236" w:type="dxa"/>
            <w:tcBorders>
              <w:top w:val="nil"/>
              <w:left w:val="nil"/>
              <w:bottom w:val="nil"/>
              <w:right w:val="nil"/>
            </w:tcBorders>
            <w:shd w:val="clear" w:color="FFFFFF" w:fill="FFFFFF"/>
            <w:vAlign w:val="bottom"/>
            <w:hideMark/>
          </w:tcPr>
          <w:p w:rsidR="007E1E1E" w:rsidRDefault="007E1E1E" w:rsidP="00B50E5D">
            <w:pPr>
              <w:jc w:val="right"/>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7E1E1E" w:rsidRDefault="007E1E1E" w:rsidP="00B50E5D">
            <w:pPr>
              <w:jc w:val="right"/>
              <w:rPr>
                <w:rFonts w:cs="Calibri"/>
                <w:szCs w:val="18"/>
              </w:rPr>
            </w:pPr>
            <w:r>
              <w:rPr>
                <w:rFonts w:cs="Calibri"/>
                <w:szCs w:val="18"/>
              </w:rPr>
              <w:t> </w:t>
            </w:r>
          </w:p>
        </w:tc>
        <w:tc>
          <w:tcPr>
            <w:tcW w:w="1235"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Not past due nor impaired</w:t>
            </w:r>
          </w:p>
        </w:tc>
        <w:tc>
          <w:tcPr>
            <w:tcW w:w="1235"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Past due or impaired</w:t>
            </w:r>
          </w:p>
        </w:tc>
      </w:tr>
      <w:tr w:rsidR="007E1E1E" w:rsidTr="00B50E5D">
        <w:trPr>
          <w:trHeight w:val="255"/>
        </w:trPr>
        <w:tc>
          <w:tcPr>
            <w:tcW w:w="2804"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 w:val="20"/>
              </w:rPr>
            </w:pPr>
            <w:r>
              <w:rPr>
                <w:rFonts w:ascii="Arial" w:hAnsi="Arial" w:cs="Arial"/>
                <w:sz w:val="20"/>
              </w:rPr>
              <w:t> </w:t>
            </w:r>
          </w:p>
        </w:tc>
        <w:tc>
          <w:tcPr>
            <w:tcW w:w="1236" w:type="dxa"/>
            <w:tcBorders>
              <w:top w:val="nil"/>
              <w:left w:val="nil"/>
              <w:bottom w:val="nil"/>
              <w:right w:val="nil"/>
            </w:tcBorders>
            <w:shd w:val="clear" w:color="FFFFFF" w:fill="FFFFFF"/>
            <w:vAlign w:val="bottom"/>
            <w:hideMark/>
          </w:tcPr>
          <w:p w:rsidR="007E1E1E" w:rsidRDefault="007E1E1E" w:rsidP="00B50E5D">
            <w:pPr>
              <w:jc w:val="right"/>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7E1E1E" w:rsidRDefault="007E1E1E" w:rsidP="00B50E5D">
            <w:pPr>
              <w:jc w:val="right"/>
              <w:rPr>
                <w:rFonts w:cs="Calibri"/>
                <w:szCs w:val="18"/>
              </w:rPr>
            </w:pPr>
            <w:r>
              <w:rPr>
                <w:rFonts w:cs="Calibri"/>
                <w:szCs w:val="18"/>
              </w:rPr>
              <w:t> </w:t>
            </w:r>
          </w:p>
        </w:tc>
        <w:tc>
          <w:tcPr>
            <w:tcW w:w="1235"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2014</w:t>
            </w:r>
          </w:p>
        </w:tc>
        <w:tc>
          <w:tcPr>
            <w:tcW w:w="1235"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2014</w:t>
            </w:r>
          </w:p>
        </w:tc>
      </w:tr>
      <w:tr w:rsidR="007E1E1E" w:rsidTr="00B50E5D">
        <w:trPr>
          <w:trHeight w:val="255"/>
        </w:trPr>
        <w:tc>
          <w:tcPr>
            <w:tcW w:w="2804"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 w:val="20"/>
              </w:rPr>
            </w:pPr>
            <w:r>
              <w:rPr>
                <w:rFonts w:ascii="Arial" w:hAnsi="Arial" w:cs="Arial"/>
                <w:sz w:val="20"/>
              </w:rPr>
              <w:t> </w:t>
            </w:r>
          </w:p>
        </w:tc>
        <w:tc>
          <w:tcPr>
            <w:tcW w:w="1236" w:type="dxa"/>
            <w:tcBorders>
              <w:top w:val="nil"/>
              <w:left w:val="nil"/>
              <w:bottom w:val="nil"/>
              <w:right w:val="nil"/>
            </w:tcBorders>
            <w:shd w:val="clear" w:color="FFFFFF" w:fill="FFFFFF"/>
            <w:vAlign w:val="bottom"/>
            <w:hideMark/>
          </w:tcPr>
          <w:p w:rsidR="007E1E1E" w:rsidRDefault="007E1E1E" w:rsidP="00B50E5D">
            <w:pPr>
              <w:jc w:val="right"/>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7E1E1E" w:rsidRDefault="007E1E1E" w:rsidP="00B50E5D">
            <w:pPr>
              <w:jc w:val="right"/>
              <w:rPr>
                <w:rFonts w:cs="Calibri"/>
                <w:szCs w:val="18"/>
              </w:rPr>
            </w:pPr>
            <w:r>
              <w:rPr>
                <w:rFonts w:cs="Calibri"/>
                <w:szCs w:val="18"/>
              </w:rPr>
              <w:t> </w:t>
            </w:r>
          </w:p>
        </w:tc>
        <w:tc>
          <w:tcPr>
            <w:tcW w:w="1235"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235"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2804"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Cash and cash equivalents</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vAlign w:val="bottom"/>
            <w:hideMark/>
          </w:tcPr>
          <w:p w:rsidR="007E1E1E" w:rsidRDefault="007E1E1E" w:rsidP="00B50E5D">
            <w:pPr>
              <w:jc w:val="right"/>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7E1E1E" w:rsidRDefault="007E1E1E" w:rsidP="00B50E5D">
            <w:pPr>
              <w:jc w:val="right"/>
              <w:rPr>
                <w:rFonts w:cs="Calibri"/>
                <w:szCs w:val="18"/>
              </w:rPr>
            </w:pPr>
            <w:r>
              <w:rPr>
                <w:rFonts w:cs="Calibri"/>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8,429 </w:t>
            </w:r>
          </w:p>
        </w:tc>
        <w:tc>
          <w:tcPr>
            <w:tcW w:w="1235"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2804"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Goods and services receivable</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vAlign w:val="bottom"/>
            <w:hideMark/>
          </w:tcPr>
          <w:p w:rsidR="007E1E1E" w:rsidRDefault="007E1E1E" w:rsidP="00B50E5D">
            <w:pPr>
              <w:jc w:val="right"/>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7E1E1E" w:rsidRDefault="007E1E1E" w:rsidP="00B50E5D">
            <w:pPr>
              <w:jc w:val="right"/>
              <w:rPr>
                <w:rFonts w:cs="Calibri"/>
                <w:szCs w:val="18"/>
              </w:rPr>
            </w:pPr>
            <w:r>
              <w:rPr>
                <w:rFonts w:cs="Calibri"/>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7,391 </w:t>
            </w:r>
          </w:p>
        </w:tc>
        <w:tc>
          <w:tcPr>
            <w:tcW w:w="1235"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7,747 </w:t>
            </w:r>
          </w:p>
        </w:tc>
      </w:tr>
      <w:tr w:rsidR="007E1E1E" w:rsidTr="00B50E5D">
        <w:trPr>
          <w:trHeight w:val="255"/>
        </w:trPr>
        <w:tc>
          <w:tcPr>
            <w:tcW w:w="2804"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Accrued revenue</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vAlign w:val="bottom"/>
            <w:hideMark/>
          </w:tcPr>
          <w:p w:rsidR="007E1E1E" w:rsidRDefault="007E1E1E" w:rsidP="00B50E5D">
            <w:pPr>
              <w:jc w:val="right"/>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7E1E1E" w:rsidRDefault="007E1E1E" w:rsidP="00B50E5D">
            <w:pPr>
              <w:jc w:val="right"/>
              <w:rPr>
                <w:rFonts w:cs="Calibri"/>
                <w:szCs w:val="18"/>
              </w:rPr>
            </w:pPr>
            <w:r>
              <w:rPr>
                <w:rFonts w:cs="Calibri"/>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10,113 </w:t>
            </w:r>
          </w:p>
        </w:tc>
        <w:tc>
          <w:tcPr>
            <w:tcW w:w="1235"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2804"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Total</w:t>
            </w:r>
          </w:p>
        </w:tc>
        <w:tc>
          <w:tcPr>
            <w:tcW w:w="123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236" w:type="dxa"/>
            <w:tcBorders>
              <w:top w:val="nil"/>
              <w:left w:val="nil"/>
              <w:bottom w:val="nil"/>
              <w:right w:val="nil"/>
            </w:tcBorders>
            <w:shd w:val="clear" w:color="FFFFFF" w:fill="FFFFFF"/>
            <w:vAlign w:val="bottom"/>
            <w:hideMark/>
          </w:tcPr>
          <w:p w:rsidR="007E1E1E" w:rsidRDefault="007E1E1E" w:rsidP="00B50E5D">
            <w:pPr>
              <w:jc w:val="right"/>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7E1E1E" w:rsidRDefault="007E1E1E" w:rsidP="00B50E5D">
            <w:pPr>
              <w:jc w:val="right"/>
              <w:rPr>
                <w:rFonts w:cs="Calibri"/>
                <w:szCs w:val="18"/>
              </w:rPr>
            </w:pPr>
            <w:r>
              <w:rPr>
                <w:rFonts w:cs="Calibri"/>
                <w:szCs w:val="18"/>
              </w:rPr>
              <w:t> </w:t>
            </w:r>
          </w:p>
        </w:tc>
        <w:tc>
          <w:tcPr>
            <w:tcW w:w="1235"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25,933</w:t>
            </w:r>
          </w:p>
        </w:tc>
        <w:tc>
          <w:tcPr>
            <w:tcW w:w="1235"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7,747</w:t>
            </w:r>
          </w:p>
        </w:tc>
      </w:tr>
      <w:tr w:rsidR="007E1E1E" w:rsidTr="00B50E5D">
        <w:trPr>
          <w:trHeight w:val="255"/>
        </w:trPr>
        <w:tc>
          <w:tcPr>
            <w:tcW w:w="2804"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2804"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2804"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2804"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255"/>
        </w:trPr>
        <w:tc>
          <w:tcPr>
            <w:tcW w:w="6512" w:type="dxa"/>
            <w:gridSpan w:val="4"/>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lastRenderedPageBreak/>
              <w:t>Ageing of financial assets that were past due but not impaired for 2014</w:t>
            </w:r>
          </w:p>
        </w:tc>
        <w:tc>
          <w:tcPr>
            <w:tcW w:w="1235"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255"/>
        </w:trPr>
        <w:tc>
          <w:tcPr>
            <w:tcW w:w="2804"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 xml:space="preserve">0 to 30 </w:t>
            </w:r>
          </w:p>
        </w:tc>
        <w:tc>
          <w:tcPr>
            <w:tcW w:w="123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31 to 60</w:t>
            </w:r>
          </w:p>
        </w:tc>
        <w:tc>
          <w:tcPr>
            <w:tcW w:w="123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61 to 90</w:t>
            </w:r>
          </w:p>
        </w:tc>
        <w:tc>
          <w:tcPr>
            <w:tcW w:w="1235"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90+</w:t>
            </w:r>
          </w:p>
        </w:tc>
        <w:tc>
          <w:tcPr>
            <w:tcW w:w="1235"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2804"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days</w:t>
            </w:r>
          </w:p>
        </w:tc>
        <w:tc>
          <w:tcPr>
            <w:tcW w:w="123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days</w:t>
            </w:r>
          </w:p>
        </w:tc>
        <w:tc>
          <w:tcPr>
            <w:tcW w:w="123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days</w:t>
            </w:r>
          </w:p>
        </w:tc>
        <w:tc>
          <w:tcPr>
            <w:tcW w:w="1235"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days</w:t>
            </w:r>
          </w:p>
        </w:tc>
        <w:tc>
          <w:tcPr>
            <w:tcW w:w="1235"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Total</w:t>
            </w:r>
          </w:p>
        </w:tc>
      </w:tr>
      <w:tr w:rsidR="007E1E1E" w:rsidTr="00B50E5D">
        <w:trPr>
          <w:trHeight w:val="255"/>
        </w:trPr>
        <w:tc>
          <w:tcPr>
            <w:tcW w:w="2804"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23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23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235"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235"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2804"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Goods and services receivable</w:t>
            </w:r>
          </w:p>
        </w:tc>
        <w:tc>
          <w:tcPr>
            <w:tcW w:w="12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5,888 </w:t>
            </w:r>
          </w:p>
        </w:tc>
        <w:tc>
          <w:tcPr>
            <w:tcW w:w="12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282 </w:t>
            </w:r>
          </w:p>
        </w:tc>
        <w:tc>
          <w:tcPr>
            <w:tcW w:w="12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809 </w:t>
            </w:r>
          </w:p>
        </w:tc>
        <w:tc>
          <w:tcPr>
            <w:tcW w:w="1235"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768 </w:t>
            </w:r>
          </w:p>
        </w:tc>
        <w:tc>
          <w:tcPr>
            <w:tcW w:w="1235"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7,747 </w:t>
            </w:r>
          </w:p>
        </w:tc>
      </w:tr>
      <w:tr w:rsidR="007E1E1E" w:rsidTr="00B50E5D">
        <w:trPr>
          <w:trHeight w:val="255"/>
        </w:trPr>
        <w:tc>
          <w:tcPr>
            <w:tcW w:w="2804"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Total</w:t>
            </w:r>
          </w:p>
        </w:tc>
        <w:tc>
          <w:tcPr>
            <w:tcW w:w="123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5,888</w:t>
            </w:r>
          </w:p>
        </w:tc>
        <w:tc>
          <w:tcPr>
            <w:tcW w:w="123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282</w:t>
            </w:r>
          </w:p>
        </w:tc>
        <w:tc>
          <w:tcPr>
            <w:tcW w:w="123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809</w:t>
            </w:r>
          </w:p>
        </w:tc>
        <w:tc>
          <w:tcPr>
            <w:tcW w:w="1235"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768</w:t>
            </w:r>
          </w:p>
        </w:tc>
        <w:tc>
          <w:tcPr>
            <w:tcW w:w="1235"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7,747</w:t>
            </w:r>
          </w:p>
        </w:tc>
      </w:tr>
    </w:tbl>
    <w:p w:rsidR="007E1E1E" w:rsidRDefault="007E1E1E" w:rsidP="007E1E1E">
      <w:pPr>
        <w:rPr>
          <w:rFonts w:asciiTheme="minorHAnsi" w:hAnsiTheme="minorHAnsi" w:cstheme="minorHAnsi"/>
          <w:b/>
          <w:szCs w:val="18"/>
          <w:lang w:eastAsia="en-AU"/>
        </w:rPr>
      </w:pPr>
      <w:bookmarkStart w:id="233" w:name="RANGE!D7:I47"/>
      <w:bookmarkStart w:id="234" w:name="RANGE!D7:I46"/>
      <w:bookmarkStart w:id="235" w:name="RANGE!D7:I45"/>
      <w:bookmarkStart w:id="236" w:name="RANGE!D7:I44"/>
      <w:bookmarkStart w:id="237" w:name="RANGE!D7:I42"/>
      <w:bookmarkEnd w:id="233"/>
      <w:bookmarkEnd w:id="234"/>
      <w:bookmarkEnd w:id="235"/>
      <w:bookmarkEnd w:id="236"/>
      <w:bookmarkEnd w:id="237"/>
    </w:p>
    <w:p w:rsidR="007E1E1E" w:rsidRDefault="007E1E1E" w:rsidP="007E1E1E">
      <w:pPr>
        <w:rPr>
          <w:b/>
          <w:lang w:eastAsia="en-AU"/>
        </w:rPr>
      </w:pPr>
      <w:bookmarkStart w:id="238" w:name="RANGE!D6:I42"/>
      <w:bookmarkStart w:id="239" w:name="RANGE!D6:I47"/>
      <w:bookmarkStart w:id="240" w:name="RANGE!D21:H37"/>
      <w:bookmarkStart w:id="241" w:name="RANGE!D22:H38"/>
      <w:bookmarkStart w:id="242" w:name="RANGE!D40:H88"/>
      <w:bookmarkStart w:id="243" w:name="RANGE!D41:H89"/>
      <w:bookmarkStart w:id="244" w:name="RANGE!D6:G30"/>
      <w:bookmarkStart w:id="245" w:name="RANGE!D6:D31"/>
      <w:bookmarkStart w:id="246" w:name="RANGE!D6:G31"/>
      <w:bookmarkStart w:id="247" w:name="RANGE!D6:F17"/>
      <w:bookmarkStart w:id="248" w:name="RANGE!D6:I46"/>
      <w:bookmarkStart w:id="249" w:name="RANGE!D6:I44"/>
      <w:bookmarkStart w:id="250" w:name="RANGE!D6:D45"/>
      <w:bookmarkStart w:id="251" w:name="RANGE!D6:I45"/>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b/>
          <w:lang w:eastAsia="en-AU"/>
        </w:rPr>
        <w:t>The following asset has been individually assessed as impaired</w:t>
      </w:r>
    </w:p>
    <w:p w:rsidR="007E1E1E" w:rsidRDefault="007E1E1E" w:rsidP="007E1E1E">
      <w:pPr>
        <w:rPr>
          <w:lang w:eastAsia="en-AU"/>
        </w:rPr>
      </w:pPr>
      <w:r>
        <w:rPr>
          <w:lang w:eastAsia="en-AU"/>
        </w:rPr>
        <w:t xml:space="preserve">Trade receivables have been individually assessed for impairment including an assessment made on an historical basis. </w:t>
      </w:r>
    </w:p>
    <w:p w:rsidR="007E1E1E" w:rsidRDefault="007E1E1E" w:rsidP="007E1E1E">
      <w:pPr>
        <w:spacing w:line="240" w:lineRule="auto"/>
        <w:rPr>
          <w:rFonts w:asciiTheme="minorHAnsi" w:hAnsiTheme="minorHAnsi" w:cstheme="minorHAnsi"/>
          <w:szCs w:val="18"/>
          <w:lang w:eastAsia="en-AU"/>
        </w:rPr>
      </w:pPr>
    </w:p>
    <w:tbl>
      <w:tblPr>
        <w:tblW w:w="9087" w:type="dxa"/>
        <w:tblInd w:w="80" w:type="dxa"/>
        <w:tblLayout w:type="fixed"/>
        <w:tblLook w:val="04A0" w:firstRow="1" w:lastRow="0" w:firstColumn="1" w:lastColumn="0" w:noHBand="0" w:noVBand="1"/>
      </w:tblPr>
      <w:tblGrid>
        <w:gridCol w:w="2247"/>
        <w:gridCol w:w="333"/>
        <w:gridCol w:w="807"/>
        <w:gridCol w:w="43"/>
        <w:gridCol w:w="1097"/>
        <w:gridCol w:w="1140"/>
        <w:gridCol w:w="1140"/>
        <w:gridCol w:w="1140"/>
        <w:gridCol w:w="1140"/>
      </w:tblGrid>
      <w:tr w:rsidR="007E1E1E" w:rsidTr="00B50E5D">
        <w:trPr>
          <w:trHeight w:val="255"/>
        </w:trPr>
        <w:tc>
          <w:tcPr>
            <w:tcW w:w="2247"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252" w:name="Note_FIITABLE1" w:colFirst="0" w:colLast="0"/>
            <w:r>
              <w:rPr>
                <w:rFonts w:cs="Calibri"/>
                <w:b/>
                <w:bCs/>
                <w:szCs w:val="18"/>
                <w:u w:val="single"/>
              </w:rPr>
              <w:t xml:space="preserve">Note </w:t>
            </w:r>
            <w:proofErr w:type="spellStart"/>
            <w:r>
              <w:rPr>
                <w:rFonts w:cs="Calibri"/>
                <w:b/>
                <w:bCs/>
                <w:szCs w:val="18"/>
                <w:u w:val="single"/>
              </w:rPr>
              <w:t>15E</w:t>
            </w:r>
            <w:proofErr w:type="spellEnd"/>
            <w:r>
              <w:rPr>
                <w:rFonts w:cs="Calibri"/>
                <w:b/>
                <w:bCs/>
                <w:szCs w:val="18"/>
                <w:u w:val="single"/>
              </w:rPr>
              <w:t>: Liquidity risk</w:t>
            </w:r>
          </w:p>
        </w:tc>
        <w:tc>
          <w:tcPr>
            <w:tcW w:w="1140" w:type="dxa"/>
            <w:gridSpan w:val="2"/>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40" w:type="dxa"/>
            <w:gridSpan w:val="2"/>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4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4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4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4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bookmarkEnd w:id="252"/>
      <w:tr w:rsidR="007E1E1E" w:rsidTr="00B50E5D">
        <w:trPr>
          <w:trHeight w:val="750"/>
        </w:trPr>
        <w:tc>
          <w:tcPr>
            <w:tcW w:w="9087" w:type="dxa"/>
            <w:gridSpan w:val="9"/>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The department is appropriated funding from the Australian Government. The department manages its budgeted funds to ensure it has adequate funds to meet payments as they fall due. In addition, the department has policies in place to ensure timely payments are made when due and has no past experience of default.</w:t>
            </w:r>
          </w:p>
        </w:tc>
      </w:tr>
      <w:tr w:rsidR="007E1E1E" w:rsidTr="00B50E5D">
        <w:trPr>
          <w:trHeight w:val="255"/>
        </w:trPr>
        <w:tc>
          <w:tcPr>
            <w:tcW w:w="2247"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40" w:type="dxa"/>
            <w:gridSpan w:val="2"/>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40" w:type="dxa"/>
            <w:gridSpan w:val="2"/>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4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4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4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4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255"/>
        </w:trPr>
        <w:tc>
          <w:tcPr>
            <w:tcW w:w="4527" w:type="dxa"/>
            <w:gridSpan w:val="5"/>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Maturities for non-derivative financial liabilities 2014</w:t>
            </w:r>
          </w:p>
        </w:tc>
        <w:tc>
          <w:tcPr>
            <w:tcW w:w="114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4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4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14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480"/>
        </w:trPr>
        <w:tc>
          <w:tcPr>
            <w:tcW w:w="2580" w:type="dxa"/>
            <w:gridSpan w:val="2"/>
            <w:tcBorders>
              <w:top w:val="single" w:sz="4" w:space="0" w:color="auto"/>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850" w:type="dxa"/>
            <w:gridSpan w:val="2"/>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On</w:t>
            </w:r>
          </w:p>
        </w:tc>
        <w:tc>
          <w:tcPr>
            <w:tcW w:w="1097" w:type="dxa"/>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 xml:space="preserve">Within 1 </w:t>
            </w:r>
          </w:p>
        </w:tc>
        <w:tc>
          <w:tcPr>
            <w:tcW w:w="1140" w:type="dxa"/>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Between</w:t>
            </w:r>
            <w:r>
              <w:rPr>
                <w:rFonts w:cs="Calibri"/>
                <w:b/>
                <w:bCs/>
                <w:szCs w:val="18"/>
              </w:rPr>
              <w:br/>
              <w:t xml:space="preserve"> 1 to 2</w:t>
            </w:r>
          </w:p>
        </w:tc>
        <w:tc>
          <w:tcPr>
            <w:tcW w:w="1140" w:type="dxa"/>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 xml:space="preserve">Between </w:t>
            </w:r>
            <w:r>
              <w:rPr>
                <w:rFonts w:cs="Calibri"/>
                <w:b/>
                <w:bCs/>
                <w:szCs w:val="18"/>
              </w:rPr>
              <w:br/>
              <w:t>2 to 5</w:t>
            </w:r>
          </w:p>
        </w:tc>
        <w:tc>
          <w:tcPr>
            <w:tcW w:w="1140" w:type="dxa"/>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More than</w:t>
            </w:r>
          </w:p>
        </w:tc>
        <w:tc>
          <w:tcPr>
            <w:tcW w:w="1140" w:type="dxa"/>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2580" w:type="dxa"/>
            <w:gridSpan w:val="2"/>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850" w:type="dxa"/>
            <w:gridSpan w:val="2"/>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demand</w:t>
            </w:r>
          </w:p>
        </w:tc>
        <w:tc>
          <w:tcPr>
            <w:tcW w:w="1097"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year</w:t>
            </w:r>
          </w:p>
        </w:tc>
        <w:tc>
          <w:tcPr>
            <w:tcW w:w="1140"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years</w:t>
            </w:r>
          </w:p>
        </w:tc>
        <w:tc>
          <w:tcPr>
            <w:tcW w:w="1140"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years</w:t>
            </w:r>
          </w:p>
        </w:tc>
        <w:tc>
          <w:tcPr>
            <w:tcW w:w="1140"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5 years</w:t>
            </w:r>
          </w:p>
        </w:tc>
        <w:tc>
          <w:tcPr>
            <w:tcW w:w="1140"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Total</w:t>
            </w:r>
          </w:p>
        </w:tc>
      </w:tr>
      <w:tr w:rsidR="007E1E1E" w:rsidTr="00B50E5D">
        <w:trPr>
          <w:trHeight w:val="255"/>
        </w:trPr>
        <w:tc>
          <w:tcPr>
            <w:tcW w:w="2580" w:type="dxa"/>
            <w:gridSpan w:val="2"/>
            <w:tcBorders>
              <w:top w:val="nil"/>
              <w:left w:val="nil"/>
              <w:bottom w:val="single" w:sz="4" w:space="0" w:color="auto"/>
              <w:right w:val="nil"/>
            </w:tcBorders>
            <w:shd w:val="clear" w:color="FFFFFF" w:fill="FFFFFF"/>
            <w:noWrap/>
            <w:vAlign w:val="bottom"/>
            <w:hideMark/>
          </w:tcPr>
          <w:p w:rsidR="007E1E1E" w:rsidRDefault="007E1E1E" w:rsidP="00B50E5D">
            <w:pPr>
              <w:rPr>
                <w:rFonts w:ascii="Arial" w:hAnsi="Arial" w:cs="Arial"/>
                <w:b/>
                <w:bCs/>
                <w:szCs w:val="18"/>
              </w:rPr>
            </w:pPr>
            <w:r>
              <w:rPr>
                <w:rFonts w:ascii="Arial" w:hAnsi="Arial" w:cs="Arial"/>
                <w:b/>
                <w:bCs/>
                <w:szCs w:val="18"/>
              </w:rPr>
              <w:t> </w:t>
            </w:r>
          </w:p>
        </w:tc>
        <w:tc>
          <w:tcPr>
            <w:tcW w:w="850" w:type="dxa"/>
            <w:gridSpan w:val="2"/>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097"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140"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140"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140"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140"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2580" w:type="dxa"/>
            <w:gridSpan w:val="2"/>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Trade creditors and accruals</w:t>
            </w:r>
          </w:p>
        </w:tc>
        <w:tc>
          <w:tcPr>
            <w:tcW w:w="850" w:type="dxa"/>
            <w:gridSpan w:val="2"/>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097"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7,451 </w:t>
            </w:r>
          </w:p>
        </w:tc>
        <w:tc>
          <w:tcPr>
            <w:tcW w:w="114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14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14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14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7,451 </w:t>
            </w:r>
          </w:p>
        </w:tc>
      </w:tr>
      <w:tr w:rsidR="007E1E1E" w:rsidTr="00B50E5D">
        <w:trPr>
          <w:trHeight w:val="255"/>
        </w:trPr>
        <w:tc>
          <w:tcPr>
            <w:tcW w:w="2580" w:type="dxa"/>
            <w:gridSpan w:val="2"/>
            <w:tcBorders>
              <w:top w:val="single" w:sz="4" w:space="0" w:color="auto"/>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Total</w:t>
            </w:r>
          </w:p>
        </w:tc>
        <w:tc>
          <w:tcPr>
            <w:tcW w:w="850" w:type="dxa"/>
            <w:gridSpan w:val="2"/>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097"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7,451</w:t>
            </w:r>
          </w:p>
        </w:tc>
        <w:tc>
          <w:tcPr>
            <w:tcW w:w="1140"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140"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140"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140"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7,451</w:t>
            </w:r>
          </w:p>
        </w:tc>
      </w:tr>
    </w:tbl>
    <w:p w:rsidR="007E1E1E" w:rsidRDefault="007E1E1E" w:rsidP="007E1E1E">
      <w:pPr>
        <w:spacing w:line="240" w:lineRule="auto"/>
      </w:pPr>
      <w:r>
        <w:br w:type="page"/>
      </w:r>
      <w:bookmarkStart w:id="253" w:name="RANGE!D7:J24"/>
      <w:bookmarkStart w:id="254" w:name="RANGE!D6:J23"/>
      <w:bookmarkStart w:id="255" w:name="RANGE!D6:J29"/>
      <w:bookmarkStart w:id="256" w:name="RANGE!D6:D30"/>
      <w:bookmarkStart w:id="257" w:name="RANGE!D6:J30"/>
      <w:bookmarkEnd w:id="253"/>
      <w:bookmarkEnd w:id="254"/>
      <w:bookmarkEnd w:id="255"/>
      <w:bookmarkEnd w:id="256"/>
      <w:bookmarkEnd w:id="257"/>
    </w:p>
    <w:tbl>
      <w:tblPr>
        <w:tblW w:w="9087" w:type="dxa"/>
        <w:tblInd w:w="80" w:type="dxa"/>
        <w:tblLayout w:type="fixed"/>
        <w:tblLook w:val="04A0" w:firstRow="1" w:lastRow="0" w:firstColumn="1" w:lastColumn="0" w:noHBand="0" w:noVBand="1"/>
      </w:tblPr>
      <w:tblGrid>
        <w:gridCol w:w="5322"/>
        <w:gridCol w:w="1255"/>
        <w:gridCol w:w="1255"/>
        <w:gridCol w:w="1255"/>
      </w:tblGrid>
      <w:tr w:rsidR="007E1E1E" w:rsidTr="00B50E5D">
        <w:trPr>
          <w:trHeight w:val="255"/>
        </w:trPr>
        <w:tc>
          <w:tcPr>
            <w:tcW w:w="5260"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258" w:name="RANGE!D7:G9"/>
            <w:bookmarkEnd w:id="258"/>
            <w:r>
              <w:rPr>
                <w:rFonts w:cs="Calibri"/>
                <w:b/>
                <w:bCs/>
                <w:szCs w:val="18"/>
                <w:u w:val="single"/>
              </w:rPr>
              <w:lastRenderedPageBreak/>
              <w:t xml:space="preserve">Note </w:t>
            </w:r>
            <w:proofErr w:type="spellStart"/>
            <w:r>
              <w:rPr>
                <w:rFonts w:cs="Calibri"/>
                <w:b/>
                <w:bCs/>
                <w:szCs w:val="18"/>
                <w:u w:val="single"/>
              </w:rPr>
              <w:t>15F</w:t>
            </w:r>
            <w:proofErr w:type="spellEnd"/>
            <w:r>
              <w:rPr>
                <w:rFonts w:cs="Calibri"/>
                <w:b/>
                <w:bCs/>
                <w:szCs w:val="18"/>
                <w:u w:val="single"/>
              </w:rPr>
              <w:t>: Market risk</w:t>
            </w:r>
          </w:p>
        </w:tc>
        <w:tc>
          <w:tcPr>
            <w:tcW w:w="124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4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4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255"/>
        </w:trPr>
        <w:tc>
          <w:tcPr>
            <w:tcW w:w="5260"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4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4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40"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495"/>
        </w:trPr>
        <w:tc>
          <w:tcPr>
            <w:tcW w:w="8980" w:type="dxa"/>
            <w:gridSpan w:val="4"/>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The department holds basic financial instruments that do not expose the department to market or interest rate risk.</w:t>
            </w:r>
          </w:p>
        </w:tc>
      </w:tr>
    </w:tbl>
    <w:p w:rsidR="007E1E1E" w:rsidRDefault="007E1E1E" w:rsidP="007E1E1E"/>
    <w:p w:rsidR="007E1E1E" w:rsidRDefault="007E1E1E" w:rsidP="007E1E1E">
      <w:pPr>
        <w:pStyle w:val="NotesHeading-Level1"/>
        <w:rPr>
          <w:rFonts w:cstheme="minorHAnsi"/>
        </w:rPr>
      </w:pPr>
      <w:bookmarkStart w:id="259" w:name="RANGE!D6:G32"/>
      <w:bookmarkStart w:id="260" w:name="RANGE!D6:D33"/>
      <w:bookmarkStart w:id="261" w:name="RANGE!D6:G33"/>
      <w:bookmarkStart w:id="262" w:name="_Toc400713259"/>
      <w:bookmarkEnd w:id="259"/>
      <w:bookmarkEnd w:id="260"/>
      <w:bookmarkEnd w:id="261"/>
      <w:r>
        <w:rPr>
          <w:rFonts w:cstheme="minorHAnsi"/>
        </w:rPr>
        <w:t>Financial Assets Reconciliation</w:t>
      </w:r>
      <w:bookmarkEnd w:id="262"/>
    </w:p>
    <w:tbl>
      <w:tblPr>
        <w:tblW w:w="9087" w:type="dxa"/>
        <w:tblInd w:w="80" w:type="dxa"/>
        <w:tblLayout w:type="fixed"/>
        <w:tblLook w:val="04A0" w:firstRow="1" w:lastRow="0" w:firstColumn="1" w:lastColumn="0" w:noHBand="0" w:noVBand="1"/>
      </w:tblPr>
      <w:tblGrid>
        <w:gridCol w:w="6111"/>
        <w:gridCol w:w="1488"/>
        <w:gridCol w:w="1488"/>
      </w:tblGrid>
      <w:tr w:rsidR="007E1E1E" w:rsidTr="00B50E5D">
        <w:trPr>
          <w:trHeight w:val="240"/>
        </w:trPr>
        <w:tc>
          <w:tcPr>
            <w:tcW w:w="51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bookmarkStart w:id="263" w:name="Note_FARTABLE1" w:colFirst="0" w:colLast="0"/>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2014</w:t>
            </w:r>
          </w:p>
        </w:tc>
      </w:tr>
      <w:bookmarkEnd w:id="263"/>
      <w:tr w:rsidR="007E1E1E" w:rsidTr="00B50E5D">
        <w:trPr>
          <w:trHeight w:val="240"/>
        </w:trPr>
        <w:tc>
          <w:tcPr>
            <w:tcW w:w="51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40"/>
        </w:trPr>
        <w:tc>
          <w:tcPr>
            <w:tcW w:w="5156" w:type="dxa"/>
            <w:tcBorders>
              <w:top w:val="nil"/>
              <w:left w:val="nil"/>
              <w:bottom w:val="nil"/>
              <w:right w:val="nil"/>
            </w:tcBorders>
            <w:shd w:val="clear" w:color="FFFFFF" w:fill="FFFFFF"/>
            <w:noWrap/>
            <w:vAlign w:val="bottom"/>
          </w:tcPr>
          <w:p w:rsidR="007E1E1E" w:rsidRDefault="007E1E1E" w:rsidP="00B50E5D">
            <w:pPr>
              <w:rPr>
                <w:rFonts w:cs="Calibri"/>
                <w:b/>
                <w:bCs/>
                <w:szCs w:val="18"/>
                <w:u w:val="single"/>
              </w:rPr>
            </w:pPr>
          </w:p>
        </w:tc>
        <w:tc>
          <w:tcPr>
            <w:tcW w:w="1256" w:type="dxa"/>
            <w:tcBorders>
              <w:top w:val="nil"/>
              <w:left w:val="nil"/>
              <w:bottom w:val="nil"/>
              <w:right w:val="nil"/>
            </w:tcBorders>
            <w:shd w:val="clear" w:color="FFFFFF" w:fill="FFFFFF"/>
            <w:vAlign w:val="bottom"/>
            <w:hideMark/>
          </w:tcPr>
          <w:p w:rsidR="007E1E1E" w:rsidRDefault="007E1E1E" w:rsidP="00B50E5D">
            <w:pPr>
              <w:jc w:val="center"/>
              <w:rPr>
                <w:rFonts w:cs="Calibri"/>
                <w:b/>
                <w:bCs/>
                <w:szCs w:val="18"/>
              </w:rPr>
            </w:pPr>
            <w:r>
              <w:rPr>
                <w:rFonts w:cs="Calibri"/>
                <w:b/>
                <w:bCs/>
                <w:szCs w:val="18"/>
              </w:rPr>
              <w:t>Notes</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240"/>
        </w:trPr>
        <w:tc>
          <w:tcPr>
            <w:tcW w:w="515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jc w:val="cente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240"/>
        </w:trPr>
        <w:tc>
          <w:tcPr>
            <w:tcW w:w="515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financial assets as per statement of financial position</w:t>
            </w:r>
          </w:p>
        </w:tc>
        <w:tc>
          <w:tcPr>
            <w:tcW w:w="1256" w:type="dxa"/>
            <w:tcBorders>
              <w:top w:val="nil"/>
              <w:left w:val="nil"/>
              <w:bottom w:val="nil"/>
              <w:right w:val="nil"/>
            </w:tcBorders>
            <w:shd w:val="clear" w:color="FFFFFF" w:fill="FFFFFF"/>
            <w:noWrap/>
            <w:vAlign w:val="bottom"/>
            <w:hideMark/>
          </w:tcPr>
          <w:p w:rsidR="007E1E1E" w:rsidRDefault="007E1E1E" w:rsidP="00B50E5D">
            <w:pPr>
              <w:jc w:val="cente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53,311</w:t>
            </w:r>
          </w:p>
        </w:tc>
      </w:tr>
      <w:tr w:rsidR="007E1E1E" w:rsidTr="00B50E5D">
        <w:trPr>
          <w:trHeight w:val="240"/>
        </w:trPr>
        <w:tc>
          <w:tcPr>
            <w:tcW w:w="515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Less: non-financial instrument components</w:t>
            </w:r>
          </w:p>
        </w:tc>
        <w:tc>
          <w:tcPr>
            <w:tcW w:w="1256" w:type="dxa"/>
            <w:tcBorders>
              <w:top w:val="nil"/>
              <w:left w:val="nil"/>
              <w:bottom w:val="nil"/>
              <w:right w:val="nil"/>
            </w:tcBorders>
            <w:shd w:val="clear" w:color="FFFFFF" w:fill="FFFFFF"/>
            <w:noWrap/>
            <w:vAlign w:val="bottom"/>
            <w:hideMark/>
          </w:tcPr>
          <w:p w:rsidR="007E1E1E" w:rsidRDefault="007E1E1E" w:rsidP="00B50E5D">
            <w:pPr>
              <w:jc w:val="cente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ascii="Arial" w:hAnsi="Arial" w:cs="Arial"/>
                <w:b/>
                <w:bCs/>
                <w:szCs w:val="18"/>
              </w:rPr>
            </w:pPr>
            <w:r>
              <w:rPr>
                <w:rFonts w:ascii="Arial" w:hAnsi="Arial" w:cs="Arial"/>
                <w:b/>
                <w:bCs/>
                <w:szCs w:val="18"/>
              </w:rPr>
              <w:t> </w:t>
            </w:r>
          </w:p>
        </w:tc>
      </w:tr>
      <w:tr w:rsidR="007E1E1E" w:rsidTr="00B50E5D">
        <w:trPr>
          <w:trHeight w:val="240"/>
        </w:trPr>
        <w:tc>
          <w:tcPr>
            <w:tcW w:w="515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Appropriation receivable</w:t>
            </w:r>
          </w:p>
        </w:tc>
        <w:tc>
          <w:tcPr>
            <w:tcW w:w="1256" w:type="dxa"/>
            <w:tcBorders>
              <w:top w:val="nil"/>
              <w:left w:val="nil"/>
              <w:bottom w:val="nil"/>
              <w:right w:val="nil"/>
            </w:tcBorders>
            <w:shd w:val="clear" w:color="FFFFFF" w:fill="FFFFFF"/>
            <w:noWrap/>
            <w:vAlign w:val="bottom"/>
            <w:hideMark/>
          </w:tcPr>
          <w:p w:rsidR="007E1E1E" w:rsidRDefault="007E1E1E" w:rsidP="00B50E5D">
            <w:pPr>
              <w:jc w:val="cente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18,106 </w:t>
            </w:r>
          </w:p>
        </w:tc>
      </w:tr>
      <w:tr w:rsidR="007E1E1E" w:rsidTr="00B50E5D">
        <w:trPr>
          <w:trHeight w:val="240"/>
        </w:trPr>
        <w:tc>
          <w:tcPr>
            <w:tcW w:w="515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 xml:space="preserve">GST receivable from the </w:t>
            </w:r>
            <w:proofErr w:type="spellStart"/>
            <w:r>
              <w:rPr>
                <w:rFonts w:cs="Calibri"/>
                <w:szCs w:val="18"/>
              </w:rPr>
              <w:t>ATO</w:t>
            </w:r>
            <w:proofErr w:type="spellEnd"/>
          </w:p>
        </w:tc>
        <w:tc>
          <w:tcPr>
            <w:tcW w:w="1256" w:type="dxa"/>
            <w:tcBorders>
              <w:top w:val="nil"/>
              <w:left w:val="nil"/>
              <w:bottom w:val="nil"/>
              <w:right w:val="nil"/>
            </w:tcBorders>
            <w:shd w:val="clear" w:color="FFFFFF" w:fill="FFFFFF"/>
            <w:noWrap/>
            <w:vAlign w:val="bottom"/>
            <w:hideMark/>
          </w:tcPr>
          <w:p w:rsidR="007E1E1E" w:rsidRDefault="007E1E1E" w:rsidP="00B50E5D">
            <w:pPr>
              <w:jc w:val="cente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1,589 </w:t>
            </w:r>
          </w:p>
        </w:tc>
      </w:tr>
      <w:tr w:rsidR="007E1E1E" w:rsidTr="00B50E5D">
        <w:trPr>
          <w:trHeight w:val="240"/>
        </w:trPr>
        <w:tc>
          <w:tcPr>
            <w:tcW w:w="5156" w:type="dxa"/>
            <w:tcBorders>
              <w:top w:val="nil"/>
              <w:left w:val="nil"/>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Impairment allowance account</w:t>
            </w:r>
          </w:p>
        </w:tc>
        <w:tc>
          <w:tcPr>
            <w:tcW w:w="1256" w:type="dxa"/>
            <w:tcBorders>
              <w:top w:val="nil"/>
              <w:left w:val="nil"/>
              <w:bottom w:val="nil"/>
              <w:right w:val="nil"/>
            </w:tcBorders>
            <w:shd w:val="clear" w:color="FFFFFF" w:fill="FFFFFF"/>
            <w:noWrap/>
            <w:vAlign w:val="bottom"/>
            <w:hideMark/>
          </w:tcPr>
          <w:p w:rsidR="007E1E1E" w:rsidRDefault="007E1E1E" w:rsidP="00B50E5D">
            <w:pPr>
              <w:jc w:val="cente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(64)</w:t>
            </w:r>
          </w:p>
        </w:tc>
      </w:tr>
      <w:tr w:rsidR="007E1E1E" w:rsidTr="00B50E5D">
        <w:trPr>
          <w:trHeight w:val="240"/>
        </w:trPr>
        <w:tc>
          <w:tcPr>
            <w:tcW w:w="515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Total non-financial instrument components</w:t>
            </w:r>
          </w:p>
        </w:tc>
        <w:tc>
          <w:tcPr>
            <w:tcW w:w="1256" w:type="dxa"/>
            <w:tcBorders>
              <w:top w:val="nil"/>
              <w:left w:val="nil"/>
              <w:bottom w:val="nil"/>
              <w:right w:val="nil"/>
            </w:tcBorders>
            <w:shd w:val="clear" w:color="FFFFFF" w:fill="FFFFFF"/>
            <w:noWrap/>
            <w:vAlign w:val="bottom"/>
            <w:hideMark/>
          </w:tcPr>
          <w:p w:rsidR="007E1E1E" w:rsidRDefault="007E1E1E" w:rsidP="00B50E5D">
            <w:pPr>
              <w:jc w:val="center"/>
              <w:rPr>
                <w:rFonts w:cs="Calibri"/>
                <w:szCs w:val="18"/>
              </w:rPr>
            </w:pPr>
            <w:r>
              <w:rPr>
                <w:rFonts w:cs="Calibri"/>
                <w:szCs w:val="18"/>
              </w:rPr>
              <w:t> </w:t>
            </w:r>
          </w:p>
        </w:tc>
        <w:tc>
          <w:tcPr>
            <w:tcW w:w="125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19,631</w:t>
            </w:r>
          </w:p>
        </w:tc>
      </w:tr>
      <w:tr w:rsidR="007E1E1E" w:rsidTr="00B50E5D">
        <w:trPr>
          <w:trHeight w:val="240"/>
        </w:trPr>
        <w:tc>
          <w:tcPr>
            <w:tcW w:w="515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financial assets as per financial instruments note</w:t>
            </w:r>
          </w:p>
        </w:tc>
        <w:tc>
          <w:tcPr>
            <w:tcW w:w="1256" w:type="dxa"/>
            <w:tcBorders>
              <w:top w:val="nil"/>
              <w:left w:val="nil"/>
              <w:bottom w:val="nil"/>
              <w:right w:val="nil"/>
            </w:tcBorders>
            <w:shd w:val="clear" w:color="FFFFFF" w:fill="FFFFFF"/>
            <w:noWrap/>
            <w:vAlign w:val="bottom"/>
            <w:hideMark/>
          </w:tcPr>
          <w:p w:rsidR="007E1E1E" w:rsidRDefault="007E1E1E" w:rsidP="00B50E5D">
            <w:pPr>
              <w:jc w:val="center"/>
              <w:rPr>
                <w:rFonts w:cs="Calibri"/>
                <w:szCs w:val="18"/>
              </w:rPr>
            </w:pPr>
            <w:proofErr w:type="spellStart"/>
            <w:r>
              <w:rPr>
                <w:rFonts w:cs="Calibri"/>
                <w:szCs w:val="18"/>
              </w:rPr>
              <w:t>15A</w:t>
            </w:r>
            <w:proofErr w:type="spellEnd"/>
          </w:p>
        </w:tc>
        <w:tc>
          <w:tcPr>
            <w:tcW w:w="1256" w:type="dxa"/>
            <w:tcBorders>
              <w:top w:val="nil"/>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33,680</w:t>
            </w:r>
          </w:p>
        </w:tc>
      </w:tr>
    </w:tbl>
    <w:p w:rsidR="007E1E1E" w:rsidRDefault="007E1E1E" w:rsidP="007E1E1E">
      <w:r>
        <w:br w:type="page"/>
      </w:r>
      <w:bookmarkStart w:id="264" w:name="RANGE!D7:D17"/>
      <w:bookmarkStart w:id="265" w:name="RANGE!D7:H17"/>
      <w:bookmarkStart w:id="266" w:name="RANGE!D6:H15"/>
      <w:bookmarkEnd w:id="264"/>
      <w:bookmarkEnd w:id="265"/>
      <w:bookmarkEnd w:id="266"/>
    </w:p>
    <w:p w:rsidR="007E1E1E" w:rsidRDefault="007E1E1E" w:rsidP="007E1E1E">
      <w:pPr>
        <w:pStyle w:val="NotesHeading-Level1GreyShade"/>
        <w:numPr>
          <w:ilvl w:val="0"/>
          <w:numId w:val="13"/>
        </w:numPr>
      </w:pPr>
      <w:bookmarkStart w:id="267" w:name="_Toc400713260"/>
      <w:r>
        <w:lastRenderedPageBreak/>
        <w:t>Administered Expenses</w:t>
      </w:r>
      <w:bookmarkEnd w:id="267"/>
    </w:p>
    <w:p w:rsidR="007E1E1E" w:rsidRDefault="007E1E1E" w:rsidP="007E1E1E">
      <w:pPr>
        <w:pStyle w:val="GreyShadeTableBreak"/>
      </w:pPr>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nil"/>
              <w:right w:val="nil"/>
            </w:tcBorders>
            <w:shd w:val="clear" w:color="000000" w:fill="D9D9D9"/>
            <w:noWrap/>
            <w:hideMark/>
          </w:tcPr>
          <w:p w:rsidR="007E1E1E" w:rsidRDefault="007E1E1E" w:rsidP="00B50E5D">
            <w:pPr>
              <w:pStyle w:val="AdminHeaderUnderlineGrey"/>
            </w:pPr>
            <w:bookmarkStart w:id="268" w:name="Note_ASXTABLE1" w:colFirst="0" w:colLast="0"/>
            <w:r>
              <w:t xml:space="preserve">Note </w:t>
            </w:r>
            <w:proofErr w:type="spellStart"/>
            <w:r>
              <w:t>17A</w:t>
            </w:r>
            <w:proofErr w:type="spellEnd"/>
            <w:r>
              <w:t>: Suppliers</w:t>
            </w:r>
          </w:p>
        </w:tc>
        <w:tc>
          <w:tcPr>
            <w:tcW w:w="1256" w:type="dxa"/>
            <w:tcBorders>
              <w:top w:val="nil"/>
              <w:left w:val="nil"/>
              <w:bottom w:val="single" w:sz="4" w:space="0" w:color="D9D9D9"/>
              <w:right w:val="nil"/>
            </w:tcBorders>
            <w:shd w:val="clear" w:color="000000" w:fill="D9D9D9"/>
            <w:noWrap/>
            <w:vAlign w:val="bottom"/>
            <w:hideMark/>
          </w:tcPr>
          <w:p w:rsidR="007E1E1E" w:rsidRPr="0071733D" w:rsidRDefault="007E1E1E" w:rsidP="00B50E5D">
            <w:pPr>
              <w:pStyle w:val="AdminPreviousYearHeaderGrey"/>
              <w:rPr>
                <w:b/>
              </w:rPr>
            </w:pPr>
            <w:r w:rsidRPr="0071733D">
              <w:rPr>
                <w:b/>
              </w:rPr>
              <w:t>2014</w:t>
            </w:r>
          </w:p>
        </w:tc>
      </w:tr>
      <w:bookmarkEnd w:id="268"/>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vAlign w:val="bottom"/>
            <w:hideMark/>
          </w:tcPr>
          <w:p w:rsidR="007E1E1E" w:rsidRPr="0071733D" w:rsidRDefault="007E1E1E" w:rsidP="00B50E5D">
            <w:pPr>
              <w:pStyle w:val="AdminPreviousYearHeaderGrey"/>
              <w:rPr>
                <w:b/>
              </w:rPr>
            </w:pPr>
            <w:r w:rsidRPr="0071733D">
              <w:rPr>
                <w:b/>
              </w:rPr>
              <w:t>$'000</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pStyle w:val="AdminRowTextHeaderBoldGrey"/>
            </w:pPr>
            <w:r>
              <w:t>Goods and services supplied or rendered</w:t>
            </w:r>
          </w:p>
        </w:tc>
        <w:tc>
          <w:tcPr>
            <w:tcW w:w="1256" w:type="dxa"/>
            <w:tcBorders>
              <w:top w:val="nil"/>
              <w:left w:val="nil"/>
              <w:bottom w:val="single" w:sz="4" w:space="0" w:color="D9D9D9"/>
              <w:right w:val="nil"/>
            </w:tcBorders>
            <w:shd w:val="clear" w:color="000000" w:fill="D9D9D9"/>
            <w:noWrap/>
            <w:vAlign w:val="bottom"/>
            <w:hideMark/>
          </w:tcPr>
          <w:p w:rsidR="007E1E1E" w:rsidRPr="0071733D" w:rsidRDefault="007E1E1E" w:rsidP="00B50E5D">
            <w:pPr>
              <w:rPr>
                <w:rFonts w:ascii="Arial" w:hAnsi="Arial" w:cs="Arial"/>
                <w:b/>
                <w:sz w:val="16"/>
                <w:szCs w:val="16"/>
              </w:rPr>
            </w:pPr>
            <w:r w:rsidRPr="0071733D">
              <w:rPr>
                <w:rFonts w:ascii="Arial" w:hAnsi="Arial" w:cs="Arial"/>
                <w:b/>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pStyle w:val="AdminRowTextNormal"/>
            </w:pPr>
            <w:r>
              <w:t>Assistance to Families with Children</w:t>
            </w:r>
          </w:p>
        </w:tc>
        <w:tc>
          <w:tcPr>
            <w:tcW w:w="1256" w:type="dxa"/>
            <w:tcBorders>
              <w:top w:val="nil"/>
              <w:left w:val="nil"/>
              <w:bottom w:val="nil"/>
              <w:right w:val="nil"/>
            </w:tcBorders>
            <w:shd w:val="clear" w:color="000000" w:fill="D9D9D9"/>
            <w:noWrap/>
            <w:vAlign w:val="bottom"/>
            <w:hideMark/>
          </w:tcPr>
          <w:p w:rsidR="007E1E1E" w:rsidRPr="0071733D" w:rsidRDefault="007E1E1E" w:rsidP="00B50E5D">
            <w:pPr>
              <w:pStyle w:val="AdminManualEntryCellUnbold"/>
              <w:rPr>
                <w:b/>
              </w:rPr>
            </w:pPr>
            <w:r w:rsidRPr="0071733D">
              <w:rPr>
                <w:b/>
              </w:rPr>
              <w:t xml:space="preserve">40,957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pStyle w:val="AdminRowTextNormal"/>
            </w:pPr>
            <w:r>
              <w:t>School education - specific funding</w:t>
            </w:r>
          </w:p>
        </w:tc>
        <w:tc>
          <w:tcPr>
            <w:tcW w:w="1256" w:type="dxa"/>
            <w:tcBorders>
              <w:top w:val="nil"/>
              <w:left w:val="nil"/>
              <w:bottom w:val="nil"/>
              <w:right w:val="nil"/>
            </w:tcBorders>
            <w:shd w:val="clear" w:color="000000" w:fill="D9D9D9"/>
            <w:noWrap/>
            <w:vAlign w:val="bottom"/>
            <w:hideMark/>
          </w:tcPr>
          <w:p w:rsidR="007E1E1E" w:rsidRPr="0071733D" w:rsidRDefault="007E1E1E" w:rsidP="00B50E5D">
            <w:pPr>
              <w:pStyle w:val="AdminManualEntryCellUnbold"/>
              <w:rPr>
                <w:b/>
              </w:rPr>
            </w:pPr>
            <w:r w:rsidRPr="0071733D">
              <w:rPr>
                <w:b/>
              </w:rPr>
              <w:t xml:space="preserve">123,348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pStyle w:val="AdminRowTextNormal"/>
            </w:pPr>
            <w:r>
              <w:t>Other</w:t>
            </w:r>
          </w:p>
        </w:tc>
        <w:tc>
          <w:tcPr>
            <w:tcW w:w="1256" w:type="dxa"/>
            <w:tcBorders>
              <w:top w:val="nil"/>
              <w:left w:val="nil"/>
              <w:bottom w:val="nil"/>
              <w:right w:val="nil"/>
            </w:tcBorders>
            <w:shd w:val="clear" w:color="000000" w:fill="D9D9D9"/>
            <w:noWrap/>
            <w:vAlign w:val="bottom"/>
            <w:hideMark/>
          </w:tcPr>
          <w:p w:rsidR="007E1E1E" w:rsidRPr="0071733D" w:rsidRDefault="007E1E1E" w:rsidP="00B50E5D">
            <w:pPr>
              <w:pStyle w:val="AdminManualEntryCellUnbold"/>
              <w:rPr>
                <w:b/>
              </w:rPr>
            </w:pPr>
            <w:r w:rsidRPr="0071733D">
              <w:rPr>
                <w:b/>
              </w:rPr>
              <w:t xml:space="preserve">4,302 </w:t>
            </w:r>
          </w:p>
        </w:tc>
      </w:tr>
      <w:tr w:rsidR="007E1E1E" w:rsidTr="00B50E5D">
        <w:trPr>
          <w:trHeight w:val="270"/>
        </w:trPr>
        <w:tc>
          <w:tcPr>
            <w:tcW w:w="6396" w:type="dxa"/>
            <w:tcBorders>
              <w:top w:val="nil"/>
              <w:left w:val="nil"/>
              <w:bottom w:val="single" w:sz="8" w:space="0" w:color="D9D9D9"/>
              <w:right w:val="nil"/>
            </w:tcBorders>
            <w:shd w:val="clear" w:color="000000" w:fill="D9D9D9"/>
            <w:vAlign w:val="bottom"/>
            <w:hideMark/>
          </w:tcPr>
          <w:p w:rsidR="007E1E1E" w:rsidRDefault="007E1E1E" w:rsidP="00B50E5D">
            <w:pPr>
              <w:pStyle w:val="AdminRowTextTotal"/>
            </w:pPr>
            <w:r>
              <w:t>Total goods and services supplied or rendered</w:t>
            </w:r>
          </w:p>
        </w:tc>
        <w:tc>
          <w:tcPr>
            <w:tcW w:w="1256" w:type="dxa"/>
            <w:tcBorders>
              <w:top w:val="single" w:sz="4" w:space="0" w:color="auto"/>
              <w:left w:val="nil"/>
              <w:bottom w:val="single" w:sz="4" w:space="0" w:color="auto"/>
              <w:right w:val="nil"/>
            </w:tcBorders>
            <w:shd w:val="clear" w:color="000000" w:fill="D9D9D9"/>
            <w:noWrap/>
            <w:vAlign w:val="bottom"/>
            <w:hideMark/>
          </w:tcPr>
          <w:p w:rsidR="007E1E1E" w:rsidRPr="0071733D" w:rsidRDefault="007E1E1E" w:rsidP="00B50E5D">
            <w:pPr>
              <w:pStyle w:val="AdminPreviousYearTotalGrey"/>
              <w:rPr>
                <w:b/>
              </w:rPr>
            </w:pPr>
            <w:r w:rsidRPr="0071733D">
              <w:rPr>
                <w:b/>
              </w:rPr>
              <w:t>168,607</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pStyle w:val="AdminRowTextHeaderBoldGrey"/>
            </w:pPr>
            <w:r>
              <w:t>Goods and services are made up of</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pStyle w:val="AdminRowTextGrey"/>
            </w:pPr>
            <w:r>
              <w:t>Rendering of services – related parties</w:t>
            </w:r>
          </w:p>
        </w:tc>
        <w:tc>
          <w:tcPr>
            <w:tcW w:w="1256" w:type="dxa"/>
            <w:tcBorders>
              <w:top w:val="nil"/>
              <w:left w:val="nil"/>
              <w:bottom w:val="nil"/>
              <w:right w:val="nil"/>
            </w:tcBorders>
            <w:shd w:val="clear" w:color="000000" w:fill="D9D9D9"/>
            <w:noWrap/>
            <w:vAlign w:val="bottom"/>
            <w:hideMark/>
          </w:tcPr>
          <w:p w:rsidR="007E1E1E" w:rsidRDefault="007E1E1E" w:rsidP="00B50E5D">
            <w:pPr>
              <w:pStyle w:val="AdminManualEntryCell"/>
            </w:pPr>
            <w:r>
              <w:t xml:space="preserve"> -</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pStyle w:val="AdminRowTextGrey"/>
            </w:pPr>
            <w:r>
              <w:t>Rendering of services - external parties</w:t>
            </w:r>
          </w:p>
        </w:tc>
        <w:tc>
          <w:tcPr>
            <w:tcW w:w="1256" w:type="dxa"/>
            <w:tcBorders>
              <w:top w:val="nil"/>
              <w:left w:val="nil"/>
              <w:bottom w:val="nil"/>
              <w:right w:val="nil"/>
            </w:tcBorders>
            <w:shd w:val="clear" w:color="000000" w:fill="D9D9D9"/>
            <w:noWrap/>
            <w:vAlign w:val="bottom"/>
            <w:hideMark/>
          </w:tcPr>
          <w:p w:rsidR="007E1E1E" w:rsidRPr="0071733D" w:rsidRDefault="007E1E1E" w:rsidP="00B50E5D">
            <w:pPr>
              <w:pStyle w:val="AdminManualEntryCell"/>
            </w:pPr>
            <w:r w:rsidRPr="0071733D">
              <w:t xml:space="preserve">168,607 </w:t>
            </w:r>
          </w:p>
        </w:tc>
      </w:tr>
      <w:tr w:rsidR="007E1E1E" w:rsidTr="00B50E5D">
        <w:trPr>
          <w:trHeight w:val="270"/>
        </w:trPr>
        <w:tc>
          <w:tcPr>
            <w:tcW w:w="6396" w:type="dxa"/>
            <w:tcBorders>
              <w:top w:val="nil"/>
              <w:left w:val="nil"/>
              <w:bottom w:val="single" w:sz="8" w:space="0" w:color="D9D9D9"/>
              <w:right w:val="nil"/>
            </w:tcBorders>
            <w:shd w:val="clear" w:color="000000" w:fill="D9D9D9"/>
            <w:vAlign w:val="bottom"/>
            <w:hideMark/>
          </w:tcPr>
          <w:p w:rsidR="007E1E1E" w:rsidRDefault="007E1E1E" w:rsidP="00B50E5D">
            <w:pPr>
              <w:pStyle w:val="AdminRowTextTotal"/>
            </w:pPr>
            <w:r>
              <w:t>Total goods and services</w:t>
            </w:r>
          </w:p>
        </w:tc>
        <w:tc>
          <w:tcPr>
            <w:tcW w:w="1256" w:type="dxa"/>
            <w:tcBorders>
              <w:top w:val="single" w:sz="4" w:space="0" w:color="auto"/>
              <w:left w:val="nil"/>
              <w:bottom w:val="single" w:sz="4" w:space="0" w:color="auto"/>
              <w:right w:val="nil"/>
            </w:tcBorders>
            <w:shd w:val="clear" w:color="000000" w:fill="D9D9D9"/>
            <w:noWrap/>
            <w:vAlign w:val="bottom"/>
            <w:hideMark/>
          </w:tcPr>
          <w:p w:rsidR="007E1E1E" w:rsidRPr="0071733D" w:rsidRDefault="007E1E1E" w:rsidP="00B50E5D">
            <w:pPr>
              <w:pStyle w:val="AdminPreviousYearTotalGrey"/>
              <w:rPr>
                <w:b/>
              </w:rPr>
            </w:pPr>
            <w:r w:rsidRPr="0071733D">
              <w:rPr>
                <w:b/>
              </w:rPr>
              <w:t>168,607</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Pr="0071733D" w:rsidRDefault="007E1E1E" w:rsidP="00B50E5D">
            <w:pPr>
              <w:rPr>
                <w:rFonts w:ascii="Arial" w:hAnsi="Arial" w:cs="Arial"/>
                <w:b/>
                <w:sz w:val="16"/>
                <w:szCs w:val="16"/>
              </w:rPr>
            </w:pPr>
            <w:r w:rsidRPr="0071733D">
              <w:rPr>
                <w:rFonts w:ascii="Arial" w:hAnsi="Arial" w:cs="Arial"/>
                <w:b/>
                <w:sz w:val="16"/>
                <w:szCs w:val="16"/>
              </w:rPr>
              <w:t> </w:t>
            </w:r>
          </w:p>
        </w:tc>
      </w:tr>
      <w:tr w:rsidR="007E1E1E" w:rsidTr="00B50E5D">
        <w:trPr>
          <w:trHeight w:val="270"/>
        </w:trPr>
        <w:tc>
          <w:tcPr>
            <w:tcW w:w="6396" w:type="dxa"/>
            <w:tcBorders>
              <w:top w:val="single" w:sz="4" w:space="0" w:color="D9D9D9"/>
              <w:left w:val="nil"/>
              <w:bottom w:val="single" w:sz="24" w:space="0" w:color="D8D8D8"/>
              <w:right w:val="nil"/>
            </w:tcBorders>
            <w:shd w:val="clear" w:color="000000" w:fill="D9D9D9"/>
            <w:vAlign w:val="bottom"/>
            <w:hideMark/>
          </w:tcPr>
          <w:p w:rsidR="007E1E1E" w:rsidRDefault="007E1E1E" w:rsidP="00B50E5D">
            <w:pPr>
              <w:pStyle w:val="AdminRowTextTotal"/>
            </w:pPr>
            <w:r>
              <w:t>Total supplier expenses</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Pr="0071733D" w:rsidRDefault="007E1E1E" w:rsidP="00B50E5D">
            <w:pPr>
              <w:pStyle w:val="AdminPreviousYearTotalGrey"/>
              <w:rPr>
                <w:b/>
              </w:rPr>
            </w:pPr>
            <w:r w:rsidRPr="0071733D">
              <w:rPr>
                <w:b/>
              </w:rPr>
              <w:t>168,607</w:t>
            </w:r>
          </w:p>
        </w:tc>
      </w:tr>
    </w:tbl>
    <w:p w:rsidR="007E1E1E" w:rsidRDefault="007E1E1E" w:rsidP="007E1E1E">
      <w:pPr>
        <w:pStyle w:val="GreyShadeTableBreak"/>
      </w:pPr>
      <w:bookmarkStart w:id="269" w:name="RANGE!D7:G21"/>
      <w:bookmarkEnd w:id="269"/>
    </w:p>
    <w:p w:rsidR="007E1E1E" w:rsidRDefault="007E1E1E" w:rsidP="007E1E1E">
      <w:pPr>
        <w:pStyle w:val="GreyShadeTableBreak"/>
      </w:pPr>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7595" w:type="dxa"/>
            <w:tcBorders>
              <w:top w:val="nil"/>
              <w:left w:val="nil"/>
              <w:bottom w:val="nil"/>
              <w:right w:val="nil"/>
            </w:tcBorders>
            <w:shd w:val="clear" w:color="000000" w:fill="D9D9D9"/>
            <w:noWrap/>
            <w:hideMark/>
          </w:tcPr>
          <w:p w:rsidR="007E1E1E" w:rsidRDefault="007E1E1E" w:rsidP="00B50E5D">
            <w:pPr>
              <w:pStyle w:val="AdminHeaderUnderlineGrey"/>
            </w:pPr>
            <w:bookmarkStart w:id="270" w:name="Note_APBTABLE1" w:colFirst="0" w:colLast="0"/>
            <w:r>
              <w:t xml:space="preserve">Note </w:t>
            </w:r>
            <w:proofErr w:type="spellStart"/>
            <w:r>
              <w:t>17B</w:t>
            </w:r>
            <w:proofErr w:type="spellEnd"/>
            <w:r>
              <w:t>: Personal benefits</w:t>
            </w:r>
          </w:p>
        </w:tc>
        <w:tc>
          <w:tcPr>
            <w:tcW w:w="1492"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bookmarkEnd w:id="270"/>
      <w:tr w:rsidR="007E1E1E" w:rsidTr="00B50E5D">
        <w:trPr>
          <w:trHeight w:val="255"/>
        </w:trPr>
        <w:tc>
          <w:tcPr>
            <w:tcW w:w="7595"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492"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7595" w:type="dxa"/>
            <w:tcBorders>
              <w:top w:val="nil"/>
              <w:left w:val="nil"/>
              <w:bottom w:val="nil"/>
              <w:right w:val="nil"/>
            </w:tcBorders>
            <w:shd w:val="clear" w:color="000000" w:fill="D9D9D9"/>
            <w:vAlign w:val="bottom"/>
            <w:hideMark/>
          </w:tcPr>
          <w:p w:rsidR="007E1E1E" w:rsidRDefault="007E1E1E" w:rsidP="00B50E5D">
            <w:pPr>
              <w:pStyle w:val="AdminRowTextSubTotal"/>
            </w:pPr>
            <w:r>
              <w:t>Direct</w:t>
            </w:r>
          </w:p>
        </w:tc>
        <w:tc>
          <w:tcPr>
            <w:tcW w:w="1492" w:type="dxa"/>
            <w:tcBorders>
              <w:top w:val="nil"/>
              <w:left w:val="nil"/>
              <w:bottom w:val="single" w:sz="4" w:space="0" w:color="D9D9D9"/>
              <w:right w:val="nil"/>
            </w:tcBorders>
            <w:shd w:val="clear" w:color="000000" w:fill="D9D9D9"/>
            <w:noWrap/>
            <w:vAlign w:val="bottom"/>
            <w:hideMark/>
          </w:tcPr>
          <w:p w:rsidR="007E1E1E" w:rsidRDefault="007E1E1E" w:rsidP="00B50E5D">
            <w:pPr>
              <w:pStyle w:val="AdminPreviousYearDataNormal"/>
            </w:pPr>
            <w:r>
              <w:t> </w:t>
            </w:r>
          </w:p>
        </w:tc>
      </w:tr>
      <w:tr w:rsidR="007E1E1E" w:rsidTr="00B50E5D">
        <w:trPr>
          <w:trHeight w:val="255"/>
        </w:trPr>
        <w:tc>
          <w:tcPr>
            <w:tcW w:w="7595" w:type="dxa"/>
            <w:tcBorders>
              <w:top w:val="nil"/>
              <w:left w:val="nil"/>
              <w:bottom w:val="single" w:sz="4" w:space="0" w:color="D9D9D9"/>
              <w:right w:val="nil"/>
            </w:tcBorders>
            <w:shd w:val="clear" w:color="000000" w:fill="D9D9D9"/>
            <w:noWrap/>
            <w:vAlign w:val="bottom"/>
            <w:hideMark/>
          </w:tcPr>
          <w:p w:rsidR="007E1E1E" w:rsidRDefault="007E1E1E" w:rsidP="00B50E5D">
            <w:pPr>
              <w:pStyle w:val="AdminRowTextIndent"/>
            </w:pPr>
            <w:r>
              <w:t>Student assistance</w:t>
            </w:r>
          </w:p>
        </w:tc>
        <w:tc>
          <w:tcPr>
            <w:tcW w:w="1492" w:type="dxa"/>
            <w:tcBorders>
              <w:top w:val="nil"/>
              <w:left w:val="nil"/>
              <w:bottom w:val="nil"/>
              <w:right w:val="nil"/>
            </w:tcBorders>
            <w:shd w:val="clear" w:color="000000" w:fill="D9D9D9"/>
            <w:noWrap/>
            <w:vAlign w:val="bottom"/>
            <w:hideMark/>
          </w:tcPr>
          <w:p w:rsidR="007E1E1E" w:rsidRPr="0071733D" w:rsidRDefault="007E1E1E" w:rsidP="00B50E5D">
            <w:pPr>
              <w:pStyle w:val="AdminManualEntryCellUnbold"/>
              <w:rPr>
                <w:b/>
              </w:rPr>
            </w:pPr>
            <w:r w:rsidRPr="0071733D">
              <w:rPr>
                <w:b/>
              </w:rPr>
              <w:t xml:space="preserve">51,651 </w:t>
            </w:r>
          </w:p>
        </w:tc>
      </w:tr>
      <w:tr w:rsidR="007E1E1E" w:rsidTr="00B50E5D">
        <w:trPr>
          <w:trHeight w:val="255"/>
        </w:trPr>
        <w:tc>
          <w:tcPr>
            <w:tcW w:w="7595" w:type="dxa"/>
            <w:tcBorders>
              <w:top w:val="nil"/>
              <w:left w:val="nil"/>
              <w:bottom w:val="single" w:sz="4" w:space="0" w:color="D9D9D9"/>
              <w:right w:val="nil"/>
            </w:tcBorders>
            <w:shd w:val="clear" w:color="000000" w:fill="D9D9D9"/>
            <w:noWrap/>
            <w:vAlign w:val="bottom"/>
            <w:hideMark/>
          </w:tcPr>
          <w:p w:rsidR="007E1E1E" w:rsidRDefault="007E1E1E" w:rsidP="00B50E5D">
            <w:pPr>
              <w:pStyle w:val="AdminRowTextIndent"/>
            </w:pPr>
            <w:r>
              <w:t>Assistance to families with children</w:t>
            </w:r>
          </w:p>
        </w:tc>
        <w:tc>
          <w:tcPr>
            <w:tcW w:w="1492" w:type="dxa"/>
            <w:tcBorders>
              <w:top w:val="nil"/>
              <w:left w:val="nil"/>
              <w:bottom w:val="nil"/>
              <w:right w:val="nil"/>
            </w:tcBorders>
            <w:shd w:val="clear" w:color="000000" w:fill="D9D9D9"/>
            <w:noWrap/>
            <w:vAlign w:val="bottom"/>
            <w:hideMark/>
          </w:tcPr>
          <w:p w:rsidR="007E1E1E" w:rsidRPr="0071733D" w:rsidRDefault="007E1E1E" w:rsidP="00B50E5D">
            <w:pPr>
              <w:pStyle w:val="AdminManualEntryCellUnbold"/>
              <w:rPr>
                <w:b/>
              </w:rPr>
            </w:pPr>
            <w:r w:rsidRPr="0071733D">
              <w:rPr>
                <w:b/>
              </w:rPr>
              <w:t xml:space="preserve">1,276,116 </w:t>
            </w:r>
          </w:p>
        </w:tc>
      </w:tr>
      <w:tr w:rsidR="007E1E1E" w:rsidTr="00B50E5D">
        <w:trPr>
          <w:trHeight w:val="255"/>
        </w:trPr>
        <w:tc>
          <w:tcPr>
            <w:tcW w:w="7595" w:type="dxa"/>
            <w:tcBorders>
              <w:top w:val="nil"/>
              <w:left w:val="nil"/>
              <w:bottom w:val="single" w:sz="4" w:space="0" w:color="D9D9D9"/>
              <w:right w:val="nil"/>
            </w:tcBorders>
            <w:shd w:val="clear" w:color="000000" w:fill="D9D9D9"/>
            <w:noWrap/>
            <w:vAlign w:val="bottom"/>
            <w:hideMark/>
          </w:tcPr>
          <w:p w:rsidR="007E1E1E" w:rsidRDefault="007E1E1E" w:rsidP="00B50E5D">
            <w:pPr>
              <w:pStyle w:val="AdminRowTextIndent"/>
            </w:pPr>
            <w:r>
              <w:t>School education - specific funding</w:t>
            </w:r>
          </w:p>
        </w:tc>
        <w:tc>
          <w:tcPr>
            <w:tcW w:w="1492" w:type="dxa"/>
            <w:tcBorders>
              <w:top w:val="nil"/>
              <w:left w:val="nil"/>
              <w:bottom w:val="nil"/>
              <w:right w:val="nil"/>
            </w:tcBorders>
            <w:shd w:val="clear" w:color="000000" w:fill="D9D9D9"/>
            <w:noWrap/>
            <w:vAlign w:val="bottom"/>
            <w:hideMark/>
          </w:tcPr>
          <w:p w:rsidR="007E1E1E" w:rsidRPr="0071733D" w:rsidRDefault="007E1E1E" w:rsidP="00B50E5D">
            <w:pPr>
              <w:pStyle w:val="AdminManualEntryCellUnbold"/>
              <w:rPr>
                <w:b/>
              </w:rPr>
            </w:pPr>
            <w:r w:rsidRPr="0071733D">
              <w:rPr>
                <w:b/>
              </w:rPr>
              <w:t xml:space="preserve">1,040 </w:t>
            </w:r>
          </w:p>
        </w:tc>
      </w:tr>
      <w:tr w:rsidR="007E1E1E" w:rsidTr="00B50E5D">
        <w:trPr>
          <w:trHeight w:val="255"/>
        </w:trPr>
        <w:tc>
          <w:tcPr>
            <w:tcW w:w="7595" w:type="dxa"/>
            <w:tcBorders>
              <w:top w:val="nil"/>
              <w:left w:val="nil"/>
              <w:bottom w:val="nil"/>
              <w:right w:val="nil"/>
            </w:tcBorders>
            <w:shd w:val="clear" w:color="000000" w:fill="D9D9D9"/>
            <w:vAlign w:val="bottom"/>
            <w:hideMark/>
          </w:tcPr>
          <w:p w:rsidR="007E1E1E" w:rsidRDefault="007E1E1E" w:rsidP="00B50E5D">
            <w:pPr>
              <w:pStyle w:val="AdminRowTextIndent"/>
            </w:pPr>
            <w:r>
              <w:t>Indirect</w:t>
            </w:r>
          </w:p>
        </w:tc>
        <w:tc>
          <w:tcPr>
            <w:tcW w:w="1492" w:type="dxa"/>
            <w:tcBorders>
              <w:top w:val="nil"/>
              <w:left w:val="nil"/>
              <w:bottom w:val="single" w:sz="4" w:space="0" w:color="D9D9D9"/>
              <w:right w:val="nil"/>
            </w:tcBorders>
            <w:shd w:val="clear" w:color="000000" w:fill="D9D9D9"/>
            <w:noWrap/>
            <w:vAlign w:val="bottom"/>
            <w:hideMark/>
          </w:tcPr>
          <w:p w:rsidR="007E1E1E" w:rsidRPr="0071733D" w:rsidRDefault="007E1E1E" w:rsidP="00B50E5D">
            <w:pPr>
              <w:pStyle w:val="AdminManualEntryCellUnbold"/>
              <w:rPr>
                <w:b/>
              </w:rPr>
            </w:pPr>
            <w:r w:rsidRPr="0071733D">
              <w:rPr>
                <w:b/>
              </w:rPr>
              <w:t> </w:t>
            </w:r>
          </w:p>
        </w:tc>
      </w:tr>
      <w:tr w:rsidR="007E1E1E" w:rsidTr="00B50E5D">
        <w:trPr>
          <w:trHeight w:val="255"/>
        </w:trPr>
        <w:tc>
          <w:tcPr>
            <w:tcW w:w="7595" w:type="dxa"/>
            <w:tcBorders>
              <w:top w:val="nil"/>
              <w:left w:val="nil"/>
              <w:bottom w:val="single" w:sz="4" w:space="0" w:color="D9D9D9"/>
              <w:right w:val="nil"/>
            </w:tcBorders>
            <w:shd w:val="clear" w:color="000000" w:fill="D9D9D9"/>
            <w:noWrap/>
            <w:vAlign w:val="bottom"/>
            <w:hideMark/>
          </w:tcPr>
          <w:p w:rsidR="007E1E1E" w:rsidRDefault="007E1E1E" w:rsidP="00B50E5D">
            <w:pPr>
              <w:pStyle w:val="AdminRowTextSubTotal"/>
            </w:pPr>
            <w:r>
              <w:t>Assistance to families with children</w:t>
            </w:r>
          </w:p>
        </w:tc>
        <w:tc>
          <w:tcPr>
            <w:tcW w:w="1492" w:type="dxa"/>
            <w:tcBorders>
              <w:top w:val="nil"/>
              <w:left w:val="nil"/>
              <w:bottom w:val="nil"/>
              <w:right w:val="nil"/>
            </w:tcBorders>
            <w:shd w:val="clear" w:color="000000" w:fill="D9D9D9"/>
            <w:noWrap/>
            <w:vAlign w:val="bottom"/>
            <w:hideMark/>
          </w:tcPr>
          <w:p w:rsidR="007E1E1E" w:rsidRPr="0071733D" w:rsidRDefault="007E1E1E" w:rsidP="00B50E5D">
            <w:pPr>
              <w:pStyle w:val="AdminPreviousYearDataNormal"/>
              <w:rPr>
                <w:b/>
              </w:rPr>
            </w:pPr>
            <w:r w:rsidRPr="0071733D">
              <w:rPr>
                <w:b/>
              </w:rPr>
              <w:t xml:space="preserve">3,138,001 </w:t>
            </w:r>
          </w:p>
        </w:tc>
      </w:tr>
      <w:tr w:rsidR="007E1E1E" w:rsidTr="00B50E5D">
        <w:trPr>
          <w:trHeight w:val="270"/>
        </w:trPr>
        <w:tc>
          <w:tcPr>
            <w:tcW w:w="7595" w:type="dxa"/>
            <w:tcBorders>
              <w:top w:val="single" w:sz="4" w:space="0" w:color="D9D9D9"/>
              <w:left w:val="nil"/>
              <w:bottom w:val="single" w:sz="24" w:space="0" w:color="D8D8D8"/>
              <w:right w:val="nil"/>
            </w:tcBorders>
            <w:shd w:val="clear" w:color="000000" w:fill="D9D9D9"/>
            <w:vAlign w:val="bottom"/>
            <w:hideMark/>
          </w:tcPr>
          <w:p w:rsidR="007E1E1E" w:rsidRDefault="007E1E1E" w:rsidP="00B50E5D">
            <w:pPr>
              <w:pStyle w:val="AdminRowTextTotal"/>
            </w:pPr>
            <w:r>
              <w:t>Total personal benefits</w:t>
            </w:r>
          </w:p>
        </w:tc>
        <w:tc>
          <w:tcPr>
            <w:tcW w:w="1492" w:type="dxa"/>
            <w:tcBorders>
              <w:top w:val="single" w:sz="4" w:space="0" w:color="auto"/>
              <w:left w:val="nil"/>
              <w:bottom w:val="double" w:sz="6" w:space="0" w:color="auto"/>
              <w:right w:val="nil"/>
            </w:tcBorders>
            <w:shd w:val="clear" w:color="000000" w:fill="D9D9D9"/>
            <w:noWrap/>
            <w:vAlign w:val="bottom"/>
            <w:hideMark/>
          </w:tcPr>
          <w:p w:rsidR="007E1E1E" w:rsidRPr="0071733D" w:rsidRDefault="007E1E1E" w:rsidP="00B50E5D">
            <w:pPr>
              <w:pStyle w:val="AdminPreviousYearTotalGrey"/>
              <w:rPr>
                <w:b/>
              </w:rPr>
            </w:pPr>
            <w:r w:rsidRPr="0071733D">
              <w:rPr>
                <w:b/>
              </w:rPr>
              <w:t>4,466,808</w:t>
            </w:r>
          </w:p>
        </w:tc>
      </w:tr>
    </w:tbl>
    <w:p w:rsidR="007E1E1E" w:rsidRDefault="007E1E1E" w:rsidP="007E1E1E">
      <w:pPr>
        <w:pStyle w:val="GreyShadeTableBreak"/>
      </w:pPr>
      <w:bookmarkStart w:id="271" w:name="RANGE!D7:G25"/>
      <w:bookmarkEnd w:id="271"/>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nil"/>
              <w:right w:val="nil"/>
            </w:tcBorders>
            <w:shd w:val="clear" w:color="000000" w:fill="D9D9D9"/>
            <w:noWrap/>
            <w:hideMark/>
          </w:tcPr>
          <w:p w:rsidR="007E1E1E" w:rsidRDefault="007E1E1E" w:rsidP="00B50E5D">
            <w:pPr>
              <w:pStyle w:val="AdminHeaderUnderlineGrey"/>
            </w:pPr>
            <w:bookmarkStart w:id="272" w:name="Note_AGRTABLE1" w:colFirst="0" w:colLast="0"/>
            <w:r>
              <w:t xml:space="preserve">Note </w:t>
            </w:r>
            <w:proofErr w:type="spellStart"/>
            <w:r>
              <w:t>17C</w:t>
            </w:r>
            <w:proofErr w:type="spellEnd"/>
            <w:r>
              <w:t>: Grants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bookmarkEnd w:id="272"/>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nil"/>
              <w:right w:val="nil"/>
            </w:tcBorders>
            <w:shd w:val="clear" w:color="000000" w:fill="D9D9D9"/>
            <w:vAlign w:val="bottom"/>
            <w:hideMark/>
          </w:tcPr>
          <w:p w:rsidR="007E1E1E" w:rsidRDefault="007E1E1E" w:rsidP="00B50E5D">
            <w:pPr>
              <w:pStyle w:val="AdminRowTextSubTotal"/>
            </w:pPr>
            <w:r>
              <w:t>Public sector</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pStyle w:val="AdminRowTextIndent"/>
            </w:pPr>
            <w:r>
              <w:t>Australian Government entities (related parties)</w:t>
            </w:r>
          </w:p>
        </w:tc>
        <w:tc>
          <w:tcPr>
            <w:tcW w:w="1256" w:type="dxa"/>
            <w:tcBorders>
              <w:top w:val="nil"/>
              <w:left w:val="nil"/>
              <w:bottom w:val="single" w:sz="4" w:space="0" w:color="D9D9D9"/>
              <w:right w:val="nil"/>
            </w:tcBorders>
            <w:shd w:val="clear" w:color="000000" w:fill="D9D9D9"/>
            <w:noWrap/>
            <w:vAlign w:val="bottom"/>
            <w:hideMark/>
          </w:tcPr>
          <w:p w:rsidR="007E1E1E" w:rsidRPr="0071733D" w:rsidRDefault="007E1E1E" w:rsidP="00B50E5D">
            <w:pPr>
              <w:pStyle w:val="AdminPreviousYearDataNormal"/>
              <w:rPr>
                <w:b/>
              </w:rPr>
            </w:pPr>
            <w:r w:rsidRPr="0071733D">
              <w:rPr>
                <w:b/>
              </w:rPr>
              <w:t>35,657</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pStyle w:val="AdminRowTextIndentGrey"/>
            </w:pPr>
            <w:r>
              <w:t>State and Territory Governments</w:t>
            </w:r>
          </w:p>
        </w:tc>
        <w:tc>
          <w:tcPr>
            <w:tcW w:w="1256" w:type="dxa"/>
            <w:tcBorders>
              <w:top w:val="nil"/>
              <w:left w:val="nil"/>
              <w:bottom w:val="single" w:sz="4" w:space="0" w:color="D9D9D9"/>
              <w:right w:val="nil"/>
            </w:tcBorders>
            <w:shd w:val="clear" w:color="000000" w:fill="D9D9D9"/>
            <w:noWrap/>
            <w:vAlign w:val="bottom"/>
            <w:hideMark/>
          </w:tcPr>
          <w:p w:rsidR="007E1E1E" w:rsidRPr="0071733D" w:rsidRDefault="007E1E1E" w:rsidP="00B50E5D">
            <w:pPr>
              <w:pStyle w:val="AdminPreviousYearDataNormal"/>
              <w:rPr>
                <w:b/>
              </w:rPr>
            </w:pPr>
            <w:r w:rsidRPr="0071733D">
              <w:rPr>
                <w:b/>
              </w:rPr>
              <w:t>9,179,813</w:t>
            </w:r>
          </w:p>
        </w:tc>
      </w:tr>
      <w:tr w:rsidR="007E1E1E" w:rsidTr="00B50E5D">
        <w:trPr>
          <w:trHeight w:val="255"/>
        </w:trPr>
        <w:tc>
          <w:tcPr>
            <w:tcW w:w="6396" w:type="dxa"/>
            <w:tcBorders>
              <w:top w:val="nil"/>
              <w:left w:val="nil"/>
              <w:bottom w:val="nil"/>
              <w:right w:val="nil"/>
            </w:tcBorders>
            <w:shd w:val="clear" w:color="000000" w:fill="D9D9D9"/>
            <w:vAlign w:val="bottom"/>
            <w:hideMark/>
          </w:tcPr>
          <w:p w:rsidR="007E1E1E" w:rsidRDefault="007E1E1E" w:rsidP="00B50E5D">
            <w:pPr>
              <w:pStyle w:val="AdminRowTextIndent"/>
            </w:pPr>
            <w:r>
              <w:t>Private sector</w:t>
            </w:r>
          </w:p>
        </w:tc>
        <w:tc>
          <w:tcPr>
            <w:tcW w:w="1256" w:type="dxa"/>
            <w:tcBorders>
              <w:top w:val="nil"/>
              <w:left w:val="nil"/>
              <w:bottom w:val="single" w:sz="4" w:space="0" w:color="D9D9D9"/>
              <w:right w:val="nil"/>
            </w:tcBorders>
            <w:shd w:val="clear" w:color="000000" w:fill="D9D9D9"/>
            <w:noWrap/>
            <w:vAlign w:val="bottom"/>
            <w:hideMark/>
          </w:tcPr>
          <w:p w:rsidR="007E1E1E" w:rsidRPr="0071733D" w:rsidRDefault="007E1E1E" w:rsidP="00B50E5D">
            <w:pPr>
              <w:pStyle w:val="AdminPreviousYearDataNormal"/>
              <w:rPr>
                <w:b/>
              </w:rPr>
            </w:pPr>
            <w:r w:rsidRPr="0071733D">
              <w:rPr>
                <w:b/>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pStyle w:val="AdminRowTextSubTotal"/>
            </w:pPr>
            <w:r>
              <w:t>Non-profit organisations</w:t>
            </w:r>
          </w:p>
        </w:tc>
        <w:tc>
          <w:tcPr>
            <w:tcW w:w="1256" w:type="dxa"/>
            <w:tcBorders>
              <w:top w:val="nil"/>
              <w:left w:val="nil"/>
              <w:bottom w:val="single" w:sz="4" w:space="0" w:color="D9D9D9"/>
              <w:right w:val="nil"/>
            </w:tcBorders>
            <w:shd w:val="clear" w:color="000000" w:fill="D9D9D9"/>
            <w:noWrap/>
            <w:vAlign w:val="bottom"/>
            <w:hideMark/>
          </w:tcPr>
          <w:p w:rsidR="007E1E1E" w:rsidRPr="0071733D" w:rsidRDefault="007E1E1E" w:rsidP="00B50E5D">
            <w:pPr>
              <w:pStyle w:val="AdminPreviousYearDataNormal"/>
              <w:rPr>
                <w:b/>
              </w:rPr>
            </w:pPr>
            <w:r w:rsidRPr="0071733D">
              <w:rPr>
                <w:b/>
              </w:rPr>
              <w:t>246,514</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pStyle w:val="AdminRowTextIndent"/>
            </w:pPr>
            <w:r>
              <w:t>Multi-jurisdictional sector</w:t>
            </w:r>
          </w:p>
        </w:tc>
        <w:tc>
          <w:tcPr>
            <w:tcW w:w="1256" w:type="dxa"/>
            <w:tcBorders>
              <w:top w:val="nil"/>
              <w:left w:val="nil"/>
              <w:bottom w:val="single" w:sz="4" w:space="0" w:color="D9D9D9"/>
              <w:right w:val="nil"/>
            </w:tcBorders>
            <w:shd w:val="clear" w:color="000000" w:fill="D9D9D9"/>
            <w:noWrap/>
            <w:vAlign w:val="bottom"/>
            <w:hideMark/>
          </w:tcPr>
          <w:p w:rsidR="007E1E1E" w:rsidRPr="0071733D" w:rsidRDefault="007E1E1E" w:rsidP="00B50E5D">
            <w:pPr>
              <w:pStyle w:val="AdminPreviousYearDataNormal"/>
              <w:rPr>
                <w:b/>
              </w:rPr>
            </w:pPr>
            <w:r w:rsidRPr="0071733D">
              <w:rPr>
                <w:b/>
              </w:rPr>
              <w:t>6,688,342</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pStyle w:val="AdminRowTextNormal"/>
            </w:pPr>
            <w:r>
              <w:t>Other</w:t>
            </w:r>
          </w:p>
        </w:tc>
        <w:tc>
          <w:tcPr>
            <w:tcW w:w="1256" w:type="dxa"/>
            <w:tcBorders>
              <w:top w:val="nil"/>
              <w:left w:val="nil"/>
              <w:bottom w:val="single" w:sz="4" w:space="0" w:color="D9D9D9"/>
              <w:right w:val="nil"/>
            </w:tcBorders>
            <w:shd w:val="clear" w:color="000000" w:fill="D9D9D9"/>
            <w:noWrap/>
            <w:vAlign w:val="bottom"/>
            <w:hideMark/>
          </w:tcPr>
          <w:p w:rsidR="007E1E1E" w:rsidRPr="0071733D" w:rsidRDefault="007E1E1E" w:rsidP="00B50E5D">
            <w:pPr>
              <w:pStyle w:val="AdminPreviousYearDataNormal"/>
              <w:rPr>
                <w:b/>
              </w:rPr>
            </w:pPr>
            <w:r w:rsidRPr="0071733D">
              <w:rPr>
                <w:b/>
              </w:rPr>
              <w:t>413,903</w:t>
            </w:r>
          </w:p>
        </w:tc>
      </w:tr>
      <w:tr w:rsidR="007E1E1E" w:rsidTr="00B50E5D">
        <w:trPr>
          <w:trHeight w:val="270"/>
        </w:trPr>
        <w:tc>
          <w:tcPr>
            <w:tcW w:w="6396" w:type="dxa"/>
            <w:tcBorders>
              <w:top w:val="single" w:sz="4" w:space="0" w:color="D9D9D9"/>
              <w:left w:val="nil"/>
              <w:bottom w:val="single" w:sz="24" w:space="0" w:color="D8D8D8"/>
              <w:right w:val="nil"/>
            </w:tcBorders>
            <w:shd w:val="clear" w:color="000000" w:fill="D9D9D9"/>
            <w:vAlign w:val="bottom"/>
            <w:hideMark/>
          </w:tcPr>
          <w:p w:rsidR="007E1E1E" w:rsidRDefault="007E1E1E" w:rsidP="00B50E5D">
            <w:pPr>
              <w:pStyle w:val="AdminRowTextTotal"/>
            </w:pPr>
            <w:r>
              <w:t>Total grants</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Pr="0071733D" w:rsidRDefault="007E1E1E" w:rsidP="00B50E5D">
            <w:pPr>
              <w:pStyle w:val="AdminPreviousYearTotalGrey"/>
              <w:rPr>
                <w:b/>
              </w:rPr>
            </w:pPr>
            <w:r w:rsidRPr="0071733D">
              <w:rPr>
                <w:b/>
              </w:rPr>
              <w:t>16,564,229</w:t>
            </w:r>
          </w:p>
        </w:tc>
      </w:tr>
    </w:tbl>
    <w:p w:rsidR="007E1E1E" w:rsidRDefault="007E1E1E" w:rsidP="007E1E1E">
      <w:pPr>
        <w:pStyle w:val="GreyShadeTableBreak"/>
      </w:pPr>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nil"/>
              <w:right w:val="nil"/>
            </w:tcBorders>
            <w:shd w:val="clear" w:color="000000" w:fill="D9D9D9"/>
            <w:noWrap/>
            <w:hideMark/>
          </w:tcPr>
          <w:p w:rsidR="007E1E1E" w:rsidRDefault="007E1E1E" w:rsidP="00B50E5D">
            <w:pPr>
              <w:pStyle w:val="AdminHeaderUnderlineGrey"/>
            </w:pPr>
            <w:bookmarkStart w:id="273" w:name="Note_AFNTABLE1" w:colFirst="0" w:colLast="0"/>
            <w:r>
              <w:t xml:space="preserve">Note </w:t>
            </w:r>
            <w:proofErr w:type="spellStart"/>
            <w:r>
              <w:t>17D</w:t>
            </w:r>
            <w:proofErr w:type="spellEnd"/>
            <w:r>
              <w:t>: Finance costs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bookmarkEnd w:id="273"/>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pStyle w:val="AdminRowTextNormal"/>
            </w:pPr>
            <w:r>
              <w:t>Concessional loan discount</w:t>
            </w:r>
          </w:p>
        </w:tc>
        <w:tc>
          <w:tcPr>
            <w:tcW w:w="1256" w:type="dxa"/>
            <w:tcBorders>
              <w:top w:val="nil"/>
              <w:left w:val="nil"/>
              <w:bottom w:val="single" w:sz="4" w:space="0" w:color="D9D9D9"/>
              <w:right w:val="nil"/>
            </w:tcBorders>
            <w:shd w:val="clear" w:color="000000" w:fill="D9D9D9"/>
            <w:noWrap/>
            <w:vAlign w:val="bottom"/>
            <w:hideMark/>
          </w:tcPr>
          <w:p w:rsidR="007E1E1E" w:rsidRPr="0071733D" w:rsidRDefault="007E1E1E" w:rsidP="00B50E5D">
            <w:pPr>
              <w:pStyle w:val="AdminPreviousYearDataNormal"/>
              <w:rPr>
                <w:b/>
              </w:rPr>
            </w:pPr>
            <w:r w:rsidRPr="0071733D">
              <w:rPr>
                <w:b/>
              </w:rPr>
              <w:t>592,890</w:t>
            </w:r>
          </w:p>
        </w:tc>
      </w:tr>
      <w:tr w:rsidR="007E1E1E" w:rsidTr="00B50E5D">
        <w:trPr>
          <w:trHeight w:val="270"/>
        </w:trPr>
        <w:tc>
          <w:tcPr>
            <w:tcW w:w="6396" w:type="dxa"/>
            <w:tcBorders>
              <w:top w:val="single" w:sz="4" w:space="0" w:color="D9D9D9"/>
              <w:left w:val="nil"/>
              <w:bottom w:val="single" w:sz="24" w:space="0" w:color="D8D8D8"/>
              <w:right w:val="nil"/>
            </w:tcBorders>
            <w:shd w:val="clear" w:color="000000" w:fill="D9D9D9"/>
            <w:vAlign w:val="bottom"/>
            <w:hideMark/>
          </w:tcPr>
          <w:p w:rsidR="007E1E1E" w:rsidRDefault="007E1E1E" w:rsidP="00B50E5D">
            <w:pPr>
              <w:pStyle w:val="AdminRowTextTotal"/>
            </w:pPr>
            <w:r>
              <w:t>Total finance costs</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Pr="0071733D" w:rsidRDefault="007E1E1E" w:rsidP="00B50E5D">
            <w:pPr>
              <w:pStyle w:val="AdminPreviousYearTotalGrey"/>
              <w:rPr>
                <w:b/>
              </w:rPr>
            </w:pPr>
            <w:r w:rsidRPr="0071733D">
              <w:rPr>
                <w:b/>
              </w:rPr>
              <w:t>592,890</w:t>
            </w:r>
          </w:p>
        </w:tc>
      </w:tr>
    </w:tbl>
    <w:p w:rsidR="007E1E1E" w:rsidRDefault="007E1E1E" w:rsidP="007E1E1E">
      <w:pPr>
        <w:pStyle w:val="GreyShadeTableBreak"/>
      </w:pPr>
      <w:bookmarkStart w:id="274" w:name="RANGE!D7:G11"/>
      <w:bookmarkEnd w:id="274"/>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nil"/>
              <w:right w:val="nil"/>
            </w:tcBorders>
            <w:shd w:val="clear" w:color="000000" w:fill="D9D9D9"/>
            <w:noWrap/>
            <w:hideMark/>
          </w:tcPr>
          <w:p w:rsidR="007E1E1E" w:rsidRDefault="007E1E1E" w:rsidP="00B50E5D">
            <w:pPr>
              <w:pStyle w:val="AdminHeaderUnderlineGrey"/>
            </w:pPr>
            <w:bookmarkStart w:id="275" w:name="Note_AWDTABLE1" w:colFirst="0" w:colLast="0"/>
            <w:r>
              <w:t xml:space="preserve">Note </w:t>
            </w:r>
            <w:proofErr w:type="spellStart"/>
            <w:r>
              <w:t>17E</w:t>
            </w:r>
            <w:proofErr w:type="spellEnd"/>
            <w:r>
              <w:t>: Write-down and impairment of assets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bookmarkEnd w:id="275"/>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pStyle w:val="AdminRowTextIndent"/>
            </w:pPr>
            <w:r>
              <w:t>Impairment of Unfunded University Superannuation</w:t>
            </w:r>
          </w:p>
        </w:tc>
        <w:tc>
          <w:tcPr>
            <w:tcW w:w="1256" w:type="dxa"/>
            <w:tcBorders>
              <w:top w:val="nil"/>
              <w:left w:val="nil"/>
              <w:bottom w:val="single" w:sz="4" w:space="0" w:color="D9D9D9"/>
              <w:right w:val="nil"/>
            </w:tcBorders>
            <w:shd w:val="clear" w:color="000000" w:fill="D9D9D9"/>
            <w:noWrap/>
            <w:vAlign w:val="bottom"/>
            <w:hideMark/>
          </w:tcPr>
          <w:p w:rsidR="007E1E1E" w:rsidRPr="0071733D" w:rsidRDefault="007E1E1E" w:rsidP="00B50E5D">
            <w:pPr>
              <w:pStyle w:val="AdminPreviousYearDataNormal"/>
              <w:rPr>
                <w:b/>
              </w:rPr>
            </w:pPr>
            <w:r w:rsidRPr="0071733D">
              <w:rPr>
                <w:b/>
              </w:rPr>
              <w:t>57,750</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pStyle w:val="AdminRowTextIndent"/>
            </w:pPr>
            <w:r>
              <w:t>Write-down of other receivables</w:t>
            </w:r>
          </w:p>
        </w:tc>
        <w:tc>
          <w:tcPr>
            <w:tcW w:w="1256" w:type="dxa"/>
            <w:tcBorders>
              <w:top w:val="nil"/>
              <w:left w:val="nil"/>
              <w:bottom w:val="single" w:sz="4" w:space="0" w:color="D9D9D9"/>
              <w:right w:val="nil"/>
            </w:tcBorders>
            <w:shd w:val="clear" w:color="000000" w:fill="D9D9D9"/>
            <w:noWrap/>
            <w:vAlign w:val="bottom"/>
            <w:hideMark/>
          </w:tcPr>
          <w:p w:rsidR="007E1E1E" w:rsidRPr="0071733D" w:rsidRDefault="007E1E1E" w:rsidP="00B50E5D">
            <w:pPr>
              <w:pStyle w:val="AdminPreviousYearDataNormal"/>
              <w:rPr>
                <w:b/>
              </w:rPr>
            </w:pPr>
            <w:r w:rsidRPr="0071733D">
              <w:rPr>
                <w:b/>
              </w:rPr>
              <w:t>462</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pStyle w:val="AdminRowTextIndent"/>
            </w:pPr>
            <w:r>
              <w:t>Impairment of goods and services and other receivables</w:t>
            </w:r>
          </w:p>
        </w:tc>
        <w:tc>
          <w:tcPr>
            <w:tcW w:w="1256" w:type="dxa"/>
            <w:tcBorders>
              <w:top w:val="nil"/>
              <w:left w:val="nil"/>
              <w:bottom w:val="single" w:sz="4" w:space="0" w:color="D9D9D9"/>
              <w:right w:val="nil"/>
            </w:tcBorders>
            <w:shd w:val="clear" w:color="000000" w:fill="D9D9D9"/>
            <w:noWrap/>
            <w:vAlign w:val="bottom"/>
            <w:hideMark/>
          </w:tcPr>
          <w:p w:rsidR="007E1E1E" w:rsidRPr="0071733D" w:rsidRDefault="007E1E1E" w:rsidP="00B50E5D">
            <w:pPr>
              <w:pStyle w:val="AdminPreviousYearDataNormal"/>
              <w:rPr>
                <w:b/>
              </w:rPr>
            </w:pPr>
            <w:r w:rsidRPr="0071733D">
              <w:rPr>
                <w:b/>
              </w:rPr>
              <w:t>2,728</w:t>
            </w:r>
          </w:p>
        </w:tc>
      </w:tr>
      <w:tr w:rsidR="007E1E1E" w:rsidTr="00B50E5D">
        <w:trPr>
          <w:trHeight w:val="270"/>
        </w:trPr>
        <w:tc>
          <w:tcPr>
            <w:tcW w:w="6396" w:type="dxa"/>
            <w:tcBorders>
              <w:top w:val="single" w:sz="4" w:space="0" w:color="D9D9D9"/>
              <w:left w:val="nil"/>
              <w:bottom w:val="single" w:sz="24" w:space="0" w:color="D8D8D8"/>
              <w:right w:val="nil"/>
            </w:tcBorders>
            <w:shd w:val="clear" w:color="000000" w:fill="D9D9D9"/>
            <w:vAlign w:val="bottom"/>
            <w:hideMark/>
          </w:tcPr>
          <w:p w:rsidR="007E1E1E" w:rsidRDefault="007E1E1E" w:rsidP="00B50E5D">
            <w:pPr>
              <w:pStyle w:val="AdminRowTextTotal"/>
            </w:pPr>
            <w:r>
              <w:t>Total write-down and impairment of assets</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Pr="0071733D" w:rsidRDefault="007E1E1E" w:rsidP="00B50E5D">
            <w:pPr>
              <w:pStyle w:val="AdminPreviousYearTotalGrey"/>
              <w:rPr>
                <w:b/>
              </w:rPr>
            </w:pPr>
            <w:r w:rsidRPr="0071733D">
              <w:rPr>
                <w:b/>
              </w:rPr>
              <w:t>60,940</w:t>
            </w:r>
          </w:p>
        </w:tc>
      </w:tr>
    </w:tbl>
    <w:p w:rsidR="007E1E1E" w:rsidRDefault="007E1E1E" w:rsidP="007E1E1E">
      <w:pPr>
        <w:pStyle w:val="GreyShadeTableBreak"/>
      </w:pPr>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40"/>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pStyle w:val="AdminBlankGreyShade"/>
            </w:pPr>
            <w:bookmarkStart w:id="276" w:name="Note_ACBTABLE1" w:colFirst="0" w:colLast="0"/>
            <w:r>
              <w:t> </w:t>
            </w:r>
          </w:p>
        </w:tc>
        <w:tc>
          <w:tcPr>
            <w:tcW w:w="1256" w:type="dxa"/>
            <w:tcBorders>
              <w:top w:val="nil"/>
              <w:left w:val="nil"/>
              <w:bottom w:val="single" w:sz="4" w:space="0" w:color="D9D9D9"/>
              <w:right w:val="nil"/>
            </w:tcBorders>
            <w:shd w:val="clear" w:color="000000" w:fill="D9D9D9"/>
            <w:vAlign w:val="bottom"/>
            <w:hideMark/>
          </w:tcPr>
          <w:p w:rsidR="007E1E1E" w:rsidRPr="0071733D" w:rsidRDefault="007E1E1E" w:rsidP="00B50E5D">
            <w:pPr>
              <w:pStyle w:val="AdminPreviousYearHeaderGrey"/>
              <w:rPr>
                <w:b/>
              </w:rPr>
            </w:pPr>
            <w:r w:rsidRPr="0071733D">
              <w:rPr>
                <w:b/>
              </w:rPr>
              <w:t>2014</w:t>
            </w:r>
          </w:p>
        </w:tc>
      </w:tr>
      <w:bookmarkEnd w:id="276"/>
      <w:tr w:rsidR="007E1E1E" w:rsidTr="00B50E5D">
        <w:trPr>
          <w:trHeight w:val="240"/>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pStyle w:val="AdminBlankGreyShade"/>
            </w:pPr>
            <w:r>
              <w:t> </w:t>
            </w:r>
          </w:p>
        </w:tc>
        <w:tc>
          <w:tcPr>
            <w:tcW w:w="1256" w:type="dxa"/>
            <w:tcBorders>
              <w:top w:val="nil"/>
              <w:left w:val="nil"/>
              <w:bottom w:val="single" w:sz="4" w:space="0" w:color="D9D9D9"/>
              <w:right w:val="nil"/>
            </w:tcBorders>
            <w:shd w:val="clear" w:color="000000" w:fill="D9D9D9"/>
            <w:vAlign w:val="bottom"/>
            <w:hideMark/>
          </w:tcPr>
          <w:p w:rsidR="007E1E1E" w:rsidRPr="0071733D" w:rsidRDefault="007E1E1E" w:rsidP="00B50E5D">
            <w:pPr>
              <w:pStyle w:val="AdminPreviousYearHeaderGrey"/>
              <w:rPr>
                <w:b/>
              </w:rPr>
            </w:pPr>
            <w:r w:rsidRPr="0071733D">
              <w:rPr>
                <w:b/>
              </w:rPr>
              <w:t>$'000</w:t>
            </w:r>
          </w:p>
        </w:tc>
      </w:tr>
      <w:tr w:rsidR="007E1E1E" w:rsidTr="00B50E5D">
        <w:trPr>
          <w:trHeight w:val="255"/>
        </w:trPr>
        <w:tc>
          <w:tcPr>
            <w:tcW w:w="6396" w:type="dxa"/>
            <w:tcBorders>
              <w:top w:val="nil"/>
              <w:left w:val="nil"/>
              <w:bottom w:val="nil"/>
              <w:right w:val="nil"/>
            </w:tcBorders>
            <w:shd w:val="clear" w:color="000000" w:fill="D9D9D9"/>
            <w:noWrap/>
            <w:hideMark/>
          </w:tcPr>
          <w:p w:rsidR="007E1E1E" w:rsidRPr="0071733D" w:rsidRDefault="007E1E1E" w:rsidP="00B50E5D">
            <w:pPr>
              <w:pStyle w:val="AdminBlankGreyShade"/>
              <w:rPr>
                <w:b/>
                <w:u w:val="single"/>
              </w:rPr>
            </w:pPr>
            <w:r w:rsidRPr="0071733D">
              <w:rPr>
                <w:b/>
                <w:u w:val="single"/>
              </w:rPr>
              <w:t xml:space="preserve">Note </w:t>
            </w:r>
            <w:proofErr w:type="spellStart"/>
            <w:r w:rsidRPr="0071733D">
              <w:rPr>
                <w:b/>
                <w:u w:val="single"/>
              </w:rPr>
              <w:t>17F</w:t>
            </w:r>
            <w:proofErr w:type="spellEnd"/>
            <w:r w:rsidRPr="0071733D">
              <w:rPr>
                <w:b/>
                <w:u w:val="single"/>
              </w:rPr>
              <w:t>: Payments to CAC bodies</w:t>
            </w:r>
          </w:p>
        </w:tc>
        <w:tc>
          <w:tcPr>
            <w:tcW w:w="1256" w:type="dxa"/>
            <w:tcBorders>
              <w:top w:val="nil"/>
              <w:left w:val="nil"/>
              <w:bottom w:val="single" w:sz="4" w:space="0" w:color="D9D9D9"/>
              <w:right w:val="nil"/>
            </w:tcBorders>
            <w:shd w:val="clear" w:color="000000" w:fill="D9D9D9"/>
            <w:noWrap/>
            <w:vAlign w:val="bottom"/>
            <w:hideMark/>
          </w:tcPr>
          <w:p w:rsidR="007E1E1E" w:rsidRPr="0071733D" w:rsidRDefault="007E1E1E" w:rsidP="00B50E5D">
            <w:pPr>
              <w:pStyle w:val="AdminPreviousYearHeaderGrey"/>
              <w:rPr>
                <w:b/>
              </w:rPr>
            </w:pPr>
            <w:r w:rsidRPr="0071733D">
              <w:rPr>
                <w:b/>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pStyle w:val="AdminHeaderUnderlineGrey"/>
            </w:pPr>
          </w:p>
        </w:tc>
        <w:tc>
          <w:tcPr>
            <w:tcW w:w="1256" w:type="dxa"/>
            <w:tcBorders>
              <w:top w:val="nil"/>
              <w:left w:val="nil"/>
              <w:bottom w:val="single" w:sz="4" w:space="0" w:color="D9D9D9"/>
              <w:right w:val="nil"/>
            </w:tcBorders>
            <w:shd w:val="clear" w:color="000000" w:fill="D9D9D9"/>
            <w:noWrap/>
            <w:vAlign w:val="bottom"/>
            <w:hideMark/>
          </w:tcPr>
          <w:p w:rsidR="007E1E1E" w:rsidRPr="0071733D" w:rsidRDefault="007E1E1E" w:rsidP="00B50E5D">
            <w:pPr>
              <w:pStyle w:val="AdminPreviousYearHeaderGrey"/>
              <w:rPr>
                <w:b/>
              </w:rPr>
            </w:pPr>
            <w:r w:rsidRPr="0071733D">
              <w:rPr>
                <w:b/>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Cs w:val="18"/>
              </w:rPr>
            </w:pPr>
            <w:r>
              <w:rPr>
                <w:rFonts w:cs="Calibri"/>
                <w:szCs w:val="18"/>
              </w:rPr>
              <w:t>Australian Institute of Aboriginal and Torres Strait Islander Studies</w:t>
            </w:r>
          </w:p>
        </w:tc>
        <w:tc>
          <w:tcPr>
            <w:tcW w:w="1256" w:type="dxa"/>
            <w:tcBorders>
              <w:top w:val="nil"/>
              <w:left w:val="nil"/>
              <w:bottom w:val="single" w:sz="4" w:space="0" w:color="D9D9D9"/>
              <w:right w:val="nil"/>
            </w:tcBorders>
            <w:shd w:val="clear" w:color="000000" w:fill="D9D9D9"/>
            <w:noWrap/>
            <w:vAlign w:val="bottom"/>
            <w:hideMark/>
          </w:tcPr>
          <w:p w:rsidR="007E1E1E" w:rsidRPr="0071733D" w:rsidRDefault="007E1E1E" w:rsidP="00B50E5D">
            <w:pPr>
              <w:pStyle w:val="AdminPreviousYearHeaderGrey"/>
              <w:rPr>
                <w:b/>
              </w:rPr>
            </w:pPr>
            <w:r w:rsidRPr="0071733D">
              <w:rPr>
                <w:b/>
              </w:rPr>
              <w:t>5,360</w:t>
            </w:r>
          </w:p>
        </w:tc>
      </w:tr>
      <w:tr w:rsidR="007E1E1E" w:rsidTr="00B50E5D">
        <w:trPr>
          <w:trHeight w:val="270"/>
        </w:trPr>
        <w:tc>
          <w:tcPr>
            <w:tcW w:w="6396" w:type="dxa"/>
            <w:tcBorders>
              <w:top w:val="single" w:sz="4" w:space="0" w:color="D9D9D9"/>
              <w:left w:val="nil"/>
              <w:bottom w:val="single" w:sz="24" w:space="0" w:color="D8D8D8"/>
              <w:right w:val="nil"/>
            </w:tcBorders>
            <w:shd w:val="clear" w:color="000000" w:fill="D9D9D9"/>
            <w:vAlign w:val="bottom"/>
            <w:hideMark/>
          </w:tcPr>
          <w:p w:rsidR="007E1E1E" w:rsidRDefault="007E1E1E" w:rsidP="00B50E5D">
            <w:pPr>
              <w:pStyle w:val="AdminRowTextTotal"/>
            </w:pPr>
            <w:r>
              <w:t>Total payments to CAC bodies</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Pr="0071733D" w:rsidRDefault="007E1E1E" w:rsidP="00B50E5D">
            <w:pPr>
              <w:pStyle w:val="AdminPreviousYearTotalGrey"/>
              <w:rPr>
                <w:b/>
              </w:rPr>
            </w:pPr>
            <w:r w:rsidRPr="0071733D">
              <w:rPr>
                <w:b/>
              </w:rPr>
              <w:t>5,360</w:t>
            </w:r>
          </w:p>
        </w:tc>
      </w:tr>
    </w:tbl>
    <w:p w:rsidR="007E1E1E" w:rsidRDefault="007E1E1E" w:rsidP="007E1E1E">
      <w:pPr>
        <w:pStyle w:val="GreyShadeTableBreak"/>
      </w:pPr>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40"/>
        </w:trPr>
        <w:tc>
          <w:tcPr>
            <w:tcW w:w="6396" w:type="dxa"/>
            <w:tcBorders>
              <w:top w:val="nil"/>
              <w:left w:val="nil"/>
              <w:bottom w:val="nil"/>
              <w:right w:val="nil"/>
            </w:tcBorders>
            <w:shd w:val="clear" w:color="000000" w:fill="D9D9D9"/>
            <w:noWrap/>
            <w:hideMark/>
          </w:tcPr>
          <w:p w:rsidR="007E1E1E" w:rsidRDefault="007E1E1E" w:rsidP="00B50E5D">
            <w:pPr>
              <w:rPr>
                <w:rFonts w:cs="Calibri"/>
                <w:b/>
                <w:bCs/>
                <w:szCs w:val="18"/>
                <w:u w:val="single"/>
              </w:rPr>
            </w:pPr>
            <w:bookmarkStart w:id="277" w:name="Note_FVLTABLE1" w:colFirst="0" w:colLast="0"/>
            <w:r>
              <w:rPr>
                <w:rFonts w:cs="Calibri"/>
                <w:b/>
                <w:bCs/>
                <w:szCs w:val="18"/>
                <w:u w:val="single"/>
              </w:rPr>
              <w:t xml:space="preserve">Note </w:t>
            </w:r>
            <w:proofErr w:type="spellStart"/>
            <w:r>
              <w:rPr>
                <w:rFonts w:cs="Calibri"/>
                <w:b/>
                <w:bCs/>
                <w:szCs w:val="18"/>
                <w:u w:val="single"/>
              </w:rPr>
              <w:t>17G</w:t>
            </w:r>
            <w:proofErr w:type="spellEnd"/>
            <w:r>
              <w:rPr>
                <w:rFonts w:cs="Calibri"/>
                <w:b/>
                <w:bCs/>
                <w:szCs w:val="18"/>
                <w:u w:val="single"/>
              </w:rPr>
              <w:t>: Fair value losses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b/>
                <w:bCs/>
                <w:szCs w:val="18"/>
              </w:rPr>
            </w:pPr>
            <w:r>
              <w:rPr>
                <w:rFonts w:cs="Calibri"/>
                <w:b/>
                <w:bCs/>
                <w:szCs w:val="18"/>
              </w:rPr>
              <w:t> </w:t>
            </w:r>
          </w:p>
        </w:tc>
      </w:tr>
      <w:bookmarkEnd w:id="277"/>
      <w:tr w:rsidR="007E1E1E" w:rsidTr="00B50E5D">
        <w:trPr>
          <w:trHeight w:val="240"/>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b/>
                <w:bCs/>
                <w:szCs w:val="18"/>
              </w:rPr>
            </w:pPr>
            <w:r>
              <w:rPr>
                <w:rFonts w:cs="Calibri"/>
                <w:b/>
                <w:bCs/>
                <w:szCs w:val="18"/>
              </w:rPr>
              <w:t> </w:t>
            </w:r>
          </w:p>
        </w:tc>
      </w:tr>
      <w:tr w:rsidR="007E1E1E" w:rsidTr="00B50E5D">
        <w:trPr>
          <w:trHeight w:val="420"/>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Losses from remeasuring financial instruments held at fair value through profit or loss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860,240</w:t>
            </w:r>
          </w:p>
        </w:tc>
      </w:tr>
      <w:tr w:rsidR="007E1E1E" w:rsidTr="00B50E5D">
        <w:trPr>
          <w:trHeight w:val="330"/>
        </w:trPr>
        <w:tc>
          <w:tcPr>
            <w:tcW w:w="6396" w:type="dxa"/>
            <w:tcBorders>
              <w:top w:val="single" w:sz="4" w:space="0" w:color="D9D9D9"/>
              <w:left w:val="nil"/>
              <w:bottom w:val="single" w:sz="24" w:space="0" w:color="D8D8D8"/>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fair value losses</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860,240</w:t>
            </w:r>
          </w:p>
        </w:tc>
      </w:tr>
    </w:tbl>
    <w:p w:rsidR="007E1E1E" w:rsidRDefault="007E1E1E" w:rsidP="007E1E1E">
      <w:pPr>
        <w:spacing w:line="240" w:lineRule="auto"/>
      </w:pPr>
      <w:bookmarkStart w:id="278" w:name="RANGE!D6:G9"/>
      <w:bookmarkStart w:id="279" w:name="RANGE!D7:D12"/>
      <w:bookmarkEnd w:id="278"/>
      <w:bookmarkEnd w:id="279"/>
      <w:r>
        <w:br w:type="page"/>
      </w:r>
    </w:p>
    <w:p w:rsidR="007E1E1E" w:rsidRDefault="007E1E1E" w:rsidP="007E1E1E">
      <w:pPr>
        <w:pStyle w:val="NotesHeading-Level1GreyShade"/>
        <w:numPr>
          <w:ilvl w:val="0"/>
          <w:numId w:val="13"/>
        </w:numPr>
      </w:pPr>
      <w:bookmarkStart w:id="280" w:name="_Toc400713261"/>
      <w:r>
        <w:lastRenderedPageBreak/>
        <w:t>Administered Income</w:t>
      </w:r>
      <w:bookmarkEnd w:id="280"/>
    </w:p>
    <w:p w:rsidR="007E1E1E" w:rsidRDefault="007E1E1E" w:rsidP="007E1E1E">
      <w:pPr>
        <w:pStyle w:val="GreyShadeTableBreak"/>
      </w:pPr>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bookmarkStart w:id="281" w:name="Note_AINTABLE1" w:colFirst="0" w:colLast="0"/>
            <w:r>
              <w:rPr>
                <w:rFonts w:cs="Calibri"/>
                <w:b/>
                <w:bCs/>
                <w:szCs w:val="18"/>
              </w:rPr>
              <w:t>Non-taxation revenue</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bookmarkEnd w:id="281"/>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nil"/>
              <w:right w:val="nil"/>
            </w:tcBorders>
            <w:shd w:val="clear" w:color="000000" w:fill="D9D9D9"/>
            <w:noWrap/>
            <w:hideMark/>
          </w:tcPr>
          <w:p w:rsidR="007E1E1E" w:rsidRDefault="007E1E1E"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18A</w:t>
            </w:r>
            <w:proofErr w:type="spellEnd"/>
            <w:r>
              <w:rPr>
                <w:rFonts w:cs="Calibri"/>
                <w:b/>
                <w:bCs/>
                <w:szCs w:val="18"/>
                <w:u w:val="single"/>
              </w:rPr>
              <w:t>: Interest</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Cs w:val="18"/>
              </w:rPr>
            </w:pPr>
            <w:r>
              <w:rPr>
                <w:rFonts w:cs="Calibri"/>
                <w:szCs w:val="18"/>
              </w:rPr>
              <w:t>Other sources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Cs w:val="18"/>
              </w:rPr>
            </w:pPr>
            <w:r>
              <w:rPr>
                <w:rFonts w:cs="Calibri"/>
                <w:szCs w:val="18"/>
              </w:rPr>
              <w:t>Loans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506,839</w:t>
            </w:r>
          </w:p>
        </w:tc>
      </w:tr>
      <w:tr w:rsidR="007E1E1E" w:rsidTr="00B50E5D">
        <w:trPr>
          <w:trHeight w:val="270"/>
        </w:trPr>
        <w:tc>
          <w:tcPr>
            <w:tcW w:w="6396" w:type="dxa"/>
            <w:tcBorders>
              <w:top w:val="single" w:sz="4" w:space="0" w:color="D9D9D9"/>
              <w:left w:val="nil"/>
              <w:bottom w:val="single" w:sz="24" w:space="0" w:color="D8D8D8"/>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interest</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506,840</w:t>
            </w:r>
          </w:p>
        </w:tc>
      </w:tr>
    </w:tbl>
    <w:p w:rsidR="007E1E1E" w:rsidRDefault="007E1E1E" w:rsidP="007E1E1E">
      <w:pPr>
        <w:pStyle w:val="GreyShadeTableBreak"/>
      </w:pPr>
      <w:bookmarkStart w:id="282" w:name="RANGE!D7:G13"/>
      <w:bookmarkStart w:id="283" w:name="RANGE!D6:G11"/>
      <w:bookmarkEnd w:id="282"/>
      <w:bookmarkEnd w:id="283"/>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nil"/>
              <w:right w:val="nil"/>
            </w:tcBorders>
            <w:shd w:val="clear" w:color="000000" w:fill="D9D9D9"/>
            <w:noWrap/>
            <w:hideMark/>
          </w:tcPr>
          <w:p w:rsidR="007E1E1E" w:rsidRDefault="007E1E1E" w:rsidP="00B50E5D">
            <w:pPr>
              <w:rPr>
                <w:rFonts w:cs="Calibri"/>
                <w:b/>
                <w:bCs/>
                <w:szCs w:val="18"/>
                <w:u w:val="single"/>
              </w:rPr>
            </w:pPr>
            <w:bookmarkStart w:id="284" w:name="Note_AORTABLE1" w:colFirst="0" w:colLast="0"/>
            <w:r>
              <w:rPr>
                <w:rFonts w:cs="Calibri"/>
                <w:b/>
                <w:bCs/>
                <w:szCs w:val="18"/>
                <w:u w:val="single"/>
              </w:rPr>
              <w:t xml:space="preserve">Note </w:t>
            </w:r>
            <w:proofErr w:type="spellStart"/>
            <w:r>
              <w:rPr>
                <w:rFonts w:cs="Calibri"/>
                <w:b/>
                <w:bCs/>
                <w:szCs w:val="18"/>
                <w:u w:val="single"/>
              </w:rPr>
              <w:t>18B</w:t>
            </w:r>
            <w:proofErr w:type="spellEnd"/>
            <w:r>
              <w:rPr>
                <w:rFonts w:cs="Calibri"/>
                <w:b/>
                <w:bCs/>
                <w:szCs w:val="18"/>
                <w:u w:val="single"/>
              </w:rPr>
              <w:t>: Other revenue</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bookmarkEnd w:id="284"/>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Cs w:val="18"/>
              </w:rPr>
            </w:pPr>
            <w:r>
              <w:rPr>
                <w:rFonts w:cs="Calibri"/>
                <w:szCs w:val="18"/>
              </w:rPr>
              <w:t>Education investment fund special account</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234,207</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Cs w:val="18"/>
              </w:rPr>
            </w:pPr>
            <w:r>
              <w:rPr>
                <w:rFonts w:cs="Calibri"/>
                <w:szCs w:val="18"/>
              </w:rPr>
              <w:t>Other</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55,403</w:t>
            </w:r>
          </w:p>
        </w:tc>
      </w:tr>
      <w:tr w:rsidR="007E1E1E" w:rsidTr="00B50E5D">
        <w:trPr>
          <w:trHeight w:val="270"/>
        </w:trPr>
        <w:tc>
          <w:tcPr>
            <w:tcW w:w="6396" w:type="dxa"/>
            <w:tcBorders>
              <w:top w:val="single" w:sz="4" w:space="0" w:color="D9D9D9"/>
              <w:left w:val="nil"/>
              <w:bottom w:val="single" w:sz="24" w:space="0" w:color="D8D8D8"/>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other revenue</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289,610</w:t>
            </w:r>
          </w:p>
        </w:tc>
      </w:tr>
    </w:tbl>
    <w:p w:rsidR="007E1E1E" w:rsidRDefault="007E1E1E" w:rsidP="007E1E1E">
      <w:pPr>
        <w:pStyle w:val="GreyShadeTableBreak"/>
      </w:pPr>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40"/>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bookmarkStart w:id="285" w:name="Note_AFVTABLE1" w:colFirst="0" w:colLast="0"/>
            <w:r>
              <w:rPr>
                <w:rFonts w:cs="Calibri"/>
                <w:b/>
                <w:bCs/>
                <w:szCs w:val="18"/>
              </w:rPr>
              <w:t>Gains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w:t>
            </w:r>
          </w:p>
        </w:tc>
      </w:tr>
      <w:bookmarkEnd w:id="285"/>
      <w:tr w:rsidR="007E1E1E" w:rsidTr="00B50E5D">
        <w:trPr>
          <w:trHeight w:val="240"/>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40"/>
        </w:trPr>
        <w:tc>
          <w:tcPr>
            <w:tcW w:w="6396" w:type="dxa"/>
            <w:tcBorders>
              <w:top w:val="nil"/>
              <w:left w:val="nil"/>
              <w:bottom w:val="nil"/>
              <w:right w:val="nil"/>
            </w:tcBorders>
            <w:shd w:val="clear" w:color="000000" w:fill="D9D9D9"/>
            <w:noWrap/>
            <w:hideMark/>
          </w:tcPr>
          <w:p w:rsidR="007E1E1E" w:rsidRDefault="007E1E1E"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18C</w:t>
            </w:r>
            <w:proofErr w:type="spellEnd"/>
            <w:r>
              <w:rPr>
                <w:rFonts w:cs="Calibri"/>
                <w:b/>
                <w:bCs/>
                <w:szCs w:val="18"/>
                <w:u w:val="single"/>
              </w:rPr>
              <w:t>: Fair value gains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b/>
                <w:bCs/>
                <w:szCs w:val="18"/>
              </w:rPr>
            </w:pPr>
            <w:r>
              <w:rPr>
                <w:rFonts w:cs="Calibri"/>
                <w:b/>
                <w:bCs/>
                <w:szCs w:val="18"/>
              </w:rPr>
              <w:t> </w:t>
            </w:r>
          </w:p>
        </w:tc>
      </w:tr>
      <w:tr w:rsidR="007E1E1E" w:rsidTr="00B50E5D">
        <w:trPr>
          <w:trHeight w:val="240"/>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b/>
                <w:bCs/>
                <w:szCs w:val="18"/>
              </w:rPr>
            </w:pPr>
            <w:r>
              <w:rPr>
                <w:rFonts w:cs="Calibri"/>
                <w:b/>
                <w:bCs/>
                <w:szCs w:val="18"/>
              </w:rPr>
              <w:t> </w:t>
            </w:r>
          </w:p>
        </w:tc>
      </w:tr>
      <w:tr w:rsidR="007E1E1E" w:rsidTr="00B50E5D">
        <w:trPr>
          <w:trHeight w:val="240"/>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Unfunded University Superannuation</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96,221</w:t>
            </w:r>
          </w:p>
        </w:tc>
      </w:tr>
      <w:tr w:rsidR="007E1E1E" w:rsidTr="00B50E5D">
        <w:trPr>
          <w:trHeight w:val="240"/>
        </w:trPr>
        <w:tc>
          <w:tcPr>
            <w:tcW w:w="6396" w:type="dxa"/>
            <w:tcBorders>
              <w:top w:val="single" w:sz="4" w:space="0" w:color="D9D9D9"/>
              <w:left w:val="nil"/>
              <w:bottom w:val="single" w:sz="24" w:space="0" w:color="D8D8D8"/>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fair value gains</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96,221</w:t>
            </w:r>
          </w:p>
        </w:tc>
      </w:tr>
    </w:tbl>
    <w:p w:rsidR="007E1E1E" w:rsidRDefault="007E1E1E" w:rsidP="007E1E1E">
      <w:pPr>
        <w:pStyle w:val="GreyShadeTableBreak"/>
      </w:pPr>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nil"/>
              <w:right w:val="nil"/>
            </w:tcBorders>
            <w:shd w:val="clear" w:color="000000" w:fill="D9D9D9"/>
            <w:noWrap/>
            <w:hideMark/>
          </w:tcPr>
          <w:p w:rsidR="007E1E1E" w:rsidRDefault="007E1E1E" w:rsidP="00B50E5D">
            <w:pPr>
              <w:rPr>
                <w:rFonts w:cs="Calibri"/>
                <w:b/>
                <w:bCs/>
                <w:szCs w:val="18"/>
                <w:u w:val="single"/>
              </w:rPr>
            </w:pPr>
            <w:bookmarkStart w:id="286" w:name="Note_ARPTABLE1" w:colFirst="0" w:colLast="0"/>
            <w:r>
              <w:rPr>
                <w:rFonts w:cs="Calibri"/>
                <w:b/>
                <w:bCs/>
                <w:szCs w:val="18"/>
                <w:u w:val="single"/>
              </w:rPr>
              <w:t xml:space="preserve">Note </w:t>
            </w:r>
            <w:proofErr w:type="spellStart"/>
            <w:r>
              <w:rPr>
                <w:rFonts w:cs="Calibri"/>
                <w:b/>
                <w:bCs/>
                <w:szCs w:val="18"/>
                <w:u w:val="single"/>
              </w:rPr>
              <w:t>18D</w:t>
            </w:r>
            <w:proofErr w:type="spellEnd"/>
            <w:r>
              <w:rPr>
                <w:rFonts w:cs="Calibri"/>
                <w:b/>
                <w:bCs/>
                <w:szCs w:val="18"/>
                <w:u w:val="single"/>
              </w:rPr>
              <w:t>: Reversals of previous asset write-downs and impairment</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bookmarkEnd w:id="286"/>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Cs w:val="18"/>
              </w:rPr>
            </w:pPr>
            <w:r>
              <w:rPr>
                <w:rFonts w:cs="Calibri"/>
                <w:szCs w:val="18"/>
              </w:rPr>
              <w:t>Reversal of impairment losses for personal benefits receivables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9,331</w:t>
            </w:r>
          </w:p>
        </w:tc>
      </w:tr>
      <w:tr w:rsidR="007E1E1E" w:rsidTr="00B50E5D">
        <w:trPr>
          <w:trHeight w:val="270"/>
        </w:trPr>
        <w:tc>
          <w:tcPr>
            <w:tcW w:w="6396" w:type="dxa"/>
            <w:tcBorders>
              <w:top w:val="single" w:sz="4" w:space="0" w:color="D9D9D9"/>
              <w:left w:val="nil"/>
              <w:bottom w:val="single" w:sz="24" w:space="0" w:color="D8D8D8"/>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reversals of previous asset write-downs and impairments</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9,331</w:t>
            </w:r>
          </w:p>
        </w:tc>
      </w:tr>
    </w:tbl>
    <w:p w:rsidR="007E1E1E" w:rsidRDefault="007E1E1E" w:rsidP="007E1E1E">
      <w:pPr>
        <w:pStyle w:val="GreyShadeTableBreak"/>
      </w:pPr>
    </w:p>
    <w:p w:rsidR="007E1E1E" w:rsidRDefault="007E1E1E" w:rsidP="007E1E1E">
      <w:pPr>
        <w:spacing w:line="240" w:lineRule="auto"/>
        <w:rPr>
          <w:rFonts w:asciiTheme="minorHAnsi" w:hAnsiTheme="minorHAnsi" w:cstheme="minorHAnsi"/>
          <w:b/>
          <w:sz w:val="20"/>
        </w:rPr>
      </w:pPr>
      <w:r>
        <w:br w:type="page"/>
      </w:r>
    </w:p>
    <w:p w:rsidR="007E1E1E" w:rsidRDefault="007E1E1E" w:rsidP="007E1E1E">
      <w:pPr>
        <w:pStyle w:val="NotesHeading-Level1GreyShade"/>
        <w:numPr>
          <w:ilvl w:val="0"/>
          <w:numId w:val="13"/>
        </w:numPr>
      </w:pPr>
      <w:bookmarkStart w:id="287" w:name="_Toc400713262"/>
      <w:r>
        <w:lastRenderedPageBreak/>
        <w:t>Administered Fair Value Measurement</w:t>
      </w:r>
      <w:bookmarkEnd w:id="287"/>
    </w:p>
    <w:tbl>
      <w:tblPr>
        <w:tblW w:w="9087" w:type="dxa"/>
        <w:tblInd w:w="80" w:type="dxa"/>
        <w:tblLayout w:type="fixed"/>
        <w:tblLook w:val="04A0" w:firstRow="1" w:lastRow="0" w:firstColumn="1" w:lastColumn="0" w:noHBand="0" w:noVBand="1"/>
      </w:tblPr>
      <w:tblGrid>
        <w:gridCol w:w="4075"/>
        <w:gridCol w:w="1253"/>
        <w:gridCol w:w="1253"/>
        <w:gridCol w:w="1253"/>
        <w:gridCol w:w="1253"/>
      </w:tblGrid>
      <w:tr w:rsidR="007E1E1E" w:rsidTr="00B50E5D">
        <w:trPr>
          <w:trHeight w:val="240"/>
        </w:trPr>
        <w:tc>
          <w:tcPr>
            <w:tcW w:w="8980" w:type="dxa"/>
            <w:gridSpan w:val="5"/>
            <w:tcBorders>
              <w:top w:val="nil"/>
              <w:left w:val="nil"/>
              <w:bottom w:val="nil"/>
              <w:right w:val="nil"/>
            </w:tcBorders>
            <w:shd w:val="clear" w:color="000000" w:fill="D9D9D9"/>
            <w:vAlign w:val="bottom"/>
            <w:hideMark/>
          </w:tcPr>
          <w:p w:rsidR="007E1E1E" w:rsidRDefault="007E1E1E" w:rsidP="00B50E5D">
            <w:pPr>
              <w:rPr>
                <w:rFonts w:cs="Calibri"/>
                <w:szCs w:val="18"/>
              </w:rPr>
            </w:pPr>
            <w:bookmarkStart w:id="288" w:name="Note_AVATABLE1" w:colFirst="0" w:colLast="0"/>
            <w:r>
              <w:rPr>
                <w:rFonts w:cs="Calibri"/>
                <w:szCs w:val="18"/>
              </w:rPr>
              <w:t>The following tables provide an analysis of assets and liabilities that are measured at fair value.</w:t>
            </w:r>
          </w:p>
        </w:tc>
      </w:tr>
      <w:bookmarkEnd w:id="288"/>
      <w:tr w:rsidR="007E1E1E" w:rsidTr="00B50E5D">
        <w:trPr>
          <w:trHeight w:val="240"/>
        </w:trPr>
        <w:tc>
          <w:tcPr>
            <w:tcW w:w="8980" w:type="dxa"/>
            <w:gridSpan w:val="5"/>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The different levels of the fair value hierarchy are defined below.</w:t>
            </w:r>
          </w:p>
        </w:tc>
      </w:tr>
      <w:tr w:rsidR="007E1E1E" w:rsidTr="00B50E5D">
        <w:trPr>
          <w:trHeight w:val="240"/>
        </w:trPr>
        <w:tc>
          <w:tcPr>
            <w:tcW w:w="4028"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238"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238"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238"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238"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r>
      <w:tr w:rsidR="007E1E1E" w:rsidTr="00B50E5D">
        <w:trPr>
          <w:trHeight w:val="435"/>
        </w:trPr>
        <w:tc>
          <w:tcPr>
            <w:tcW w:w="8980" w:type="dxa"/>
            <w:gridSpan w:val="5"/>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Level 1: Quoted prices (unadjusted) in active markets for identical assets or liabilities that the department can access at measurement date.</w:t>
            </w:r>
          </w:p>
        </w:tc>
      </w:tr>
      <w:tr w:rsidR="007E1E1E" w:rsidTr="00B50E5D">
        <w:trPr>
          <w:trHeight w:val="240"/>
        </w:trPr>
        <w:tc>
          <w:tcPr>
            <w:tcW w:w="8980" w:type="dxa"/>
            <w:gridSpan w:val="5"/>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Level 2: Inputs other than quoted prices included within Level 1 that are observable for the asset or liability, either directly or indirectly.</w:t>
            </w:r>
          </w:p>
        </w:tc>
      </w:tr>
      <w:tr w:rsidR="007E1E1E" w:rsidTr="00B50E5D">
        <w:trPr>
          <w:trHeight w:val="240"/>
        </w:trPr>
        <w:tc>
          <w:tcPr>
            <w:tcW w:w="8980" w:type="dxa"/>
            <w:gridSpan w:val="5"/>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Level 3: Unobservable inputs for the asset or liability.</w:t>
            </w:r>
          </w:p>
        </w:tc>
      </w:tr>
      <w:tr w:rsidR="007E1E1E" w:rsidTr="00B50E5D">
        <w:trPr>
          <w:trHeight w:val="240"/>
        </w:trPr>
        <w:tc>
          <w:tcPr>
            <w:tcW w:w="4028"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238"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w:t>
            </w:r>
          </w:p>
        </w:tc>
        <w:tc>
          <w:tcPr>
            <w:tcW w:w="1238"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w:t>
            </w:r>
          </w:p>
        </w:tc>
        <w:tc>
          <w:tcPr>
            <w:tcW w:w="1238"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szCs w:val="18"/>
              </w:rPr>
            </w:pPr>
            <w:r>
              <w:rPr>
                <w:rFonts w:cs="Calibri"/>
                <w:szCs w:val="18"/>
              </w:rPr>
              <w:t> </w:t>
            </w:r>
          </w:p>
        </w:tc>
      </w:tr>
      <w:tr w:rsidR="007E1E1E" w:rsidTr="00B50E5D">
        <w:trPr>
          <w:trHeight w:val="240"/>
        </w:trPr>
        <w:tc>
          <w:tcPr>
            <w:tcW w:w="4028" w:type="dxa"/>
            <w:tcBorders>
              <w:top w:val="nil"/>
              <w:left w:val="nil"/>
              <w:bottom w:val="nil"/>
              <w:right w:val="nil"/>
            </w:tcBorders>
            <w:shd w:val="clear" w:color="000000" w:fill="D9D9D9"/>
            <w:noWrap/>
            <w:vAlign w:val="bottom"/>
            <w:hideMark/>
          </w:tcPr>
          <w:p w:rsidR="007E1E1E" w:rsidRDefault="007E1E1E"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19A</w:t>
            </w:r>
            <w:proofErr w:type="spellEnd"/>
            <w:r>
              <w:rPr>
                <w:rFonts w:cs="Calibri"/>
                <w:b/>
                <w:bCs/>
                <w:szCs w:val="18"/>
                <w:u w:val="single"/>
              </w:rPr>
              <w:t>: Fair value measurements</w:t>
            </w:r>
          </w:p>
        </w:tc>
        <w:tc>
          <w:tcPr>
            <w:tcW w:w="1238"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w:t>
            </w:r>
          </w:p>
        </w:tc>
        <w:tc>
          <w:tcPr>
            <w:tcW w:w="1238"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w:t>
            </w:r>
          </w:p>
        </w:tc>
        <w:tc>
          <w:tcPr>
            <w:tcW w:w="1238"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szCs w:val="18"/>
              </w:rPr>
            </w:pPr>
            <w:r>
              <w:rPr>
                <w:rFonts w:cs="Calibri"/>
                <w:szCs w:val="18"/>
              </w:rPr>
              <w:t> </w:t>
            </w:r>
          </w:p>
        </w:tc>
      </w:tr>
      <w:tr w:rsidR="007E1E1E" w:rsidTr="00B50E5D">
        <w:trPr>
          <w:trHeight w:val="260"/>
        </w:trPr>
        <w:tc>
          <w:tcPr>
            <w:tcW w:w="8980" w:type="dxa"/>
            <w:gridSpan w:val="5"/>
            <w:vMerge w:val="restart"/>
            <w:tcBorders>
              <w:top w:val="nil"/>
              <w:left w:val="nil"/>
              <w:bottom w:val="single" w:sz="4" w:space="0" w:color="000000"/>
              <w:right w:val="nil"/>
            </w:tcBorders>
            <w:shd w:val="clear" w:color="000000" w:fill="D9D9D9"/>
            <w:vAlign w:val="bottom"/>
            <w:hideMark/>
          </w:tcPr>
          <w:p w:rsidR="007E1E1E" w:rsidRDefault="007E1E1E" w:rsidP="00B50E5D">
            <w:pPr>
              <w:rPr>
                <w:rFonts w:cs="Calibri"/>
                <w:b/>
                <w:bCs/>
                <w:szCs w:val="18"/>
              </w:rPr>
            </w:pPr>
            <w:r>
              <w:rPr>
                <w:rFonts w:cs="Calibri"/>
                <w:b/>
                <w:bCs/>
                <w:szCs w:val="18"/>
              </w:rPr>
              <w:t>Fair value measurements at 30 June 2014 by hierarchy for assets and liabilities</w:t>
            </w:r>
          </w:p>
        </w:tc>
      </w:tr>
      <w:tr w:rsidR="007E1E1E" w:rsidTr="00B50E5D">
        <w:trPr>
          <w:trHeight w:val="260"/>
        </w:trPr>
        <w:tc>
          <w:tcPr>
            <w:tcW w:w="8980" w:type="dxa"/>
            <w:gridSpan w:val="5"/>
            <w:vMerge/>
            <w:tcBorders>
              <w:top w:val="nil"/>
              <w:left w:val="nil"/>
              <w:bottom w:val="single" w:sz="4" w:space="0" w:color="000000"/>
              <w:right w:val="nil"/>
            </w:tcBorders>
            <w:vAlign w:val="center"/>
            <w:hideMark/>
          </w:tcPr>
          <w:p w:rsidR="007E1E1E" w:rsidRDefault="007E1E1E" w:rsidP="00B50E5D">
            <w:pPr>
              <w:rPr>
                <w:rFonts w:cs="Calibri"/>
                <w:b/>
                <w:bCs/>
                <w:szCs w:val="18"/>
              </w:rPr>
            </w:pPr>
          </w:p>
        </w:tc>
      </w:tr>
      <w:tr w:rsidR="007E1E1E" w:rsidTr="00B50E5D">
        <w:trPr>
          <w:trHeight w:val="495"/>
        </w:trPr>
        <w:tc>
          <w:tcPr>
            <w:tcW w:w="4028"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238"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w:t>
            </w:r>
          </w:p>
        </w:tc>
        <w:tc>
          <w:tcPr>
            <w:tcW w:w="3714" w:type="dxa"/>
            <w:gridSpan w:val="3"/>
            <w:tcBorders>
              <w:top w:val="single" w:sz="4" w:space="0" w:color="auto"/>
              <w:left w:val="nil"/>
              <w:bottom w:val="single" w:sz="4" w:space="0" w:color="auto"/>
              <w:right w:val="nil"/>
            </w:tcBorders>
            <w:shd w:val="clear" w:color="000000" w:fill="D9D9D9"/>
            <w:vAlign w:val="bottom"/>
            <w:hideMark/>
          </w:tcPr>
          <w:p w:rsidR="007E1E1E" w:rsidRDefault="007E1E1E" w:rsidP="00B50E5D">
            <w:pPr>
              <w:jc w:val="center"/>
              <w:rPr>
                <w:rFonts w:cs="Calibri"/>
                <w:b/>
                <w:bCs/>
                <w:szCs w:val="18"/>
              </w:rPr>
            </w:pPr>
            <w:r>
              <w:rPr>
                <w:rFonts w:cs="Calibri"/>
                <w:b/>
                <w:bCs/>
                <w:szCs w:val="18"/>
              </w:rPr>
              <w:t>Fair value measurements at the end of the reporting period using</w:t>
            </w:r>
          </w:p>
        </w:tc>
      </w:tr>
      <w:tr w:rsidR="007E1E1E" w:rsidTr="00B50E5D">
        <w:trPr>
          <w:trHeight w:val="240"/>
        </w:trPr>
        <w:tc>
          <w:tcPr>
            <w:tcW w:w="4028"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238"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Fair value</w:t>
            </w:r>
          </w:p>
        </w:tc>
        <w:tc>
          <w:tcPr>
            <w:tcW w:w="1238"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Level 1 inputs</w:t>
            </w:r>
          </w:p>
        </w:tc>
        <w:tc>
          <w:tcPr>
            <w:tcW w:w="1238"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Level 2 inputs</w:t>
            </w:r>
          </w:p>
        </w:tc>
        <w:tc>
          <w:tcPr>
            <w:tcW w:w="1238"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Level 3 inputs</w:t>
            </w:r>
          </w:p>
        </w:tc>
      </w:tr>
      <w:tr w:rsidR="007E1E1E" w:rsidTr="00B50E5D">
        <w:trPr>
          <w:trHeight w:val="240"/>
        </w:trPr>
        <w:tc>
          <w:tcPr>
            <w:tcW w:w="4028" w:type="dxa"/>
            <w:tcBorders>
              <w:top w:val="nil"/>
              <w:left w:val="nil"/>
              <w:bottom w:val="single" w:sz="4" w:space="0" w:color="auto"/>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238" w:type="dxa"/>
            <w:tcBorders>
              <w:top w:val="nil"/>
              <w:left w:val="nil"/>
              <w:bottom w:val="single" w:sz="4" w:space="0" w:color="auto"/>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c>
          <w:tcPr>
            <w:tcW w:w="1238" w:type="dxa"/>
            <w:tcBorders>
              <w:top w:val="nil"/>
              <w:left w:val="nil"/>
              <w:bottom w:val="single" w:sz="4" w:space="0" w:color="auto"/>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c>
          <w:tcPr>
            <w:tcW w:w="1238" w:type="dxa"/>
            <w:tcBorders>
              <w:top w:val="nil"/>
              <w:left w:val="nil"/>
              <w:bottom w:val="single" w:sz="4" w:space="0" w:color="auto"/>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c>
          <w:tcPr>
            <w:tcW w:w="1238" w:type="dxa"/>
            <w:tcBorders>
              <w:top w:val="nil"/>
              <w:left w:val="nil"/>
              <w:bottom w:val="single" w:sz="4" w:space="0" w:color="auto"/>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40"/>
        </w:trPr>
        <w:tc>
          <w:tcPr>
            <w:tcW w:w="4028"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Financial assets</w:t>
            </w:r>
          </w:p>
        </w:tc>
        <w:tc>
          <w:tcPr>
            <w:tcW w:w="1238"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w:t>
            </w:r>
          </w:p>
        </w:tc>
        <w:tc>
          <w:tcPr>
            <w:tcW w:w="1238"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r>
      <w:tr w:rsidR="007E1E1E" w:rsidTr="00B50E5D">
        <w:trPr>
          <w:trHeight w:val="240"/>
        </w:trPr>
        <w:tc>
          <w:tcPr>
            <w:tcW w:w="4028"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Concessional loans</w:t>
            </w:r>
          </w:p>
        </w:tc>
        <w:tc>
          <w:tcPr>
            <w:tcW w:w="1238"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25,147,866 </w:t>
            </w:r>
          </w:p>
        </w:tc>
        <w:tc>
          <w:tcPr>
            <w:tcW w:w="1238"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c>
          <w:tcPr>
            <w:tcW w:w="1238"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c>
          <w:tcPr>
            <w:tcW w:w="1238"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25,147,866 </w:t>
            </w:r>
          </w:p>
        </w:tc>
      </w:tr>
      <w:tr w:rsidR="007E1E1E" w:rsidTr="00B50E5D">
        <w:trPr>
          <w:trHeight w:val="240"/>
        </w:trPr>
        <w:tc>
          <w:tcPr>
            <w:tcW w:w="4028"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Administered investments</w:t>
            </w:r>
          </w:p>
        </w:tc>
        <w:tc>
          <w:tcPr>
            <w:tcW w:w="1238"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2,149,026 </w:t>
            </w:r>
          </w:p>
        </w:tc>
        <w:tc>
          <w:tcPr>
            <w:tcW w:w="1238"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c>
          <w:tcPr>
            <w:tcW w:w="1238"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c>
          <w:tcPr>
            <w:tcW w:w="1238"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2,149,026 </w:t>
            </w:r>
          </w:p>
        </w:tc>
      </w:tr>
      <w:tr w:rsidR="007E1E1E" w:rsidTr="00B50E5D">
        <w:trPr>
          <w:trHeight w:val="240"/>
        </w:trPr>
        <w:tc>
          <w:tcPr>
            <w:tcW w:w="4028" w:type="dxa"/>
            <w:tcBorders>
              <w:top w:val="nil"/>
              <w:left w:val="nil"/>
              <w:bottom w:val="single" w:sz="8" w:space="0" w:color="D9D9D9"/>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financial assets</w:t>
            </w:r>
          </w:p>
        </w:tc>
        <w:tc>
          <w:tcPr>
            <w:tcW w:w="1238"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27,296,892</w:t>
            </w:r>
          </w:p>
        </w:tc>
        <w:tc>
          <w:tcPr>
            <w:tcW w:w="1238"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w:t>
            </w:r>
          </w:p>
        </w:tc>
        <w:tc>
          <w:tcPr>
            <w:tcW w:w="1238"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w:t>
            </w:r>
          </w:p>
        </w:tc>
        <w:tc>
          <w:tcPr>
            <w:tcW w:w="1238"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27,296,892</w:t>
            </w:r>
          </w:p>
        </w:tc>
      </w:tr>
      <w:tr w:rsidR="007E1E1E" w:rsidTr="00B50E5D">
        <w:trPr>
          <w:trHeight w:val="240"/>
        </w:trPr>
        <w:tc>
          <w:tcPr>
            <w:tcW w:w="4028" w:type="dxa"/>
            <w:tcBorders>
              <w:top w:val="nil"/>
              <w:left w:val="nil"/>
              <w:bottom w:val="single" w:sz="8" w:space="0" w:color="D9D9D9"/>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fair value measurements</w:t>
            </w:r>
          </w:p>
        </w:tc>
        <w:tc>
          <w:tcPr>
            <w:tcW w:w="1238" w:type="dxa"/>
            <w:tcBorders>
              <w:top w:val="nil"/>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27,296,892</w:t>
            </w:r>
          </w:p>
        </w:tc>
        <w:tc>
          <w:tcPr>
            <w:tcW w:w="1238" w:type="dxa"/>
            <w:tcBorders>
              <w:top w:val="nil"/>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w:t>
            </w:r>
          </w:p>
        </w:tc>
        <w:tc>
          <w:tcPr>
            <w:tcW w:w="1238" w:type="dxa"/>
            <w:tcBorders>
              <w:top w:val="nil"/>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w:t>
            </w:r>
          </w:p>
        </w:tc>
        <w:tc>
          <w:tcPr>
            <w:tcW w:w="1238" w:type="dxa"/>
            <w:tcBorders>
              <w:top w:val="nil"/>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27,296,892</w:t>
            </w:r>
          </w:p>
        </w:tc>
      </w:tr>
    </w:tbl>
    <w:p w:rsidR="007E1E1E" w:rsidRDefault="007E1E1E" w:rsidP="007E1E1E">
      <w:pPr>
        <w:pStyle w:val="NotesHeading-Level1GreyShade"/>
        <w:numPr>
          <w:ilvl w:val="0"/>
          <w:numId w:val="0"/>
        </w:numPr>
      </w:pPr>
      <w:bookmarkStart w:id="289" w:name="RANGE!D7:H27"/>
      <w:bookmarkStart w:id="290" w:name="RANGE!D7:D26"/>
      <w:bookmarkEnd w:id="289"/>
      <w:bookmarkEnd w:id="290"/>
    </w:p>
    <w:p w:rsidR="007E1E1E" w:rsidRDefault="007E1E1E" w:rsidP="007E1E1E">
      <w:pPr>
        <w:pStyle w:val="GreyShadeTableBreak"/>
      </w:pPr>
      <w:r w:rsidRPr="00B71488">
        <w:t>There are a number of Administered assets and liabilities not measured at fair value in the statement of comprehensive income. The carrying amounts of these assets and liabilities are considered to be a reasonable approximation of their fair value.</w:t>
      </w:r>
    </w:p>
    <w:p w:rsidR="007E1E1E" w:rsidRDefault="007E1E1E" w:rsidP="007E1E1E">
      <w:pPr>
        <w:pStyle w:val="NotesHeading-Level1GreyShade"/>
        <w:numPr>
          <w:ilvl w:val="0"/>
          <w:numId w:val="0"/>
        </w:numPr>
      </w:pPr>
    </w:p>
    <w:tbl>
      <w:tblPr>
        <w:tblW w:w="9087" w:type="dxa"/>
        <w:tblInd w:w="80" w:type="dxa"/>
        <w:tblLayout w:type="fixed"/>
        <w:tblLook w:val="04A0" w:firstRow="1" w:lastRow="0" w:firstColumn="1" w:lastColumn="0" w:noHBand="0" w:noVBand="1"/>
      </w:tblPr>
      <w:tblGrid>
        <w:gridCol w:w="3287"/>
        <w:gridCol w:w="1368"/>
        <w:gridCol w:w="1368"/>
        <w:gridCol w:w="1630"/>
        <w:gridCol w:w="1434"/>
      </w:tblGrid>
      <w:tr w:rsidR="007E1E1E" w:rsidTr="00B50E5D">
        <w:trPr>
          <w:trHeight w:val="240"/>
        </w:trPr>
        <w:tc>
          <w:tcPr>
            <w:tcW w:w="3016" w:type="dxa"/>
            <w:tcBorders>
              <w:top w:val="nil"/>
              <w:left w:val="nil"/>
              <w:bottom w:val="nil"/>
              <w:right w:val="nil"/>
            </w:tcBorders>
            <w:shd w:val="clear" w:color="000000" w:fill="D9D9D9"/>
            <w:vAlign w:val="bottom"/>
            <w:hideMark/>
          </w:tcPr>
          <w:p w:rsidR="007E1E1E" w:rsidRDefault="007E1E1E" w:rsidP="00B50E5D">
            <w:pPr>
              <w:rPr>
                <w:rFonts w:cs="Calibri"/>
                <w:szCs w:val="18"/>
              </w:rPr>
            </w:pPr>
            <w:bookmarkStart w:id="291" w:name="RANGE!D7:H9"/>
            <w:bookmarkStart w:id="292" w:name="Note_AVCTABLE1" w:colFirst="0" w:colLast="0"/>
            <w:r>
              <w:rPr>
                <w:rFonts w:cs="Calibri"/>
                <w:szCs w:val="18"/>
              </w:rPr>
              <w:t> </w:t>
            </w:r>
            <w:bookmarkEnd w:id="291"/>
          </w:p>
        </w:tc>
        <w:tc>
          <w:tcPr>
            <w:tcW w:w="1256"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256"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496"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316"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r>
      <w:bookmarkEnd w:id="292"/>
      <w:tr w:rsidR="007E1E1E" w:rsidTr="00B50E5D">
        <w:trPr>
          <w:trHeight w:val="240"/>
        </w:trPr>
        <w:tc>
          <w:tcPr>
            <w:tcW w:w="8340" w:type="dxa"/>
            <w:gridSpan w:val="5"/>
            <w:tcBorders>
              <w:top w:val="nil"/>
              <w:left w:val="nil"/>
              <w:bottom w:val="nil"/>
              <w:right w:val="nil"/>
            </w:tcBorders>
            <w:shd w:val="clear" w:color="000000" w:fill="D9D9D9"/>
            <w:noWrap/>
            <w:vAlign w:val="bottom"/>
            <w:hideMark/>
          </w:tcPr>
          <w:p w:rsidR="007E1E1E" w:rsidRDefault="007E1E1E"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19B</w:t>
            </w:r>
            <w:proofErr w:type="spellEnd"/>
            <w:r>
              <w:rPr>
                <w:rFonts w:cs="Calibri"/>
                <w:b/>
                <w:bCs/>
                <w:szCs w:val="18"/>
                <w:u w:val="single"/>
              </w:rPr>
              <w:t>: Valuation technique and inputs for Level 2 and Level 3 fair value measurements</w:t>
            </w:r>
          </w:p>
        </w:tc>
      </w:tr>
      <w:tr w:rsidR="007E1E1E" w:rsidTr="00B50E5D">
        <w:trPr>
          <w:trHeight w:val="240"/>
        </w:trPr>
        <w:tc>
          <w:tcPr>
            <w:tcW w:w="3016" w:type="dxa"/>
            <w:tcBorders>
              <w:top w:val="nil"/>
              <w:left w:val="nil"/>
              <w:bottom w:val="nil"/>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256"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w:t>
            </w:r>
          </w:p>
        </w:tc>
        <w:tc>
          <w:tcPr>
            <w:tcW w:w="1256"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w:t>
            </w:r>
          </w:p>
        </w:tc>
        <w:tc>
          <w:tcPr>
            <w:tcW w:w="1496" w:type="dxa"/>
            <w:tcBorders>
              <w:top w:val="nil"/>
              <w:left w:val="nil"/>
              <w:bottom w:val="nil"/>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316" w:type="dxa"/>
            <w:tcBorders>
              <w:top w:val="nil"/>
              <w:left w:val="nil"/>
              <w:bottom w:val="nil"/>
              <w:right w:val="nil"/>
            </w:tcBorders>
            <w:shd w:val="clear" w:color="000000" w:fill="D9D9D9"/>
            <w:noWrap/>
            <w:vAlign w:val="bottom"/>
            <w:hideMark/>
          </w:tcPr>
          <w:p w:rsidR="007E1E1E" w:rsidRDefault="007E1E1E" w:rsidP="00B50E5D">
            <w:pPr>
              <w:jc w:val="right"/>
              <w:rPr>
                <w:rFonts w:cs="Calibri"/>
                <w:szCs w:val="18"/>
              </w:rPr>
            </w:pPr>
            <w:r>
              <w:rPr>
                <w:rFonts w:cs="Calibri"/>
                <w:szCs w:val="18"/>
              </w:rPr>
              <w:t> </w:t>
            </w:r>
          </w:p>
        </w:tc>
      </w:tr>
      <w:tr w:rsidR="007E1E1E" w:rsidTr="00B50E5D">
        <w:trPr>
          <w:trHeight w:val="720"/>
        </w:trPr>
        <w:tc>
          <w:tcPr>
            <w:tcW w:w="3016" w:type="dxa"/>
            <w:tcBorders>
              <w:top w:val="single" w:sz="4" w:space="0" w:color="auto"/>
              <w:left w:val="nil"/>
              <w:bottom w:val="single" w:sz="4" w:space="0" w:color="D9D9D9"/>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256" w:type="dxa"/>
            <w:tcBorders>
              <w:top w:val="single" w:sz="4" w:space="0" w:color="auto"/>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Category (Level 2 or Level 3)</w:t>
            </w:r>
          </w:p>
        </w:tc>
        <w:tc>
          <w:tcPr>
            <w:tcW w:w="1256" w:type="dxa"/>
            <w:tcBorders>
              <w:top w:val="single" w:sz="4" w:space="0" w:color="auto"/>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Fair value</w:t>
            </w:r>
          </w:p>
        </w:tc>
        <w:tc>
          <w:tcPr>
            <w:tcW w:w="1496" w:type="dxa"/>
            <w:tcBorders>
              <w:top w:val="single" w:sz="4" w:space="0" w:color="auto"/>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Valuation technique(s)</w:t>
            </w:r>
          </w:p>
        </w:tc>
        <w:tc>
          <w:tcPr>
            <w:tcW w:w="1316" w:type="dxa"/>
            <w:tcBorders>
              <w:top w:val="single" w:sz="4" w:space="0" w:color="auto"/>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Range (weighted average)</w:t>
            </w:r>
          </w:p>
        </w:tc>
      </w:tr>
      <w:tr w:rsidR="007E1E1E" w:rsidTr="00B50E5D">
        <w:trPr>
          <w:trHeight w:val="240"/>
        </w:trPr>
        <w:tc>
          <w:tcPr>
            <w:tcW w:w="3016" w:type="dxa"/>
            <w:tcBorders>
              <w:top w:val="nil"/>
              <w:left w:val="nil"/>
              <w:bottom w:val="single" w:sz="4" w:space="0" w:color="auto"/>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256" w:type="dxa"/>
            <w:tcBorders>
              <w:top w:val="nil"/>
              <w:left w:val="nil"/>
              <w:bottom w:val="single" w:sz="4" w:space="0" w:color="auto"/>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w:t>
            </w:r>
          </w:p>
        </w:tc>
        <w:tc>
          <w:tcPr>
            <w:tcW w:w="1256" w:type="dxa"/>
            <w:tcBorders>
              <w:top w:val="nil"/>
              <w:left w:val="nil"/>
              <w:bottom w:val="single" w:sz="4" w:space="0" w:color="auto"/>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c>
          <w:tcPr>
            <w:tcW w:w="1496" w:type="dxa"/>
            <w:tcBorders>
              <w:top w:val="nil"/>
              <w:left w:val="nil"/>
              <w:bottom w:val="single" w:sz="4" w:space="0" w:color="auto"/>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w:t>
            </w:r>
          </w:p>
        </w:tc>
        <w:tc>
          <w:tcPr>
            <w:tcW w:w="1316" w:type="dxa"/>
            <w:tcBorders>
              <w:top w:val="nil"/>
              <w:left w:val="nil"/>
              <w:bottom w:val="single" w:sz="4" w:space="0" w:color="auto"/>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40"/>
        </w:trPr>
        <w:tc>
          <w:tcPr>
            <w:tcW w:w="3016"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Financial assets</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w:t>
            </w:r>
          </w:p>
        </w:tc>
        <w:tc>
          <w:tcPr>
            <w:tcW w:w="149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31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szCs w:val="18"/>
              </w:rPr>
            </w:pPr>
            <w:r>
              <w:rPr>
                <w:rFonts w:cs="Calibri"/>
                <w:szCs w:val="18"/>
              </w:rPr>
              <w:t> </w:t>
            </w:r>
          </w:p>
        </w:tc>
      </w:tr>
      <w:tr w:rsidR="007E1E1E" w:rsidTr="00B50E5D">
        <w:trPr>
          <w:trHeight w:val="450"/>
        </w:trPr>
        <w:tc>
          <w:tcPr>
            <w:tcW w:w="3016"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Concessional loans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3 </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25,147,866 </w:t>
            </w:r>
          </w:p>
        </w:tc>
        <w:tc>
          <w:tcPr>
            <w:tcW w:w="1496"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Loan conditions</w:t>
            </w:r>
          </w:p>
        </w:tc>
        <w:tc>
          <w:tcPr>
            <w:tcW w:w="131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Principal due</w:t>
            </w:r>
          </w:p>
        </w:tc>
      </w:tr>
      <w:tr w:rsidR="007E1E1E" w:rsidTr="00B50E5D">
        <w:trPr>
          <w:trHeight w:val="915"/>
        </w:trPr>
        <w:tc>
          <w:tcPr>
            <w:tcW w:w="3016" w:type="dxa"/>
            <w:tcBorders>
              <w:top w:val="nil"/>
              <w:left w:val="nil"/>
              <w:bottom w:val="single" w:sz="4" w:space="0" w:color="auto"/>
              <w:right w:val="nil"/>
            </w:tcBorders>
            <w:shd w:val="clear" w:color="000000" w:fill="D9D9D9"/>
            <w:vAlign w:val="bottom"/>
            <w:hideMark/>
          </w:tcPr>
          <w:p w:rsidR="007E1E1E" w:rsidRDefault="007E1E1E" w:rsidP="00B50E5D">
            <w:pPr>
              <w:rPr>
                <w:rFonts w:cs="Calibri"/>
                <w:szCs w:val="18"/>
              </w:rPr>
            </w:pPr>
            <w:r>
              <w:rPr>
                <w:rFonts w:cs="Calibri"/>
                <w:szCs w:val="18"/>
              </w:rPr>
              <w:t>Administered investments</w:t>
            </w:r>
          </w:p>
        </w:tc>
        <w:tc>
          <w:tcPr>
            <w:tcW w:w="1256" w:type="dxa"/>
            <w:tcBorders>
              <w:top w:val="nil"/>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3 </w:t>
            </w:r>
          </w:p>
        </w:tc>
        <w:tc>
          <w:tcPr>
            <w:tcW w:w="1256" w:type="dxa"/>
            <w:tcBorders>
              <w:top w:val="nil"/>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2,149,026 </w:t>
            </w:r>
          </w:p>
        </w:tc>
        <w:tc>
          <w:tcPr>
            <w:tcW w:w="1496" w:type="dxa"/>
            <w:tcBorders>
              <w:top w:val="nil"/>
              <w:left w:val="nil"/>
              <w:bottom w:val="single" w:sz="4" w:space="0" w:color="auto"/>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Net assets of</w:t>
            </w:r>
          </w:p>
          <w:p w:rsidR="007E1E1E" w:rsidRDefault="007E1E1E" w:rsidP="00B50E5D">
            <w:pPr>
              <w:jc w:val="right"/>
              <w:rPr>
                <w:rFonts w:cs="Calibri"/>
                <w:b/>
                <w:bCs/>
                <w:szCs w:val="18"/>
              </w:rPr>
            </w:pPr>
            <w:r>
              <w:rPr>
                <w:rFonts w:cs="Calibri"/>
                <w:b/>
                <w:bCs/>
                <w:szCs w:val="18"/>
              </w:rPr>
              <w:t xml:space="preserve"> the entity</w:t>
            </w:r>
          </w:p>
        </w:tc>
        <w:tc>
          <w:tcPr>
            <w:tcW w:w="1316" w:type="dxa"/>
            <w:tcBorders>
              <w:top w:val="nil"/>
              <w:left w:val="nil"/>
              <w:bottom w:val="single" w:sz="4" w:space="0" w:color="auto"/>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N/A</w:t>
            </w:r>
          </w:p>
        </w:tc>
      </w:tr>
    </w:tbl>
    <w:p w:rsidR="007E1E1E" w:rsidRDefault="007E1E1E" w:rsidP="007E1E1E">
      <w:pPr>
        <w:pStyle w:val="GreyShadeTableBreak"/>
      </w:pPr>
      <w:bookmarkStart w:id="293" w:name="RANGE!D7:D14"/>
      <w:bookmarkStart w:id="294" w:name="RANGE!D7:D13"/>
      <w:bookmarkStart w:id="295" w:name="RANGE!D7:H13"/>
      <w:bookmarkEnd w:id="293"/>
      <w:bookmarkEnd w:id="294"/>
      <w:bookmarkEnd w:id="295"/>
    </w:p>
    <w:p w:rsidR="007E1E1E" w:rsidRDefault="007E1E1E" w:rsidP="007E1E1E">
      <w:pPr>
        <w:pStyle w:val="GreyShadeTableBreak"/>
        <w:rPr>
          <w:rFonts w:cs="Calibri"/>
          <w:szCs w:val="18"/>
        </w:rPr>
      </w:pPr>
      <w:r>
        <w:t xml:space="preserve">The methods and valuation techniques used for the purpose of measuring fair value of assets and liabilities </w:t>
      </w:r>
      <w:r w:rsidRPr="00B71488">
        <w:rPr>
          <w:rFonts w:cs="Calibri"/>
          <w:szCs w:val="18"/>
        </w:rPr>
        <w:t>in 2014 are unchanged from</w:t>
      </w:r>
      <w:r>
        <w:rPr>
          <w:rFonts w:cs="Calibri"/>
          <w:szCs w:val="18"/>
        </w:rPr>
        <w:t xml:space="preserve"> the previous reporting period.</w:t>
      </w:r>
    </w:p>
    <w:p w:rsidR="007E1E1E" w:rsidRPr="00B71488" w:rsidRDefault="007E1E1E" w:rsidP="007E1E1E">
      <w:pPr>
        <w:pStyle w:val="GreyShadeTableBreak"/>
        <w:rPr>
          <w:rFonts w:cs="Calibri"/>
          <w:szCs w:val="18"/>
        </w:rPr>
      </w:pPr>
      <w:r w:rsidRPr="00B71488">
        <w:rPr>
          <w:rFonts w:cs="Calibri"/>
          <w:szCs w:val="18"/>
        </w:rPr>
        <w:tab/>
      </w:r>
      <w:r w:rsidRPr="00B71488">
        <w:rPr>
          <w:rFonts w:cs="Calibri"/>
          <w:szCs w:val="18"/>
        </w:rPr>
        <w:tab/>
      </w:r>
    </w:p>
    <w:p w:rsidR="007E1E1E" w:rsidRPr="00B71488" w:rsidRDefault="007E1E1E" w:rsidP="007E1E1E">
      <w:pPr>
        <w:pStyle w:val="GreyShadeTableBreak"/>
        <w:rPr>
          <w:rFonts w:cs="Calibri"/>
          <w:szCs w:val="18"/>
        </w:rPr>
      </w:pPr>
      <w:r w:rsidRPr="00B71488">
        <w:rPr>
          <w:rFonts w:cs="Calibri"/>
          <w:szCs w:val="18"/>
        </w:rPr>
        <w:t>Changing inputs to the level 3 hierarchy valuations to reasonably possible alternate assumptions would not significantly change amounts recognised in net cost of service or other comprehensive income.</w:t>
      </w:r>
      <w:r w:rsidRPr="00B71488">
        <w:rPr>
          <w:rFonts w:cs="Calibri"/>
          <w:szCs w:val="18"/>
        </w:rPr>
        <w:tab/>
      </w:r>
      <w:r w:rsidRPr="00B71488">
        <w:rPr>
          <w:rFonts w:cs="Calibri"/>
          <w:szCs w:val="18"/>
        </w:rPr>
        <w:tab/>
      </w:r>
    </w:p>
    <w:p w:rsidR="007E1E1E" w:rsidRDefault="007E1E1E" w:rsidP="007E1E1E">
      <w:pPr>
        <w:spacing w:line="240" w:lineRule="auto"/>
      </w:pPr>
      <w:r>
        <w:br w:type="page"/>
      </w:r>
    </w:p>
    <w:tbl>
      <w:tblPr>
        <w:tblW w:w="9087" w:type="dxa"/>
        <w:tblInd w:w="80" w:type="dxa"/>
        <w:tblLayout w:type="fixed"/>
        <w:tblLook w:val="04A0" w:firstRow="1" w:lastRow="0" w:firstColumn="1" w:lastColumn="0" w:noHBand="0" w:noVBand="1"/>
      </w:tblPr>
      <w:tblGrid>
        <w:gridCol w:w="5203"/>
        <w:gridCol w:w="1196"/>
        <w:gridCol w:w="1494"/>
        <w:gridCol w:w="1194"/>
      </w:tblGrid>
      <w:tr w:rsidR="007E1E1E" w:rsidTr="00B50E5D">
        <w:trPr>
          <w:trHeight w:val="240"/>
        </w:trPr>
        <w:tc>
          <w:tcPr>
            <w:tcW w:w="5145" w:type="dxa"/>
            <w:tcBorders>
              <w:top w:val="nil"/>
              <w:left w:val="nil"/>
              <w:bottom w:val="nil"/>
              <w:right w:val="nil"/>
            </w:tcBorders>
            <w:shd w:val="clear" w:color="000000" w:fill="D9D9D9"/>
            <w:noWrap/>
            <w:vAlign w:val="bottom"/>
            <w:hideMark/>
          </w:tcPr>
          <w:p w:rsidR="007E1E1E" w:rsidRDefault="007E1E1E" w:rsidP="00B50E5D">
            <w:pPr>
              <w:rPr>
                <w:rFonts w:cs="Calibri"/>
                <w:b/>
                <w:bCs/>
                <w:szCs w:val="18"/>
                <w:u w:val="single"/>
              </w:rPr>
            </w:pPr>
            <w:bookmarkStart w:id="296" w:name="Note_AVDTABLE1" w:colFirst="0" w:colLast="0"/>
            <w:r>
              <w:rPr>
                <w:rFonts w:cs="Calibri"/>
                <w:b/>
                <w:bCs/>
                <w:szCs w:val="18"/>
                <w:u w:val="single"/>
              </w:rPr>
              <w:lastRenderedPageBreak/>
              <w:t xml:space="preserve">Note </w:t>
            </w:r>
            <w:proofErr w:type="spellStart"/>
            <w:r>
              <w:rPr>
                <w:rFonts w:cs="Calibri"/>
                <w:b/>
                <w:bCs/>
                <w:szCs w:val="18"/>
                <w:u w:val="single"/>
              </w:rPr>
              <w:t>19C</w:t>
            </w:r>
            <w:proofErr w:type="spellEnd"/>
            <w:r>
              <w:rPr>
                <w:rFonts w:cs="Calibri"/>
                <w:b/>
                <w:bCs/>
                <w:szCs w:val="18"/>
                <w:u w:val="single"/>
              </w:rPr>
              <w:t>: Reconciliation for recurring Level 3 fair value measurements</w:t>
            </w:r>
          </w:p>
        </w:tc>
        <w:tc>
          <w:tcPr>
            <w:tcW w:w="1183" w:type="dxa"/>
            <w:tcBorders>
              <w:top w:val="nil"/>
              <w:left w:val="nil"/>
              <w:bottom w:val="single" w:sz="4" w:space="0" w:color="D9D9D9"/>
              <w:right w:val="nil"/>
            </w:tcBorders>
            <w:shd w:val="clear" w:color="000000" w:fill="D9D9D9"/>
            <w:vAlign w:val="bottom"/>
            <w:hideMark/>
          </w:tcPr>
          <w:p w:rsidR="007E1E1E" w:rsidRDefault="007E1E1E" w:rsidP="00B50E5D">
            <w:pPr>
              <w:pStyle w:val="AdminCurrentYearHeadersGrey"/>
            </w:pPr>
            <w:r>
              <w:t> </w:t>
            </w:r>
          </w:p>
        </w:tc>
        <w:tc>
          <w:tcPr>
            <w:tcW w:w="1478" w:type="dxa"/>
            <w:tcBorders>
              <w:top w:val="nil"/>
              <w:left w:val="nil"/>
              <w:bottom w:val="single" w:sz="4" w:space="0" w:color="D9D9D9"/>
              <w:right w:val="nil"/>
            </w:tcBorders>
            <w:shd w:val="clear" w:color="000000" w:fill="D9D9D9"/>
            <w:vAlign w:val="bottom"/>
            <w:hideMark/>
          </w:tcPr>
          <w:p w:rsidR="007E1E1E" w:rsidRDefault="007E1E1E" w:rsidP="00B50E5D">
            <w:pPr>
              <w:pStyle w:val="AdminCurrentYearHeadersGrey"/>
            </w:pPr>
            <w:r>
              <w:t> </w:t>
            </w:r>
          </w:p>
        </w:tc>
        <w:tc>
          <w:tcPr>
            <w:tcW w:w="1181" w:type="dxa"/>
            <w:tcBorders>
              <w:top w:val="nil"/>
              <w:left w:val="nil"/>
              <w:bottom w:val="single" w:sz="4" w:space="0" w:color="D9D9D9"/>
              <w:right w:val="nil"/>
            </w:tcBorders>
            <w:shd w:val="clear" w:color="000000" w:fill="D9D9D9"/>
            <w:vAlign w:val="bottom"/>
            <w:hideMark/>
          </w:tcPr>
          <w:p w:rsidR="007E1E1E" w:rsidRDefault="007E1E1E" w:rsidP="00B50E5D">
            <w:pPr>
              <w:pStyle w:val="AdminCurrentYearHeadersGrey"/>
            </w:pPr>
            <w:r>
              <w:t> </w:t>
            </w:r>
          </w:p>
        </w:tc>
      </w:tr>
      <w:bookmarkEnd w:id="296"/>
      <w:tr w:rsidR="007E1E1E" w:rsidTr="00B50E5D">
        <w:trPr>
          <w:trHeight w:val="240"/>
        </w:trPr>
        <w:tc>
          <w:tcPr>
            <w:tcW w:w="5145"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183" w:type="dxa"/>
            <w:tcBorders>
              <w:top w:val="nil"/>
              <w:left w:val="nil"/>
              <w:bottom w:val="single" w:sz="4" w:space="0" w:color="D9D9D9"/>
              <w:right w:val="nil"/>
            </w:tcBorders>
            <w:shd w:val="clear" w:color="000000" w:fill="D9D9D9"/>
            <w:vAlign w:val="bottom"/>
            <w:hideMark/>
          </w:tcPr>
          <w:p w:rsidR="007E1E1E" w:rsidRDefault="007E1E1E" w:rsidP="00B50E5D">
            <w:pPr>
              <w:pStyle w:val="AdminCurrentYearHeadersGrey"/>
            </w:pPr>
            <w:r>
              <w:t> </w:t>
            </w:r>
          </w:p>
        </w:tc>
        <w:tc>
          <w:tcPr>
            <w:tcW w:w="1478" w:type="dxa"/>
            <w:tcBorders>
              <w:top w:val="nil"/>
              <w:left w:val="nil"/>
              <w:bottom w:val="single" w:sz="4" w:space="0" w:color="D9D9D9"/>
              <w:right w:val="nil"/>
            </w:tcBorders>
            <w:shd w:val="clear" w:color="000000" w:fill="D9D9D9"/>
            <w:vAlign w:val="bottom"/>
            <w:hideMark/>
          </w:tcPr>
          <w:p w:rsidR="007E1E1E" w:rsidRDefault="007E1E1E" w:rsidP="00B50E5D">
            <w:pPr>
              <w:pStyle w:val="AdminCurrentYearHeadersGrey"/>
            </w:pPr>
            <w:r>
              <w:t> </w:t>
            </w:r>
          </w:p>
        </w:tc>
        <w:tc>
          <w:tcPr>
            <w:tcW w:w="1181" w:type="dxa"/>
            <w:tcBorders>
              <w:top w:val="nil"/>
              <w:left w:val="nil"/>
              <w:bottom w:val="single" w:sz="4" w:space="0" w:color="D9D9D9"/>
              <w:right w:val="nil"/>
            </w:tcBorders>
            <w:shd w:val="clear" w:color="000000" w:fill="D9D9D9"/>
            <w:vAlign w:val="bottom"/>
            <w:hideMark/>
          </w:tcPr>
          <w:p w:rsidR="007E1E1E" w:rsidRDefault="007E1E1E" w:rsidP="00B50E5D">
            <w:pPr>
              <w:pStyle w:val="AdminCurrentYearHeadersGrey"/>
            </w:pPr>
            <w:r>
              <w:t> </w:t>
            </w:r>
          </w:p>
        </w:tc>
      </w:tr>
      <w:tr w:rsidR="007E1E1E" w:rsidTr="00B50E5D">
        <w:trPr>
          <w:trHeight w:val="240"/>
        </w:trPr>
        <w:tc>
          <w:tcPr>
            <w:tcW w:w="5145"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There has been no transfer between levels during the period</w:t>
            </w:r>
          </w:p>
        </w:tc>
        <w:tc>
          <w:tcPr>
            <w:tcW w:w="1183" w:type="dxa"/>
            <w:tcBorders>
              <w:top w:val="nil"/>
              <w:left w:val="nil"/>
              <w:bottom w:val="single" w:sz="4" w:space="0" w:color="D9D9D9"/>
              <w:right w:val="nil"/>
            </w:tcBorders>
            <w:shd w:val="clear" w:color="000000" w:fill="D9D9D9"/>
            <w:vAlign w:val="bottom"/>
            <w:hideMark/>
          </w:tcPr>
          <w:p w:rsidR="007E1E1E" w:rsidRDefault="007E1E1E" w:rsidP="00B50E5D">
            <w:pPr>
              <w:pStyle w:val="AdminCurrentYearHeadersGrey"/>
            </w:pPr>
            <w:r>
              <w:t> </w:t>
            </w:r>
          </w:p>
        </w:tc>
        <w:tc>
          <w:tcPr>
            <w:tcW w:w="1478" w:type="dxa"/>
            <w:tcBorders>
              <w:top w:val="nil"/>
              <w:left w:val="nil"/>
              <w:bottom w:val="single" w:sz="4" w:space="0" w:color="D9D9D9"/>
              <w:right w:val="nil"/>
            </w:tcBorders>
            <w:shd w:val="clear" w:color="000000" w:fill="D9D9D9"/>
            <w:vAlign w:val="bottom"/>
            <w:hideMark/>
          </w:tcPr>
          <w:p w:rsidR="007E1E1E" w:rsidRDefault="007E1E1E" w:rsidP="00B50E5D">
            <w:pPr>
              <w:pStyle w:val="AdminCurrentYearHeadersGrey"/>
            </w:pPr>
            <w:r>
              <w:t> </w:t>
            </w:r>
          </w:p>
        </w:tc>
        <w:tc>
          <w:tcPr>
            <w:tcW w:w="1181" w:type="dxa"/>
            <w:tcBorders>
              <w:top w:val="nil"/>
              <w:left w:val="nil"/>
              <w:bottom w:val="single" w:sz="4" w:space="0" w:color="D9D9D9"/>
              <w:right w:val="nil"/>
            </w:tcBorders>
            <w:shd w:val="clear" w:color="000000" w:fill="D9D9D9"/>
            <w:vAlign w:val="bottom"/>
            <w:hideMark/>
          </w:tcPr>
          <w:p w:rsidR="007E1E1E" w:rsidRDefault="007E1E1E" w:rsidP="00B50E5D">
            <w:pPr>
              <w:pStyle w:val="AdminCurrentYearHeadersGrey"/>
            </w:pPr>
            <w:r>
              <w:t> </w:t>
            </w:r>
          </w:p>
        </w:tc>
      </w:tr>
      <w:tr w:rsidR="007E1E1E" w:rsidTr="00B50E5D">
        <w:trPr>
          <w:trHeight w:val="240"/>
        </w:trPr>
        <w:tc>
          <w:tcPr>
            <w:tcW w:w="5145"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183" w:type="dxa"/>
            <w:tcBorders>
              <w:top w:val="nil"/>
              <w:left w:val="nil"/>
              <w:bottom w:val="single" w:sz="4" w:space="0" w:color="D9D9D9"/>
              <w:right w:val="nil"/>
            </w:tcBorders>
            <w:shd w:val="clear" w:color="000000" w:fill="D9D9D9"/>
            <w:vAlign w:val="bottom"/>
            <w:hideMark/>
          </w:tcPr>
          <w:p w:rsidR="007E1E1E" w:rsidRDefault="007E1E1E" w:rsidP="00B50E5D">
            <w:pPr>
              <w:pStyle w:val="AdminCurrentYearHeadersGrey"/>
            </w:pPr>
            <w:r>
              <w:t> </w:t>
            </w:r>
          </w:p>
        </w:tc>
        <w:tc>
          <w:tcPr>
            <w:tcW w:w="1478" w:type="dxa"/>
            <w:tcBorders>
              <w:top w:val="nil"/>
              <w:left w:val="nil"/>
              <w:bottom w:val="single" w:sz="4" w:space="0" w:color="D9D9D9"/>
              <w:right w:val="nil"/>
            </w:tcBorders>
            <w:shd w:val="clear" w:color="000000" w:fill="D9D9D9"/>
            <w:vAlign w:val="bottom"/>
            <w:hideMark/>
          </w:tcPr>
          <w:p w:rsidR="007E1E1E" w:rsidRDefault="007E1E1E" w:rsidP="00B50E5D">
            <w:pPr>
              <w:pStyle w:val="AdminCurrentYearHeadersGrey"/>
            </w:pPr>
            <w:r>
              <w:t> </w:t>
            </w:r>
          </w:p>
        </w:tc>
        <w:tc>
          <w:tcPr>
            <w:tcW w:w="1181" w:type="dxa"/>
            <w:tcBorders>
              <w:top w:val="nil"/>
              <w:left w:val="nil"/>
              <w:bottom w:val="single" w:sz="4" w:space="0" w:color="D9D9D9"/>
              <w:right w:val="nil"/>
            </w:tcBorders>
            <w:shd w:val="clear" w:color="000000" w:fill="D9D9D9"/>
            <w:vAlign w:val="bottom"/>
            <w:hideMark/>
          </w:tcPr>
          <w:p w:rsidR="007E1E1E" w:rsidRDefault="007E1E1E" w:rsidP="00B50E5D">
            <w:pPr>
              <w:pStyle w:val="AdminCurrentYearHeadersGrey"/>
            </w:pPr>
            <w:r>
              <w:t> </w:t>
            </w:r>
          </w:p>
        </w:tc>
      </w:tr>
      <w:tr w:rsidR="007E1E1E" w:rsidTr="00B50E5D">
        <w:trPr>
          <w:trHeight w:val="240"/>
        </w:trPr>
        <w:tc>
          <w:tcPr>
            <w:tcW w:w="8987" w:type="dxa"/>
            <w:gridSpan w:val="4"/>
            <w:tcBorders>
              <w:top w:val="nil"/>
              <w:left w:val="nil"/>
              <w:bottom w:val="single" w:sz="4" w:space="0" w:color="auto"/>
              <w:right w:val="nil"/>
            </w:tcBorders>
            <w:shd w:val="clear" w:color="000000" w:fill="D9D9D9"/>
            <w:vAlign w:val="bottom"/>
            <w:hideMark/>
          </w:tcPr>
          <w:p w:rsidR="007E1E1E" w:rsidRDefault="007E1E1E" w:rsidP="00B50E5D">
            <w:pPr>
              <w:rPr>
                <w:rFonts w:cs="Calibri"/>
                <w:b/>
                <w:bCs/>
                <w:szCs w:val="18"/>
              </w:rPr>
            </w:pPr>
            <w:r>
              <w:rPr>
                <w:rFonts w:cs="Calibri"/>
                <w:b/>
                <w:bCs/>
                <w:szCs w:val="18"/>
              </w:rPr>
              <w:t>Recurring Level 3 fair value measurements - reconciliation for assets</w:t>
            </w:r>
          </w:p>
        </w:tc>
      </w:tr>
      <w:tr w:rsidR="007E1E1E" w:rsidTr="00B50E5D">
        <w:trPr>
          <w:trHeight w:val="240"/>
        </w:trPr>
        <w:tc>
          <w:tcPr>
            <w:tcW w:w="5145"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3842" w:type="dxa"/>
            <w:gridSpan w:val="3"/>
            <w:tcBorders>
              <w:top w:val="single" w:sz="4" w:space="0" w:color="auto"/>
              <w:left w:val="nil"/>
              <w:bottom w:val="single" w:sz="4" w:space="0" w:color="auto"/>
              <w:right w:val="nil"/>
            </w:tcBorders>
            <w:shd w:val="clear" w:color="000000" w:fill="D9D9D9"/>
            <w:vAlign w:val="bottom"/>
            <w:hideMark/>
          </w:tcPr>
          <w:p w:rsidR="007E1E1E" w:rsidRDefault="007E1E1E" w:rsidP="00B50E5D">
            <w:pPr>
              <w:pStyle w:val="AdminCurrentYearHeadersGrey"/>
            </w:pPr>
            <w:r>
              <w:t>Financial assets</w:t>
            </w:r>
          </w:p>
        </w:tc>
      </w:tr>
      <w:tr w:rsidR="007E1E1E" w:rsidTr="00B50E5D">
        <w:trPr>
          <w:trHeight w:val="495"/>
        </w:trPr>
        <w:tc>
          <w:tcPr>
            <w:tcW w:w="5145"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183" w:type="dxa"/>
            <w:tcBorders>
              <w:top w:val="nil"/>
              <w:left w:val="nil"/>
              <w:bottom w:val="single" w:sz="4" w:space="0" w:color="D9D9D9"/>
              <w:right w:val="nil"/>
            </w:tcBorders>
            <w:shd w:val="clear" w:color="000000" w:fill="D9D9D9"/>
            <w:vAlign w:val="bottom"/>
            <w:hideMark/>
          </w:tcPr>
          <w:p w:rsidR="007E1E1E" w:rsidRDefault="007E1E1E" w:rsidP="00B50E5D">
            <w:pPr>
              <w:pStyle w:val="AdminCurrentYearHeadersGrey"/>
            </w:pPr>
            <w:r>
              <w:t>Concessional loans</w:t>
            </w:r>
          </w:p>
        </w:tc>
        <w:tc>
          <w:tcPr>
            <w:tcW w:w="1478" w:type="dxa"/>
            <w:tcBorders>
              <w:top w:val="nil"/>
              <w:left w:val="nil"/>
              <w:bottom w:val="single" w:sz="4" w:space="0" w:color="D9D9D9"/>
              <w:right w:val="nil"/>
            </w:tcBorders>
            <w:shd w:val="clear" w:color="000000" w:fill="D9D9D9"/>
            <w:vAlign w:val="bottom"/>
            <w:hideMark/>
          </w:tcPr>
          <w:p w:rsidR="007E1E1E" w:rsidRDefault="007E1E1E" w:rsidP="00B50E5D">
            <w:pPr>
              <w:pStyle w:val="AdminCurrentYearHeadersGrey"/>
            </w:pPr>
            <w:r>
              <w:t>Administered investments</w:t>
            </w:r>
          </w:p>
        </w:tc>
        <w:tc>
          <w:tcPr>
            <w:tcW w:w="1181" w:type="dxa"/>
            <w:tcBorders>
              <w:top w:val="nil"/>
              <w:left w:val="nil"/>
              <w:bottom w:val="single" w:sz="4" w:space="0" w:color="D9D9D9"/>
              <w:right w:val="nil"/>
            </w:tcBorders>
            <w:shd w:val="clear" w:color="000000" w:fill="D9D9D9"/>
            <w:vAlign w:val="bottom"/>
            <w:hideMark/>
          </w:tcPr>
          <w:p w:rsidR="007E1E1E" w:rsidRDefault="007E1E1E" w:rsidP="00B50E5D">
            <w:pPr>
              <w:pStyle w:val="AdminCurrentYearHeadersGrey"/>
            </w:pPr>
            <w:r>
              <w:t>Total</w:t>
            </w:r>
          </w:p>
        </w:tc>
      </w:tr>
      <w:tr w:rsidR="007E1E1E" w:rsidTr="00B50E5D">
        <w:trPr>
          <w:trHeight w:val="240"/>
        </w:trPr>
        <w:tc>
          <w:tcPr>
            <w:tcW w:w="5145"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183" w:type="dxa"/>
            <w:tcBorders>
              <w:top w:val="nil"/>
              <w:left w:val="nil"/>
              <w:bottom w:val="single" w:sz="4" w:space="0" w:color="D9D9D9"/>
              <w:right w:val="nil"/>
            </w:tcBorders>
            <w:shd w:val="clear" w:color="000000" w:fill="D9D9D9"/>
            <w:vAlign w:val="bottom"/>
            <w:hideMark/>
          </w:tcPr>
          <w:p w:rsidR="007E1E1E" w:rsidRDefault="007E1E1E" w:rsidP="00B50E5D">
            <w:pPr>
              <w:pStyle w:val="AdminCurrentYearHeadersGrey"/>
            </w:pPr>
            <w:r>
              <w:t>2014</w:t>
            </w:r>
          </w:p>
        </w:tc>
        <w:tc>
          <w:tcPr>
            <w:tcW w:w="1478" w:type="dxa"/>
            <w:tcBorders>
              <w:top w:val="nil"/>
              <w:left w:val="nil"/>
              <w:bottom w:val="single" w:sz="4" w:space="0" w:color="D9D9D9"/>
              <w:right w:val="nil"/>
            </w:tcBorders>
            <w:shd w:val="clear" w:color="000000" w:fill="D9D9D9"/>
            <w:vAlign w:val="bottom"/>
            <w:hideMark/>
          </w:tcPr>
          <w:p w:rsidR="007E1E1E" w:rsidRDefault="007E1E1E" w:rsidP="00B50E5D">
            <w:pPr>
              <w:pStyle w:val="AdminCurrentYearHeadersGrey"/>
            </w:pPr>
            <w:r>
              <w:t>2014</w:t>
            </w:r>
          </w:p>
        </w:tc>
        <w:tc>
          <w:tcPr>
            <w:tcW w:w="1181" w:type="dxa"/>
            <w:tcBorders>
              <w:top w:val="nil"/>
              <w:left w:val="nil"/>
              <w:bottom w:val="single" w:sz="4" w:space="0" w:color="D9D9D9"/>
              <w:right w:val="nil"/>
            </w:tcBorders>
            <w:shd w:val="clear" w:color="000000" w:fill="D9D9D9"/>
            <w:vAlign w:val="bottom"/>
            <w:hideMark/>
          </w:tcPr>
          <w:p w:rsidR="007E1E1E" w:rsidRDefault="007E1E1E" w:rsidP="00B50E5D">
            <w:pPr>
              <w:pStyle w:val="AdminCurrentYearHeadersGrey"/>
            </w:pPr>
            <w:r>
              <w:t>2014</w:t>
            </w:r>
          </w:p>
        </w:tc>
      </w:tr>
      <w:tr w:rsidR="007E1E1E" w:rsidTr="00B50E5D">
        <w:trPr>
          <w:trHeight w:val="240"/>
        </w:trPr>
        <w:tc>
          <w:tcPr>
            <w:tcW w:w="5145" w:type="dxa"/>
            <w:tcBorders>
              <w:top w:val="nil"/>
              <w:left w:val="nil"/>
              <w:bottom w:val="single" w:sz="4" w:space="0" w:color="auto"/>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183" w:type="dxa"/>
            <w:tcBorders>
              <w:top w:val="nil"/>
              <w:left w:val="nil"/>
              <w:bottom w:val="single" w:sz="4" w:space="0" w:color="auto"/>
              <w:right w:val="nil"/>
            </w:tcBorders>
            <w:shd w:val="clear" w:color="000000" w:fill="D9D9D9"/>
            <w:vAlign w:val="bottom"/>
            <w:hideMark/>
          </w:tcPr>
          <w:p w:rsidR="007E1E1E" w:rsidRDefault="007E1E1E" w:rsidP="00B50E5D">
            <w:pPr>
              <w:pStyle w:val="AdminCurrentYearHeadersGrey"/>
            </w:pPr>
            <w:r>
              <w:t>$'000</w:t>
            </w:r>
          </w:p>
        </w:tc>
        <w:tc>
          <w:tcPr>
            <w:tcW w:w="1478" w:type="dxa"/>
            <w:tcBorders>
              <w:top w:val="nil"/>
              <w:left w:val="nil"/>
              <w:bottom w:val="single" w:sz="4" w:space="0" w:color="auto"/>
              <w:right w:val="nil"/>
            </w:tcBorders>
            <w:shd w:val="clear" w:color="000000" w:fill="D9D9D9"/>
            <w:vAlign w:val="bottom"/>
            <w:hideMark/>
          </w:tcPr>
          <w:p w:rsidR="007E1E1E" w:rsidRDefault="007E1E1E" w:rsidP="00B50E5D">
            <w:pPr>
              <w:pStyle w:val="AdminCurrentYearHeadersGrey"/>
            </w:pPr>
            <w:r>
              <w:t>$'000</w:t>
            </w:r>
          </w:p>
        </w:tc>
        <w:tc>
          <w:tcPr>
            <w:tcW w:w="1181" w:type="dxa"/>
            <w:tcBorders>
              <w:top w:val="nil"/>
              <w:left w:val="nil"/>
              <w:bottom w:val="single" w:sz="4" w:space="0" w:color="auto"/>
              <w:right w:val="nil"/>
            </w:tcBorders>
            <w:shd w:val="clear" w:color="000000" w:fill="D9D9D9"/>
            <w:vAlign w:val="bottom"/>
            <w:hideMark/>
          </w:tcPr>
          <w:p w:rsidR="007E1E1E" w:rsidRDefault="007E1E1E" w:rsidP="00B50E5D">
            <w:pPr>
              <w:pStyle w:val="AdminCurrentYearHeadersGrey"/>
            </w:pPr>
            <w:r>
              <w:t>$'000</w:t>
            </w:r>
          </w:p>
        </w:tc>
      </w:tr>
      <w:tr w:rsidR="007E1E1E" w:rsidTr="00B50E5D">
        <w:trPr>
          <w:trHeight w:val="240"/>
        </w:trPr>
        <w:tc>
          <w:tcPr>
            <w:tcW w:w="5145"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Opening balance from restructuring</w:t>
            </w:r>
          </w:p>
        </w:tc>
        <w:tc>
          <w:tcPr>
            <w:tcW w:w="1183"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22,444,317 </w:t>
            </w:r>
          </w:p>
        </w:tc>
        <w:tc>
          <w:tcPr>
            <w:tcW w:w="1478"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2,006,106 </w:t>
            </w:r>
          </w:p>
        </w:tc>
        <w:tc>
          <w:tcPr>
            <w:tcW w:w="1181"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24,450,423 </w:t>
            </w:r>
          </w:p>
        </w:tc>
      </w:tr>
      <w:tr w:rsidR="007E1E1E" w:rsidTr="00B50E5D">
        <w:trPr>
          <w:trHeight w:val="240"/>
        </w:trPr>
        <w:tc>
          <w:tcPr>
            <w:tcW w:w="5145" w:type="dxa"/>
            <w:tcBorders>
              <w:top w:val="nil"/>
              <w:left w:val="nil"/>
              <w:bottom w:val="nil"/>
              <w:right w:val="nil"/>
            </w:tcBorders>
            <w:shd w:val="clear" w:color="000000" w:fill="D9D9D9"/>
            <w:vAlign w:val="bottom"/>
            <w:hideMark/>
          </w:tcPr>
          <w:p w:rsidR="007E1E1E" w:rsidRDefault="007E1E1E" w:rsidP="00B50E5D">
            <w:pPr>
              <w:pStyle w:val="AdminCurrentYearHeadersGrey"/>
            </w:pPr>
            <w:r>
              <w:t xml:space="preserve">Total gains/(losses) recognised in net cost of </w:t>
            </w:r>
            <w:proofErr w:type="spellStart"/>
            <w:r>
              <w:t>services</w:t>
            </w:r>
            <w:r>
              <w:rPr>
                <w:vertAlign w:val="superscript"/>
              </w:rPr>
              <w:t>1</w:t>
            </w:r>
            <w:proofErr w:type="spellEnd"/>
          </w:p>
        </w:tc>
        <w:tc>
          <w:tcPr>
            <w:tcW w:w="1183"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(963,888)</w:t>
            </w:r>
          </w:p>
        </w:tc>
        <w:tc>
          <w:tcPr>
            <w:tcW w:w="1478"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c>
          <w:tcPr>
            <w:tcW w:w="1181"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(963,888)</w:t>
            </w:r>
          </w:p>
        </w:tc>
      </w:tr>
      <w:tr w:rsidR="007E1E1E" w:rsidTr="00B50E5D">
        <w:trPr>
          <w:trHeight w:val="240"/>
        </w:trPr>
        <w:tc>
          <w:tcPr>
            <w:tcW w:w="5145" w:type="dxa"/>
            <w:tcBorders>
              <w:top w:val="nil"/>
              <w:left w:val="nil"/>
              <w:bottom w:val="nil"/>
              <w:right w:val="nil"/>
            </w:tcBorders>
            <w:shd w:val="clear" w:color="000000" w:fill="D9D9D9"/>
            <w:vAlign w:val="bottom"/>
            <w:hideMark/>
          </w:tcPr>
          <w:p w:rsidR="007E1E1E" w:rsidRDefault="007E1E1E" w:rsidP="00B50E5D">
            <w:pPr>
              <w:pStyle w:val="AdminCurrentYearHeadersGrey"/>
            </w:pPr>
            <w:r>
              <w:t>Total gains/(losses) recognised in Administered Equity</w:t>
            </w:r>
          </w:p>
        </w:tc>
        <w:tc>
          <w:tcPr>
            <w:tcW w:w="1183"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c>
          <w:tcPr>
            <w:tcW w:w="1478"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142,920 </w:t>
            </w:r>
          </w:p>
        </w:tc>
        <w:tc>
          <w:tcPr>
            <w:tcW w:w="1181"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142,920 </w:t>
            </w:r>
          </w:p>
        </w:tc>
      </w:tr>
      <w:tr w:rsidR="007E1E1E" w:rsidTr="00B50E5D">
        <w:trPr>
          <w:trHeight w:val="240"/>
        </w:trPr>
        <w:tc>
          <w:tcPr>
            <w:tcW w:w="5145"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Issues</w:t>
            </w:r>
          </w:p>
        </w:tc>
        <w:tc>
          <w:tcPr>
            <w:tcW w:w="1183"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4,880,788 </w:t>
            </w:r>
          </w:p>
        </w:tc>
        <w:tc>
          <w:tcPr>
            <w:tcW w:w="1478"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c>
          <w:tcPr>
            <w:tcW w:w="1181"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4,880,788 </w:t>
            </w:r>
          </w:p>
        </w:tc>
      </w:tr>
      <w:tr w:rsidR="007E1E1E" w:rsidTr="00B50E5D">
        <w:trPr>
          <w:trHeight w:val="240"/>
        </w:trPr>
        <w:tc>
          <w:tcPr>
            <w:tcW w:w="5145"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Settlements</w:t>
            </w:r>
          </w:p>
        </w:tc>
        <w:tc>
          <w:tcPr>
            <w:tcW w:w="1183"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(1,213,351)</w:t>
            </w:r>
          </w:p>
        </w:tc>
        <w:tc>
          <w:tcPr>
            <w:tcW w:w="1478"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c>
          <w:tcPr>
            <w:tcW w:w="1181"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(1,213,351)</w:t>
            </w:r>
          </w:p>
        </w:tc>
      </w:tr>
      <w:tr w:rsidR="007E1E1E" w:rsidTr="00B50E5D">
        <w:trPr>
          <w:trHeight w:val="240"/>
        </w:trPr>
        <w:tc>
          <w:tcPr>
            <w:tcW w:w="5145" w:type="dxa"/>
            <w:tcBorders>
              <w:top w:val="single" w:sz="4" w:space="0" w:color="auto"/>
              <w:left w:val="nil"/>
              <w:bottom w:val="single" w:sz="4" w:space="0" w:color="auto"/>
              <w:right w:val="nil"/>
            </w:tcBorders>
            <w:shd w:val="clear" w:color="000000" w:fill="D9D9D9"/>
            <w:vAlign w:val="bottom"/>
            <w:hideMark/>
          </w:tcPr>
          <w:p w:rsidR="007E1E1E" w:rsidRDefault="007E1E1E" w:rsidP="00B50E5D">
            <w:pPr>
              <w:pStyle w:val="AdminCurrentYearHeadersGrey"/>
            </w:pPr>
            <w:r>
              <w:t>Closing balance</w:t>
            </w:r>
          </w:p>
        </w:tc>
        <w:tc>
          <w:tcPr>
            <w:tcW w:w="1183"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25,147,866</w:t>
            </w:r>
          </w:p>
        </w:tc>
        <w:tc>
          <w:tcPr>
            <w:tcW w:w="1478"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2,149,026</w:t>
            </w:r>
          </w:p>
        </w:tc>
        <w:tc>
          <w:tcPr>
            <w:tcW w:w="1181"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27,296,892</w:t>
            </w:r>
          </w:p>
        </w:tc>
      </w:tr>
    </w:tbl>
    <w:p w:rsidR="007E1E1E" w:rsidRDefault="007E1E1E" w:rsidP="007E1E1E">
      <w:pPr>
        <w:pStyle w:val="GreyShadeTableBreak"/>
      </w:pPr>
      <w:bookmarkStart w:id="297" w:name="RANGE!D7:F26"/>
      <w:bookmarkEnd w:id="297"/>
      <w:r>
        <w:rPr>
          <w:vertAlign w:val="superscript"/>
        </w:rPr>
        <w:t xml:space="preserve">1 </w:t>
      </w:r>
      <w:r>
        <w:t xml:space="preserve">The gains or losses are presented in the Administered Schedule of Comprehensive Income under Notes </w:t>
      </w:r>
      <w:proofErr w:type="spellStart"/>
      <w:r>
        <w:t>17B</w:t>
      </w:r>
      <w:proofErr w:type="spellEnd"/>
      <w:r>
        <w:t xml:space="preserve"> Personal benefits, </w:t>
      </w:r>
      <w:proofErr w:type="spellStart"/>
      <w:r>
        <w:t>17D</w:t>
      </w:r>
      <w:proofErr w:type="spellEnd"/>
      <w:r>
        <w:t xml:space="preserve"> Finance costs, </w:t>
      </w:r>
      <w:proofErr w:type="spellStart"/>
      <w:r>
        <w:t>17G</w:t>
      </w:r>
      <w:proofErr w:type="spellEnd"/>
      <w:r>
        <w:t xml:space="preserve"> Fair value losses, </w:t>
      </w:r>
      <w:proofErr w:type="spellStart"/>
      <w:r>
        <w:t>18A</w:t>
      </w:r>
      <w:proofErr w:type="spellEnd"/>
      <w:r>
        <w:t xml:space="preserve"> Interest.</w:t>
      </w:r>
    </w:p>
    <w:p w:rsidR="007E1E1E" w:rsidRDefault="007E1E1E" w:rsidP="007E1E1E">
      <w:pPr>
        <w:spacing w:line="240" w:lineRule="auto"/>
        <w:rPr>
          <w:rFonts w:asciiTheme="minorHAnsi" w:hAnsiTheme="minorHAnsi" w:cstheme="minorHAnsi"/>
          <w:b/>
          <w:sz w:val="20"/>
        </w:rPr>
      </w:pPr>
      <w:r>
        <w:br w:type="page"/>
      </w:r>
    </w:p>
    <w:p w:rsidR="007E1E1E" w:rsidRDefault="007E1E1E" w:rsidP="007E1E1E">
      <w:pPr>
        <w:pStyle w:val="NotesHeading-Level1GreyShade"/>
        <w:numPr>
          <w:ilvl w:val="0"/>
          <w:numId w:val="13"/>
        </w:numPr>
      </w:pPr>
      <w:bookmarkStart w:id="298" w:name="_Toc400713263"/>
      <w:r>
        <w:lastRenderedPageBreak/>
        <w:t>Administered Financial Assets</w:t>
      </w:r>
      <w:bookmarkEnd w:id="298"/>
    </w:p>
    <w:p w:rsidR="007E1E1E" w:rsidRDefault="007E1E1E" w:rsidP="007E1E1E">
      <w:pPr>
        <w:pStyle w:val="NotesHeading-Level1GreyShade"/>
        <w:numPr>
          <w:ilvl w:val="0"/>
          <w:numId w:val="0"/>
        </w:numPr>
      </w:pPr>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bookmarkStart w:id="299" w:name="Note_ACSTABLE1" w:colFirst="0" w:colLast="0"/>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2014</w:t>
            </w:r>
          </w:p>
        </w:tc>
      </w:tr>
      <w:bookmarkEnd w:id="299"/>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6396" w:type="dxa"/>
            <w:tcBorders>
              <w:top w:val="nil"/>
              <w:left w:val="nil"/>
              <w:bottom w:val="nil"/>
              <w:right w:val="nil"/>
            </w:tcBorders>
            <w:shd w:val="clear" w:color="000000" w:fill="D9D9D9"/>
            <w:noWrap/>
            <w:hideMark/>
          </w:tcPr>
          <w:p w:rsidR="007E1E1E" w:rsidRDefault="007E1E1E"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20A</w:t>
            </w:r>
            <w:proofErr w:type="spellEnd"/>
            <w:r>
              <w:rPr>
                <w:rFonts w:cs="Calibri"/>
                <w:b/>
                <w:bCs/>
                <w:szCs w:val="18"/>
                <w:u w:val="single"/>
              </w:rPr>
              <w:t>: Cash and cash equivalents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Cs w:val="18"/>
              </w:rPr>
            </w:pPr>
            <w:r>
              <w:rPr>
                <w:rFonts w:cs="Calibri"/>
                <w:szCs w:val="18"/>
              </w:rPr>
              <w:t>Cash on hand or on deposit</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Cs w:val="18"/>
              </w:rPr>
            </w:pPr>
            <w:r>
              <w:rPr>
                <w:rFonts w:cs="Calibri"/>
                <w:szCs w:val="18"/>
              </w:rPr>
              <w:t>Special Accounts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91,293</w:t>
            </w:r>
          </w:p>
        </w:tc>
      </w:tr>
      <w:tr w:rsidR="007E1E1E" w:rsidTr="00B50E5D">
        <w:trPr>
          <w:trHeight w:val="270"/>
        </w:trPr>
        <w:tc>
          <w:tcPr>
            <w:tcW w:w="6396" w:type="dxa"/>
            <w:tcBorders>
              <w:top w:val="single" w:sz="4" w:space="0" w:color="D9D9D9"/>
              <w:left w:val="nil"/>
              <w:bottom w:val="single" w:sz="24" w:space="0" w:color="D8D8D8"/>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cash and cash equivalents</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91,293</w:t>
            </w:r>
          </w:p>
        </w:tc>
      </w:tr>
    </w:tbl>
    <w:p w:rsidR="007E1E1E" w:rsidRDefault="007E1E1E" w:rsidP="007E1E1E">
      <w:pPr>
        <w:pStyle w:val="GreyShadeTableBreak"/>
      </w:pPr>
    </w:p>
    <w:tbl>
      <w:tblPr>
        <w:tblW w:w="9087" w:type="dxa"/>
        <w:tblInd w:w="80" w:type="dxa"/>
        <w:tblLayout w:type="fixed"/>
        <w:tblLook w:val="04A0" w:firstRow="1" w:lastRow="0" w:firstColumn="1" w:lastColumn="0" w:noHBand="0" w:noVBand="1"/>
      </w:tblPr>
      <w:tblGrid>
        <w:gridCol w:w="6525"/>
        <w:gridCol w:w="1281"/>
        <w:gridCol w:w="1281"/>
      </w:tblGrid>
      <w:tr w:rsidR="007E1E1E" w:rsidTr="00B50E5D">
        <w:trPr>
          <w:trHeight w:val="255"/>
        </w:trPr>
        <w:tc>
          <w:tcPr>
            <w:tcW w:w="6396" w:type="dxa"/>
            <w:tcBorders>
              <w:top w:val="nil"/>
              <w:left w:val="nil"/>
              <w:bottom w:val="nil"/>
              <w:right w:val="nil"/>
            </w:tcBorders>
            <w:shd w:val="clear" w:color="000000" w:fill="D9D9D9"/>
            <w:noWrap/>
            <w:hideMark/>
          </w:tcPr>
          <w:p w:rsidR="007E1E1E" w:rsidRDefault="007E1E1E" w:rsidP="00B50E5D">
            <w:pPr>
              <w:rPr>
                <w:rFonts w:cs="Calibri"/>
                <w:b/>
                <w:bCs/>
                <w:szCs w:val="18"/>
                <w:u w:val="single"/>
              </w:rPr>
            </w:pPr>
            <w:bookmarkStart w:id="300" w:name="Note_ARETABLE1" w:colFirst="0" w:colLast="0"/>
            <w:r>
              <w:rPr>
                <w:rFonts w:cs="Calibri"/>
                <w:b/>
                <w:bCs/>
                <w:szCs w:val="18"/>
                <w:u w:val="single"/>
              </w:rPr>
              <w:t xml:space="preserve">Note </w:t>
            </w:r>
            <w:proofErr w:type="spellStart"/>
            <w:r>
              <w:rPr>
                <w:rFonts w:cs="Calibri"/>
                <w:b/>
                <w:bCs/>
                <w:szCs w:val="18"/>
                <w:u w:val="single"/>
              </w:rPr>
              <w:t>20B</w:t>
            </w:r>
            <w:proofErr w:type="spellEnd"/>
            <w:r>
              <w:rPr>
                <w:rFonts w:cs="Calibri"/>
                <w:b/>
                <w:bCs/>
                <w:szCs w:val="18"/>
                <w:u w:val="single"/>
              </w:rPr>
              <w:t>: Receivables</w:t>
            </w:r>
          </w:p>
        </w:tc>
        <w:tc>
          <w:tcPr>
            <w:tcW w:w="1256" w:type="dxa"/>
            <w:tcBorders>
              <w:top w:val="nil"/>
              <w:left w:val="nil"/>
              <w:bottom w:val="nil"/>
              <w:right w:val="nil"/>
            </w:tcBorders>
            <w:shd w:val="clear" w:color="000000" w:fill="D9D9D9"/>
            <w:noWrap/>
            <w:hideMark/>
          </w:tcPr>
          <w:p w:rsidR="007E1E1E" w:rsidRDefault="007E1E1E" w:rsidP="00B50E5D">
            <w:pPr>
              <w:rPr>
                <w:rFonts w:cs="Calibri"/>
                <w:b/>
                <w:bCs/>
                <w:szCs w:val="18"/>
                <w:u w:val="single"/>
              </w:rPr>
            </w:pPr>
            <w:r>
              <w:rPr>
                <w:rFonts w:cs="Calibri"/>
                <w:b/>
                <w:bCs/>
                <w:szCs w:val="18"/>
                <w:u w:val="single"/>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bookmarkEnd w:id="300"/>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Good and services</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Goods and services - related parties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Goods and services - external parties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33,921</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Total receivables for goods and services</w:t>
            </w:r>
          </w:p>
        </w:tc>
        <w:tc>
          <w:tcPr>
            <w:tcW w:w="1256"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33,921</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Advances and loans</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proofErr w:type="spellStart"/>
            <w:r>
              <w:rPr>
                <w:rFonts w:cs="Calibri"/>
                <w:szCs w:val="18"/>
              </w:rPr>
              <w:t>HECS</w:t>
            </w:r>
            <w:proofErr w:type="spellEnd"/>
            <w:r>
              <w:rPr>
                <w:rFonts w:cs="Calibri"/>
                <w:szCs w:val="18"/>
              </w:rPr>
              <w:t>\HELP</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25,147,139</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Other Loans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727</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Total advances and loans</w:t>
            </w:r>
          </w:p>
        </w:tc>
        <w:tc>
          <w:tcPr>
            <w:tcW w:w="1256"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25,147,866</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Other receivables</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GST receivable from  Australian Taxation Office</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13,364</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Unfunded University Superannuation</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1,622,250</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Personal benefits receivable</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368,692</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Total other receivables</w:t>
            </w:r>
          </w:p>
        </w:tc>
        <w:tc>
          <w:tcPr>
            <w:tcW w:w="1256"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2,004,306</w:t>
            </w:r>
          </w:p>
        </w:tc>
      </w:tr>
      <w:tr w:rsidR="007E1E1E" w:rsidTr="00B50E5D">
        <w:trPr>
          <w:trHeight w:val="270"/>
        </w:trPr>
        <w:tc>
          <w:tcPr>
            <w:tcW w:w="6396" w:type="dxa"/>
            <w:tcBorders>
              <w:top w:val="nil"/>
              <w:left w:val="nil"/>
              <w:bottom w:val="single" w:sz="8" w:space="0" w:color="D9D9D9"/>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trade and other receivables (gross)</w:t>
            </w:r>
          </w:p>
        </w:tc>
        <w:tc>
          <w:tcPr>
            <w:tcW w:w="1256" w:type="dxa"/>
            <w:tcBorders>
              <w:top w:val="nil"/>
              <w:left w:val="nil"/>
              <w:bottom w:val="single" w:sz="8" w:space="0" w:color="D9D9D9"/>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 </w:t>
            </w:r>
          </w:p>
        </w:tc>
        <w:tc>
          <w:tcPr>
            <w:tcW w:w="1256" w:type="dxa"/>
            <w:tcBorders>
              <w:top w:val="nil"/>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27,186,093</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 xml:space="preserve">Less impairment allowance </w:t>
            </w:r>
          </w:p>
        </w:tc>
        <w:tc>
          <w:tcPr>
            <w:tcW w:w="1256"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Goods and services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(9,757)</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Unfunded University Superannuation</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(1,200,250)</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Personal benefits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(15,959)</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 xml:space="preserve">Total impairment allowance </w:t>
            </w:r>
          </w:p>
        </w:tc>
        <w:tc>
          <w:tcPr>
            <w:tcW w:w="1256"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(1,225,966)</w:t>
            </w:r>
          </w:p>
        </w:tc>
      </w:tr>
      <w:tr w:rsidR="007E1E1E" w:rsidTr="00B50E5D">
        <w:trPr>
          <w:trHeight w:val="270"/>
        </w:trPr>
        <w:tc>
          <w:tcPr>
            <w:tcW w:w="6396" w:type="dxa"/>
            <w:tcBorders>
              <w:top w:val="nil"/>
              <w:left w:val="nil"/>
              <w:bottom w:val="single" w:sz="8" w:space="0" w:color="D9D9D9"/>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trade and other receivables (net)</w:t>
            </w:r>
          </w:p>
        </w:tc>
        <w:tc>
          <w:tcPr>
            <w:tcW w:w="1256" w:type="dxa"/>
            <w:tcBorders>
              <w:top w:val="nil"/>
              <w:left w:val="nil"/>
              <w:bottom w:val="single" w:sz="8" w:space="0" w:color="D9D9D9"/>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 </w:t>
            </w:r>
          </w:p>
        </w:tc>
        <w:tc>
          <w:tcPr>
            <w:tcW w:w="1256" w:type="dxa"/>
            <w:tcBorders>
              <w:top w:val="nil"/>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25,960,127</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Receivables (net) expected to be recovered</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No more than 12 months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39,887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More than 12 months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25,920,240 </w:t>
            </w:r>
          </w:p>
        </w:tc>
      </w:tr>
      <w:tr w:rsidR="007E1E1E" w:rsidTr="00B50E5D">
        <w:trPr>
          <w:trHeight w:val="270"/>
        </w:trPr>
        <w:tc>
          <w:tcPr>
            <w:tcW w:w="6396" w:type="dxa"/>
            <w:tcBorders>
              <w:top w:val="single" w:sz="4" w:space="0" w:color="D9D9D9"/>
              <w:left w:val="nil"/>
              <w:bottom w:val="single" w:sz="24" w:space="0" w:color="D8D8D8"/>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trade and other receivables (net)</w:t>
            </w:r>
          </w:p>
        </w:tc>
        <w:tc>
          <w:tcPr>
            <w:tcW w:w="1256" w:type="dxa"/>
            <w:tcBorders>
              <w:top w:val="single" w:sz="4" w:space="0" w:color="D9D9D9"/>
              <w:left w:val="nil"/>
              <w:bottom w:val="single" w:sz="24" w:space="0" w:color="D8D8D8"/>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 </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25,960,127</w:t>
            </w:r>
          </w:p>
        </w:tc>
      </w:tr>
    </w:tbl>
    <w:p w:rsidR="007E1E1E" w:rsidRDefault="007E1E1E" w:rsidP="007E1E1E">
      <w:bookmarkStart w:id="301" w:name="RANGE!D7:G53"/>
      <w:bookmarkStart w:id="302" w:name="RANGE!D6:G52"/>
      <w:bookmarkEnd w:id="301"/>
      <w:bookmarkEnd w:id="302"/>
    </w:p>
    <w:p w:rsidR="007E1E1E" w:rsidRDefault="007E1E1E" w:rsidP="007E1E1E">
      <w:pPr>
        <w:spacing w:line="240" w:lineRule="auto"/>
      </w:pPr>
      <w:r>
        <w:br w:type="page"/>
      </w:r>
    </w:p>
    <w:tbl>
      <w:tblPr>
        <w:tblW w:w="9087" w:type="dxa"/>
        <w:tblInd w:w="80" w:type="dxa"/>
        <w:tblLayout w:type="fixed"/>
        <w:tblLook w:val="04A0" w:firstRow="1" w:lastRow="0" w:firstColumn="1" w:lastColumn="0" w:noHBand="0" w:noVBand="1"/>
      </w:tblPr>
      <w:tblGrid>
        <w:gridCol w:w="6525"/>
        <w:gridCol w:w="1281"/>
        <w:gridCol w:w="1281"/>
      </w:tblGrid>
      <w:tr w:rsidR="007E1E1E" w:rsidTr="00B50E5D">
        <w:trPr>
          <w:trHeight w:val="240"/>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bookmarkStart w:id="303" w:name="RANGE!D41:D82"/>
            <w:bookmarkStart w:id="304" w:name="Note_ARETABLE2" w:colFirst="0" w:colLast="0"/>
            <w:r>
              <w:rPr>
                <w:rFonts w:ascii="Arial" w:hAnsi="Arial" w:cs="Arial"/>
                <w:sz w:val="16"/>
                <w:szCs w:val="16"/>
              </w:rPr>
              <w:lastRenderedPageBreak/>
              <w:t> </w:t>
            </w:r>
            <w:bookmarkEnd w:id="303"/>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2014</w:t>
            </w:r>
          </w:p>
        </w:tc>
      </w:tr>
      <w:bookmarkEnd w:id="304"/>
      <w:tr w:rsidR="007E1E1E" w:rsidTr="00B50E5D">
        <w:trPr>
          <w:trHeight w:val="240"/>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40"/>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Receivables (gross) aged as follows</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40"/>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Not overdue</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27,145,091 </w:t>
            </w:r>
          </w:p>
        </w:tc>
      </w:tr>
      <w:tr w:rsidR="007E1E1E" w:rsidTr="00B50E5D">
        <w:trPr>
          <w:trHeight w:val="240"/>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Overdue by</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200" w:firstLine="360"/>
              <w:rPr>
                <w:rFonts w:cs="Calibri"/>
                <w:szCs w:val="18"/>
              </w:rPr>
            </w:pPr>
            <w:r>
              <w:rPr>
                <w:rFonts w:cs="Calibri"/>
                <w:szCs w:val="18"/>
              </w:rPr>
              <w:t>0 to 30 days</w:t>
            </w:r>
          </w:p>
        </w:tc>
        <w:tc>
          <w:tcPr>
            <w:tcW w:w="1256" w:type="dxa"/>
            <w:tcBorders>
              <w:top w:val="nil"/>
              <w:left w:val="nil"/>
              <w:bottom w:val="nil"/>
              <w:right w:val="nil"/>
            </w:tcBorders>
            <w:shd w:val="clear" w:color="000000" w:fill="D9D9D9"/>
            <w:noWrap/>
            <w:vAlign w:val="bottom"/>
            <w:hideMark/>
          </w:tcPr>
          <w:p w:rsidR="007E1E1E" w:rsidRDefault="007E1E1E" w:rsidP="007E1E1E">
            <w:pPr>
              <w:ind w:firstLineChars="200" w:firstLine="360"/>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1,421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200" w:firstLine="360"/>
              <w:rPr>
                <w:rFonts w:cs="Calibri"/>
                <w:szCs w:val="18"/>
              </w:rPr>
            </w:pPr>
            <w:r>
              <w:rPr>
                <w:rFonts w:cs="Calibri"/>
                <w:szCs w:val="18"/>
              </w:rPr>
              <w:t>31 to 60 days</w:t>
            </w:r>
          </w:p>
        </w:tc>
        <w:tc>
          <w:tcPr>
            <w:tcW w:w="1256" w:type="dxa"/>
            <w:tcBorders>
              <w:top w:val="nil"/>
              <w:left w:val="nil"/>
              <w:bottom w:val="nil"/>
              <w:right w:val="nil"/>
            </w:tcBorders>
            <w:shd w:val="clear" w:color="000000" w:fill="D9D9D9"/>
            <w:noWrap/>
            <w:vAlign w:val="bottom"/>
            <w:hideMark/>
          </w:tcPr>
          <w:p w:rsidR="007E1E1E" w:rsidRDefault="007E1E1E" w:rsidP="007E1E1E">
            <w:pPr>
              <w:ind w:firstLineChars="200" w:firstLine="360"/>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447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200" w:firstLine="360"/>
              <w:rPr>
                <w:rFonts w:cs="Calibri"/>
                <w:szCs w:val="18"/>
              </w:rPr>
            </w:pPr>
            <w:r>
              <w:rPr>
                <w:rFonts w:cs="Calibri"/>
                <w:szCs w:val="18"/>
              </w:rPr>
              <w:t>61 to 90 days</w:t>
            </w:r>
          </w:p>
        </w:tc>
        <w:tc>
          <w:tcPr>
            <w:tcW w:w="1256" w:type="dxa"/>
            <w:tcBorders>
              <w:top w:val="nil"/>
              <w:left w:val="nil"/>
              <w:bottom w:val="nil"/>
              <w:right w:val="nil"/>
            </w:tcBorders>
            <w:shd w:val="clear" w:color="000000" w:fill="D9D9D9"/>
            <w:noWrap/>
            <w:vAlign w:val="bottom"/>
            <w:hideMark/>
          </w:tcPr>
          <w:p w:rsidR="007E1E1E" w:rsidRDefault="007E1E1E" w:rsidP="007E1E1E">
            <w:pPr>
              <w:ind w:firstLineChars="200" w:firstLine="360"/>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306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200" w:firstLine="360"/>
              <w:rPr>
                <w:rFonts w:cs="Calibri"/>
                <w:szCs w:val="18"/>
              </w:rPr>
            </w:pPr>
            <w:r>
              <w:rPr>
                <w:rFonts w:cs="Calibri"/>
                <w:szCs w:val="18"/>
              </w:rPr>
              <w:t>More than 90 days</w:t>
            </w:r>
          </w:p>
        </w:tc>
        <w:tc>
          <w:tcPr>
            <w:tcW w:w="1256" w:type="dxa"/>
            <w:tcBorders>
              <w:top w:val="nil"/>
              <w:left w:val="nil"/>
              <w:bottom w:val="nil"/>
              <w:right w:val="nil"/>
            </w:tcBorders>
            <w:shd w:val="clear" w:color="000000" w:fill="D9D9D9"/>
            <w:noWrap/>
            <w:vAlign w:val="bottom"/>
            <w:hideMark/>
          </w:tcPr>
          <w:p w:rsidR="007E1E1E" w:rsidRDefault="007E1E1E" w:rsidP="007E1E1E">
            <w:pPr>
              <w:ind w:firstLineChars="200" w:firstLine="360"/>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38,828 </w:t>
            </w:r>
          </w:p>
        </w:tc>
      </w:tr>
      <w:tr w:rsidR="007E1E1E" w:rsidTr="00B50E5D">
        <w:trPr>
          <w:trHeight w:val="240"/>
        </w:trPr>
        <w:tc>
          <w:tcPr>
            <w:tcW w:w="6396" w:type="dxa"/>
            <w:tcBorders>
              <w:top w:val="nil"/>
              <w:left w:val="nil"/>
              <w:bottom w:val="single" w:sz="8" w:space="0" w:color="D9D9D9"/>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receivables (gross)</w:t>
            </w:r>
          </w:p>
        </w:tc>
        <w:tc>
          <w:tcPr>
            <w:tcW w:w="1256" w:type="dxa"/>
            <w:tcBorders>
              <w:top w:val="nil"/>
              <w:left w:val="nil"/>
              <w:bottom w:val="single" w:sz="8" w:space="0" w:color="D9D9D9"/>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 </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27,186,093</w:t>
            </w:r>
          </w:p>
        </w:tc>
      </w:tr>
      <w:tr w:rsidR="007E1E1E" w:rsidTr="00B50E5D">
        <w:trPr>
          <w:trHeight w:val="240"/>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The impairment allowance aged as follows</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Not overdue</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(1,200,388)</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Overdue by</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200" w:firstLine="360"/>
              <w:rPr>
                <w:rFonts w:cs="Calibri"/>
                <w:szCs w:val="18"/>
              </w:rPr>
            </w:pPr>
            <w:r>
              <w:rPr>
                <w:rFonts w:cs="Calibri"/>
                <w:szCs w:val="18"/>
              </w:rPr>
              <w:t>0 to 30 days</w:t>
            </w:r>
          </w:p>
        </w:tc>
        <w:tc>
          <w:tcPr>
            <w:tcW w:w="1256" w:type="dxa"/>
            <w:tcBorders>
              <w:top w:val="nil"/>
              <w:left w:val="nil"/>
              <w:bottom w:val="nil"/>
              <w:right w:val="nil"/>
            </w:tcBorders>
            <w:shd w:val="clear" w:color="000000" w:fill="D9D9D9"/>
            <w:noWrap/>
            <w:vAlign w:val="bottom"/>
            <w:hideMark/>
          </w:tcPr>
          <w:p w:rsidR="007E1E1E" w:rsidRDefault="007E1E1E" w:rsidP="007E1E1E">
            <w:pPr>
              <w:ind w:firstLineChars="200" w:firstLine="360"/>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(43)</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200" w:firstLine="360"/>
              <w:rPr>
                <w:rFonts w:cs="Calibri"/>
                <w:szCs w:val="18"/>
              </w:rPr>
            </w:pPr>
            <w:r>
              <w:rPr>
                <w:rFonts w:cs="Calibri"/>
                <w:szCs w:val="18"/>
              </w:rPr>
              <w:t>31 to 60 days</w:t>
            </w:r>
          </w:p>
        </w:tc>
        <w:tc>
          <w:tcPr>
            <w:tcW w:w="1256" w:type="dxa"/>
            <w:tcBorders>
              <w:top w:val="nil"/>
              <w:left w:val="nil"/>
              <w:bottom w:val="nil"/>
              <w:right w:val="nil"/>
            </w:tcBorders>
            <w:shd w:val="clear" w:color="000000" w:fill="D9D9D9"/>
            <w:noWrap/>
            <w:vAlign w:val="bottom"/>
            <w:hideMark/>
          </w:tcPr>
          <w:p w:rsidR="007E1E1E" w:rsidRDefault="007E1E1E" w:rsidP="007E1E1E">
            <w:pPr>
              <w:ind w:firstLineChars="200" w:firstLine="360"/>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(26)</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200" w:firstLine="360"/>
              <w:rPr>
                <w:rFonts w:cs="Calibri"/>
                <w:szCs w:val="18"/>
              </w:rPr>
            </w:pPr>
            <w:r>
              <w:rPr>
                <w:rFonts w:cs="Calibri"/>
                <w:szCs w:val="18"/>
              </w:rPr>
              <w:t>61 to 90 days</w:t>
            </w:r>
          </w:p>
        </w:tc>
        <w:tc>
          <w:tcPr>
            <w:tcW w:w="1256" w:type="dxa"/>
            <w:tcBorders>
              <w:top w:val="nil"/>
              <w:left w:val="nil"/>
              <w:bottom w:val="nil"/>
              <w:right w:val="nil"/>
            </w:tcBorders>
            <w:shd w:val="clear" w:color="000000" w:fill="D9D9D9"/>
            <w:noWrap/>
            <w:vAlign w:val="bottom"/>
            <w:hideMark/>
          </w:tcPr>
          <w:p w:rsidR="007E1E1E" w:rsidRDefault="007E1E1E" w:rsidP="007E1E1E">
            <w:pPr>
              <w:ind w:firstLineChars="200" w:firstLine="360"/>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(34)</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200" w:firstLine="360"/>
              <w:rPr>
                <w:rFonts w:cs="Calibri"/>
                <w:szCs w:val="18"/>
              </w:rPr>
            </w:pPr>
            <w:r>
              <w:rPr>
                <w:rFonts w:cs="Calibri"/>
                <w:szCs w:val="18"/>
              </w:rPr>
              <w:t>More than 90 days</w:t>
            </w:r>
          </w:p>
        </w:tc>
        <w:tc>
          <w:tcPr>
            <w:tcW w:w="1256" w:type="dxa"/>
            <w:tcBorders>
              <w:top w:val="nil"/>
              <w:left w:val="nil"/>
              <w:bottom w:val="nil"/>
              <w:right w:val="nil"/>
            </w:tcBorders>
            <w:shd w:val="clear" w:color="000000" w:fill="D9D9D9"/>
            <w:noWrap/>
            <w:vAlign w:val="bottom"/>
            <w:hideMark/>
          </w:tcPr>
          <w:p w:rsidR="007E1E1E" w:rsidRDefault="007E1E1E" w:rsidP="007E1E1E">
            <w:pPr>
              <w:ind w:firstLineChars="200" w:firstLine="360"/>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(25,475)</w:t>
            </w:r>
          </w:p>
        </w:tc>
      </w:tr>
      <w:tr w:rsidR="007E1E1E" w:rsidTr="00B50E5D">
        <w:trPr>
          <w:trHeight w:val="270"/>
        </w:trPr>
        <w:tc>
          <w:tcPr>
            <w:tcW w:w="6396" w:type="dxa"/>
            <w:tcBorders>
              <w:top w:val="nil"/>
              <w:left w:val="nil"/>
              <w:bottom w:val="single" w:sz="8" w:space="0" w:color="D9D9D9"/>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 xml:space="preserve">Total impairment allowance </w:t>
            </w:r>
          </w:p>
        </w:tc>
        <w:tc>
          <w:tcPr>
            <w:tcW w:w="1256" w:type="dxa"/>
            <w:tcBorders>
              <w:top w:val="nil"/>
              <w:left w:val="nil"/>
              <w:bottom w:val="single" w:sz="8" w:space="0" w:color="D9D9D9"/>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 </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(1,225,966)</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r>
      <w:tr w:rsidR="007E1E1E" w:rsidTr="00B50E5D">
        <w:trPr>
          <w:trHeight w:val="480"/>
        </w:trPr>
        <w:tc>
          <w:tcPr>
            <w:tcW w:w="8908" w:type="dxa"/>
            <w:gridSpan w:val="3"/>
            <w:tcBorders>
              <w:top w:val="single" w:sz="4" w:space="0" w:color="D9D9D9"/>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Goods and services receivables are with entities external to the Australian Government.  Credit terms are within 30 days (2012: 30 days).</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Reconciliation of the Impairment Allowance Account:</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r>
      <w:tr w:rsidR="007E1E1E" w:rsidTr="00B50E5D">
        <w:trPr>
          <w:trHeight w:val="255"/>
        </w:trPr>
        <w:tc>
          <w:tcPr>
            <w:tcW w:w="6396"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r>
      <w:tr w:rsidR="007E1E1E" w:rsidTr="00B50E5D">
        <w:trPr>
          <w:trHeight w:val="255"/>
        </w:trPr>
        <w:tc>
          <w:tcPr>
            <w:tcW w:w="6396"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Movements in relation to 2014</w:t>
            </w:r>
          </w:p>
        </w:tc>
        <w:tc>
          <w:tcPr>
            <w:tcW w:w="1256"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r>
      <w:tr w:rsidR="007E1E1E" w:rsidTr="00B50E5D">
        <w:trPr>
          <w:trHeight w:val="255"/>
        </w:trPr>
        <w:tc>
          <w:tcPr>
            <w:tcW w:w="639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Receivables</w:t>
            </w:r>
          </w:p>
        </w:tc>
        <w:tc>
          <w:tcPr>
            <w:tcW w:w="1256"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Total</w:t>
            </w:r>
          </w:p>
        </w:tc>
      </w:tr>
      <w:tr w:rsidR="007E1E1E" w:rsidTr="00B50E5D">
        <w:trPr>
          <w:trHeight w:val="255"/>
        </w:trPr>
        <w:tc>
          <w:tcPr>
            <w:tcW w:w="639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c>
          <w:tcPr>
            <w:tcW w:w="1256"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6396"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Opening balance from restructuring</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(1,188,060)</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(1,188,060)</w:t>
            </w:r>
          </w:p>
        </w:tc>
      </w:tr>
      <w:tr w:rsidR="007E1E1E" w:rsidTr="00B50E5D">
        <w:trPr>
          <w:trHeight w:val="255"/>
        </w:trPr>
        <w:tc>
          <w:tcPr>
            <w:tcW w:w="639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Amounts written off</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(462)</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(462)</w:t>
            </w:r>
          </w:p>
        </w:tc>
      </w:tr>
      <w:tr w:rsidR="007E1E1E" w:rsidTr="00B50E5D">
        <w:trPr>
          <w:trHeight w:val="255"/>
        </w:trPr>
        <w:tc>
          <w:tcPr>
            <w:tcW w:w="639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Amounts recovered and reversed</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12,873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12,873</w:t>
            </w:r>
          </w:p>
        </w:tc>
      </w:tr>
      <w:tr w:rsidR="007E1E1E" w:rsidTr="00B50E5D">
        <w:trPr>
          <w:trHeight w:val="255"/>
        </w:trPr>
        <w:tc>
          <w:tcPr>
            <w:tcW w:w="639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Reversal of previous impairment</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9,331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9,331</w:t>
            </w:r>
          </w:p>
        </w:tc>
      </w:tr>
      <w:tr w:rsidR="007E1E1E" w:rsidTr="00B50E5D">
        <w:trPr>
          <w:trHeight w:val="255"/>
        </w:trPr>
        <w:tc>
          <w:tcPr>
            <w:tcW w:w="639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Increase (decrease) recognised in net cost of services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(59,648)</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(59,648)</w:t>
            </w:r>
          </w:p>
        </w:tc>
      </w:tr>
      <w:tr w:rsidR="007E1E1E" w:rsidTr="00B50E5D">
        <w:trPr>
          <w:trHeight w:val="255"/>
        </w:trPr>
        <w:tc>
          <w:tcPr>
            <w:tcW w:w="6396" w:type="dxa"/>
            <w:tcBorders>
              <w:top w:val="nil"/>
              <w:left w:val="nil"/>
              <w:bottom w:val="nil"/>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Closing balance</w:t>
            </w:r>
          </w:p>
        </w:tc>
        <w:tc>
          <w:tcPr>
            <w:tcW w:w="12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(1,225,966)</w:t>
            </w:r>
          </w:p>
        </w:tc>
        <w:tc>
          <w:tcPr>
            <w:tcW w:w="12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(1,225,966)</w:t>
            </w:r>
          </w:p>
        </w:tc>
      </w:tr>
      <w:tr w:rsidR="007E1E1E" w:rsidTr="00B50E5D">
        <w:trPr>
          <w:trHeight w:val="255"/>
        </w:trPr>
        <w:tc>
          <w:tcPr>
            <w:tcW w:w="639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bl>
    <w:p w:rsidR="007E1E1E" w:rsidRDefault="007E1E1E" w:rsidP="007E1E1E">
      <w:bookmarkStart w:id="305" w:name="RANGE!D41:H82"/>
      <w:bookmarkStart w:id="306" w:name="RANGE!D41:H81"/>
      <w:bookmarkStart w:id="307" w:name="RANGE!D43:G83"/>
      <w:bookmarkEnd w:id="305"/>
      <w:bookmarkEnd w:id="306"/>
      <w:bookmarkEnd w:id="307"/>
    </w:p>
    <w:p w:rsidR="007E1E1E" w:rsidRDefault="007E1E1E" w:rsidP="007E1E1E">
      <w:pPr>
        <w:spacing w:line="240" w:lineRule="auto"/>
      </w:pPr>
      <w:r>
        <w:br w:type="page"/>
      </w:r>
      <w:bookmarkStart w:id="308" w:name="RANGE!D42:G82"/>
      <w:bookmarkStart w:id="309" w:name="RANGE!D45:G85"/>
      <w:bookmarkStart w:id="310" w:name="RANGE!D44:G84"/>
      <w:bookmarkEnd w:id="308"/>
      <w:bookmarkEnd w:id="309"/>
      <w:bookmarkEnd w:id="310"/>
    </w:p>
    <w:p w:rsidR="007E1E1E" w:rsidRDefault="007E1E1E" w:rsidP="007E1E1E"/>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bookmarkStart w:id="311" w:name="Note_AOVTABLE1" w:colFirst="0" w:colLast="0"/>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2014</w:t>
            </w:r>
          </w:p>
        </w:tc>
      </w:tr>
      <w:bookmarkEnd w:id="311"/>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6396" w:type="dxa"/>
            <w:tcBorders>
              <w:top w:val="nil"/>
              <w:left w:val="nil"/>
              <w:bottom w:val="nil"/>
              <w:right w:val="nil"/>
            </w:tcBorders>
            <w:shd w:val="clear" w:color="000000" w:fill="D9D9D9"/>
            <w:noWrap/>
            <w:hideMark/>
          </w:tcPr>
          <w:p w:rsidR="007E1E1E" w:rsidRDefault="007E1E1E"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20C</w:t>
            </w:r>
            <w:proofErr w:type="spellEnd"/>
            <w:r>
              <w:rPr>
                <w:rFonts w:cs="Calibri"/>
                <w:b/>
                <w:bCs/>
                <w:szCs w:val="18"/>
                <w:u w:val="single"/>
              </w:rPr>
              <w:t>: Other investments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Other Investments: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8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xml:space="preserve">Australian Institute for Teaching and School </w:t>
            </w:r>
            <w:proofErr w:type="spellStart"/>
            <w:r>
              <w:rPr>
                <w:rFonts w:cs="Calibri"/>
                <w:szCs w:val="18"/>
              </w:rPr>
              <w:t>Leadership</w:t>
            </w:r>
            <w:r>
              <w:rPr>
                <w:rFonts w:cs="Calibri"/>
                <w:szCs w:val="18"/>
                <w:vertAlign w:val="superscript"/>
              </w:rPr>
              <w:t>1</w:t>
            </w:r>
            <w:proofErr w:type="spellEnd"/>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5,676</w:t>
            </w:r>
          </w:p>
        </w:tc>
      </w:tr>
      <w:tr w:rsidR="007E1E1E" w:rsidTr="00B50E5D">
        <w:trPr>
          <w:trHeight w:val="28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xml:space="preserve">Australian Curriculum, Assessment and Reporting </w:t>
            </w:r>
            <w:proofErr w:type="spellStart"/>
            <w:r>
              <w:rPr>
                <w:rFonts w:cs="Calibri"/>
                <w:szCs w:val="18"/>
              </w:rPr>
              <w:t>Authority</w:t>
            </w:r>
            <w:r>
              <w:rPr>
                <w:rFonts w:cs="Calibri"/>
                <w:szCs w:val="18"/>
                <w:vertAlign w:val="superscript"/>
              </w:rPr>
              <w:t>2</w:t>
            </w:r>
            <w:proofErr w:type="spellEnd"/>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2,448</w:t>
            </w:r>
          </w:p>
        </w:tc>
      </w:tr>
      <w:tr w:rsidR="007E1E1E" w:rsidTr="00B50E5D">
        <w:trPr>
          <w:trHeight w:val="28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xml:space="preserve">Australian National </w:t>
            </w:r>
            <w:proofErr w:type="spellStart"/>
            <w:r>
              <w:rPr>
                <w:rFonts w:cs="Calibri"/>
                <w:szCs w:val="18"/>
              </w:rPr>
              <w:t>University</w:t>
            </w:r>
            <w:r>
              <w:rPr>
                <w:rFonts w:cs="Calibri"/>
                <w:szCs w:val="18"/>
                <w:vertAlign w:val="superscript"/>
              </w:rPr>
              <w:t>3</w:t>
            </w:r>
            <w:proofErr w:type="spellEnd"/>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2,102,437</w:t>
            </w:r>
          </w:p>
        </w:tc>
      </w:tr>
      <w:tr w:rsidR="007E1E1E" w:rsidTr="00B50E5D">
        <w:trPr>
          <w:trHeight w:val="28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xml:space="preserve">Australian Institute of Aboriginal and Torres Strait Islander </w:t>
            </w:r>
            <w:proofErr w:type="spellStart"/>
            <w:r>
              <w:rPr>
                <w:rFonts w:cs="Calibri"/>
                <w:szCs w:val="18"/>
              </w:rPr>
              <w:t>Studies</w:t>
            </w:r>
            <w:r>
              <w:rPr>
                <w:rFonts w:cs="Calibri"/>
                <w:szCs w:val="18"/>
                <w:vertAlign w:val="superscript"/>
              </w:rPr>
              <w:t>4</w:t>
            </w:r>
            <w:proofErr w:type="spellEnd"/>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38,465</w:t>
            </w:r>
          </w:p>
        </w:tc>
      </w:tr>
      <w:tr w:rsidR="007E1E1E" w:rsidTr="00B50E5D">
        <w:trPr>
          <w:trHeight w:val="270"/>
        </w:trPr>
        <w:tc>
          <w:tcPr>
            <w:tcW w:w="6396" w:type="dxa"/>
            <w:tcBorders>
              <w:top w:val="nil"/>
              <w:left w:val="nil"/>
              <w:bottom w:val="single" w:sz="8" w:space="0" w:color="D9D9D9"/>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other investments</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2,149,026</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 xml:space="preserve">Other investments expected to be recovered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No more than 12 months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More than 12 months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2,149,026 </w:t>
            </w:r>
          </w:p>
        </w:tc>
      </w:tr>
      <w:tr w:rsidR="007E1E1E" w:rsidTr="00B50E5D">
        <w:trPr>
          <w:trHeight w:val="270"/>
        </w:trPr>
        <w:tc>
          <w:tcPr>
            <w:tcW w:w="6396" w:type="dxa"/>
            <w:tcBorders>
              <w:top w:val="single" w:sz="4" w:space="0" w:color="D9D9D9"/>
              <w:left w:val="nil"/>
              <w:bottom w:val="single" w:sz="24" w:space="0" w:color="D8D8D8"/>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other investments</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2,149,026</w:t>
            </w:r>
          </w:p>
        </w:tc>
      </w:tr>
    </w:tbl>
    <w:p w:rsidR="007E1E1E" w:rsidRDefault="007E1E1E" w:rsidP="007E1E1E">
      <w:pPr>
        <w:pStyle w:val="GreyShadeTableBreak"/>
      </w:pPr>
      <w:bookmarkStart w:id="312" w:name="RANGE!D7:G19"/>
      <w:bookmarkStart w:id="313" w:name="RANGE!D7:H25"/>
      <w:bookmarkStart w:id="314" w:name="RANGE!D6:G48"/>
      <w:bookmarkStart w:id="315" w:name="RANGE!D6:H54"/>
      <w:bookmarkEnd w:id="312"/>
      <w:bookmarkEnd w:id="313"/>
      <w:bookmarkEnd w:id="314"/>
      <w:bookmarkEnd w:id="315"/>
    </w:p>
    <w:tbl>
      <w:tblPr>
        <w:tblW w:w="9090" w:type="dxa"/>
        <w:tblInd w:w="28" w:type="dxa"/>
        <w:shd w:val="clear" w:color="auto" w:fill="D9D9D9" w:themeFill="background1" w:themeFillShade="D9"/>
        <w:tblLayout w:type="fixed"/>
        <w:tblCellMar>
          <w:left w:w="57" w:type="dxa"/>
          <w:right w:w="57" w:type="dxa"/>
        </w:tblCellMar>
        <w:tblLook w:val="01E0" w:firstRow="1" w:lastRow="1" w:firstColumn="1" w:lastColumn="1" w:noHBand="0" w:noVBand="0"/>
      </w:tblPr>
      <w:tblGrid>
        <w:gridCol w:w="9090"/>
      </w:tblGrid>
      <w:tr w:rsidR="007E1E1E" w:rsidTr="00B50E5D">
        <w:trPr>
          <w:trHeight w:val="255"/>
        </w:trPr>
        <w:tc>
          <w:tcPr>
            <w:tcW w:w="9088" w:type="dxa"/>
            <w:shd w:val="clear" w:color="auto" w:fill="D9D9D9" w:themeFill="background1" w:themeFillShade="D9"/>
            <w:vAlign w:val="bottom"/>
            <w:hideMark/>
          </w:tcPr>
          <w:p w:rsidR="007E1E1E" w:rsidRDefault="007E1E1E" w:rsidP="00B50E5D">
            <w:pPr>
              <w:pStyle w:val="AdminBlankGreyShade"/>
            </w:pPr>
            <w:r>
              <w:rPr>
                <w:sz w:val="22"/>
              </w:rPr>
              <w:br w:type="page"/>
            </w:r>
            <w:r>
              <w:t>The department retains 100 per cent ownership of each of the listed investments.  The principle activity of the department’s administered investments is as follows:</w:t>
            </w:r>
          </w:p>
          <w:p w:rsidR="007E1E1E" w:rsidRDefault="007E1E1E" w:rsidP="00B50E5D">
            <w:pPr>
              <w:pStyle w:val="AdminBlankGreyShade"/>
            </w:pPr>
            <w:r>
              <w:rPr>
                <w:vertAlign w:val="superscript"/>
              </w:rPr>
              <w:t>1</w:t>
            </w:r>
            <w:r>
              <w:rPr>
                <w:i/>
              </w:rPr>
              <w:t xml:space="preserve"> Australian Institute for Teaching and School Leadership Ltd</w:t>
            </w:r>
            <w:r>
              <w:t xml:space="preserve"> – supports and enhances the teaching profession for the benefit of all Australians.</w:t>
            </w:r>
          </w:p>
          <w:p w:rsidR="007E1E1E" w:rsidRDefault="007E1E1E" w:rsidP="00B50E5D">
            <w:pPr>
              <w:pStyle w:val="AdminBlankGreyShade"/>
            </w:pPr>
            <w:r>
              <w:rPr>
                <w:vertAlign w:val="superscript"/>
              </w:rPr>
              <w:t>2</w:t>
            </w:r>
            <w:r>
              <w:t xml:space="preserve"> </w:t>
            </w:r>
            <w:r>
              <w:rPr>
                <w:i/>
              </w:rPr>
              <w:t>Australian Curriculum, Assessment and Reporting Authority</w:t>
            </w:r>
            <w:r>
              <w:t xml:space="preserve"> – executes the policy directions that are determined by the Ministerial Council for Education, Early Childhood Development and Youth Affairs regarding curriculum, assessment, data collection and reporting at a national level.</w:t>
            </w:r>
          </w:p>
          <w:p w:rsidR="007E1E1E" w:rsidRDefault="007E1E1E" w:rsidP="00B50E5D">
            <w:pPr>
              <w:pStyle w:val="AdminBlankGreyShade"/>
            </w:pPr>
            <w:r w:rsidRPr="00980EE1">
              <w:rPr>
                <w:vertAlign w:val="superscript"/>
              </w:rPr>
              <w:t>3</w:t>
            </w:r>
            <w:r>
              <w:t xml:space="preserve"> </w:t>
            </w:r>
            <w:r w:rsidRPr="00980EE1">
              <w:rPr>
                <w:i/>
              </w:rPr>
              <w:t>Australian National University</w:t>
            </w:r>
            <w:r>
              <w:t xml:space="preserve"> – provision of research and teaching services.</w:t>
            </w:r>
          </w:p>
          <w:p w:rsidR="007E1E1E" w:rsidRDefault="007E1E1E" w:rsidP="00B50E5D">
            <w:pPr>
              <w:pStyle w:val="AdminBlankGreyShade"/>
            </w:pPr>
            <w:r>
              <w:rPr>
                <w:vertAlign w:val="superscript"/>
              </w:rPr>
              <w:t xml:space="preserve">4 </w:t>
            </w:r>
            <w:r>
              <w:rPr>
                <w:i/>
              </w:rPr>
              <w:t>Australian Institute of Aboriginal and Torres Strait Islander Studies</w:t>
            </w:r>
            <w:r>
              <w:t xml:space="preserve"> – building pathways for the knowledge of Aboriginal and Torres Strait Islander peoples to grow and share.</w:t>
            </w:r>
          </w:p>
          <w:p w:rsidR="007E1E1E" w:rsidRDefault="007E1E1E" w:rsidP="00B50E5D">
            <w:pPr>
              <w:pStyle w:val="AdminBlankGreyShade"/>
            </w:pPr>
          </w:p>
        </w:tc>
      </w:tr>
    </w:tbl>
    <w:p w:rsidR="007E1E1E" w:rsidRDefault="007E1E1E" w:rsidP="007E1E1E">
      <w:pPr>
        <w:spacing w:line="240" w:lineRule="auto"/>
      </w:pPr>
    </w:p>
    <w:p w:rsidR="007E1E1E" w:rsidRDefault="007E1E1E" w:rsidP="007E1E1E">
      <w:pPr>
        <w:spacing w:line="240" w:lineRule="auto"/>
      </w:pPr>
    </w:p>
    <w:p w:rsidR="007E1E1E" w:rsidRDefault="007E1E1E" w:rsidP="007E1E1E">
      <w:pPr>
        <w:spacing w:line="240" w:lineRule="auto"/>
      </w:pPr>
    </w:p>
    <w:p w:rsidR="007E1E1E" w:rsidRDefault="007E1E1E" w:rsidP="007E1E1E">
      <w:pPr>
        <w:spacing w:line="240" w:lineRule="auto"/>
      </w:pPr>
    </w:p>
    <w:p w:rsidR="007E1E1E" w:rsidRDefault="007E1E1E" w:rsidP="007E1E1E">
      <w:pPr>
        <w:spacing w:line="240" w:lineRule="auto"/>
      </w:pPr>
      <w:r>
        <w:br w:type="page"/>
      </w:r>
    </w:p>
    <w:p w:rsidR="007E1E1E" w:rsidRDefault="007E1E1E" w:rsidP="007E1E1E">
      <w:pPr>
        <w:pStyle w:val="NotesHeading-Level1GreyShade"/>
        <w:numPr>
          <w:ilvl w:val="0"/>
          <w:numId w:val="13"/>
        </w:numPr>
      </w:pPr>
      <w:bookmarkStart w:id="316" w:name="RANGE!D6:H27"/>
      <w:bookmarkStart w:id="317" w:name="_Toc400713264"/>
      <w:bookmarkEnd w:id="316"/>
      <w:r>
        <w:lastRenderedPageBreak/>
        <w:t>Administered Non-Financial Assets</w:t>
      </w:r>
      <w:bookmarkEnd w:id="317"/>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40"/>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bookmarkStart w:id="318" w:name="Note_ANFTABLE1" w:colFirst="0" w:colLast="0"/>
            <w:r>
              <w:rPr>
                <w:rFonts w:ascii="Arial" w:hAnsi="Arial" w:cs="Arial"/>
                <w:sz w:val="16"/>
                <w:szCs w:val="16"/>
              </w:rPr>
              <w:t> </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2014</w:t>
            </w:r>
          </w:p>
        </w:tc>
      </w:tr>
      <w:bookmarkEnd w:id="318"/>
      <w:tr w:rsidR="007E1E1E" w:rsidTr="00B50E5D">
        <w:trPr>
          <w:trHeight w:val="240"/>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6396" w:type="dxa"/>
            <w:tcBorders>
              <w:top w:val="nil"/>
              <w:left w:val="nil"/>
              <w:bottom w:val="nil"/>
              <w:right w:val="nil"/>
            </w:tcBorders>
            <w:shd w:val="clear" w:color="000000" w:fill="D9D9D9"/>
            <w:noWrap/>
            <w:hideMark/>
          </w:tcPr>
          <w:p w:rsidR="007E1E1E" w:rsidRDefault="007E1E1E"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21A</w:t>
            </w:r>
            <w:proofErr w:type="spellEnd"/>
            <w:r>
              <w:rPr>
                <w:rFonts w:cs="Calibri"/>
                <w:b/>
                <w:bCs/>
                <w:szCs w:val="18"/>
                <w:u w:val="single"/>
              </w:rPr>
              <w:t>: Other non-financial assets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Prepayments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523</w:t>
            </w:r>
          </w:p>
        </w:tc>
      </w:tr>
      <w:tr w:rsidR="007E1E1E" w:rsidTr="00B50E5D">
        <w:trPr>
          <w:trHeight w:val="270"/>
        </w:trPr>
        <w:tc>
          <w:tcPr>
            <w:tcW w:w="6396" w:type="dxa"/>
            <w:tcBorders>
              <w:top w:val="nil"/>
              <w:left w:val="nil"/>
              <w:bottom w:val="single" w:sz="8" w:space="0" w:color="D9D9D9"/>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other non-financial assets</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523</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Other non-financial assets expected to be recovered</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No more than 12 months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523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More than 12 months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70"/>
        </w:trPr>
        <w:tc>
          <w:tcPr>
            <w:tcW w:w="6396" w:type="dxa"/>
            <w:tcBorders>
              <w:top w:val="single" w:sz="4" w:space="0" w:color="D9D9D9"/>
              <w:left w:val="nil"/>
              <w:bottom w:val="single" w:sz="24" w:space="0" w:color="D8D8D8"/>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other non-financial assets</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523</w:t>
            </w:r>
          </w:p>
        </w:tc>
      </w:tr>
    </w:tbl>
    <w:p w:rsidR="007E1E1E" w:rsidRDefault="007E1E1E" w:rsidP="007E1E1E">
      <w:pPr>
        <w:pStyle w:val="GreyShadeTableBreak"/>
      </w:pPr>
      <w:r>
        <w:t>No indicators of impairment were found for other non-financial assets.</w:t>
      </w:r>
    </w:p>
    <w:p w:rsidR="007E1E1E" w:rsidRDefault="007E1E1E" w:rsidP="007E1E1E">
      <w:pPr>
        <w:pStyle w:val="GreyShadeTableBreak"/>
      </w:pPr>
    </w:p>
    <w:p w:rsidR="007E1E1E" w:rsidRDefault="007E1E1E" w:rsidP="007E1E1E">
      <w:pPr>
        <w:spacing w:line="240" w:lineRule="auto"/>
        <w:rPr>
          <w:rFonts w:asciiTheme="minorHAnsi" w:hAnsiTheme="minorHAnsi" w:cstheme="minorHAnsi"/>
          <w:b/>
          <w:sz w:val="20"/>
        </w:rPr>
      </w:pPr>
      <w:r>
        <w:br w:type="page"/>
      </w:r>
    </w:p>
    <w:p w:rsidR="007E1E1E" w:rsidRDefault="007E1E1E" w:rsidP="007E1E1E">
      <w:pPr>
        <w:pStyle w:val="NotesHeading-Level1GreyShade"/>
        <w:numPr>
          <w:ilvl w:val="0"/>
          <w:numId w:val="13"/>
        </w:numPr>
      </w:pPr>
      <w:bookmarkStart w:id="319" w:name="_Toc400713265"/>
      <w:r>
        <w:lastRenderedPageBreak/>
        <w:t>Administered Payables</w:t>
      </w:r>
      <w:bookmarkEnd w:id="319"/>
    </w:p>
    <w:p w:rsidR="007E1E1E" w:rsidRDefault="007E1E1E" w:rsidP="007E1E1E">
      <w:pPr>
        <w:pStyle w:val="GreyShadeTableBreak"/>
      </w:pPr>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nil"/>
              <w:right w:val="nil"/>
            </w:tcBorders>
            <w:shd w:val="clear" w:color="000000" w:fill="D9D9D9"/>
            <w:noWrap/>
            <w:hideMark/>
          </w:tcPr>
          <w:p w:rsidR="007E1E1E" w:rsidRDefault="007E1E1E" w:rsidP="00B50E5D">
            <w:pPr>
              <w:rPr>
                <w:rFonts w:cs="Calibri"/>
                <w:b/>
                <w:bCs/>
                <w:szCs w:val="18"/>
                <w:u w:val="single"/>
              </w:rPr>
            </w:pPr>
            <w:bookmarkStart w:id="320" w:name="Note_ASPTABLE1" w:colFirst="0" w:colLast="0"/>
            <w:r>
              <w:rPr>
                <w:rFonts w:cs="Calibri"/>
                <w:b/>
                <w:bCs/>
                <w:szCs w:val="18"/>
                <w:u w:val="single"/>
              </w:rPr>
              <w:t xml:space="preserve">Note </w:t>
            </w:r>
            <w:proofErr w:type="spellStart"/>
            <w:r>
              <w:rPr>
                <w:rFonts w:cs="Calibri"/>
                <w:b/>
                <w:bCs/>
                <w:szCs w:val="18"/>
                <w:u w:val="single"/>
              </w:rPr>
              <w:t>22A</w:t>
            </w:r>
            <w:proofErr w:type="spellEnd"/>
            <w:r>
              <w:rPr>
                <w:rFonts w:cs="Calibri"/>
                <w:b/>
                <w:bCs/>
                <w:szCs w:val="18"/>
                <w:u w:val="single"/>
              </w:rPr>
              <w:t>: Suppliers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bookmarkEnd w:id="320"/>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Cs w:val="18"/>
              </w:rPr>
            </w:pPr>
            <w:r>
              <w:rPr>
                <w:rFonts w:cs="Calibri"/>
                <w:szCs w:val="18"/>
              </w:rPr>
              <w:t>Trade creditors and accruals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36,884</w:t>
            </w:r>
          </w:p>
        </w:tc>
      </w:tr>
      <w:tr w:rsidR="007E1E1E" w:rsidTr="00B50E5D">
        <w:trPr>
          <w:trHeight w:val="270"/>
        </w:trPr>
        <w:tc>
          <w:tcPr>
            <w:tcW w:w="6396" w:type="dxa"/>
            <w:tcBorders>
              <w:top w:val="nil"/>
              <w:left w:val="nil"/>
              <w:bottom w:val="single" w:sz="8" w:space="0" w:color="D9D9D9"/>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suppliers</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36,884</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Suppliers expected to be settled</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b/>
                <w:bCs/>
                <w:szCs w:val="18"/>
              </w:rPr>
            </w:pPr>
            <w:r>
              <w:rPr>
                <w:rFonts w:cs="Calibri"/>
                <w:b/>
                <w:bCs/>
                <w:szCs w:val="18"/>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Related parties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External parties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36,884 </w:t>
            </w:r>
          </w:p>
        </w:tc>
      </w:tr>
      <w:tr w:rsidR="007E1E1E" w:rsidTr="00B50E5D">
        <w:trPr>
          <w:trHeight w:val="270"/>
        </w:trPr>
        <w:tc>
          <w:tcPr>
            <w:tcW w:w="6396" w:type="dxa"/>
            <w:tcBorders>
              <w:top w:val="single" w:sz="4" w:space="0" w:color="D9D9D9"/>
              <w:left w:val="nil"/>
              <w:bottom w:val="single" w:sz="24" w:space="0" w:color="D8D8D8"/>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suppliers</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36,884</w:t>
            </w:r>
          </w:p>
        </w:tc>
      </w:tr>
    </w:tbl>
    <w:p w:rsidR="007E1E1E" w:rsidRDefault="007E1E1E" w:rsidP="007E1E1E">
      <w:pPr>
        <w:pStyle w:val="GreyShadeTableBreak"/>
      </w:pPr>
    </w:p>
    <w:tbl>
      <w:tblPr>
        <w:tblW w:w="9090" w:type="dxa"/>
        <w:tblInd w:w="80" w:type="dxa"/>
        <w:tblLayout w:type="fixed"/>
        <w:tblLook w:val="04A0" w:firstRow="1" w:lastRow="0" w:firstColumn="1" w:lastColumn="0" w:noHBand="0" w:noVBand="1"/>
      </w:tblPr>
      <w:tblGrid>
        <w:gridCol w:w="9090"/>
      </w:tblGrid>
      <w:tr w:rsidR="007E1E1E" w:rsidTr="00B50E5D">
        <w:trPr>
          <w:trHeight w:val="270"/>
        </w:trPr>
        <w:tc>
          <w:tcPr>
            <w:tcW w:w="9092" w:type="dxa"/>
            <w:tcBorders>
              <w:top w:val="single" w:sz="4" w:space="0" w:color="D8D8D8"/>
              <w:left w:val="nil"/>
              <w:bottom w:val="single" w:sz="24" w:space="0" w:color="D8D8D8"/>
              <w:right w:val="nil"/>
            </w:tcBorders>
            <w:shd w:val="clear" w:color="auto" w:fill="D8D8D8"/>
            <w:vAlign w:val="bottom"/>
            <w:hideMark/>
          </w:tcPr>
          <w:p w:rsidR="007E1E1E" w:rsidRDefault="007E1E1E" w:rsidP="00B50E5D">
            <w:pPr>
              <w:pStyle w:val="AdminBlankGreyShade"/>
            </w:pPr>
            <w:r>
              <w:t>Settlement was usually made within 30 days.</w:t>
            </w:r>
          </w:p>
        </w:tc>
      </w:tr>
    </w:tbl>
    <w:p w:rsidR="007E1E1E" w:rsidRDefault="007E1E1E" w:rsidP="007E1E1E">
      <w:pPr>
        <w:pStyle w:val="GreyShadeTableBreak"/>
      </w:pPr>
    </w:p>
    <w:p w:rsidR="007E1E1E" w:rsidRDefault="007E1E1E" w:rsidP="007E1E1E">
      <w:pPr>
        <w:pStyle w:val="GreyShadeTableBreak"/>
      </w:pPr>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nil"/>
              <w:right w:val="nil"/>
            </w:tcBorders>
            <w:shd w:val="clear" w:color="000000" w:fill="D9D9D9"/>
            <w:noWrap/>
            <w:hideMark/>
          </w:tcPr>
          <w:p w:rsidR="007E1E1E" w:rsidRDefault="007E1E1E" w:rsidP="00B50E5D">
            <w:pPr>
              <w:rPr>
                <w:rFonts w:cs="Calibri"/>
                <w:b/>
                <w:bCs/>
                <w:szCs w:val="18"/>
                <w:u w:val="single"/>
              </w:rPr>
            </w:pPr>
            <w:bookmarkStart w:id="321" w:name="RANGE!D7:D16"/>
            <w:bookmarkStart w:id="322" w:name="Note_APPTABLE1" w:colFirst="0" w:colLast="0"/>
            <w:r>
              <w:rPr>
                <w:rFonts w:cs="Calibri"/>
                <w:b/>
                <w:bCs/>
                <w:szCs w:val="18"/>
                <w:u w:val="single"/>
              </w:rPr>
              <w:t xml:space="preserve">Note </w:t>
            </w:r>
            <w:proofErr w:type="spellStart"/>
            <w:r>
              <w:rPr>
                <w:rFonts w:cs="Calibri"/>
                <w:b/>
                <w:bCs/>
                <w:szCs w:val="18"/>
                <w:u w:val="single"/>
              </w:rPr>
              <w:t>22B</w:t>
            </w:r>
            <w:proofErr w:type="spellEnd"/>
            <w:r>
              <w:rPr>
                <w:rFonts w:cs="Calibri"/>
                <w:b/>
                <w:bCs/>
                <w:szCs w:val="18"/>
                <w:u w:val="single"/>
              </w:rPr>
              <w:t>: Personal benefits</w:t>
            </w:r>
            <w:bookmarkEnd w:id="321"/>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r>
      <w:bookmarkEnd w:id="322"/>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Cs w:val="18"/>
              </w:rPr>
            </w:pPr>
            <w:r>
              <w:rPr>
                <w:rFonts w:cs="Calibri"/>
                <w:szCs w:val="18"/>
              </w:rPr>
              <w:t>Direct</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10,952</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Cs w:val="18"/>
              </w:rPr>
            </w:pPr>
            <w:r>
              <w:rPr>
                <w:rFonts w:cs="Calibri"/>
                <w:szCs w:val="18"/>
              </w:rPr>
              <w:t>Indirect</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109,985</w:t>
            </w:r>
          </w:p>
        </w:tc>
      </w:tr>
      <w:tr w:rsidR="007E1E1E" w:rsidTr="00B50E5D">
        <w:trPr>
          <w:trHeight w:val="270"/>
        </w:trPr>
        <w:tc>
          <w:tcPr>
            <w:tcW w:w="6396" w:type="dxa"/>
            <w:tcBorders>
              <w:top w:val="nil"/>
              <w:left w:val="nil"/>
              <w:bottom w:val="single" w:sz="8" w:space="0" w:color="D9D9D9"/>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personal benefits</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120,937</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Cs w:val="18"/>
              </w:rPr>
            </w:pPr>
            <w:r>
              <w:rPr>
                <w:rFonts w:cs="Calibri"/>
                <w:szCs w:val="18"/>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b/>
                <w:bCs/>
                <w:szCs w:val="18"/>
              </w:rPr>
            </w:pPr>
            <w:r>
              <w:rPr>
                <w:rFonts w:cs="Calibri"/>
                <w:b/>
                <w:bCs/>
                <w:szCs w:val="18"/>
              </w:rPr>
              <w:t> </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 xml:space="preserve">Personal benefits expected to be settled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No more than 12 months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120,937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More than 12 months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70"/>
        </w:trPr>
        <w:tc>
          <w:tcPr>
            <w:tcW w:w="6396" w:type="dxa"/>
            <w:tcBorders>
              <w:top w:val="single" w:sz="4" w:space="0" w:color="D9D9D9"/>
              <w:left w:val="nil"/>
              <w:bottom w:val="single" w:sz="24" w:space="0" w:color="D8D8D8"/>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personal benefits</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120,937</w:t>
            </w:r>
          </w:p>
        </w:tc>
      </w:tr>
    </w:tbl>
    <w:p w:rsidR="007E1E1E" w:rsidRDefault="007E1E1E" w:rsidP="007E1E1E">
      <w:pPr>
        <w:pStyle w:val="GreyShadeTableBreak"/>
      </w:pPr>
    </w:p>
    <w:tbl>
      <w:tblPr>
        <w:tblW w:w="9090" w:type="dxa"/>
        <w:tblInd w:w="80" w:type="dxa"/>
        <w:tblLayout w:type="fixed"/>
        <w:tblLook w:val="04A0" w:firstRow="1" w:lastRow="0" w:firstColumn="1" w:lastColumn="0" w:noHBand="0" w:noVBand="1"/>
      </w:tblPr>
      <w:tblGrid>
        <w:gridCol w:w="9090"/>
      </w:tblGrid>
      <w:tr w:rsidR="007E1E1E" w:rsidTr="00B50E5D">
        <w:trPr>
          <w:trHeight w:val="270"/>
        </w:trPr>
        <w:tc>
          <w:tcPr>
            <w:tcW w:w="9092" w:type="dxa"/>
            <w:tcBorders>
              <w:top w:val="single" w:sz="4" w:space="0" w:color="D8D8D8"/>
              <w:left w:val="nil"/>
              <w:bottom w:val="single" w:sz="24" w:space="0" w:color="D8D8D8"/>
              <w:right w:val="nil"/>
            </w:tcBorders>
            <w:shd w:val="clear" w:color="auto" w:fill="D8D8D8"/>
            <w:vAlign w:val="bottom"/>
          </w:tcPr>
          <w:p w:rsidR="007E1E1E" w:rsidRDefault="007E1E1E" w:rsidP="00B50E5D">
            <w:pPr>
              <w:pStyle w:val="AdminBlankGreyShade"/>
            </w:pPr>
          </w:p>
        </w:tc>
      </w:tr>
    </w:tbl>
    <w:p w:rsidR="007E1E1E" w:rsidRDefault="007E1E1E" w:rsidP="007E1E1E">
      <w:pPr>
        <w:pStyle w:val="GreyShadeTableBreak"/>
      </w:pPr>
    </w:p>
    <w:p w:rsidR="007E1E1E" w:rsidRDefault="007E1E1E" w:rsidP="007E1E1E">
      <w:pPr>
        <w:spacing w:line="240" w:lineRule="auto"/>
      </w:pPr>
      <w:r>
        <w:br w:type="page"/>
      </w:r>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40"/>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 w:val="16"/>
                <w:szCs w:val="16"/>
              </w:rPr>
            </w:pPr>
            <w:bookmarkStart w:id="323" w:name="Note_AGPTABLE1" w:colFirst="0" w:colLast="0"/>
            <w:r>
              <w:rPr>
                <w:rFonts w:cs="Calibri"/>
                <w:sz w:val="16"/>
                <w:szCs w:val="16"/>
              </w:rPr>
              <w:lastRenderedPageBreak/>
              <w:t> </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2014</w:t>
            </w:r>
          </w:p>
        </w:tc>
      </w:tr>
      <w:bookmarkEnd w:id="323"/>
      <w:tr w:rsidR="007E1E1E" w:rsidTr="00B50E5D">
        <w:trPr>
          <w:trHeight w:val="240"/>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6396" w:type="dxa"/>
            <w:tcBorders>
              <w:top w:val="nil"/>
              <w:left w:val="nil"/>
              <w:bottom w:val="nil"/>
              <w:right w:val="nil"/>
            </w:tcBorders>
            <w:shd w:val="clear" w:color="000000" w:fill="D9D9D9"/>
            <w:noWrap/>
            <w:hideMark/>
          </w:tcPr>
          <w:p w:rsidR="007E1E1E" w:rsidRDefault="007E1E1E"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22C</w:t>
            </w:r>
            <w:proofErr w:type="spellEnd"/>
            <w:r>
              <w:rPr>
                <w:rFonts w:cs="Calibri"/>
                <w:b/>
                <w:bCs/>
                <w:szCs w:val="18"/>
                <w:u w:val="single"/>
              </w:rPr>
              <w:t>: Grants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Public sector</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Local Governments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Private sector</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b/>
                <w:bCs/>
                <w:szCs w:val="18"/>
              </w:rPr>
            </w:pPr>
            <w:r>
              <w:rPr>
                <w:rFonts w:cs="Calibri"/>
                <w:b/>
                <w:bCs/>
                <w:szCs w:val="18"/>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Non-profit organisations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2,748</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Cs w:val="18"/>
              </w:rPr>
            </w:pPr>
            <w:r>
              <w:rPr>
                <w:rFonts w:cs="Calibri"/>
                <w:szCs w:val="18"/>
              </w:rPr>
              <w:t>Other</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21,686</w:t>
            </w:r>
          </w:p>
        </w:tc>
      </w:tr>
      <w:tr w:rsidR="007E1E1E" w:rsidTr="00B50E5D">
        <w:trPr>
          <w:trHeight w:val="270"/>
        </w:trPr>
        <w:tc>
          <w:tcPr>
            <w:tcW w:w="6396" w:type="dxa"/>
            <w:tcBorders>
              <w:top w:val="nil"/>
              <w:left w:val="nil"/>
              <w:bottom w:val="single" w:sz="8" w:space="0" w:color="D9D9D9"/>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grants</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24,434</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Grants expected to be settled</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No more than 12 months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24,434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More than 12 months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70"/>
        </w:trPr>
        <w:tc>
          <w:tcPr>
            <w:tcW w:w="6396" w:type="dxa"/>
            <w:tcBorders>
              <w:top w:val="single" w:sz="4" w:space="0" w:color="D9D9D9"/>
              <w:left w:val="nil"/>
              <w:bottom w:val="single" w:sz="24" w:space="0" w:color="D8D8D8"/>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grants</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24,434</w:t>
            </w:r>
          </w:p>
        </w:tc>
      </w:tr>
    </w:tbl>
    <w:p w:rsidR="007E1E1E" w:rsidRDefault="007E1E1E" w:rsidP="007E1E1E">
      <w:pPr>
        <w:pStyle w:val="GreyShadeTableBreak"/>
      </w:pPr>
      <w:r>
        <w:t>Settlement is usually made according to the terms and conditions of each grant.  This is usually within 30 days of performance or eligibility.</w:t>
      </w:r>
    </w:p>
    <w:p w:rsidR="007E1E1E" w:rsidRDefault="007E1E1E" w:rsidP="007E1E1E">
      <w:pPr>
        <w:pStyle w:val="GreyShadeTableBreak"/>
      </w:pPr>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nil"/>
              <w:right w:val="nil"/>
            </w:tcBorders>
            <w:shd w:val="clear" w:color="000000" w:fill="D9D9D9"/>
            <w:noWrap/>
            <w:hideMark/>
          </w:tcPr>
          <w:p w:rsidR="007E1E1E" w:rsidRDefault="007E1E1E" w:rsidP="00B50E5D">
            <w:pPr>
              <w:rPr>
                <w:rFonts w:cs="Calibri"/>
                <w:b/>
                <w:bCs/>
                <w:szCs w:val="18"/>
                <w:u w:val="single"/>
              </w:rPr>
            </w:pPr>
            <w:bookmarkStart w:id="324" w:name="Note_AOPTABLE1" w:colFirst="0" w:colLast="0"/>
            <w:r>
              <w:rPr>
                <w:rFonts w:cs="Calibri"/>
                <w:b/>
                <w:bCs/>
                <w:szCs w:val="18"/>
                <w:u w:val="single"/>
              </w:rPr>
              <w:t xml:space="preserve">Note </w:t>
            </w:r>
            <w:proofErr w:type="spellStart"/>
            <w:r>
              <w:rPr>
                <w:rFonts w:cs="Calibri"/>
                <w:b/>
                <w:bCs/>
                <w:szCs w:val="18"/>
                <w:u w:val="single"/>
              </w:rPr>
              <w:t>22D</w:t>
            </w:r>
            <w:proofErr w:type="spellEnd"/>
            <w:r>
              <w:rPr>
                <w:rFonts w:cs="Calibri"/>
                <w:b/>
                <w:bCs/>
                <w:szCs w:val="18"/>
                <w:u w:val="single"/>
              </w:rPr>
              <w:t>: Other payables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bookmarkEnd w:id="324"/>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Cs w:val="18"/>
              </w:rPr>
            </w:pPr>
            <w:r>
              <w:rPr>
                <w:rFonts w:cs="Calibri"/>
                <w:szCs w:val="18"/>
              </w:rPr>
              <w:t>GST payable</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8,692</w:t>
            </w:r>
          </w:p>
        </w:tc>
      </w:tr>
      <w:tr w:rsidR="007E1E1E" w:rsidTr="00B50E5D">
        <w:trPr>
          <w:trHeight w:val="270"/>
        </w:trPr>
        <w:tc>
          <w:tcPr>
            <w:tcW w:w="6396" w:type="dxa"/>
            <w:tcBorders>
              <w:top w:val="nil"/>
              <w:left w:val="nil"/>
              <w:bottom w:val="single" w:sz="8" w:space="0" w:color="D9D9D9"/>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other payables</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8,692</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Other payables expected to be settled</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No more than 12 months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8,692 </w:t>
            </w:r>
          </w:p>
        </w:tc>
      </w:tr>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More than 12 months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70"/>
        </w:trPr>
        <w:tc>
          <w:tcPr>
            <w:tcW w:w="6396" w:type="dxa"/>
            <w:tcBorders>
              <w:top w:val="single" w:sz="4" w:space="0" w:color="D9D9D9"/>
              <w:left w:val="nil"/>
              <w:bottom w:val="single" w:sz="24" w:space="0" w:color="D8D8D8"/>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other payables</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8,692</w:t>
            </w:r>
          </w:p>
        </w:tc>
      </w:tr>
    </w:tbl>
    <w:p w:rsidR="007E1E1E" w:rsidRDefault="007E1E1E" w:rsidP="007E1E1E">
      <w:pPr>
        <w:pStyle w:val="NotesHeading-Level1GreyShade"/>
        <w:numPr>
          <w:ilvl w:val="0"/>
          <w:numId w:val="0"/>
        </w:numPr>
        <w:tabs>
          <w:tab w:val="left" w:pos="8959"/>
        </w:tabs>
      </w:pPr>
    </w:p>
    <w:p w:rsidR="007E1E1E" w:rsidRDefault="007E1E1E" w:rsidP="007E1E1E">
      <w:pPr>
        <w:spacing w:line="240" w:lineRule="auto"/>
        <w:rPr>
          <w:rFonts w:asciiTheme="minorHAnsi" w:hAnsiTheme="minorHAnsi" w:cstheme="minorHAnsi"/>
          <w:b/>
          <w:sz w:val="20"/>
        </w:rPr>
      </w:pPr>
      <w:r>
        <w:br w:type="page"/>
      </w:r>
    </w:p>
    <w:p w:rsidR="007E1E1E" w:rsidRDefault="007E1E1E" w:rsidP="007E1E1E">
      <w:pPr>
        <w:pStyle w:val="NotesHeading-Level1GreyShade"/>
        <w:numPr>
          <w:ilvl w:val="0"/>
          <w:numId w:val="13"/>
        </w:numPr>
      </w:pPr>
      <w:bookmarkStart w:id="325" w:name="_Toc400713266"/>
      <w:r>
        <w:lastRenderedPageBreak/>
        <w:t>Administered Provisions</w:t>
      </w:r>
      <w:bookmarkEnd w:id="325"/>
    </w:p>
    <w:p w:rsidR="007E1E1E" w:rsidRDefault="007E1E1E" w:rsidP="007E1E1E">
      <w:pPr>
        <w:pStyle w:val="NotesHeading-Level1GreyShade"/>
        <w:numPr>
          <w:ilvl w:val="0"/>
          <w:numId w:val="0"/>
        </w:numPr>
        <w:tabs>
          <w:tab w:val="left" w:pos="8959"/>
        </w:tabs>
      </w:pPr>
    </w:p>
    <w:tbl>
      <w:tblPr>
        <w:tblW w:w="9087" w:type="dxa"/>
        <w:tblInd w:w="80" w:type="dxa"/>
        <w:tblLayout w:type="fixed"/>
        <w:tblLook w:val="04A0" w:firstRow="1" w:lastRow="0" w:firstColumn="1" w:lastColumn="0" w:noHBand="0" w:noVBand="1"/>
      </w:tblPr>
      <w:tblGrid>
        <w:gridCol w:w="7705"/>
        <w:gridCol w:w="1382"/>
      </w:tblGrid>
      <w:tr w:rsidR="007E1E1E" w:rsidTr="00B50E5D">
        <w:trPr>
          <w:trHeight w:val="240"/>
        </w:trPr>
        <w:tc>
          <w:tcPr>
            <w:tcW w:w="577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 w:val="16"/>
                <w:szCs w:val="16"/>
              </w:rPr>
            </w:pPr>
            <w:bookmarkStart w:id="326" w:name="Note_APRTABLE1" w:colFirst="0" w:colLast="0"/>
            <w:r>
              <w:rPr>
                <w:rFonts w:cs="Calibri"/>
                <w:sz w:val="16"/>
                <w:szCs w:val="16"/>
              </w:rPr>
              <w:t> </w:t>
            </w:r>
          </w:p>
        </w:tc>
        <w:tc>
          <w:tcPr>
            <w:tcW w:w="1036"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2014</w:t>
            </w:r>
          </w:p>
        </w:tc>
      </w:tr>
      <w:bookmarkEnd w:id="326"/>
      <w:tr w:rsidR="007E1E1E" w:rsidTr="00B50E5D">
        <w:trPr>
          <w:trHeight w:val="240"/>
        </w:trPr>
        <w:tc>
          <w:tcPr>
            <w:tcW w:w="577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036"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5776" w:type="dxa"/>
            <w:tcBorders>
              <w:top w:val="nil"/>
              <w:left w:val="nil"/>
              <w:bottom w:val="nil"/>
              <w:right w:val="nil"/>
            </w:tcBorders>
            <w:shd w:val="clear" w:color="000000" w:fill="D9D9D9"/>
            <w:noWrap/>
            <w:hideMark/>
          </w:tcPr>
          <w:p w:rsidR="007E1E1E" w:rsidRDefault="007E1E1E"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23A</w:t>
            </w:r>
            <w:proofErr w:type="spellEnd"/>
            <w:r>
              <w:rPr>
                <w:rFonts w:cs="Calibri"/>
                <w:b/>
                <w:bCs/>
                <w:szCs w:val="18"/>
                <w:u w:val="single"/>
              </w:rPr>
              <w:t>: Provisions for Personal Benefits</w:t>
            </w:r>
          </w:p>
        </w:tc>
        <w:tc>
          <w:tcPr>
            <w:tcW w:w="10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577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Provisions for personal benefits</w:t>
            </w:r>
          </w:p>
        </w:tc>
        <w:tc>
          <w:tcPr>
            <w:tcW w:w="103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801,010</w:t>
            </w:r>
          </w:p>
        </w:tc>
      </w:tr>
      <w:tr w:rsidR="007E1E1E" w:rsidTr="00B50E5D">
        <w:trPr>
          <w:trHeight w:val="255"/>
        </w:trPr>
        <w:tc>
          <w:tcPr>
            <w:tcW w:w="577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Total other provisions</w:t>
            </w:r>
          </w:p>
        </w:tc>
        <w:tc>
          <w:tcPr>
            <w:tcW w:w="103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801,010</w:t>
            </w:r>
          </w:p>
        </w:tc>
      </w:tr>
      <w:tr w:rsidR="007E1E1E" w:rsidTr="00B50E5D">
        <w:trPr>
          <w:trHeight w:val="255"/>
        </w:trPr>
        <w:tc>
          <w:tcPr>
            <w:tcW w:w="577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577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Other provisions expected to be settled</w:t>
            </w:r>
          </w:p>
        </w:tc>
        <w:tc>
          <w:tcPr>
            <w:tcW w:w="10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577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No more than 12 months</w:t>
            </w:r>
          </w:p>
        </w:tc>
        <w:tc>
          <w:tcPr>
            <w:tcW w:w="103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801,010 </w:t>
            </w:r>
          </w:p>
        </w:tc>
      </w:tr>
      <w:tr w:rsidR="007E1E1E" w:rsidTr="00B50E5D">
        <w:trPr>
          <w:trHeight w:val="255"/>
        </w:trPr>
        <w:tc>
          <w:tcPr>
            <w:tcW w:w="577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More than 12 months</w:t>
            </w:r>
          </w:p>
        </w:tc>
        <w:tc>
          <w:tcPr>
            <w:tcW w:w="103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70"/>
        </w:trPr>
        <w:tc>
          <w:tcPr>
            <w:tcW w:w="5776" w:type="dxa"/>
            <w:tcBorders>
              <w:top w:val="single" w:sz="4" w:space="0" w:color="D9D9D9"/>
              <w:left w:val="nil"/>
              <w:bottom w:val="single" w:sz="24" w:space="0" w:color="D8D8D8"/>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other provisions</w:t>
            </w:r>
          </w:p>
        </w:tc>
        <w:tc>
          <w:tcPr>
            <w:tcW w:w="103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801,010</w:t>
            </w:r>
          </w:p>
        </w:tc>
      </w:tr>
    </w:tbl>
    <w:p w:rsidR="007E1E1E" w:rsidRDefault="007E1E1E" w:rsidP="007E1E1E">
      <w:pPr>
        <w:pStyle w:val="NotesHeading-Level1GreyShade"/>
        <w:numPr>
          <w:ilvl w:val="0"/>
          <w:numId w:val="0"/>
        </w:numPr>
        <w:tabs>
          <w:tab w:val="left" w:pos="8959"/>
        </w:tabs>
      </w:pPr>
      <w:bookmarkStart w:id="327" w:name="RANGE!D7:H14"/>
      <w:bookmarkStart w:id="328" w:name="RANGE!D7:H15"/>
      <w:bookmarkEnd w:id="327"/>
      <w:bookmarkEnd w:id="328"/>
    </w:p>
    <w:tbl>
      <w:tblPr>
        <w:tblW w:w="9087" w:type="dxa"/>
        <w:tblInd w:w="80" w:type="dxa"/>
        <w:tblLayout w:type="fixed"/>
        <w:tblLook w:val="04A0" w:firstRow="1" w:lastRow="0" w:firstColumn="1" w:lastColumn="0" w:noHBand="0" w:noVBand="1"/>
      </w:tblPr>
      <w:tblGrid>
        <w:gridCol w:w="7581"/>
        <w:gridCol w:w="1506"/>
      </w:tblGrid>
      <w:tr w:rsidR="007E1E1E" w:rsidTr="00B50E5D">
        <w:trPr>
          <w:trHeight w:val="240"/>
        </w:trPr>
        <w:tc>
          <w:tcPr>
            <w:tcW w:w="5216" w:type="dxa"/>
            <w:tcBorders>
              <w:top w:val="nil"/>
              <w:left w:val="nil"/>
              <w:bottom w:val="nil"/>
              <w:right w:val="nil"/>
            </w:tcBorders>
            <w:shd w:val="clear" w:color="000000" w:fill="D9D9D9"/>
            <w:noWrap/>
            <w:hideMark/>
          </w:tcPr>
          <w:p w:rsidR="007E1E1E" w:rsidRDefault="007E1E1E" w:rsidP="00B50E5D">
            <w:pPr>
              <w:rPr>
                <w:rFonts w:cs="Calibri"/>
                <w:b/>
                <w:bCs/>
                <w:szCs w:val="18"/>
                <w:u w:val="single"/>
              </w:rPr>
            </w:pPr>
            <w:bookmarkStart w:id="329" w:name="Note_APGTABLE1" w:colFirst="0" w:colLast="0"/>
            <w:r>
              <w:rPr>
                <w:rFonts w:cs="Calibri"/>
                <w:b/>
                <w:bCs/>
                <w:szCs w:val="18"/>
                <w:u w:val="single"/>
              </w:rPr>
              <w:t xml:space="preserve">Note </w:t>
            </w:r>
            <w:proofErr w:type="spellStart"/>
            <w:r>
              <w:rPr>
                <w:rFonts w:cs="Calibri"/>
                <w:b/>
                <w:bCs/>
                <w:szCs w:val="18"/>
                <w:u w:val="single"/>
              </w:rPr>
              <w:t>23B</w:t>
            </w:r>
            <w:proofErr w:type="spellEnd"/>
            <w:r>
              <w:rPr>
                <w:rFonts w:cs="Calibri"/>
                <w:b/>
                <w:bCs/>
                <w:szCs w:val="18"/>
                <w:u w:val="single"/>
              </w:rPr>
              <w:t>: Provision for Grants</w:t>
            </w:r>
          </w:p>
        </w:tc>
        <w:tc>
          <w:tcPr>
            <w:tcW w:w="103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b/>
                <w:bCs/>
                <w:szCs w:val="18"/>
              </w:rPr>
            </w:pPr>
            <w:r>
              <w:rPr>
                <w:rFonts w:cs="Calibri"/>
                <w:b/>
                <w:bCs/>
                <w:szCs w:val="18"/>
              </w:rPr>
              <w:t> </w:t>
            </w:r>
          </w:p>
        </w:tc>
      </w:tr>
      <w:bookmarkEnd w:id="329"/>
      <w:tr w:rsidR="007E1E1E" w:rsidTr="00B50E5D">
        <w:trPr>
          <w:trHeight w:val="240"/>
        </w:trPr>
        <w:tc>
          <w:tcPr>
            <w:tcW w:w="521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b/>
                <w:bCs/>
                <w:szCs w:val="18"/>
              </w:rPr>
            </w:pPr>
            <w:r>
              <w:rPr>
                <w:rFonts w:cs="Calibri"/>
                <w:b/>
                <w:bCs/>
                <w:szCs w:val="18"/>
              </w:rPr>
              <w:t> </w:t>
            </w:r>
          </w:p>
        </w:tc>
      </w:tr>
      <w:tr w:rsidR="007E1E1E" w:rsidTr="00B50E5D">
        <w:trPr>
          <w:trHeight w:val="240"/>
        </w:trPr>
        <w:tc>
          <w:tcPr>
            <w:tcW w:w="521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Unfunded University Superannuation</w:t>
            </w:r>
          </w:p>
        </w:tc>
        <w:tc>
          <w:tcPr>
            <w:tcW w:w="103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6,867,769</w:t>
            </w:r>
          </w:p>
        </w:tc>
      </w:tr>
      <w:tr w:rsidR="007E1E1E" w:rsidTr="00B50E5D">
        <w:trPr>
          <w:trHeight w:val="240"/>
        </w:trPr>
        <w:tc>
          <w:tcPr>
            <w:tcW w:w="5216" w:type="dxa"/>
            <w:tcBorders>
              <w:top w:val="nil"/>
              <w:left w:val="nil"/>
              <w:bottom w:val="single" w:sz="8" w:space="0" w:color="D9D9D9"/>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provision for grants</w:t>
            </w:r>
          </w:p>
        </w:tc>
        <w:tc>
          <w:tcPr>
            <w:tcW w:w="103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6,867,769</w:t>
            </w:r>
          </w:p>
        </w:tc>
      </w:tr>
      <w:tr w:rsidR="007E1E1E" w:rsidTr="00B50E5D">
        <w:trPr>
          <w:trHeight w:val="240"/>
        </w:trPr>
        <w:tc>
          <w:tcPr>
            <w:tcW w:w="521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03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b/>
                <w:bCs/>
                <w:szCs w:val="18"/>
              </w:rPr>
            </w:pPr>
            <w:r>
              <w:rPr>
                <w:rFonts w:cs="Calibri"/>
                <w:b/>
                <w:bCs/>
                <w:szCs w:val="18"/>
              </w:rPr>
              <w:t> </w:t>
            </w:r>
          </w:p>
        </w:tc>
      </w:tr>
      <w:tr w:rsidR="007E1E1E" w:rsidTr="00B50E5D">
        <w:trPr>
          <w:trHeight w:val="240"/>
        </w:trPr>
        <w:tc>
          <w:tcPr>
            <w:tcW w:w="521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Provision for grants expected to be settled</w:t>
            </w:r>
          </w:p>
        </w:tc>
        <w:tc>
          <w:tcPr>
            <w:tcW w:w="10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40"/>
        </w:trPr>
        <w:tc>
          <w:tcPr>
            <w:tcW w:w="521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No more than 12 months</w:t>
            </w:r>
          </w:p>
        </w:tc>
        <w:tc>
          <w:tcPr>
            <w:tcW w:w="103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40"/>
        </w:trPr>
        <w:tc>
          <w:tcPr>
            <w:tcW w:w="521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More than 12 months</w:t>
            </w:r>
          </w:p>
        </w:tc>
        <w:tc>
          <w:tcPr>
            <w:tcW w:w="103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6,867,769 </w:t>
            </w:r>
          </w:p>
        </w:tc>
      </w:tr>
      <w:tr w:rsidR="007E1E1E" w:rsidTr="00B50E5D">
        <w:trPr>
          <w:trHeight w:val="240"/>
        </w:trPr>
        <w:tc>
          <w:tcPr>
            <w:tcW w:w="5216" w:type="dxa"/>
            <w:tcBorders>
              <w:top w:val="single" w:sz="4" w:space="0" w:color="D9D9D9"/>
              <w:left w:val="nil"/>
              <w:bottom w:val="single" w:sz="24" w:space="0" w:color="D8D8D8"/>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provisions for grants</w:t>
            </w:r>
          </w:p>
        </w:tc>
        <w:tc>
          <w:tcPr>
            <w:tcW w:w="103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6,867,769</w:t>
            </w:r>
          </w:p>
        </w:tc>
      </w:tr>
    </w:tbl>
    <w:p w:rsidR="007E1E1E" w:rsidRDefault="007E1E1E" w:rsidP="007E1E1E">
      <w:pPr>
        <w:pStyle w:val="NotesHeading-Level1GreyShade"/>
        <w:numPr>
          <w:ilvl w:val="0"/>
          <w:numId w:val="0"/>
        </w:numPr>
        <w:tabs>
          <w:tab w:val="left" w:pos="8959"/>
        </w:tabs>
      </w:pPr>
    </w:p>
    <w:p w:rsidR="007E1E1E" w:rsidRDefault="007E1E1E" w:rsidP="007E1E1E">
      <w:pPr>
        <w:pStyle w:val="NotesHeading-Level1GreyShade"/>
        <w:numPr>
          <w:ilvl w:val="0"/>
          <w:numId w:val="0"/>
        </w:numPr>
        <w:tabs>
          <w:tab w:val="left" w:pos="8959"/>
        </w:tabs>
      </w:pPr>
    </w:p>
    <w:tbl>
      <w:tblPr>
        <w:tblW w:w="9087" w:type="dxa"/>
        <w:tblInd w:w="80" w:type="dxa"/>
        <w:tblLayout w:type="fixed"/>
        <w:tblLook w:val="04A0" w:firstRow="1" w:lastRow="0" w:firstColumn="1" w:lastColumn="0" w:noHBand="0" w:noVBand="1"/>
      </w:tblPr>
      <w:tblGrid>
        <w:gridCol w:w="5031"/>
        <w:gridCol w:w="1142"/>
        <w:gridCol w:w="1457"/>
        <w:gridCol w:w="1457"/>
      </w:tblGrid>
      <w:tr w:rsidR="007E1E1E" w:rsidTr="00B50E5D">
        <w:trPr>
          <w:trHeight w:val="255"/>
        </w:trPr>
        <w:tc>
          <w:tcPr>
            <w:tcW w:w="433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bookmarkStart w:id="330" w:name="Note_APTTABLE1" w:colFirst="0" w:colLast="0"/>
            <w:r>
              <w:rPr>
                <w:rFonts w:cs="Calibri"/>
                <w:b/>
                <w:bCs/>
                <w:szCs w:val="18"/>
              </w:rPr>
              <w:t>Reconciliation of movements in provisions</w:t>
            </w:r>
          </w:p>
        </w:tc>
        <w:tc>
          <w:tcPr>
            <w:tcW w:w="984" w:type="dxa"/>
            <w:tcBorders>
              <w:top w:val="nil"/>
              <w:left w:val="nil"/>
              <w:bottom w:val="single" w:sz="4" w:space="0" w:color="auto"/>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w:t>
            </w:r>
          </w:p>
        </w:tc>
        <w:tc>
          <w:tcPr>
            <w:tcW w:w="1256" w:type="dxa"/>
            <w:tcBorders>
              <w:top w:val="nil"/>
              <w:left w:val="nil"/>
              <w:bottom w:val="single" w:sz="4" w:space="0" w:color="auto"/>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w:t>
            </w:r>
          </w:p>
        </w:tc>
        <w:tc>
          <w:tcPr>
            <w:tcW w:w="1256" w:type="dxa"/>
            <w:tcBorders>
              <w:top w:val="nil"/>
              <w:left w:val="nil"/>
              <w:bottom w:val="single" w:sz="4" w:space="0" w:color="auto"/>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w:t>
            </w:r>
          </w:p>
        </w:tc>
      </w:tr>
      <w:bookmarkEnd w:id="330"/>
      <w:tr w:rsidR="007E1E1E" w:rsidTr="00B50E5D">
        <w:trPr>
          <w:trHeight w:val="720"/>
        </w:trPr>
        <w:tc>
          <w:tcPr>
            <w:tcW w:w="4336" w:type="dxa"/>
            <w:tcBorders>
              <w:top w:val="single" w:sz="4" w:space="0" w:color="auto"/>
              <w:left w:val="nil"/>
              <w:bottom w:val="single" w:sz="4" w:space="0" w:color="D9D9D9"/>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984"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Provisions for grants</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Provisions for personal benefits</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Total</w:t>
            </w:r>
          </w:p>
        </w:tc>
      </w:tr>
      <w:tr w:rsidR="007E1E1E" w:rsidTr="00B50E5D">
        <w:trPr>
          <w:trHeight w:val="255"/>
        </w:trPr>
        <w:tc>
          <w:tcPr>
            <w:tcW w:w="4336" w:type="dxa"/>
            <w:tcBorders>
              <w:top w:val="nil"/>
              <w:left w:val="nil"/>
              <w:bottom w:val="single" w:sz="4" w:space="0" w:color="auto"/>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984" w:type="dxa"/>
            <w:tcBorders>
              <w:top w:val="nil"/>
              <w:left w:val="nil"/>
              <w:bottom w:val="single" w:sz="4" w:space="0" w:color="auto"/>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c>
          <w:tcPr>
            <w:tcW w:w="1256" w:type="dxa"/>
            <w:tcBorders>
              <w:top w:val="nil"/>
              <w:left w:val="nil"/>
              <w:bottom w:val="single" w:sz="4" w:space="0" w:color="auto"/>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c>
          <w:tcPr>
            <w:tcW w:w="1256" w:type="dxa"/>
            <w:tcBorders>
              <w:top w:val="nil"/>
              <w:left w:val="nil"/>
              <w:bottom w:val="single" w:sz="4" w:space="0" w:color="auto"/>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433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Opening balance from restructuring</w:t>
            </w:r>
          </w:p>
        </w:tc>
        <w:tc>
          <w:tcPr>
            <w:tcW w:w="984"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6,676,618 </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624,484 </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7,301,102 </w:t>
            </w:r>
          </w:p>
        </w:tc>
      </w:tr>
      <w:tr w:rsidR="007E1E1E" w:rsidTr="00B50E5D">
        <w:trPr>
          <w:trHeight w:val="255"/>
        </w:trPr>
        <w:tc>
          <w:tcPr>
            <w:tcW w:w="433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Additional provisions made</w:t>
            </w:r>
          </w:p>
        </w:tc>
        <w:tc>
          <w:tcPr>
            <w:tcW w:w="984"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801,010 </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801,010 </w:t>
            </w:r>
          </w:p>
        </w:tc>
      </w:tr>
      <w:tr w:rsidR="007E1E1E" w:rsidTr="00B50E5D">
        <w:trPr>
          <w:trHeight w:val="255"/>
        </w:trPr>
        <w:tc>
          <w:tcPr>
            <w:tcW w:w="433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Amounts used</w:t>
            </w:r>
          </w:p>
        </w:tc>
        <w:tc>
          <w:tcPr>
            <w:tcW w:w="984"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(94,106)</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(624,484)</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(718,590)</w:t>
            </w:r>
          </w:p>
        </w:tc>
      </w:tr>
      <w:tr w:rsidR="007E1E1E" w:rsidTr="00B50E5D">
        <w:trPr>
          <w:trHeight w:val="255"/>
        </w:trPr>
        <w:tc>
          <w:tcPr>
            <w:tcW w:w="433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Increase (decrease) in net cost of services</w:t>
            </w:r>
          </w:p>
        </w:tc>
        <w:tc>
          <w:tcPr>
            <w:tcW w:w="984"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376,492 </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376,492 </w:t>
            </w:r>
          </w:p>
        </w:tc>
      </w:tr>
      <w:tr w:rsidR="007E1E1E" w:rsidTr="00B50E5D">
        <w:trPr>
          <w:trHeight w:val="255"/>
        </w:trPr>
        <w:tc>
          <w:tcPr>
            <w:tcW w:w="433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Unwinding of discount or change in discount rate</w:t>
            </w:r>
          </w:p>
        </w:tc>
        <w:tc>
          <w:tcPr>
            <w:tcW w:w="984"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(91,235)</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(91,235)</w:t>
            </w:r>
          </w:p>
        </w:tc>
      </w:tr>
      <w:tr w:rsidR="007E1E1E" w:rsidTr="00B50E5D">
        <w:trPr>
          <w:trHeight w:val="255"/>
        </w:trPr>
        <w:tc>
          <w:tcPr>
            <w:tcW w:w="4336" w:type="dxa"/>
            <w:tcBorders>
              <w:top w:val="single" w:sz="4" w:space="0" w:color="auto"/>
              <w:left w:val="nil"/>
              <w:bottom w:val="single" w:sz="4" w:space="0" w:color="auto"/>
              <w:right w:val="nil"/>
            </w:tcBorders>
            <w:shd w:val="clear" w:color="000000" w:fill="D9D9D9"/>
            <w:vAlign w:val="bottom"/>
            <w:hideMark/>
          </w:tcPr>
          <w:p w:rsidR="007E1E1E" w:rsidRDefault="007E1E1E" w:rsidP="00B50E5D">
            <w:pPr>
              <w:rPr>
                <w:rFonts w:cs="Calibri"/>
                <w:b/>
                <w:bCs/>
                <w:szCs w:val="18"/>
              </w:rPr>
            </w:pPr>
            <w:r>
              <w:rPr>
                <w:rFonts w:cs="Calibri"/>
                <w:b/>
                <w:bCs/>
                <w:szCs w:val="18"/>
              </w:rPr>
              <w:t>Total as at 30 June 2014</w:t>
            </w:r>
          </w:p>
        </w:tc>
        <w:tc>
          <w:tcPr>
            <w:tcW w:w="984"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6,867,769</w:t>
            </w:r>
          </w:p>
        </w:tc>
        <w:tc>
          <w:tcPr>
            <w:tcW w:w="12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801,010</w:t>
            </w:r>
          </w:p>
        </w:tc>
        <w:tc>
          <w:tcPr>
            <w:tcW w:w="12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7,668,779</w:t>
            </w:r>
          </w:p>
        </w:tc>
      </w:tr>
    </w:tbl>
    <w:p w:rsidR="007E1E1E" w:rsidRDefault="007E1E1E" w:rsidP="007E1E1E"/>
    <w:p w:rsidR="007E1E1E" w:rsidRDefault="007E1E1E" w:rsidP="007E1E1E"/>
    <w:p w:rsidR="007E1E1E" w:rsidRDefault="007E1E1E" w:rsidP="007E1E1E"/>
    <w:p w:rsidR="007E1E1E" w:rsidRDefault="007E1E1E" w:rsidP="007E1E1E">
      <w:pPr>
        <w:spacing w:line="240" w:lineRule="auto"/>
      </w:pPr>
      <w:r>
        <w:br w:type="page"/>
      </w:r>
    </w:p>
    <w:p w:rsidR="007E1E1E" w:rsidRDefault="007E1E1E" w:rsidP="007E1E1E">
      <w:pPr>
        <w:spacing w:line="240" w:lineRule="auto"/>
        <w:sectPr w:rsidR="007E1E1E">
          <w:pgSz w:w="11906" w:h="16838"/>
          <w:pgMar w:top="1134" w:right="1134" w:bottom="1134" w:left="1134" w:header="958" w:footer="737" w:gutter="0"/>
          <w:cols w:space="720"/>
        </w:sectPr>
      </w:pPr>
    </w:p>
    <w:p w:rsidR="007E1E1E" w:rsidRDefault="007E1E1E" w:rsidP="007E1E1E">
      <w:pPr>
        <w:pStyle w:val="NotesHeading-Level1GreyShade"/>
        <w:numPr>
          <w:ilvl w:val="0"/>
          <w:numId w:val="13"/>
        </w:numPr>
      </w:pPr>
      <w:bookmarkStart w:id="331" w:name="_Toc400713267"/>
      <w:r>
        <w:lastRenderedPageBreak/>
        <w:t>Administered Cash Flow Reconciliation</w:t>
      </w:r>
      <w:bookmarkEnd w:id="331"/>
      <w:r>
        <w:t xml:space="preserve"> </w:t>
      </w:r>
    </w:p>
    <w:tbl>
      <w:tblPr>
        <w:tblW w:w="9087" w:type="dxa"/>
        <w:tblInd w:w="80" w:type="dxa"/>
        <w:tblLayout w:type="fixed"/>
        <w:tblLook w:val="04A0" w:firstRow="1" w:lastRow="0" w:firstColumn="1" w:lastColumn="0" w:noHBand="0" w:noVBand="1"/>
      </w:tblPr>
      <w:tblGrid>
        <w:gridCol w:w="7509"/>
        <w:gridCol w:w="1578"/>
      </w:tblGrid>
      <w:tr w:rsidR="007E1E1E" w:rsidTr="00B50E5D">
        <w:trPr>
          <w:trHeight w:val="255"/>
        </w:trPr>
        <w:tc>
          <w:tcPr>
            <w:tcW w:w="597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bookmarkStart w:id="332" w:name="Note_AFRTABLE1" w:colFirst="0" w:colLast="0"/>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2014</w:t>
            </w:r>
          </w:p>
        </w:tc>
      </w:tr>
      <w:bookmarkEnd w:id="332"/>
      <w:tr w:rsidR="007E1E1E" w:rsidTr="00B50E5D">
        <w:trPr>
          <w:trHeight w:val="255"/>
        </w:trPr>
        <w:tc>
          <w:tcPr>
            <w:tcW w:w="597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480"/>
        </w:trPr>
        <w:tc>
          <w:tcPr>
            <w:tcW w:w="597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Reconciliation of cash and cash equivalents as per administered schedule of assets and liabilities to administered cash flow statement</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597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597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Cash and cash equivalents as per</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597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Schedule of administered cash flows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597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Schedule of administered assets and liabilities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70"/>
        </w:trPr>
        <w:tc>
          <w:tcPr>
            <w:tcW w:w="597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Discrepancy</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70"/>
        </w:trPr>
        <w:tc>
          <w:tcPr>
            <w:tcW w:w="597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7232" w:type="dxa"/>
            <w:gridSpan w:val="2"/>
            <w:tcBorders>
              <w:top w:val="single" w:sz="4" w:space="0" w:color="D9D9D9"/>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Reconciliation of net cost of services to net cash from (used by) operating activities</w:t>
            </w:r>
          </w:p>
        </w:tc>
      </w:tr>
      <w:tr w:rsidR="007E1E1E" w:rsidTr="00B50E5D">
        <w:trPr>
          <w:trHeight w:val="255"/>
        </w:trPr>
        <w:tc>
          <w:tcPr>
            <w:tcW w:w="597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Cs w:val="18"/>
              </w:rPr>
            </w:pPr>
            <w:r>
              <w:rPr>
                <w:rFonts w:cs="Calibri"/>
                <w:szCs w:val="18"/>
              </w:rPr>
              <w:t xml:space="preserve">Net (cost of) </w:t>
            </w:r>
            <w:proofErr w:type="spellStart"/>
            <w:r>
              <w:rPr>
                <w:rFonts w:cs="Calibri"/>
                <w:szCs w:val="18"/>
              </w:rPr>
              <w:t>cotnribution</w:t>
            </w:r>
            <w:proofErr w:type="spellEnd"/>
            <w:r>
              <w:rPr>
                <w:rFonts w:cs="Calibri"/>
                <w:szCs w:val="18"/>
              </w:rPr>
              <w:t xml:space="preserve"> by services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(21,817,072)</w:t>
            </w:r>
          </w:p>
        </w:tc>
      </w:tr>
      <w:tr w:rsidR="007E1E1E" w:rsidTr="00B50E5D">
        <w:trPr>
          <w:trHeight w:val="255"/>
        </w:trPr>
        <w:tc>
          <w:tcPr>
            <w:tcW w:w="597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597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Adjustments for non-cash items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597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Net write down of non-financial assets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60,940 </w:t>
            </w:r>
          </w:p>
        </w:tc>
      </w:tr>
      <w:tr w:rsidR="007E1E1E" w:rsidTr="00B50E5D">
        <w:trPr>
          <w:trHeight w:val="255"/>
        </w:trPr>
        <w:tc>
          <w:tcPr>
            <w:tcW w:w="597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Concessional loan discount</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592,890 </w:t>
            </w:r>
          </w:p>
        </w:tc>
      </w:tr>
      <w:tr w:rsidR="007E1E1E" w:rsidTr="00B50E5D">
        <w:trPr>
          <w:trHeight w:val="255"/>
        </w:trPr>
        <w:tc>
          <w:tcPr>
            <w:tcW w:w="597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Fair value losses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860,240 </w:t>
            </w:r>
          </w:p>
        </w:tc>
      </w:tr>
      <w:tr w:rsidR="007E1E1E" w:rsidTr="00B50E5D">
        <w:trPr>
          <w:trHeight w:val="255"/>
        </w:trPr>
        <w:tc>
          <w:tcPr>
            <w:tcW w:w="597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Interest on loans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(408,815)</w:t>
            </w:r>
          </w:p>
        </w:tc>
      </w:tr>
      <w:tr w:rsidR="007E1E1E" w:rsidTr="00B50E5D">
        <w:trPr>
          <w:trHeight w:val="255"/>
        </w:trPr>
        <w:tc>
          <w:tcPr>
            <w:tcW w:w="597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Other revenues not providing cash</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(43,448)</w:t>
            </w:r>
          </w:p>
        </w:tc>
      </w:tr>
      <w:tr w:rsidR="007E1E1E" w:rsidTr="00B50E5D">
        <w:trPr>
          <w:trHeight w:val="255"/>
        </w:trPr>
        <w:tc>
          <w:tcPr>
            <w:tcW w:w="597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Fair value gains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(96,221)</w:t>
            </w:r>
          </w:p>
        </w:tc>
      </w:tr>
      <w:tr w:rsidR="007E1E1E" w:rsidTr="00B50E5D">
        <w:trPr>
          <w:trHeight w:val="255"/>
        </w:trPr>
        <w:tc>
          <w:tcPr>
            <w:tcW w:w="597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Unwinding of the discount</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(98,024)</w:t>
            </w:r>
          </w:p>
        </w:tc>
      </w:tr>
      <w:tr w:rsidR="007E1E1E" w:rsidTr="00B50E5D">
        <w:trPr>
          <w:trHeight w:val="255"/>
        </w:trPr>
        <w:tc>
          <w:tcPr>
            <w:tcW w:w="597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597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Movements in assets and liabilities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597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Assets</w:t>
            </w:r>
          </w:p>
        </w:tc>
        <w:tc>
          <w:tcPr>
            <w:tcW w:w="12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597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(Increase) / decrease in net receivables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(254,092)</w:t>
            </w:r>
          </w:p>
        </w:tc>
      </w:tr>
      <w:tr w:rsidR="007E1E1E" w:rsidTr="00B50E5D">
        <w:trPr>
          <w:trHeight w:val="255"/>
        </w:trPr>
        <w:tc>
          <w:tcPr>
            <w:tcW w:w="597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(Increase) / decrease in other non-financial assets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3,341 </w:t>
            </w:r>
          </w:p>
        </w:tc>
      </w:tr>
      <w:tr w:rsidR="007E1E1E" w:rsidTr="00B50E5D">
        <w:trPr>
          <w:trHeight w:val="255"/>
        </w:trPr>
        <w:tc>
          <w:tcPr>
            <w:tcW w:w="597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Liabilities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597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Increase / (decrease) in supplier payables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(334,601)</w:t>
            </w:r>
          </w:p>
        </w:tc>
      </w:tr>
      <w:tr w:rsidR="007E1E1E" w:rsidTr="00B50E5D">
        <w:trPr>
          <w:trHeight w:val="255"/>
        </w:trPr>
        <w:tc>
          <w:tcPr>
            <w:tcW w:w="597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Increase / (decrease) in grants payable</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10,771 </w:t>
            </w:r>
          </w:p>
        </w:tc>
      </w:tr>
      <w:tr w:rsidR="007E1E1E" w:rsidTr="00B50E5D">
        <w:trPr>
          <w:trHeight w:val="255"/>
        </w:trPr>
        <w:tc>
          <w:tcPr>
            <w:tcW w:w="597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Increase / (decrease) in personal benefits payable</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23,837 </w:t>
            </w:r>
          </w:p>
        </w:tc>
      </w:tr>
      <w:tr w:rsidR="007E1E1E" w:rsidTr="00B50E5D">
        <w:trPr>
          <w:trHeight w:val="255"/>
        </w:trPr>
        <w:tc>
          <w:tcPr>
            <w:tcW w:w="597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Increase / (decrease) in other payables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(3,864)</w:t>
            </w:r>
          </w:p>
        </w:tc>
      </w:tr>
      <w:tr w:rsidR="007E1E1E" w:rsidTr="00B50E5D">
        <w:trPr>
          <w:trHeight w:val="255"/>
        </w:trPr>
        <w:tc>
          <w:tcPr>
            <w:tcW w:w="597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Increase / (decrease) in provisions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372,663 </w:t>
            </w:r>
          </w:p>
        </w:tc>
      </w:tr>
      <w:tr w:rsidR="007E1E1E" w:rsidTr="00B50E5D">
        <w:trPr>
          <w:trHeight w:val="270"/>
        </w:trPr>
        <w:tc>
          <w:tcPr>
            <w:tcW w:w="5976" w:type="dxa"/>
            <w:tcBorders>
              <w:top w:val="single" w:sz="4" w:space="0" w:color="D9D9D9"/>
              <w:left w:val="nil"/>
              <w:bottom w:val="single" w:sz="24" w:space="0" w:color="D8D8D8"/>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Net cash from (used by) operating activities</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(21,131,455)</w:t>
            </w:r>
          </w:p>
        </w:tc>
      </w:tr>
    </w:tbl>
    <w:p w:rsidR="007E1E1E" w:rsidRDefault="007E1E1E" w:rsidP="007E1E1E">
      <w:pPr>
        <w:spacing w:line="240" w:lineRule="auto"/>
        <w:sectPr w:rsidR="007E1E1E">
          <w:pgSz w:w="11906" w:h="16838"/>
          <w:pgMar w:top="1134" w:right="1134" w:bottom="1134" w:left="1134" w:header="958" w:footer="737" w:gutter="0"/>
          <w:cols w:space="720"/>
        </w:sectPr>
      </w:pPr>
      <w:bookmarkStart w:id="333" w:name="RANGE!E7:H39"/>
      <w:bookmarkStart w:id="334" w:name="RANGE!E7:H38"/>
      <w:bookmarkStart w:id="335" w:name="RANGE!E7:H36"/>
      <w:bookmarkEnd w:id="333"/>
      <w:bookmarkEnd w:id="334"/>
      <w:bookmarkEnd w:id="335"/>
    </w:p>
    <w:p w:rsidR="007E1E1E" w:rsidRDefault="007E1E1E" w:rsidP="007E1E1E">
      <w:pPr>
        <w:pStyle w:val="NotesHeading-Level1GreyShade"/>
        <w:numPr>
          <w:ilvl w:val="0"/>
          <w:numId w:val="13"/>
        </w:numPr>
      </w:pPr>
      <w:bookmarkStart w:id="336" w:name="RANGE!E7:H34"/>
      <w:bookmarkStart w:id="337" w:name="RANGE!E7:H33"/>
      <w:bookmarkStart w:id="338" w:name="RANGE!E7:H32"/>
      <w:bookmarkStart w:id="339" w:name="RANGE!E6:H31"/>
      <w:bookmarkStart w:id="340" w:name="RANGE!E6:H36"/>
      <w:bookmarkStart w:id="341" w:name="RANGE!E6:H37"/>
      <w:bookmarkStart w:id="342" w:name="_Ref317489659"/>
      <w:bookmarkStart w:id="343" w:name="_Toc400713268"/>
      <w:bookmarkEnd w:id="336"/>
      <w:bookmarkEnd w:id="337"/>
      <w:bookmarkEnd w:id="338"/>
      <w:bookmarkEnd w:id="339"/>
      <w:bookmarkEnd w:id="340"/>
      <w:bookmarkEnd w:id="341"/>
      <w:r>
        <w:lastRenderedPageBreak/>
        <w:t>Administered Contingent Assets and Liabilities</w:t>
      </w:r>
      <w:bookmarkEnd w:id="342"/>
      <w:bookmarkEnd w:id="343"/>
    </w:p>
    <w:p w:rsidR="007E1E1E" w:rsidRDefault="007E1E1E" w:rsidP="007E1E1E">
      <w:pPr>
        <w:pStyle w:val="NotesHeading-Level1GreyShade"/>
        <w:numPr>
          <w:ilvl w:val="0"/>
          <w:numId w:val="0"/>
        </w:numPr>
        <w:ind w:left="360" w:hanging="360"/>
        <w:rPr>
          <w:rFonts w:ascii="Arial" w:hAnsi="Arial" w:cs="Arial"/>
          <w:sz w:val="16"/>
          <w:szCs w:val="16"/>
        </w:rPr>
      </w:pPr>
    </w:p>
    <w:p w:rsidR="007E1E1E" w:rsidRPr="002E50D7" w:rsidRDefault="007E1E1E" w:rsidP="007E1E1E">
      <w:pPr>
        <w:pStyle w:val="GreyShadeTableBreak"/>
        <w:rPr>
          <w:b/>
        </w:rPr>
      </w:pPr>
      <w:bookmarkStart w:id="344" w:name="_Toc400103292"/>
      <w:r w:rsidRPr="002E50D7">
        <w:rPr>
          <w:b/>
        </w:rPr>
        <w:t>Quantifiable Contingencies</w:t>
      </w:r>
      <w:bookmarkEnd w:id="344"/>
      <w:r w:rsidRPr="002E50D7">
        <w:rPr>
          <w:b/>
        </w:rPr>
        <w:t xml:space="preserve"> </w:t>
      </w:r>
    </w:p>
    <w:p w:rsidR="007E1E1E" w:rsidRPr="002E50D7" w:rsidRDefault="007E1E1E" w:rsidP="007E1E1E">
      <w:pPr>
        <w:pStyle w:val="GreyShadeTableBreak"/>
      </w:pPr>
    </w:p>
    <w:p w:rsidR="007E1E1E" w:rsidRPr="002E50D7" w:rsidRDefault="007E1E1E" w:rsidP="007E1E1E">
      <w:pPr>
        <w:pStyle w:val="GreyShadeTableBreak"/>
      </w:pPr>
      <w:bookmarkStart w:id="345" w:name="_Toc400103293"/>
      <w:r w:rsidRPr="002E50D7">
        <w:t>The department does not hold quantifiable contingent assets and liabilities.</w:t>
      </w:r>
      <w:bookmarkEnd w:id="345"/>
      <w:r w:rsidRPr="002E50D7">
        <w:t xml:space="preserve"> </w:t>
      </w:r>
    </w:p>
    <w:p w:rsidR="007E1E1E" w:rsidRPr="002E50D7" w:rsidRDefault="007E1E1E" w:rsidP="007E1E1E">
      <w:pPr>
        <w:pStyle w:val="GreyShadeTableBreak"/>
      </w:pPr>
    </w:p>
    <w:p w:rsidR="007E1E1E" w:rsidRPr="002E50D7" w:rsidRDefault="007E1E1E" w:rsidP="007E1E1E">
      <w:pPr>
        <w:pStyle w:val="GreyShadeTableBreak"/>
        <w:rPr>
          <w:b/>
        </w:rPr>
      </w:pPr>
      <w:bookmarkStart w:id="346" w:name="_Toc400103294"/>
      <w:r w:rsidRPr="002E50D7">
        <w:rPr>
          <w:b/>
        </w:rPr>
        <w:t>Unquantifiable Contingencies</w:t>
      </w:r>
      <w:bookmarkEnd w:id="346"/>
      <w:r w:rsidRPr="002E50D7">
        <w:rPr>
          <w:b/>
        </w:rPr>
        <w:t xml:space="preserve"> </w:t>
      </w:r>
    </w:p>
    <w:p w:rsidR="007E1E1E" w:rsidRPr="002E50D7" w:rsidRDefault="007E1E1E" w:rsidP="007E1E1E">
      <w:pPr>
        <w:pStyle w:val="GreyShadeTableBreak"/>
      </w:pPr>
    </w:p>
    <w:p w:rsidR="007E1E1E" w:rsidRPr="002E50D7" w:rsidRDefault="007E1E1E" w:rsidP="007E1E1E">
      <w:pPr>
        <w:pStyle w:val="GreyShadeTableBreak"/>
      </w:pPr>
      <w:bookmarkStart w:id="347" w:name="_Toc400103295"/>
      <w:r w:rsidRPr="002E50D7">
        <w:t>At 30 June 2014, the department had no legal claims against it.</w:t>
      </w:r>
      <w:bookmarkEnd w:id="347"/>
      <w:r w:rsidRPr="002E50D7">
        <w:t xml:space="preserve"> </w:t>
      </w:r>
    </w:p>
    <w:p w:rsidR="007E1E1E" w:rsidRPr="002E50D7" w:rsidRDefault="007E1E1E" w:rsidP="007E1E1E">
      <w:pPr>
        <w:pStyle w:val="GreyShadeTableBreak"/>
      </w:pPr>
    </w:p>
    <w:p w:rsidR="007E1E1E" w:rsidRPr="002E50D7" w:rsidRDefault="007E1E1E" w:rsidP="007E1E1E">
      <w:pPr>
        <w:pStyle w:val="GreyShadeTableBreak"/>
        <w:rPr>
          <w:b/>
        </w:rPr>
      </w:pPr>
      <w:bookmarkStart w:id="348" w:name="_Toc400103296"/>
      <w:r w:rsidRPr="002E50D7">
        <w:rPr>
          <w:b/>
        </w:rPr>
        <w:t>Significant Remote Contingencies</w:t>
      </w:r>
      <w:bookmarkEnd w:id="348"/>
    </w:p>
    <w:p w:rsidR="007E1E1E" w:rsidRPr="002E50D7" w:rsidRDefault="007E1E1E" w:rsidP="007E1E1E">
      <w:pPr>
        <w:pStyle w:val="GreyShadeTableBreak"/>
      </w:pPr>
    </w:p>
    <w:p w:rsidR="007E1E1E" w:rsidRDefault="007E1E1E" w:rsidP="007E1E1E">
      <w:pPr>
        <w:pStyle w:val="GreyShadeTableBreak"/>
      </w:pPr>
      <w:bookmarkStart w:id="349" w:name="_Toc400103297"/>
      <w:r w:rsidRPr="002E50D7">
        <w:t>The department had no significant remote contingencies.</w:t>
      </w:r>
      <w:bookmarkEnd w:id="349"/>
    </w:p>
    <w:p w:rsidR="007E1E1E" w:rsidRDefault="007E1E1E" w:rsidP="007E1E1E">
      <w:bookmarkStart w:id="350" w:name="RANGE!D7:M25"/>
      <w:bookmarkStart w:id="351" w:name="RANGE!D6:M24"/>
      <w:bookmarkStart w:id="352" w:name="RANGE!D6:M23"/>
      <w:bookmarkStart w:id="353" w:name="RANGE!D6:K23"/>
      <w:bookmarkEnd w:id="350"/>
      <w:bookmarkEnd w:id="351"/>
      <w:bookmarkEnd w:id="352"/>
      <w:bookmarkEnd w:id="353"/>
    </w:p>
    <w:p w:rsidR="007E1E1E" w:rsidRDefault="007E1E1E" w:rsidP="007E1E1E">
      <w:r>
        <w:br w:type="page"/>
      </w:r>
    </w:p>
    <w:p w:rsidR="007E1E1E" w:rsidRDefault="007E1E1E" w:rsidP="007E1E1E">
      <w:pPr>
        <w:pStyle w:val="NotesHeading-Level1GreyShade"/>
        <w:numPr>
          <w:ilvl w:val="0"/>
          <w:numId w:val="13"/>
        </w:numPr>
      </w:pPr>
      <w:bookmarkStart w:id="354" w:name="_Toc400713269"/>
      <w:r>
        <w:lastRenderedPageBreak/>
        <w:t>Administered Financial Instruments</w:t>
      </w:r>
      <w:bookmarkEnd w:id="354"/>
    </w:p>
    <w:tbl>
      <w:tblPr>
        <w:tblW w:w="9087" w:type="dxa"/>
        <w:tblInd w:w="80" w:type="dxa"/>
        <w:tblLayout w:type="fixed"/>
        <w:tblLook w:val="04A0" w:firstRow="1" w:lastRow="0" w:firstColumn="1" w:lastColumn="0" w:noHBand="0" w:noVBand="1"/>
      </w:tblPr>
      <w:tblGrid>
        <w:gridCol w:w="7279"/>
        <w:gridCol w:w="1808"/>
      </w:tblGrid>
      <w:tr w:rsidR="007E1E1E" w:rsidTr="00B50E5D">
        <w:trPr>
          <w:trHeight w:val="255"/>
        </w:trPr>
        <w:tc>
          <w:tcPr>
            <w:tcW w:w="50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bookmarkStart w:id="355" w:name="RANGE!D7:D35"/>
            <w:bookmarkStart w:id="356" w:name="Note_AFATABLE1" w:colFirst="0" w:colLast="0"/>
            <w:r>
              <w:rPr>
                <w:rFonts w:ascii="Arial" w:hAnsi="Arial" w:cs="Arial"/>
                <w:sz w:val="16"/>
                <w:szCs w:val="16"/>
              </w:rPr>
              <w:t> </w:t>
            </w:r>
            <w:bookmarkEnd w:id="355"/>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2014</w:t>
            </w:r>
          </w:p>
        </w:tc>
      </w:tr>
      <w:bookmarkEnd w:id="356"/>
      <w:tr w:rsidR="007E1E1E" w:rsidTr="00B50E5D">
        <w:trPr>
          <w:trHeight w:val="255"/>
        </w:trPr>
        <w:tc>
          <w:tcPr>
            <w:tcW w:w="50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5056" w:type="dxa"/>
            <w:tcBorders>
              <w:top w:val="nil"/>
              <w:left w:val="nil"/>
              <w:bottom w:val="nil"/>
              <w:right w:val="nil"/>
            </w:tcBorders>
            <w:shd w:val="clear" w:color="000000" w:fill="D9D9D9"/>
            <w:noWrap/>
            <w:hideMark/>
          </w:tcPr>
          <w:p w:rsidR="007E1E1E" w:rsidRDefault="007E1E1E"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26A</w:t>
            </w:r>
            <w:proofErr w:type="spellEnd"/>
            <w:r>
              <w:rPr>
                <w:rFonts w:cs="Calibri"/>
                <w:b/>
                <w:bCs/>
                <w:szCs w:val="18"/>
                <w:u w:val="single"/>
              </w:rPr>
              <w:t>: Categories of financial instruments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50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50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Financial Assets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50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Available for sale financial assets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50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Investments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2,149,026 </w:t>
            </w:r>
          </w:p>
        </w:tc>
      </w:tr>
      <w:tr w:rsidR="007E1E1E" w:rsidTr="00B50E5D">
        <w:trPr>
          <w:trHeight w:val="255"/>
        </w:trPr>
        <w:tc>
          <w:tcPr>
            <w:tcW w:w="50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Total available-for sale financial assets</w:t>
            </w:r>
          </w:p>
        </w:tc>
        <w:tc>
          <w:tcPr>
            <w:tcW w:w="12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2,149,026</w:t>
            </w:r>
          </w:p>
        </w:tc>
      </w:tr>
      <w:tr w:rsidR="007E1E1E" w:rsidTr="00B50E5D">
        <w:trPr>
          <w:trHeight w:val="255"/>
        </w:trPr>
        <w:tc>
          <w:tcPr>
            <w:tcW w:w="50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7E1E1E" w:rsidRDefault="007E1E1E" w:rsidP="00B50E5D">
            <w:pPr>
              <w:rPr>
                <w:rFonts w:cs="Calibri"/>
                <w:b/>
                <w:bCs/>
                <w:szCs w:val="18"/>
              </w:rPr>
            </w:pPr>
            <w:r>
              <w:rPr>
                <w:rFonts w:cs="Calibri"/>
                <w:b/>
                <w:bCs/>
                <w:szCs w:val="18"/>
              </w:rPr>
              <w:t> </w:t>
            </w:r>
          </w:p>
        </w:tc>
      </w:tr>
      <w:tr w:rsidR="007E1E1E" w:rsidTr="00B50E5D">
        <w:trPr>
          <w:trHeight w:val="255"/>
        </w:trPr>
        <w:tc>
          <w:tcPr>
            <w:tcW w:w="50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Loans and receivables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b/>
                <w:bCs/>
                <w:sz w:val="16"/>
                <w:szCs w:val="16"/>
              </w:rPr>
            </w:pPr>
            <w:r>
              <w:rPr>
                <w:rFonts w:ascii="Arial" w:hAnsi="Arial" w:cs="Arial"/>
                <w:b/>
                <w:bCs/>
                <w:sz w:val="16"/>
                <w:szCs w:val="16"/>
              </w:rPr>
              <w:t> </w:t>
            </w:r>
          </w:p>
        </w:tc>
      </w:tr>
      <w:tr w:rsidR="007E1E1E" w:rsidTr="00B50E5D">
        <w:trPr>
          <w:trHeight w:val="255"/>
        </w:trPr>
        <w:tc>
          <w:tcPr>
            <w:tcW w:w="50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Cash and cash equivalents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50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Goods and services receivable</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24,164 </w:t>
            </w:r>
          </w:p>
        </w:tc>
      </w:tr>
      <w:tr w:rsidR="007E1E1E" w:rsidTr="00B50E5D">
        <w:trPr>
          <w:trHeight w:val="255"/>
        </w:trPr>
        <w:tc>
          <w:tcPr>
            <w:tcW w:w="50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Total loans and receivables</w:t>
            </w:r>
          </w:p>
        </w:tc>
        <w:tc>
          <w:tcPr>
            <w:tcW w:w="12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24,164</w:t>
            </w:r>
          </w:p>
        </w:tc>
      </w:tr>
      <w:tr w:rsidR="007E1E1E" w:rsidTr="00B50E5D">
        <w:trPr>
          <w:trHeight w:val="255"/>
        </w:trPr>
        <w:tc>
          <w:tcPr>
            <w:tcW w:w="50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7E1E1E" w:rsidRDefault="007E1E1E" w:rsidP="00B50E5D">
            <w:pPr>
              <w:rPr>
                <w:rFonts w:cs="Calibri"/>
                <w:b/>
                <w:bCs/>
                <w:szCs w:val="18"/>
              </w:rPr>
            </w:pPr>
            <w:r>
              <w:rPr>
                <w:rFonts w:cs="Calibri"/>
                <w:b/>
                <w:bCs/>
                <w:szCs w:val="18"/>
              </w:rPr>
              <w:t> </w:t>
            </w:r>
          </w:p>
        </w:tc>
      </w:tr>
      <w:tr w:rsidR="007E1E1E" w:rsidTr="00B50E5D">
        <w:trPr>
          <w:trHeight w:val="255"/>
        </w:trPr>
        <w:tc>
          <w:tcPr>
            <w:tcW w:w="50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Financial assets at fair value through profit or loss (designated)</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b/>
                <w:bCs/>
                <w:sz w:val="16"/>
                <w:szCs w:val="16"/>
              </w:rPr>
            </w:pPr>
            <w:r>
              <w:rPr>
                <w:rFonts w:ascii="Arial" w:hAnsi="Arial" w:cs="Arial"/>
                <w:b/>
                <w:bCs/>
                <w:sz w:val="16"/>
                <w:szCs w:val="16"/>
              </w:rPr>
              <w:t> </w:t>
            </w:r>
          </w:p>
        </w:tc>
      </w:tr>
      <w:tr w:rsidR="007E1E1E" w:rsidTr="00B50E5D">
        <w:trPr>
          <w:trHeight w:val="255"/>
        </w:trPr>
        <w:tc>
          <w:tcPr>
            <w:tcW w:w="50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proofErr w:type="spellStart"/>
            <w:r>
              <w:rPr>
                <w:rFonts w:cs="Calibri"/>
                <w:szCs w:val="18"/>
              </w:rPr>
              <w:t>HECS</w:t>
            </w:r>
            <w:proofErr w:type="spellEnd"/>
            <w:r>
              <w:rPr>
                <w:rFonts w:cs="Calibri"/>
                <w:szCs w:val="18"/>
              </w:rPr>
              <w:t>\HELP Loans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25,147,139 </w:t>
            </w:r>
          </w:p>
        </w:tc>
      </w:tr>
      <w:tr w:rsidR="007E1E1E" w:rsidTr="00B50E5D">
        <w:trPr>
          <w:trHeight w:val="255"/>
        </w:trPr>
        <w:tc>
          <w:tcPr>
            <w:tcW w:w="50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Other loans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727 </w:t>
            </w:r>
          </w:p>
        </w:tc>
      </w:tr>
      <w:tr w:rsidR="007E1E1E" w:rsidTr="00B50E5D">
        <w:trPr>
          <w:trHeight w:val="255"/>
        </w:trPr>
        <w:tc>
          <w:tcPr>
            <w:tcW w:w="50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Total assets at fair value through profit or loss (designated)</w:t>
            </w:r>
          </w:p>
        </w:tc>
        <w:tc>
          <w:tcPr>
            <w:tcW w:w="12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25,147,866</w:t>
            </w:r>
          </w:p>
        </w:tc>
      </w:tr>
      <w:tr w:rsidR="007E1E1E" w:rsidTr="00B50E5D">
        <w:trPr>
          <w:trHeight w:val="255"/>
        </w:trPr>
        <w:tc>
          <w:tcPr>
            <w:tcW w:w="50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b/>
                <w:bCs/>
                <w:sz w:val="16"/>
                <w:szCs w:val="16"/>
              </w:rPr>
            </w:pPr>
            <w:r>
              <w:rPr>
                <w:rFonts w:ascii="Arial" w:hAnsi="Arial" w:cs="Arial"/>
                <w:b/>
                <w:bCs/>
                <w:sz w:val="16"/>
                <w:szCs w:val="16"/>
              </w:rPr>
              <w:t> </w:t>
            </w:r>
          </w:p>
        </w:tc>
      </w:tr>
      <w:tr w:rsidR="007E1E1E" w:rsidTr="00B50E5D">
        <w:trPr>
          <w:trHeight w:val="270"/>
        </w:trPr>
        <w:tc>
          <w:tcPr>
            <w:tcW w:w="50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Total financial assets categorised as financial instruments</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27,321,056</w:t>
            </w:r>
          </w:p>
        </w:tc>
      </w:tr>
      <w:tr w:rsidR="007E1E1E" w:rsidTr="00B50E5D">
        <w:trPr>
          <w:trHeight w:val="270"/>
        </w:trPr>
        <w:tc>
          <w:tcPr>
            <w:tcW w:w="50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b/>
                <w:bCs/>
                <w:sz w:val="16"/>
                <w:szCs w:val="16"/>
              </w:rPr>
            </w:pPr>
            <w:r>
              <w:rPr>
                <w:rFonts w:ascii="Arial" w:hAnsi="Arial" w:cs="Arial"/>
                <w:b/>
                <w:bCs/>
                <w:sz w:val="16"/>
                <w:szCs w:val="16"/>
              </w:rPr>
              <w:t> </w:t>
            </w:r>
          </w:p>
        </w:tc>
      </w:tr>
      <w:tr w:rsidR="007E1E1E" w:rsidTr="00B50E5D">
        <w:trPr>
          <w:trHeight w:val="255"/>
        </w:trPr>
        <w:tc>
          <w:tcPr>
            <w:tcW w:w="50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Financial Liabilities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b/>
                <w:bCs/>
                <w:sz w:val="16"/>
                <w:szCs w:val="16"/>
              </w:rPr>
            </w:pPr>
            <w:r>
              <w:rPr>
                <w:rFonts w:ascii="Arial" w:hAnsi="Arial" w:cs="Arial"/>
                <w:b/>
                <w:bCs/>
                <w:sz w:val="16"/>
                <w:szCs w:val="16"/>
              </w:rPr>
              <w:t> </w:t>
            </w:r>
          </w:p>
        </w:tc>
      </w:tr>
      <w:tr w:rsidR="007E1E1E" w:rsidTr="00B50E5D">
        <w:trPr>
          <w:trHeight w:val="255"/>
        </w:trPr>
        <w:tc>
          <w:tcPr>
            <w:tcW w:w="50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Financial liabilities measured at amortised cost</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b/>
                <w:bCs/>
                <w:sz w:val="16"/>
                <w:szCs w:val="16"/>
              </w:rPr>
            </w:pPr>
            <w:r>
              <w:rPr>
                <w:rFonts w:ascii="Arial" w:hAnsi="Arial" w:cs="Arial"/>
                <w:b/>
                <w:bCs/>
                <w:sz w:val="16"/>
                <w:szCs w:val="16"/>
              </w:rPr>
              <w:t> </w:t>
            </w:r>
          </w:p>
        </w:tc>
      </w:tr>
      <w:tr w:rsidR="007E1E1E" w:rsidTr="00B50E5D">
        <w:trPr>
          <w:trHeight w:val="255"/>
        </w:trPr>
        <w:tc>
          <w:tcPr>
            <w:tcW w:w="50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Trade creditors and accruals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36,884 </w:t>
            </w:r>
          </w:p>
        </w:tc>
      </w:tr>
      <w:tr w:rsidR="007E1E1E" w:rsidTr="00B50E5D">
        <w:trPr>
          <w:trHeight w:val="255"/>
        </w:trPr>
        <w:tc>
          <w:tcPr>
            <w:tcW w:w="50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Grants payable</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24,434 </w:t>
            </w:r>
          </w:p>
        </w:tc>
      </w:tr>
      <w:tr w:rsidR="007E1E1E" w:rsidTr="00B50E5D">
        <w:trPr>
          <w:trHeight w:val="255"/>
        </w:trPr>
        <w:tc>
          <w:tcPr>
            <w:tcW w:w="50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Total financial liabilities measured at amortised cost</w:t>
            </w:r>
          </w:p>
        </w:tc>
        <w:tc>
          <w:tcPr>
            <w:tcW w:w="12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61,318</w:t>
            </w:r>
          </w:p>
        </w:tc>
      </w:tr>
      <w:tr w:rsidR="007E1E1E" w:rsidTr="00B50E5D">
        <w:trPr>
          <w:trHeight w:val="255"/>
        </w:trPr>
        <w:tc>
          <w:tcPr>
            <w:tcW w:w="50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b/>
                <w:bCs/>
                <w:sz w:val="16"/>
                <w:szCs w:val="16"/>
              </w:rPr>
            </w:pPr>
            <w:r>
              <w:rPr>
                <w:rFonts w:ascii="Arial" w:hAnsi="Arial" w:cs="Arial"/>
                <w:b/>
                <w:bCs/>
                <w:sz w:val="16"/>
                <w:szCs w:val="16"/>
              </w:rPr>
              <w:t> </w:t>
            </w:r>
          </w:p>
        </w:tc>
      </w:tr>
      <w:tr w:rsidR="007E1E1E" w:rsidTr="00B50E5D">
        <w:trPr>
          <w:trHeight w:val="270"/>
        </w:trPr>
        <w:tc>
          <w:tcPr>
            <w:tcW w:w="5056" w:type="dxa"/>
            <w:tcBorders>
              <w:top w:val="single" w:sz="4" w:space="0" w:color="D9D9D9"/>
              <w:left w:val="nil"/>
              <w:bottom w:val="single" w:sz="24" w:space="0" w:color="D8D8D8"/>
              <w:right w:val="nil"/>
            </w:tcBorders>
            <w:shd w:val="clear" w:color="000000" w:fill="D9D9D9"/>
            <w:vAlign w:val="bottom"/>
            <w:hideMark/>
          </w:tcPr>
          <w:p w:rsidR="007E1E1E" w:rsidRDefault="007E1E1E" w:rsidP="00B50E5D">
            <w:pPr>
              <w:rPr>
                <w:rFonts w:cs="Calibri"/>
                <w:b/>
                <w:bCs/>
                <w:szCs w:val="18"/>
              </w:rPr>
            </w:pPr>
            <w:r>
              <w:rPr>
                <w:rFonts w:cs="Calibri"/>
                <w:b/>
                <w:bCs/>
                <w:szCs w:val="18"/>
              </w:rPr>
              <w:t>Total financial liabilities</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61,318</w:t>
            </w:r>
          </w:p>
        </w:tc>
      </w:tr>
    </w:tbl>
    <w:p w:rsidR="007E1E1E" w:rsidRDefault="007E1E1E" w:rsidP="007E1E1E">
      <w:pPr>
        <w:spacing w:line="240" w:lineRule="auto"/>
      </w:pPr>
      <w:r>
        <w:br w:type="page"/>
      </w:r>
      <w:bookmarkStart w:id="357" w:name="RANGE!D7:G37"/>
      <w:bookmarkStart w:id="358" w:name="RANGE!D6:G36"/>
      <w:bookmarkStart w:id="359" w:name="RANGE!D6:G45"/>
      <w:bookmarkEnd w:id="357"/>
      <w:bookmarkEnd w:id="358"/>
      <w:bookmarkEnd w:id="359"/>
    </w:p>
    <w:tbl>
      <w:tblPr>
        <w:tblW w:w="9087" w:type="dxa"/>
        <w:tblInd w:w="80" w:type="dxa"/>
        <w:tblLayout w:type="fixed"/>
        <w:tblLook w:val="04A0" w:firstRow="1" w:lastRow="0" w:firstColumn="1" w:lastColumn="0" w:noHBand="0" w:noVBand="1"/>
      </w:tblPr>
      <w:tblGrid>
        <w:gridCol w:w="7301"/>
        <w:gridCol w:w="1786"/>
      </w:tblGrid>
      <w:tr w:rsidR="007E1E1E" w:rsidTr="00B50E5D">
        <w:trPr>
          <w:trHeight w:val="255"/>
        </w:trPr>
        <w:tc>
          <w:tcPr>
            <w:tcW w:w="5136" w:type="dxa"/>
            <w:tcBorders>
              <w:top w:val="nil"/>
              <w:left w:val="nil"/>
              <w:bottom w:val="nil"/>
              <w:right w:val="nil"/>
            </w:tcBorders>
            <w:shd w:val="clear" w:color="000000" w:fill="D9D9D9"/>
            <w:noWrap/>
            <w:hideMark/>
          </w:tcPr>
          <w:p w:rsidR="007E1E1E" w:rsidRDefault="007E1E1E" w:rsidP="00B50E5D">
            <w:pPr>
              <w:rPr>
                <w:rFonts w:cs="Calibri"/>
                <w:b/>
                <w:bCs/>
                <w:szCs w:val="18"/>
                <w:u w:val="single"/>
              </w:rPr>
            </w:pPr>
            <w:bookmarkStart w:id="360" w:name="Note_AFBTABLE1" w:colFirst="0" w:colLast="0"/>
            <w:r>
              <w:rPr>
                <w:rFonts w:cs="Calibri"/>
                <w:b/>
                <w:bCs/>
                <w:szCs w:val="18"/>
                <w:u w:val="single"/>
              </w:rPr>
              <w:lastRenderedPageBreak/>
              <w:t xml:space="preserve">Note </w:t>
            </w:r>
            <w:proofErr w:type="spellStart"/>
            <w:r>
              <w:rPr>
                <w:rFonts w:cs="Calibri"/>
                <w:b/>
                <w:bCs/>
                <w:szCs w:val="18"/>
                <w:u w:val="single"/>
              </w:rPr>
              <w:t>26B</w:t>
            </w:r>
            <w:proofErr w:type="spellEnd"/>
            <w:r>
              <w:rPr>
                <w:rFonts w:cs="Calibri"/>
                <w:b/>
                <w:bCs/>
                <w:szCs w:val="18"/>
                <w:u w:val="single"/>
              </w:rPr>
              <w:t>: Net gains or losses on financial assets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bookmarkEnd w:id="360"/>
      <w:tr w:rsidR="007E1E1E" w:rsidTr="00B50E5D">
        <w:trPr>
          <w:trHeight w:val="255"/>
        </w:trPr>
        <w:tc>
          <w:tcPr>
            <w:tcW w:w="51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2014</w:t>
            </w:r>
          </w:p>
        </w:tc>
      </w:tr>
      <w:tr w:rsidR="007E1E1E" w:rsidTr="00B50E5D">
        <w:trPr>
          <w:trHeight w:val="255"/>
        </w:trPr>
        <w:tc>
          <w:tcPr>
            <w:tcW w:w="51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51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513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Available for sale financial assets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513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Gain (loss) recognised in equity</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142,920 </w:t>
            </w:r>
          </w:p>
        </w:tc>
      </w:tr>
      <w:tr w:rsidR="007E1E1E" w:rsidTr="00B50E5D">
        <w:trPr>
          <w:trHeight w:val="255"/>
        </w:trPr>
        <w:tc>
          <w:tcPr>
            <w:tcW w:w="513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Net gains (losses) from available-for-sale financial assets</w:t>
            </w:r>
          </w:p>
        </w:tc>
        <w:tc>
          <w:tcPr>
            <w:tcW w:w="12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142,920</w:t>
            </w:r>
          </w:p>
        </w:tc>
      </w:tr>
      <w:tr w:rsidR="007E1E1E" w:rsidTr="00B50E5D">
        <w:trPr>
          <w:trHeight w:val="255"/>
        </w:trPr>
        <w:tc>
          <w:tcPr>
            <w:tcW w:w="51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513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Loans and receivables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513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Interest revenue</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381 </w:t>
            </w:r>
          </w:p>
        </w:tc>
      </w:tr>
      <w:tr w:rsidR="007E1E1E" w:rsidTr="00B50E5D">
        <w:trPr>
          <w:trHeight w:val="255"/>
        </w:trPr>
        <w:tc>
          <w:tcPr>
            <w:tcW w:w="513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Write-down and impairment</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(3,190)</w:t>
            </w:r>
          </w:p>
        </w:tc>
      </w:tr>
      <w:tr w:rsidR="007E1E1E" w:rsidTr="00B50E5D">
        <w:trPr>
          <w:trHeight w:val="255"/>
        </w:trPr>
        <w:tc>
          <w:tcPr>
            <w:tcW w:w="513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Net gains (losses) from loans and receivables</w:t>
            </w:r>
          </w:p>
        </w:tc>
        <w:tc>
          <w:tcPr>
            <w:tcW w:w="12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(2,809)</w:t>
            </w:r>
          </w:p>
        </w:tc>
      </w:tr>
      <w:tr w:rsidR="007E1E1E" w:rsidTr="00B50E5D">
        <w:trPr>
          <w:trHeight w:val="255"/>
        </w:trPr>
        <w:tc>
          <w:tcPr>
            <w:tcW w:w="51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513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Financial assets at fair value through profit or loss (designated)</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513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Interest revenue</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506,459 </w:t>
            </w:r>
          </w:p>
        </w:tc>
      </w:tr>
      <w:tr w:rsidR="007E1E1E" w:rsidTr="00B50E5D">
        <w:trPr>
          <w:trHeight w:val="255"/>
        </w:trPr>
        <w:tc>
          <w:tcPr>
            <w:tcW w:w="513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Unwinding of discount</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(592,890)</w:t>
            </w:r>
          </w:p>
        </w:tc>
      </w:tr>
      <w:tr w:rsidR="007E1E1E" w:rsidTr="00B50E5D">
        <w:trPr>
          <w:trHeight w:val="255"/>
        </w:trPr>
        <w:tc>
          <w:tcPr>
            <w:tcW w:w="513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Fair value gain/(losses)</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(860,240)</w:t>
            </w:r>
          </w:p>
        </w:tc>
      </w:tr>
      <w:tr w:rsidR="007E1E1E" w:rsidTr="00B50E5D">
        <w:trPr>
          <w:trHeight w:val="255"/>
        </w:trPr>
        <w:tc>
          <w:tcPr>
            <w:tcW w:w="513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Net gains (losses) at fair value through profit or loss (designated)</w:t>
            </w:r>
          </w:p>
        </w:tc>
        <w:tc>
          <w:tcPr>
            <w:tcW w:w="12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(946,671)</w:t>
            </w:r>
          </w:p>
        </w:tc>
      </w:tr>
      <w:tr w:rsidR="007E1E1E" w:rsidTr="00B50E5D">
        <w:trPr>
          <w:trHeight w:val="255"/>
        </w:trPr>
        <w:tc>
          <w:tcPr>
            <w:tcW w:w="51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70"/>
        </w:trPr>
        <w:tc>
          <w:tcPr>
            <w:tcW w:w="5136" w:type="dxa"/>
            <w:tcBorders>
              <w:top w:val="single" w:sz="4" w:space="0" w:color="D9D9D9"/>
              <w:left w:val="nil"/>
              <w:bottom w:val="single" w:sz="24" w:space="0" w:color="D8D8D8"/>
              <w:right w:val="nil"/>
            </w:tcBorders>
            <w:shd w:val="clear" w:color="000000" w:fill="D9D9D9"/>
            <w:vAlign w:val="bottom"/>
            <w:hideMark/>
          </w:tcPr>
          <w:p w:rsidR="007E1E1E" w:rsidRDefault="007E1E1E" w:rsidP="00B50E5D">
            <w:pPr>
              <w:rPr>
                <w:rFonts w:cs="Calibri"/>
                <w:b/>
                <w:bCs/>
                <w:szCs w:val="18"/>
              </w:rPr>
            </w:pPr>
            <w:r>
              <w:rPr>
                <w:rFonts w:cs="Calibri"/>
                <w:b/>
                <w:bCs/>
                <w:szCs w:val="18"/>
              </w:rPr>
              <w:t>Net gains (losses) on financial assets</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(806,560)</w:t>
            </w:r>
          </w:p>
        </w:tc>
      </w:tr>
    </w:tbl>
    <w:p w:rsidR="007E1E1E" w:rsidRDefault="007E1E1E" w:rsidP="007E1E1E">
      <w:pPr>
        <w:spacing w:line="240" w:lineRule="auto"/>
        <w:sectPr w:rsidR="007E1E1E">
          <w:pgSz w:w="11906" w:h="16838"/>
          <w:pgMar w:top="1134" w:right="1134" w:bottom="1134" w:left="1134" w:header="958" w:footer="737" w:gutter="0"/>
          <w:cols w:space="720"/>
        </w:sectPr>
      </w:pPr>
    </w:p>
    <w:tbl>
      <w:tblPr>
        <w:tblW w:w="9087" w:type="dxa"/>
        <w:tblInd w:w="80" w:type="dxa"/>
        <w:tblLayout w:type="fixed"/>
        <w:tblLook w:val="04A0" w:firstRow="1" w:lastRow="0" w:firstColumn="1" w:lastColumn="0" w:noHBand="0" w:noVBand="1"/>
      </w:tblPr>
      <w:tblGrid>
        <w:gridCol w:w="4651"/>
        <w:gridCol w:w="1053"/>
        <w:gridCol w:w="985"/>
        <w:gridCol w:w="1165"/>
        <w:gridCol w:w="1233"/>
      </w:tblGrid>
      <w:tr w:rsidR="007E1E1E" w:rsidTr="00B50E5D">
        <w:trPr>
          <w:trHeight w:val="255"/>
        </w:trPr>
        <w:tc>
          <w:tcPr>
            <w:tcW w:w="4136" w:type="dxa"/>
            <w:tcBorders>
              <w:top w:val="nil"/>
              <w:left w:val="nil"/>
              <w:bottom w:val="nil"/>
              <w:right w:val="nil"/>
            </w:tcBorders>
            <w:shd w:val="clear" w:color="000000" w:fill="D9D9D9"/>
            <w:noWrap/>
            <w:hideMark/>
          </w:tcPr>
          <w:p w:rsidR="007E1E1E" w:rsidRDefault="007E1E1E" w:rsidP="00B50E5D">
            <w:pPr>
              <w:rPr>
                <w:rFonts w:cs="Calibri"/>
                <w:b/>
                <w:bCs/>
                <w:szCs w:val="18"/>
                <w:u w:val="single"/>
              </w:rPr>
            </w:pPr>
            <w:bookmarkStart w:id="361" w:name="RANGE!D7:D29"/>
            <w:bookmarkStart w:id="362" w:name="Note_AFGTABLE1" w:colFirst="0" w:colLast="0"/>
            <w:r>
              <w:rPr>
                <w:rFonts w:cs="Calibri"/>
                <w:b/>
                <w:bCs/>
                <w:szCs w:val="18"/>
                <w:u w:val="single"/>
              </w:rPr>
              <w:lastRenderedPageBreak/>
              <w:t xml:space="preserve">Note </w:t>
            </w:r>
            <w:proofErr w:type="spellStart"/>
            <w:r>
              <w:rPr>
                <w:rFonts w:cs="Calibri"/>
                <w:b/>
                <w:bCs/>
                <w:szCs w:val="18"/>
                <w:u w:val="single"/>
              </w:rPr>
              <w:t>26C</w:t>
            </w:r>
            <w:proofErr w:type="spellEnd"/>
            <w:r>
              <w:rPr>
                <w:rFonts w:cs="Calibri"/>
                <w:b/>
                <w:bCs/>
                <w:szCs w:val="18"/>
                <w:u w:val="single"/>
              </w:rPr>
              <w:t>: Fair value of financial instruments</w:t>
            </w:r>
            <w:bookmarkEnd w:id="361"/>
          </w:p>
        </w:tc>
        <w:tc>
          <w:tcPr>
            <w:tcW w:w="9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87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bookmarkEnd w:id="362"/>
      <w:tr w:rsidR="007E1E1E" w:rsidTr="00B50E5D">
        <w:trPr>
          <w:trHeight w:val="255"/>
        </w:trPr>
        <w:tc>
          <w:tcPr>
            <w:tcW w:w="4136" w:type="dxa"/>
            <w:tcBorders>
              <w:top w:val="nil"/>
              <w:left w:val="nil"/>
              <w:bottom w:val="single" w:sz="4" w:space="0" w:color="auto"/>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36" w:type="dxa"/>
            <w:tcBorders>
              <w:top w:val="nil"/>
              <w:left w:val="nil"/>
              <w:bottom w:val="single" w:sz="4" w:space="0" w:color="auto"/>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876" w:type="dxa"/>
            <w:tcBorders>
              <w:top w:val="nil"/>
              <w:left w:val="nil"/>
              <w:bottom w:val="single" w:sz="4" w:space="0" w:color="auto"/>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auto"/>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96" w:type="dxa"/>
            <w:tcBorders>
              <w:top w:val="nil"/>
              <w:left w:val="nil"/>
              <w:bottom w:val="single" w:sz="4" w:space="0" w:color="auto"/>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41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87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Carrying</w:t>
            </w:r>
          </w:p>
        </w:tc>
        <w:tc>
          <w:tcPr>
            <w:tcW w:w="1096"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Fair</w:t>
            </w:r>
          </w:p>
        </w:tc>
      </w:tr>
      <w:tr w:rsidR="007E1E1E" w:rsidTr="00B50E5D">
        <w:trPr>
          <w:trHeight w:val="255"/>
        </w:trPr>
        <w:tc>
          <w:tcPr>
            <w:tcW w:w="41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87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amount</w:t>
            </w:r>
          </w:p>
        </w:tc>
        <w:tc>
          <w:tcPr>
            <w:tcW w:w="1096"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value</w:t>
            </w:r>
          </w:p>
        </w:tc>
      </w:tr>
      <w:tr w:rsidR="007E1E1E" w:rsidTr="00B50E5D">
        <w:trPr>
          <w:trHeight w:val="255"/>
        </w:trPr>
        <w:tc>
          <w:tcPr>
            <w:tcW w:w="41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87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2014</w:t>
            </w:r>
          </w:p>
        </w:tc>
        <w:tc>
          <w:tcPr>
            <w:tcW w:w="1096"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2014</w:t>
            </w:r>
          </w:p>
        </w:tc>
      </w:tr>
      <w:tr w:rsidR="007E1E1E" w:rsidTr="00B50E5D">
        <w:trPr>
          <w:trHeight w:val="255"/>
        </w:trPr>
        <w:tc>
          <w:tcPr>
            <w:tcW w:w="4136" w:type="dxa"/>
            <w:tcBorders>
              <w:top w:val="nil"/>
              <w:left w:val="nil"/>
              <w:bottom w:val="single" w:sz="4" w:space="0" w:color="auto"/>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36" w:type="dxa"/>
            <w:tcBorders>
              <w:top w:val="nil"/>
              <w:left w:val="nil"/>
              <w:bottom w:val="single" w:sz="4" w:space="0" w:color="auto"/>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876" w:type="dxa"/>
            <w:tcBorders>
              <w:top w:val="nil"/>
              <w:left w:val="nil"/>
              <w:bottom w:val="single" w:sz="4" w:space="0" w:color="auto"/>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auto"/>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c>
          <w:tcPr>
            <w:tcW w:w="1096" w:type="dxa"/>
            <w:tcBorders>
              <w:top w:val="nil"/>
              <w:left w:val="nil"/>
              <w:bottom w:val="single" w:sz="4" w:space="0" w:color="auto"/>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413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Financial Assets</w:t>
            </w:r>
          </w:p>
        </w:tc>
        <w:tc>
          <w:tcPr>
            <w:tcW w:w="93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87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10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413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Available for sale</w:t>
            </w:r>
          </w:p>
        </w:tc>
        <w:tc>
          <w:tcPr>
            <w:tcW w:w="93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87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0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413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Investments</w:t>
            </w:r>
          </w:p>
        </w:tc>
        <w:tc>
          <w:tcPr>
            <w:tcW w:w="93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87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03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2,149,026 </w:t>
            </w:r>
          </w:p>
        </w:tc>
        <w:tc>
          <w:tcPr>
            <w:tcW w:w="109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2,149,026 </w:t>
            </w:r>
          </w:p>
        </w:tc>
      </w:tr>
      <w:tr w:rsidR="007E1E1E" w:rsidTr="00B50E5D">
        <w:trPr>
          <w:trHeight w:val="255"/>
        </w:trPr>
        <w:tc>
          <w:tcPr>
            <w:tcW w:w="4136"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xml:space="preserve">Loans and receivables </w:t>
            </w:r>
          </w:p>
        </w:tc>
        <w:tc>
          <w:tcPr>
            <w:tcW w:w="93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87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0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413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Cash at bank and on hand</w:t>
            </w:r>
          </w:p>
        </w:tc>
        <w:tc>
          <w:tcPr>
            <w:tcW w:w="93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87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03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c>
          <w:tcPr>
            <w:tcW w:w="109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413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Receivables for goods and services</w:t>
            </w:r>
          </w:p>
        </w:tc>
        <w:tc>
          <w:tcPr>
            <w:tcW w:w="93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87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03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24,164 </w:t>
            </w:r>
          </w:p>
        </w:tc>
        <w:tc>
          <w:tcPr>
            <w:tcW w:w="109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24,164 </w:t>
            </w:r>
          </w:p>
        </w:tc>
      </w:tr>
      <w:tr w:rsidR="007E1E1E" w:rsidTr="00B50E5D">
        <w:trPr>
          <w:trHeight w:val="255"/>
        </w:trPr>
        <w:tc>
          <w:tcPr>
            <w:tcW w:w="4136"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Fair value through profit or loss (designated)</w:t>
            </w:r>
          </w:p>
        </w:tc>
        <w:tc>
          <w:tcPr>
            <w:tcW w:w="93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87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0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413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proofErr w:type="spellStart"/>
            <w:r>
              <w:rPr>
                <w:rFonts w:cs="Calibri"/>
                <w:szCs w:val="18"/>
              </w:rPr>
              <w:t>HECS</w:t>
            </w:r>
            <w:proofErr w:type="spellEnd"/>
            <w:r>
              <w:rPr>
                <w:rFonts w:cs="Calibri"/>
                <w:szCs w:val="18"/>
              </w:rPr>
              <w:t>\HELP loans</w:t>
            </w:r>
          </w:p>
        </w:tc>
        <w:tc>
          <w:tcPr>
            <w:tcW w:w="93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87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03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25,147,139 </w:t>
            </w:r>
          </w:p>
        </w:tc>
        <w:tc>
          <w:tcPr>
            <w:tcW w:w="109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25,147,139 </w:t>
            </w:r>
          </w:p>
        </w:tc>
      </w:tr>
      <w:tr w:rsidR="007E1E1E" w:rsidTr="00B50E5D">
        <w:trPr>
          <w:trHeight w:val="255"/>
        </w:trPr>
        <w:tc>
          <w:tcPr>
            <w:tcW w:w="413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Other loans</w:t>
            </w:r>
          </w:p>
        </w:tc>
        <w:tc>
          <w:tcPr>
            <w:tcW w:w="93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87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03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727 </w:t>
            </w:r>
          </w:p>
        </w:tc>
        <w:tc>
          <w:tcPr>
            <w:tcW w:w="109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727 </w:t>
            </w:r>
          </w:p>
        </w:tc>
      </w:tr>
      <w:tr w:rsidR="007E1E1E" w:rsidTr="00B50E5D">
        <w:trPr>
          <w:trHeight w:val="270"/>
        </w:trPr>
        <w:tc>
          <w:tcPr>
            <w:tcW w:w="4136" w:type="dxa"/>
            <w:tcBorders>
              <w:top w:val="nil"/>
              <w:left w:val="nil"/>
              <w:bottom w:val="single" w:sz="8" w:space="0" w:color="D9D9D9"/>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financial assets</w:t>
            </w:r>
          </w:p>
        </w:tc>
        <w:tc>
          <w:tcPr>
            <w:tcW w:w="936"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876"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103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27,321,056</w:t>
            </w:r>
          </w:p>
        </w:tc>
        <w:tc>
          <w:tcPr>
            <w:tcW w:w="109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27,321,056</w:t>
            </w:r>
          </w:p>
        </w:tc>
      </w:tr>
      <w:tr w:rsidR="007E1E1E" w:rsidTr="00B50E5D">
        <w:trPr>
          <w:trHeight w:val="255"/>
        </w:trPr>
        <w:tc>
          <w:tcPr>
            <w:tcW w:w="413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3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87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b/>
                <w:bCs/>
                <w:sz w:val="16"/>
                <w:szCs w:val="16"/>
              </w:rPr>
            </w:pPr>
            <w:r>
              <w:rPr>
                <w:rFonts w:ascii="Arial" w:hAnsi="Arial" w:cs="Arial"/>
                <w:b/>
                <w:bCs/>
                <w:sz w:val="16"/>
                <w:szCs w:val="16"/>
              </w:rPr>
              <w:t> </w:t>
            </w:r>
          </w:p>
        </w:tc>
        <w:tc>
          <w:tcPr>
            <w:tcW w:w="10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b/>
                <w:bCs/>
                <w:sz w:val="16"/>
                <w:szCs w:val="16"/>
              </w:rPr>
            </w:pPr>
            <w:r>
              <w:rPr>
                <w:rFonts w:ascii="Arial" w:hAnsi="Arial" w:cs="Arial"/>
                <w:b/>
                <w:bCs/>
                <w:sz w:val="16"/>
                <w:szCs w:val="16"/>
              </w:rPr>
              <w:t> </w:t>
            </w:r>
          </w:p>
        </w:tc>
      </w:tr>
      <w:tr w:rsidR="007E1E1E" w:rsidTr="00B50E5D">
        <w:trPr>
          <w:trHeight w:val="255"/>
        </w:trPr>
        <w:tc>
          <w:tcPr>
            <w:tcW w:w="4136"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Financial Liabilities</w:t>
            </w:r>
          </w:p>
        </w:tc>
        <w:tc>
          <w:tcPr>
            <w:tcW w:w="936"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876"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10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b/>
                <w:bCs/>
                <w:sz w:val="16"/>
                <w:szCs w:val="16"/>
              </w:rPr>
            </w:pPr>
            <w:r>
              <w:rPr>
                <w:rFonts w:ascii="Arial" w:hAnsi="Arial" w:cs="Arial"/>
                <w:b/>
                <w:bCs/>
                <w:sz w:val="16"/>
                <w:szCs w:val="16"/>
              </w:rPr>
              <w:t> </w:t>
            </w:r>
          </w:p>
        </w:tc>
        <w:tc>
          <w:tcPr>
            <w:tcW w:w="10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b/>
                <w:bCs/>
                <w:sz w:val="16"/>
                <w:szCs w:val="16"/>
              </w:rPr>
            </w:pPr>
            <w:r>
              <w:rPr>
                <w:rFonts w:ascii="Arial" w:hAnsi="Arial" w:cs="Arial"/>
                <w:b/>
                <w:bCs/>
                <w:sz w:val="16"/>
                <w:szCs w:val="16"/>
              </w:rPr>
              <w:t> </w:t>
            </w:r>
          </w:p>
        </w:tc>
      </w:tr>
      <w:tr w:rsidR="007E1E1E" w:rsidTr="00B50E5D">
        <w:trPr>
          <w:trHeight w:val="255"/>
        </w:trPr>
        <w:tc>
          <w:tcPr>
            <w:tcW w:w="4136"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Measured at amortised cost</w:t>
            </w:r>
          </w:p>
        </w:tc>
        <w:tc>
          <w:tcPr>
            <w:tcW w:w="93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87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0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413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Trade creditors and accruals</w:t>
            </w:r>
          </w:p>
        </w:tc>
        <w:tc>
          <w:tcPr>
            <w:tcW w:w="93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87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03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36,884 </w:t>
            </w:r>
          </w:p>
        </w:tc>
        <w:tc>
          <w:tcPr>
            <w:tcW w:w="109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36,884 </w:t>
            </w:r>
          </w:p>
        </w:tc>
      </w:tr>
      <w:tr w:rsidR="007E1E1E" w:rsidTr="00B50E5D">
        <w:trPr>
          <w:trHeight w:val="255"/>
        </w:trPr>
        <w:tc>
          <w:tcPr>
            <w:tcW w:w="413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Grants payable</w:t>
            </w:r>
          </w:p>
        </w:tc>
        <w:tc>
          <w:tcPr>
            <w:tcW w:w="93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87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03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24,434 </w:t>
            </w:r>
          </w:p>
        </w:tc>
        <w:tc>
          <w:tcPr>
            <w:tcW w:w="109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24,434 </w:t>
            </w:r>
          </w:p>
        </w:tc>
      </w:tr>
      <w:tr w:rsidR="007E1E1E" w:rsidTr="00B50E5D">
        <w:trPr>
          <w:trHeight w:val="270"/>
        </w:trPr>
        <w:tc>
          <w:tcPr>
            <w:tcW w:w="4136" w:type="dxa"/>
            <w:tcBorders>
              <w:top w:val="nil"/>
              <w:left w:val="nil"/>
              <w:bottom w:val="single" w:sz="8" w:space="0" w:color="D9D9D9"/>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financial liabilities</w:t>
            </w:r>
          </w:p>
        </w:tc>
        <w:tc>
          <w:tcPr>
            <w:tcW w:w="936" w:type="dxa"/>
            <w:tcBorders>
              <w:top w:val="nil"/>
              <w:left w:val="nil"/>
              <w:bottom w:val="single" w:sz="8" w:space="0" w:color="D9D9D9"/>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 </w:t>
            </w:r>
          </w:p>
        </w:tc>
        <w:tc>
          <w:tcPr>
            <w:tcW w:w="876" w:type="dxa"/>
            <w:tcBorders>
              <w:top w:val="nil"/>
              <w:left w:val="nil"/>
              <w:bottom w:val="single" w:sz="8" w:space="0" w:color="D9D9D9"/>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 </w:t>
            </w:r>
          </w:p>
        </w:tc>
        <w:tc>
          <w:tcPr>
            <w:tcW w:w="103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61,318</w:t>
            </w:r>
          </w:p>
        </w:tc>
        <w:tc>
          <w:tcPr>
            <w:tcW w:w="109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61,318</w:t>
            </w:r>
          </w:p>
        </w:tc>
      </w:tr>
    </w:tbl>
    <w:p w:rsidR="007E1E1E" w:rsidRDefault="007E1E1E" w:rsidP="007E1E1E">
      <w:pPr>
        <w:spacing w:line="240" w:lineRule="auto"/>
      </w:pPr>
      <w:bookmarkStart w:id="363" w:name="RANGE!D7:J29"/>
      <w:bookmarkStart w:id="364" w:name="RANGE!D7:G27"/>
      <w:bookmarkStart w:id="365" w:name="RANGE!D7:L30"/>
      <w:bookmarkStart w:id="366" w:name="RANGE!D7:L31"/>
      <w:bookmarkStart w:id="367" w:name="RANGE!D7:L32"/>
      <w:bookmarkStart w:id="368" w:name="RANGE!D6:L31"/>
      <w:bookmarkStart w:id="369" w:name="RANGE!D6:L30"/>
      <w:bookmarkStart w:id="370" w:name="RANGE!D55:J78"/>
      <w:bookmarkStart w:id="371" w:name="RANGE!D56:L79"/>
      <w:bookmarkStart w:id="372" w:name="RANGE!D57:L80"/>
      <w:bookmarkEnd w:id="363"/>
      <w:bookmarkEnd w:id="364"/>
      <w:bookmarkEnd w:id="365"/>
      <w:bookmarkEnd w:id="366"/>
      <w:bookmarkEnd w:id="367"/>
      <w:bookmarkEnd w:id="368"/>
      <w:bookmarkEnd w:id="369"/>
      <w:bookmarkEnd w:id="370"/>
      <w:bookmarkEnd w:id="371"/>
      <w:bookmarkEnd w:id="372"/>
    </w:p>
    <w:p w:rsidR="007E1E1E" w:rsidRDefault="007E1E1E" w:rsidP="007E1E1E"/>
    <w:p w:rsidR="007E1E1E" w:rsidRDefault="007E1E1E" w:rsidP="007E1E1E">
      <w:pPr>
        <w:spacing w:line="240" w:lineRule="auto"/>
        <w:sectPr w:rsidR="007E1E1E" w:rsidSect="00E85FB0">
          <w:pgSz w:w="11906" w:h="16838"/>
          <w:pgMar w:top="1134" w:right="1134" w:bottom="1134" w:left="1134" w:header="958" w:footer="737" w:gutter="0"/>
          <w:cols w:space="720"/>
          <w:docGrid w:linePitch="245"/>
        </w:sectPr>
      </w:pPr>
    </w:p>
    <w:tbl>
      <w:tblPr>
        <w:tblW w:w="9087" w:type="dxa"/>
        <w:tblInd w:w="80" w:type="dxa"/>
        <w:tblLayout w:type="fixed"/>
        <w:tblLook w:val="04A0" w:firstRow="1" w:lastRow="0" w:firstColumn="1" w:lastColumn="0" w:noHBand="0" w:noVBand="1"/>
      </w:tblPr>
      <w:tblGrid>
        <w:gridCol w:w="3698"/>
        <w:gridCol w:w="996"/>
        <w:gridCol w:w="995"/>
        <w:gridCol w:w="994"/>
        <w:gridCol w:w="1202"/>
        <w:gridCol w:w="1202"/>
      </w:tblGrid>
      <w:tr w:rsidR="007E1E1E" w:rsidTr="00B50E5D">
        <w:trPr>
          <w:trHeight w:val="255"/>
        </w:trPr>
        <w:tc>
          <w:tcPr>
            <w:tcW w:w="3656" w:type="dxa"/>
            <w:tcBorders>
              <w:top w:val="nil"/>
              <w:left w:val="nil"/>
              <w:bottom w:val="nil"/>
              <w:right w:val="nil"/>
            </w:tcBorders>
            <w:shd w:val="clear" w:color="000000" w:fill="D9D9D9"/>
            <w:noWrap/>
            <w:hideMark/>
          </w:tcPr>
          <w:p w:rsidR="007E1E1E" w:rsidRDefault="007E1E1E" w:rsidP="00B50E5D">
            <w:pPr>
              <w:rPr>
                <w:rFonts w:cs="Calibri"/>
                <w:b/>
                <w:bCs/>
                <w:szCs w:val="18"/>
                <w:u w:val="single"/>
              </w:rPr>
            </w:pPr>
            <w:bookmarkStart w:id="373" w:name="Note_AFJTABLE1" w:colFirst="0" w:colLast="0"/>
            <w:r>
              <w:rPr>
                <w:rFonts w:cs="Calibri"/>
                <w:b/>
                <w:bCs/>
                <w:szCs w:val="18"/>
                <w:u w:val="single"/>
              </w:rPr>
              <w:lastRenderedPageBreak/>
              <w:t xml:space="preserve">Note </w:t>
            </w:r>
            <w:proofErr w:type="spellStart"/>
            <w:r>
              <w:rPr>
                <w:rFonts w:cs="Calibri"/>
                <w:b/>
                <w:bCs/>
                <w:szCs w:val="18"/>
                <w:u w:val="single"/>
              </w:rPr>
              <w:t>26D</w:t>
            </w:r>
            <w:proofErr w:type="spellEnd"/>
            <w:r>
              <w:rPr>
                <w:rFonts w:cs="Calibri"/>
                <w:b/>
                <w:bCs/>
                <w:szCs w:val="18"/>
                <w:u w:val="single"/>
              </w:rPr>
              <w:t>: Credit risk</w:t>
            </w:r>
          </w:p>
        </w:tc>
        <w:tc>
          <w:tcPr>
            <w:tcW w:w="985"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4"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3"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bookmarkEnd w:id="373"/>
      <w:tr w:rsidR="007E1E1E" w:rsidTr="00B50E5D">
        <w:trPr>
          <w:trHeight w:val="255"/>
        </w:trPr>
        <w:tc>
          <w:tcPr>
            <w:tcW w:w="36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5"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4"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3"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1185"/>
        </w:trPr>
        <w:tc>
          <w:tcPr>
            <w:tcW w:w="8986" w:type="dxa"/>
            <w:gridSpan w:val="6"/>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The administered loans and receivables of the department are not exposed to a high level of credit risk as the majority of financial assets are cash or cash equivalents, trade receivables or advances and loans to state, territory and local governments.  The department manages its credit risk by undertaking background and credit checks prior to allowing a debtor relationship.  In addition the department has policies and procedures that guide employees’ debt recovery techniques that are to be applied.</w:t>
            </w:r>
          </w:p>
        </w:tc>
      </w:tr>
      <w:tr w:rsidR="007E1E1E" w:rsidTr="00B50E5D">
        <w:trPr>
          <w:trHeight w:val="1050"/>
        </w:trPr>
        <w:tc>
          <w:tcPr>
            <w:tcW w:w="8986" w:type="dxa"/>
            <w:gridSpan w:val="6"/>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The recoverability and credit quality of the fair value through profit and loss (designated) amounts are factored into the actuarial assessment each year.  No separate account is maintained of the write offs in the department’s accounts rather just the movement in the assessment as a gain or loss in the Schedule of Administered Items.  This accounting treatment is consistent with the basis for accounting for these instruments.</w:t>
            </w:r>
          </w:p>
        </w:tc>
      </w:tr>
      <w:tr w:rsidR="007E1E1E" w:rsidTr="00B50E5D">
        <w:trPr>
          <w:trHeight w:val="255"/>
        </w:trPr>
        <w:tc>
          <w:tcPr>
            <w:tcW w:w="3656"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985"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984"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983"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189"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189"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8986" w:type="dxa"/>
            <w:gridSpan w:val="6"/>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Maximum exposure to credit risk (excluding any collateral or credit enhancements)</w:t>
            </w:r>
          </w:p>
        </w:tc>
      </w:tr>
      <w:tr w:rsidR="007E1E1E" w:rsidTr="00B50E5D">
        <w:trPr>
          <w:trHeight w:val="255"/>
        </w:trPr>
        <w:tc>
          <w:tcPr>
            <w:tcW w:w="36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5"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4"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3"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2014</w:t>
            </w:r>
          </w:p>
        </w:tc>
      </w:tr>
      <w:tr w:rsidR="007E1E1E" w:rsidTr="00B50E5D">
        <w:trPr>
          <w:trHeight w:val="255"/>
        </w:trPr>
        <w:tc>
          <w:tcPr>
            <w:tcW w:w="36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5"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4"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3"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7797" w:type="dxa"/>
            <w:gridSpan w:val="5"/>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Financial assets carried at amount not best representing maximum exposure to credit risk</w:t>
            </w:r>
          </w:p>
        </w:tc>
        <w:tc>
          <w:tcPr>
            <w:tcW w:w="1189"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36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Available for sale</w:t>
            </w:r>
          </w:p>
        </w:tc>
        <w:tc>
          <w:tcPr>
            <w:tcW w:w="985"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4"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3"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36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Investments</w:t>
            </w:r>
          </w:p>
        </w:tc>
        <w:tc>
          <w:tcPr>
            <w:tcW w:w="985"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4"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3"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2,149,026 </w:t>
            </w:r>
          </w:p>
        </w:tc>
      </w:tr>
      <w:tr w:rsidR="007E1E1E" w:rsidTr="00B50E5D">
        <w:trPr>
          <w:trHeight w:val="255"/>
        </w:trPr>
        <w:tc>
          <w:tcPr>
            <w:tcW w:w="36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Loan and receivables financial assets</w:t>
            </w:r>
          </w:p>
        </w:tc>
        <w:tc>
          <w:tcPr>
            <w:tcW w:w="985"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4"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3"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36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Cash at bank and on hand</w:t>
            </w:r>
          </w:p>
        </w:tc>
        <w:tc>
          <w:tcPr>
            <w:tcW w:w="985"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4"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3"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36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Goods and services receivables</w:t>
            </w:r>
          </w:p>
        </w:tc>
        <w:tc>
          <w:tcPr>
            <w:tcW w:w="985"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4"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3"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33,921 </w:t>
            </w:r>
          </w:p>
        </w:tc>
      </w:tr>
      <w:tr w:rsidR="007E1E1E" w:rsidTr="00B50E5D">
        <w:trPr>
          <w:trHeight w:val="255"/>
        </w:trPr>
        <w:tc>
          <w:tcPr>
            <w:tcW w:w="365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Cs w:val="18"/>
              </w:rPr>
            </w:pPr>
            <w:r>
              <w:rPr>
                <w:rFonts w:cs="Calibri"/>
                <w:szCs w:val="18"/>
              </w:rPr>
              <w:t>Fair value through profit or loss (designated)</w:t>
            </w:r>
          </w:p>
        </w:tc>
        <w:tc>
          <w:tcPr>
            <w:tcW w:w="985"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4"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3"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365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proofErr w:type="spellStart"/>
            <w:r>
              <w:rPr>
                <w:rFonts w:cs="Calibri"/>
                <w:szCs w:val="18"/>
              </w:rPr>
              <w:t>HECS</w:t>
            </w:r>
            <w:proofErr w:type="spellEnd"/>
            <w:r>
              <w:rPr>
                <w:rFonts w:cs="Calibri"/>
                <w:szCs w:val="18"/>
              </w:rPr>
              <w:t>\HELP loans</w:t>
            </w:r>
          </w:p>
        </w:tc>
        <w:tc>
          <w:tcPr>
            <w:tcW w:w="985"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4"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3"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25,147,139 </w:t>
            </w:r>
          </w:p>
        </w:tc>
      </w:tr>
      <w:tr w:rsidR="007E1E1E" w:rsidTr="00B50E5D">
        <w:trPr>
          <w:trHeight w:val="255"/>
        </w:trPr>
        <w:tc>
          <w:tcPr>
            <w:tcW w:w="365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Other loans</w:t>
            </w:r>
          </w:p>
        </w:tc>
        <w:tc>
          <w:tcPr>
            <w:tcW w:w="985"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4"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3"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727 </w:t>
            </w:r>
          </w:p>
        </w:tc>
      </w:tr>
      <w:tr w:rsidR="007E1E1E" w:rsidTr="00B50E5D">
        <w:trPr>
          <w:trHeight w:val="270"/>
        </w:trPr>
        <w:tc>
          <w:tcPr>
            <w:tcW w:w="7797" w:type="dxa"/>
            <w:gridSpan w:val="5"/>
            <w:tcBorders>
              <w:top w:val="nil"/>
              <w:left w:val="nil"/>
              <w:bottom w:val="single" w:sz="8" w:space="0" w:color="D9D9D9"/>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financial assets carried at amount not best representing maximum exposure to credit risk</w:t>
            </w:r>
          </w:p>
        </w:tc>
        <w:tc>
          <w:tcPr>
            <w:tcW w:w="1189"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27,330,813</w:t>
            </w:r>
          </w:p>
        </w:tc>
      </w:tr>
    </w:tbl>
    <w:p w:rsidR="007E1E1E" w:rsidRDefault="007E1E1E" w:rsidP="007E1E1E">
      <w:pPr>
        <w:pStyle w:val="GreyShadeTableBreak"/>
      </w:pPr>
      <w:bookmarkStart w:id="374" w:name="RANGE!D7:I25"/>
      <w:bookmarkStart w:id="375" w:name="RANGE!D7:I26"/>
      <w:bookmarkStart w:id="376" w:name="RANGE!D6:I24"/>
      <w:bookmarkStart w:id="377" w:name="RANGE!D6:I25"/>
      <w:bookmarkStart w:id="378" w:name="RANGE!D6:I27"/>
      <w:bookmarkStart w:id="379" w:name="RANGE!D6:I58"/>
      <w:bookmarkEnd w:id="374"/>
      <w:bookmarkEnd w:id="375"/>
      <w:bookmarkEnd w:id="376"/>
      <w:bookmarkEnd w:id="377"/>
      <w:bookmarkEnd w:id="378"/>
      <w:bookmarkEnd w:id="379"/>
    </w:p>
    <w:tbl>
      <w:tblPr>
        <w:tblW w:w="9090" w:type="dxa"/>
        <w:tblInd w:w="80" w:type="dxa"/>
        <w:tblLayout w:type="fixed"/>
        <w:tblLook w:val="04A0" w:firstRow="1" w:lastRow="0" w:firstColumn="1" w:lastColumn="0" w:noHBand="0" w:noVBand="1"/>
      </w:tblPr>
      <w:tblGrid>
        <w:gridCol w:w="9090"/>
      </w:tblGrid>
      <w:tr w:rsidR="007E1E1E" w:rsidTr="00B50E5D">
        <w:trPr>
          <w:trHeight w:val="270"/>
        </w:trPr>
        <w:tc>
          <w:tcPr>
            <w:tcW w:w="9092" w:type="dxa"/>
            <w:tcBorders>
              <w:top w:val="single" w:sz="4" w:space="0" w:color="D8D8D8"/>
              <w:left w:val="nil"/>
              <w:bottom w:val="single" w:sz="24" w:space="0" w:color="D8D8D8"/>
              <w:right w:val="nil"/>
            </w:tcBorders>
            <w:shd w:val="clear" w:color="auto" w:fill="D8D8D8"/>
            <w:vAlign w:val="bottom"/>
          </w:tcPr>
          <w:p w:rsidR="007E1E1E" w:rsidRDefault="007E1E1E" w:rsidP="00B50E5D">
            <w:pPr>
              <w:pStyle w:val="AdminBlankGreyShade"/>
            </w:pPr>
            <w:r>
              <w:t>The department has assessed the risk of the default on payment and has allocated the following to an impairment allowance for doubtful debts:</w:t>
            </w:r>
          </w:p>
          <w:p w:rsidR="007E1E1E" w:rsidRDefault="007E1E1E" w:rsidP="00B50E5D">
            <w:pPr>
              <w:pStyle w:val="AdminBlankGreyShade"/>
            </w:pPr>
          </w:p>
          <w:p w:rsidR="007E1E1E" w:rsidRDefault="007E1E1E" w:rsidP="00B50E5D">
            <w:pPr>
              <w:pStyle w:val="AdminBlankGreyShade"/>
            </w:pPr>
            <w:r>
              <w:t>Goods and services receivables $9.757 million in 2014.</w:t>
            </w:r>
          </w:p>
          <w:p w:rsidR="007E1E1E" w:rsidRDefault="007E1E1E" w:rsidP="00B50E5D">
            <w:pPr>
              <w:pStyle w:val="AdminBlankGreyShade"/>
            </w:pPr>
          </w:p>
          <w:p w:rsidR="007E1E1E" w:rsidRDefault="007E1E1E" w:rsidP="00B50E5D">
            <w:pPr>
              <w:pStyle w:val="AdminBlankGreyShade"/>
            </w:pPr>
            <w:r>
              <w:t xml:space="preserve">In relation to the entity's gross credit risk and the financial effect in respect of the amount that best represents the maximum exposure to credit risk there is no collateral held however in 2014: two limited and five unlimited indemnities have been given in respect of venue hire between the Commonwealth and third parties. </w:t>
            </w:r>
          </w:p>
        </w:tc>
      </w:tr>
    </w:tbl>
    <w:p w:rsidR="007E1E1E" w:rsidRDefault="007E1E1E" w:rsidP="007E1E1E">
      <w:pPr>
        <w:pStyle w:val="GreyShadeTableBreak"/>
      </w:pPr>
    </w:p>
    <w:p w:rsidR="007E1E1E" w:rsidRDefault="007E1E1E" w:rsidP="007E1E1E">
      <w:pPr>
        <w:spacing w:line="240" w:lineRule="auto"/>
      </w:pPr>
    </w:p>
    <w:p w:rsidR="007E1E1E" w:rsidRDefault="007E1E1E" w:rsidP="007E1E1E">
      <w:pPr>
        <w:spacing w:line="240" w:lineRule="auto"/>
      </w:pPr>
      <w:r>
        <w:br w:type="page"/>
      </w:r>
    </w:p>
    <w:tbl>
      <w:tblPr>
        <w:tblW w:w="9087" w:type="dxa"/>
        <w:tblInd w:w="80" w:type="dxa"/>
        <w:tblLayout w:type="fixed"/>
        <w:tblLook w:val="04A0" w:firstRow="1" w:lastRow="0" w:firstColumn="1" w:lastColumn="0" w:noHBand="0" w:noVBand="1"/>
      </w:tblPr>
      <w:tblGrid>
        <w:gridCol w:w="3698"/>
        <w:gridCol w:w="996"/>
        <w:gridCol w:w="995"/>
        <w:gridCol w:w="994"/>
        <w:gridCol w:w="1202"/>
        <w:gridCol w:w="1202"/>
      </w:tblGrid>
      <w:tr w:rsidR="007E1E1E" w:rsidTr="00B50E5D">
        <w:trPr>
          <w:trHeight w:val="255"/>
        </w:trPr>
        <w:tc>
          <w:tcPr>
            <w:tcW w:w="8986" w:type="dxa"/>
            <w:gridSpan w:val="6"/>
            <w:tcBorders>
              <w:top w:val="nil"/>
              <w:left w:val="nil"/>
              <w:bottom w:val="nil"/>
              <w:right w:val="nil"/>
            </w:tcBorders>
            <w:shd w:val="clear" w:color="000000" w:fill="D9D9D9"/>
            <w:vAlign w:val="bottom"/>
            <w:hideMark/>
          </w:tcPr>
          <w:p w:rsidR="007E1E1E" w:rsidRDefault="007E1E1E" w:rsidP="00B50E5D">
            <w:pPr>
              <w:rPr>
                <w:rFonts w:cs="Calibri"/>
                <w:b/>
                <w:bCs/>
                <w:szCs w:val="18"/>
              </w:rPr>
            </w:pPr>
            <w:bookmarkStart w:id="380" w:name="Note_AFJTABLE2" w:colFirst="0" w:colLast="0"/>
            <w:r>
              <w:rPr>
                <w:rFonts w:cs="Calibri"/>
                <w:b/>
                <w:bCs/>
                <w:szCs w:val="18"/>
              </w:rPr>
              <w:lastRenderedPageBreak/>
              <w:t>Credit quality of financial assets not past due or individually determined as impaired</w:t>
            </w:r>
          </w:p>
        </w:tc>
      </w:tr>
      <w:bookmarkEnd w:id="380"/>
      <w:tr w:rsidR="007E1E1E" w:rsidTr="00B50E5D">
        <w:trPr>
          <w:trHeight w:val="480"/>
        </w:trPr>
        <w:tc>
          <w:tcPr>
            <w:tcW w:w="36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5"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4"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3"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Not past due nor impaired</w:t>
            </w:r>
          </w:p>
        </w:tc>
        <w:tc>
          <w:tcPr>
            <w:tcW w:w="1189"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Past due or impaired</w:t>
            </w:r>
          </w:p>
        </w:tc>
      </w:tr>
      <w:tr w:rsidR="007E1E1E" w:rsidTr="00B50E5D">
        <w:trPr>
          <w:trHeight w:val="255"/>
        </w:trPr>
        <w:tc>
          <w:tcPr>
            <w:tcW w:w="36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5"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4"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3"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2014</w:t>
            </w:r>
          </w:p>
        </w:tc>
        <w:tc>
          <w:tcPr>
            <w:tcW w:w="1189"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2014</w:t>
            </w:r>
          </w:p>
        </w:tc>
      </w:tr>
      <w:tr w:rsidR="007E1E1E" w:rsidTr="00B50E5D">
        <w:trPr>
          <w:trHeight w:val="255"/>
        </w:trPr>
        <w:tc>
          <w:tcPr>
            <w:tcW w:w="36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5"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4"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3"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c>
          <w:tcPr>
            <w:tcW w:w="1189"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36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Available for sale</w:t>
            </w:r>
          </w:p>
        </w:tc>
        <w:tc>
          <w:tcPr>
            <w:tcW w:w="985"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984"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983"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18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w:t>
            </w:r>
          </w:p>
        </w:tc>
        <w:tc>
          <w:tcPr>
            <w:tcW w:w="118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36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Investments</w:t>
            </w:r>
          </w:p>
        </w:tc>
        <w:tc>
          <w:tcPr>
            <w:tcW w:w="985"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984"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983"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18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2,149,026 </w:t>
            </w:r>
          </w:p>
        </w:tc>
        <w:tc>
          <w:tcPr>
            <w:tcW w:w="118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365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Loans and receivables</w:t>
            </w:r>
          </w:p>
        </w:tc>
        <w:tc>
          <w:tcPr>
            <w:tcW w:w="985"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984"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983"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18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w:t>
            </w:r>
          </w:p>
        </w:tc>
        <w:tc>
          <w:tcPr>
            <w:tcW w:w="118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36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Cash at bank and on hand</w:t>
            </w:r>
          </w:p>
        </w:tc>
        <w:tc>
          <w:tcPr>
            <w:tcW w:w="985"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984"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983"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18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c>
          <w:tcPr>
            <w:tcW w:w="118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365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Goods and services receivables</w:t>
            </w:r>
          </w:p>
        </w:tc>
        <w:tc>
          <w:tcPr>
            <w:tcW w:w="985"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984"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983"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18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20,038 </w:t>
            </w:r>
          </w:p>
        </w:tc>
        <w:tc>
          <w:tcPr>
            <w:tcW w:w="118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13,883 </w:t>
            </w:r>
          </w:p>
        </w:tc>
      </w:tr>
      <w:tr w:rsidR="007E1E1E" w:rsidTr="00B50E5D">
        <w:trPr>
          <w:trHeight w:val="255"/>
        </w:trPr>
        <w:tc>
          <w:tcPr>
            <w:tcW w:w="3656"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szCs w:val="18"/>
              </w:rPr>
            </w:pPr>
            <w:r>
              <w:rPr>
                <w:rFonts w:cs="Calibri"/>
                <w:szCs w:val="18"/>
              </w:rPr>
              <w:t>Fair value through profit or loss (designated)</w:t>
            </w:r>
          </w:p>
        </w:tc>
        <w:tc>
          <w:tcPr>
            <w:tcW w:w="985"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984"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983"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18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w:t>
            </w:r>
          </w:p>
        </w:tc>
        <w:tc>
          <w:tcPr>
            <w:tcW w:w="118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365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proofErr w:type="spellStart"/>
            <w:r>
              <w:rPr>
                <w:rFonts w:cs="Calibri"/>
                <w:szCs w:val="18"/>
              </w:rPr>
              <w:t>HECS</w:t>
            </w:r>
            <w:proofErr w:type="spellEnd"/>
            <w:r>
              <w:rPr>
                <w:rFonts w:cs="Calibri"/>
                <w:szCs w:val="18"/>
              </w:rPr>
              <w:t>\HELP loans</w:t>
            </w:r>
          </w:p>
        </w:tc>
        <w:tc>
          <w:tcPr>
            <w:tcW w:w="985"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984"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983"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18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25,147,139 </w:t>
            </w:r>
          </w:p>
        </w:tc>
        <w:tc>
          <w:tcPr>
            <w:tcW w:w="118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365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Other loans</w:t>
            </w:r>
          </w:p>
        </w:tc>
        <w:tc>
          <w:tcPr>
            <w:tcW w:w="985"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984"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983"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w:t>
            </w:r>
          </w:p>
        </w:tc>
        <w:tc>
          <w:tcPr>
            <w:tcW w:w="118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727 </w:t>
            </w:r>
          </w:p>
        </w:tc>
        <w:tc>
          <w:tcPr>
            <w:tcW w:w="118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3656"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Total</w:t>
            </w:r>
          </w:p>
        </w:tc>
        <w:tc>
          <w:tcPr>
            <w:tcW w:w="985" w:type="dxa"/>
            <w:tcBorders>
              <w:top w:val="nil"/>
              <w:left w:val="nil"/>
              <w:bottom w:val="nil"/>
              <w:right w:val="nil"/>
            </w:tcBorders>
            <w:shd w:val="clear" w:color="000000" w:fill="D9D9D9"/>
            <w:noWrap/>
            <w:vAlign w:val="bottom"/>
            <w:hideMark/>
          </w:tcPr>
          <w:p w:rsidR="007E1E1E" w:rsidRDefault="007E1E1E" w:rsidP="00B50E5D">
            <w:pPr>
              <w:rPr>
                <w:rFonts w:cs="Calibri"/>
                <w:szCs w:val="18"/>
              </w:rPr>
            </w:pPr>
            <w:r>
              <w:rPr>
                <w:rFonts w:cs="Calibri"/>
                <w:szCs w:val="18"/>
              </w:rPr>
              <w:t> </w:t>
            </w:r>
          </w:p>
        </w:tc>
        <w:tc>
          <w:tcPr>
            <w:tcW w:w="984" w:type="dxa"/>
            <w:tcBorders>
              <w:top w:val="nil"/>
              <w:left w:val="nil"/>
              <w:bottom w:val="nil"/>
              <w:right w:val="nil"/>
            </w:tcBorders>
            <w:shd w:val="clear" w:color="000000" w:fill="D9D9D9"/>
            <w:noWrap/>
            <w:vAlign w:val="bottom"/>
            <w:hideMark/>
          </w:tcPr>
          <w:p w:rsidR="007E1E1E" w:rsidRDefault="007E1E1E" w:rsidP="00B50E5D">
            <w:pPr>
              <w:rPr>
                <w:rFonts w:cs="Calibri"/>
                <w:szCs w:val="18"/>
              </w:rPr>
            </w:pPr>
            <w:r>
              <w:rPr>
                <w:rFonts w:cs="Calibri"/>
                <w:szCs w:val="18"/>
              </w:rPr>
              <w:t> </w:t>
            </w:r>
          </w:p>
        </w:tc>
        <w:tc>
          <w:tcPr>
            <w:tcW w:w="983" w:type="dxa"/>
            <w:tcBorders>
              <w:top w:val="nil"/>
              <w:left w:val="nil"/>
              <w:bottom w:val="nil"/>
              <w:right w:val="nil"/>
            </w:tcBorders>
            <w:shd w:val="clear" w:color="000000" w:fill="D9D9D9"/>
            <w:noWrap/>
            <w:vAlign w:val="bottom"/>
            <w:hideMark/>
          </w:tcPr>
          <w:p w:rsidR="007E1E1E" w:rsidRDefault="007E1E1E" w:rsidP="00B50E5D">
            <w:pPr>
              <w:rPr>
                <w:rFonts w:cs="Calibri"/>
                <w:szCs w:val="18"/>
              </w:rPr>
            </w:pPr>
            <w:r>
              <w:rPr>
                <w:rFonts w:cs="Calibri"/>
                <w:szCs w:val="18"/>
              </w:rPr>
              <w:t> </w:t>
            </w:r>
          </w:p>
        </w:tc>
        <w:tc>
          <w:tcPr>
            <w:tcW w:w="1189"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27,316,930</w:t>
            </w:r>
          </w:p>
        </w:tc>
        <w:tc>
          <w:tcPr>
            <w:tcW w:w="1189"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13,883</w:t>
            </w:r>
          </w:p>
        </w:tc>
      </w:tr>
      <w:tr w:rsidR="007E1E1E" w:rsidTr="00B50E5D">
        <w:trPr>
          <w:trHeight w:val="255"/>
        </w:trPr>
        <w:tc>
          <w:tcPr>
            <w:tcW w:w="36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5"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4"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3"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189"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8986" w:type="dxa"/>
            <w:gridSpan w:val="6"/>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Ageing of financial assets that were past due but not impaired for 2014</w:t>
            </w:r>
          </w:p>
        </w:tc>
      </w:tr>
      <w:tr w:rsidR="007E1E1E" w:rsidTr="00B50E5D">
        <w:trPr>
          <w:trHeight w:val="255"/>
        </w:trPr>
        <w:tc>
          <w:tcPr>
            <w:tcW w:w="36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5"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xml:space="preserve">0 to 30 </w:t>
            </w:r>
          </w:p>
        </w:tc>
        <w:tc>
          <w:tcPr>
            <w:tcW w:w="984"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31 to 60</w:t>
            </w:r>
          </w:p>
        </w:tc>
        <w:tc>
          <w:tcPr>
            <w:tcW w:w="983"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61 to 90</w:t>
            </w:r>
          </w:p>
        </w:tc>
        <w:tc>
          <w:tcPr>
            <w:tcW w:w="1189"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90+</w:t>
            </w:r>
          </w:p>
        </w:tc>
        <w:tc>
          <w:tcPr>
            <w:tcW w:w="1189"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36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5"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days</w:t>
            </w:r>
          </w:p>
        </w:tc>
        <w:tc>
          <w:tcPr>
            <w:tcW w:w="984"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days</w:t>
            </w:r>
          </w:p>
        </w:tc>
        <w:tc>
          <w:tcPr>
            <w:tcW w:w="983"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days</w:t>
            </w:r>
          </w:p>
        </w:tc>
        <w:tc>
          <w:tcPr>
            <w:tcW w:w="1189"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days</w:t>
            </w:r>
          </w:p>
        </w:tc>
        <w:tc>
          <w:tcPr>
            <w:tcW w:w="1189"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Total</w:t>
            </w:r>
          </w:p>
        </w:tc>
      </w:tr>
      <w:tr w:rsidR="007E1E1E" w:rsidTr="00B50E5D">
        <w:trPr>
          <w:trHeight w:val="255"/>
        </w:trPr>
        <w:tc>
          <w:tcPr>
            <w:tcW w:w="3656"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985"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c>
          <w:tcPr>
            <w:tcW w:w="984"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c>
          <w:tcPr>
            <w:tcW w:w="983"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c>
          <w:tcPr>
            <w:tcW w:w="1189"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c>
          <w:tcPr>
            <w:tcW w:w="1189"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365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Goods and services and other receivables</w:t>
            </w:r>
          </w:p>
        </w:tc>
        <w:tc>
          <w:tcPr>
            <w:tcW w:w="985"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1,250 </w:t>
            </w:r>
          </w:p>
        </w:tc>
        <w:tc>
          <w:tcPr>
            <w:tcW w:w="984"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345 </w:t>
            </w:r>
          </w:p>
        </w:tc>
        <w:tc>
          <w:tcPr>
            <w:tcW w:w="983"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169 </w:t>
            </w:r>
          </w:p>
        </w:tc>
        <w:tc>
          <w:tcPr>
            <w:tcW w:w="118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2,362 </w:t>
            </w:r>
          </w:p>
        </w:tc>
        <w:tc>
          <w:tcPr>
            <w:tcW w:w="118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4,126 </w:t>
            </w:r>
          </w:p>
        </w:tc>
      </w:tr>
      <w:tr w:rsidR="007E1E1E" w:rsidTr="00B50E5D">
        <w:trPr>
          <w:trHeight w:val="255"/>
        </w:trPr>
        <w:tc>
          <w:tcPr>
            <w:tcW w:w="3656"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Total</w:t>
            </w:r>
          </w:p>
        </w:tc>
        <w:tc>
          <w:tcPr>
            <w:tcW w:w="985"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1,250</w:t>
            </w:r>
          </w:p>
        </w:tc>
        <w:tc>
          <w:tcPr>
            <w:tcW w:w="984"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345</w:t>
            </w:r>
          </w:p>
        </w:tc>
        <w:tc>
          <w:tcPr>
            <w:tcW w:w="983"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169</w:t>
            </w:r>
          </w:p>
        </w:tc>
        <w:tc>
          <w:tcPr>
            <w:tcW w:w="1189"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2,362</w:t>
            </w:r>
          </w:p>
        </w:tc>
        <w:tc>
          <w:tcPr>
            <w:tcW w:w="1189"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4,126</w:t>
            </w:r>
          </w:p>
        </w:tc>
      </w:tr>
    </w:tbl>
    <w:p w:rsidR="007E1E1E" w:rsidRDefault="007E1E1E" w:rsidP="007E1E1E">
      <w:pPr>
        <w:spacing w:line="240" w:lineRule="auto"/>
      </w:pPr>
      <w:r>
        <w:br w:type="page"/>
      </w:r>
    </w:p>
    <w:tbl>
      <w:tblPr>
        <w:tblW w:w="9087" w:type="dxa"/>
        <w:tblInd w:w="80" w:type="dxa"/>
        <w:tblLayout w:type="fixed"/>
        <w:tblLook w:val="04A0" w:firstRow="1" w:lastRow="0" w:firstColumn="1" w:lastColumn="0" w:noHBand="0" w:noVBand="1"/>
      </w:tblPr>
      <w:tblGrid>
        <w:gridCol w:w="2875"/>
        <w:gridCol w:w="1037"/>
        <w:gridCol w:w="1035"/>
        <w:gridCol w:w="1035"/>
        <w:gridCol w:w="1035"/>
        <w:gridCol w:w="1035"/>
        <w:gridCol w:w="1035"/>
      </w:tblGrid>
      <w:tr w:rsidR="007E1E1E" w:rsidTr="00B50E5D">
        <w:trPr>
          <w:trHeight w:val="255"/>
        </w:trPr>
        <w:tc>
          <w:tcPr>
            <w:tcW w:w="2840" w:type="dxa"/>
            <w:tcBorders>
              <w:top w:val="nil"/>
              <w:left w:val="nil"/>
              <w:bottom w:val="nil"/>
              <w:right w:val="nil"/>
            </w:tcBorders>
            <w:shd w:val="clear" w:color="000000" w:fill="D9D9D9"/>
            <w:noWrap/>
            <w:hideMark/>
          </w:tcPr>
          <w:p w:rsidR="007E1E1E" w:rsidRDefault="007E1E1E" w:rsidP="00B50E5D">
            <w:pPr>
              <w:rPr>
                <w:rFonts w:cs="Calibri"/>
                <w:b/>
                <w:bCs/>
                <w:szCs w:val="18"/>
                <w:u w:val="single"/>
              </w:rPr>
            </w:pPr>
            <w:bookmarkStart w:id="381" w:name="Note_AFLTABLE1" w:colFirst="0" w:colLast="0"/>
            <w:r>
              <w:rPr>
                <w:rFonts w:cs="Calibri"/>
                <w:b/>
                <w:bCs/>
                <w:szCs w:val="18"/>
                <w:u w:val="single"/>
              </w:rPr>
              <w:lastRenderedPageBreak/>
              <w:t xml:space="preserve">Note </w:t>
            </w:r>
            <w:proofErr w:type="spellStart"/>
            <w:r>
              <w:rPr>
                <w:rFonts w:cs="Calibri"/>
                <w:b/>
                <w:bCs/>
                <w:szCs w:val="18"/>
                <w:u w:val="single"/>
              </w:rPr>
              <w:t>26E</w:t>
            </w:r>
            <w:proofErr w:type="spellEnd"/>
            <w:r>
              <w:rPr>
                <w:rFonts w:cs="Calibri"/>
                <w:b/>
                <w:bCs/>
                <w:szCs w:val="18"/>
                <w:u w:val="single"/>
              </w:rPr>
              <w:t>: Liquidity risk</w:t>
            </w:r>
          </w:p>
        </w:tc>
        <w:tc>
          <w:tcPr>
            <w:tcW w:w="1024"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23"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23"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23"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23"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23"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bookmarkEnd w:id="381"/>
      <w:tr w:rsidR="007E1E1E" w:rsidTr="00B50E5D">
        <w:trPr>
          <w:trHeight w:val="255"/>
        </w:trPr>
        <w:tc>
          <w:tcPr>
            <w:tcW w:w="2840"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024"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r>
      <w:tr w:rsidR="007E1E1E" w:rsidTr="00B50E5D">
        <w:trPr>
          <w:trHeight w:val="750"/>
        </w:trPr>
        <w:tc>
          <w:tcPr>
            <w:tcW w:w="8979" w:type="dxa"/>
            <w:gridSpan w:val="7"/>
            <w:tcBorders>
              <w:top w:val="single" w:sz="4" w:space="0" w:color="D9D9D9"/>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The department is exposed to minimal liquidity risk and is appropriated funding from the Australian Government.  The department manages its budgeted funds to ensure it has adequate funds to meet payments as they fall due. In addition, the department has policies in place to ensure timely payments are made when due and has no past experience of default.</w:t>
            </w:r>
          </w:p>
        </w:tc>
      </w:tr>
      <w:tr w:rsidR="007E1E1E" w:rsidTr="00B50E5D">
        <w:trPr>
          <w:trHeight w:val="255"/>
        </w:trPr>
        <w:tc>
          <w:tcPr>
            <w:tcW w:w="2840"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024"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8979" w:type="dxa"/>
            <w:gridSpan w:val="7"/>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Maturities for non-derivative financial liabilities 2014</w:t>
            </w:r>
          </w:p>
        </w:tc>
      </w:tr>
      <w:tr w:rsidR="007E1E1E" w:rsidTr="00B50E5D">
        <w:trPr>
          <w:trHeight w:val="480"/>
        </w:trPr>
        <w:tc>
          <w:tcPr>
            <w:tcW w:w="2840"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24"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On</w:t>
            </w:r>
          </w:p>
        </w:tc>
        <w:tc>
          <w:tcPr>
            <w:tcW w:w="1023"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xml:space="preserve">Within 1 </w:t>
            </w:r>
          </w:p>
        </w:tc>
        <w:tc>
          <w:tcPr>
            <w:tcW w:w="1023"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xml:space="preserve">Between </w:t>
            </w:r>
            <w:r>
              <w:rPr>
                <w:rFonts w:cs="Calibri"/>
                <w:b/>
                <w:bCs/>
                <w:szCs w:val="18"/>
              </w:rPr>
              <w:br/>
              <w:t>1 to 2</w:t>
            </w:r>
          </w:p>
        </w:tc>
        <w:tc>
          <w:tcPr>
            <w:tcW w:w="1023"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xml:space="preserve">Between </w:t>
            </w:r>
            <w:r>
              <w:rPr>
                <w:rFonts w:cs="Calibri"/>
                <w:b/>
                <w:bCs/>
                <w:szCs w:val="18"/>
              </w:rPr>
              <w:br/>
              <w:t>2 to 5</w:t>
            </w:r>
          </w:p>
        </w:tc>
        <w:tc>
          <w:tcPr>
            <w:tcW w:w="1023"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More than</w:t>
            </w:r>
          </w:p>
        </w:tc>
        <w:tc>
          <w:tcPr>
            <w:tcW w:w="1023"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2840"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24"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demand</w:t>
            </w:r>
          </w:p>
        </w:tc>
        <w:tc>
          <w:tcPr>
            <w:tcW w:w="1023"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year</w:t>
            </w:r>
          </w:p>
        </w:tc>
        <w:tc>
          <w:tcPr>
            <w:tcW w:w="1023"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years</w:t>
            </w:r>
          </w:p>
        </w:tc>
        <w:tc>
          <w:tcPr>
            <w:tcW w:w="1023"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years</w:t>
            </w:r>
          </w:p>
        </w:tc>
        <w:tc>
          <w:tcPr>
            <w:tcW w:w="1023"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5 years</w:t>
            </w:r>
          </w:p>
        </w:tc>
        <w:tc>
          <w:tcPr>
            <w:tcW w:w="1023"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Total</w:t>
            </w:r>
          </w:p>
        </w:tc>
      </w:tr>
      <w:tr w:rsidR="007E1E1E" w:rsidTr="00B50E5D">
        <w:trPr>
          <w:trHeight w:val="255"/>
        </w:trPr>
        <w:tc>
          <w:tcPr>
            <w:tcW w:w="2840" w:type="dxa"/>
            <w:tcBorders>
              <w:top w:val="nil"/>
              <w:left w:val="nil"/>
              <w:bottom w:val="nil"/>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24"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c>
          <w:tcPr>
            <w:tcW w:w="1023"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c>
          <w:tcPr>
            <w:tcW w:w="1023"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c>
          <w:tcPr>
            <w:tcW w:w="1023"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c>
          <w:tcPr>
            <w:tcW w:w="1023"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c>
          <w:tcPr>
            <w:tcW w:w="1023"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2840"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Financial Liabilities</w:t>
            </w:r>
          </w:p>
        </w:tc>
        <w:tc>
          <w:tcPr>
            <w:tcW w:w="1024"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w:t>
            </w:r>
          </w:p>
        </w:tc>
        <w:tc>
          <w:tcPr>
            <w:tcW w:w="1023"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w:t>
            </w:r>
          </w:p>
        </w:tc>
        <w:tc>
          <w:tcPr>
            <w:tcW w:w="1023"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w:t>
            </w:r>
          </w:p>
        </w:tc>
        <w:tc>
          <w:tcPr>
            <w:tcW w:w="1023"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w:t>
            </w:r>
          </w:p>
        </w:tc>
        <w:tc>
          <w:tcPr>
            <w:tcW w:w="1023"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w:t>
            </w:r>
          </w:p>
        </w:tc>
        <w:tc>
          <w:tcPr>
            <w:tcW w:w="1023"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2840"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Measured at amortised cost</w:t>
            </w:r>
          </w:p>
        </w:tc>
        <w:tc>
          <w:tcPr>
            <w:tcW w:w="1024"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23"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23"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23"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23"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23"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2840"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Trade creditors and accruals</w:t>
            </w:r>
          </w:p>
        </w:tc>
        <w:tc>
          <w:tcPr>
            <w:tcW w:w="1024"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c>
          <w:tcPr>
            <w:tcW w:w="1023"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36,884 </w:t>
            </w:r>
          </w:p>
        </w:tc>
        <w:tc>
          <w:tcPr>
            <w:tcW w:w="1023"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c>
          <w:tcPr>
            <w:tcW w:w="1023"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c>
          <w:tcPr>
            <w:tcW w:w="1023"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c>
          <w:tcPr>
            <w:tcW w:w="1023"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36,884 </w:t>
            </w:r>
          </w:p>
        </w:tc>
      </w:tr>
      <w:tr w:rsidR="007E1E1E" w:rsidTr="00B50E5D">
        <w:trPr>
          <w:trHeight w:val="255"/>
        </w:trPr>
        <w:tc>
          <w:tcPr>
            <w:tcW w:w="2840"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Grants payable</w:t>
            </w:r>
          </w:p>
        </w:tc>
        <w:tc>
          <w:tcPr>
            <w:tcW w:w="1024"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c>
          <w:tcPr>
            <w:tcW w:w="1023"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24,434 </w:t>
            </w:r>
          </w:p>
        </w:tc>
        <w:tc>
          <w:tcPr>
            <w:tcW w:w="1023"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c>
          <w:tcPr>
            <w:tcW w:w="1023"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c>
          <w:tcPr>
            <w:tcW w:w="1023"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c>
          <w:tcPr>
            <w:tcW w:w="1023"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24,434 </w:t>
            </w:r>
          </w:p>
        </w:tc>
      </w:tr>
      <w:tr w:rsidR="007E1E1E" w:rsidTr="00B50E5D">
        <w:trPr>
          <w:trHeight w:val="255"/>
        </w:trPr>
        <w:tc>
          <w:tcPr>
            <w:tcW w:w="2840"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Total</w:t>
            </w:r>
          </w:p>
        </w:tc>
        <w:tc>
          <w:tcPr>
            <w:tcW w:w="1024"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w:t>
            </w:r>
          </w:p>
        </w:tc>
        <w:tc>
          <w:tcPr>
            <w:tcW w:w="1023"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61,318</w:t>
            </w:r>
          </w:p>
        </w:tc>
        <w:tc>
          <w:tcPr>
            <w:tcW w:w="1023"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w:t>
            </w:r>
          </w:p>
        </w:tc>
        <w:tc>
          <w:tcPr>
            <w:tcW w:w="1023"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w:t>
            </w:r>
          </w:p>
        </w:tc>
        <w:tc>
          <w:tcPr>
            <w:tcW w:w="1023"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w:t>
            </w:r>
          </w:p>
        </w:tc>
        <w:tc>
          <w:tcPr>
            <w:tcW w:w="1023"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61,318</w:t>
            </w:r>
          </w:p>
        </w:tc>
      </w:tr>
    </w:tbl>
    <w:p w:rsidR="007E1E1E" w:rsidRDefault="007E1E1E" w:rsidP="007E1E1E">
      <w:pPr>
        <w:pStyle w:val="GreyShadeTableBreak"/>
      </w:pPr>
      <w:bookmarkStart w:id="382" w:name="RANGE!D7:J33"/>
      <w:bookmarkStart w:id="383" w:name="RANGE!D6:J32"/>
      <w:bookmarkEnd w:id="382"/>
      <w:bookmarkEnd w:id="383"/>
    </w:p>
    <w:tbl>
      <w:tblPr>
        <w:tblW w:w="9087" w:type="dxa"/>
        <w:tblInd w:w="80" w:type="dxa"/>
        <w:tblLayout w:type="fixed"/>
        <w:tblLook w:val="04A0" w:firstRow="1" w:lastRow="0" w:firstColumn="1" w:lastColumn="0" w:noHBand="0" w:noVBand="1"/>
      </w:tblPr>
      <w:tblGrid>
        <w:gridCol w:w="5637"/>
        <w:gridCol w:w="1150"/>
        <w:gridCol w:w="1150"/>
        <w:gridCol w:w="1150"/>
      </w:tblGrid>
      <w:tr w:rsidR="007E1E1E" w:rsidTr="00B50E5D">
        <w:trPr>
          <w:trHeight w:val="255"/>
        </w:trPr>
        <w:tc>
          <w:tcPr>
            <w:tcW w:w="5076" w:type="dxa"/>
            <w:tcBorders>
              <w:top w:val="nil"/>
              <w:left w:val="nil"/>
              <w:bottom w:val="nil"/>
              <w:right w:val="nil"/>
            </w:tcBorders>
            <w:shd w:val="clear" w:color="000000" w:fill="D9D9D9"/>
            <w:noWrap/>
            <w:hideMark/>
          </w:tcPr>
          <w:p w:rsidR="007E1E1E" w:rsidRDefault="007E1E1E" w:rsidP="00B50E5D">
            <w:pPr>
              <w:rPr>
                <w:rFonts w:cs="Calibri"/>
                <w:b/>
                <w:bCs/>
                <w:szCs w:val="18"/>
                <w:u w:val="single"/>
              </w:rPr>
            </w:pPr>
            <w:bookmarkStart w:id="384" w:name="RANGE!D7:D9"/>
            <w:bookmarkStart w:id="385" w:name="Note_AFKTABLE1" w:colFirst="0" w:colLast="0"/>
            <w:r>
              <w:rPr>
                <w:rFonts w:cs="Calibri"/>
                <w:b/>
                <w:bCs/>
                <w:szCs w:val="18"/>
                <w:u w:val="single"/>
              </w:rPr>
              <w:t xml:space="preserve">Note </w:t>
            </w:r>
            <w:proofErr w:type="spellStart"/>
            <w:r>
              <w:rPr>
                <w:rFonts w:cs="Calibri"/>
                <w:b/>
                <w:bCs/>
                <w:szCs w:val="18"/>
                <w:u w:val="single"/>
              </w:rPr>
              <w:t>26F</w:t>
            </w:r>
            <w:proofErr w:type="spellEnd"/>
            <w:r>
              <w:rPr>
                <w:rFonts w:cs="Calibri"/>
                <w:b/>
                <w:bCs/>
                <w:szCs w:val="18"/>
                <w:u w:val="single"/>
              </w:rPr>
              <w:t>: Market risk</w:t>
            </w:r>
            <w:bookmarkEnd w:id="384"/>
          </w:p>
        </w:tc>
        <w:tc>
          <w:tcPr>
            <w:tcW w:w="10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bookmarkEnd w:id="385"/>
      <w:tr w:rsidR="007E1E1E" w:rsidTr="00B50E5D">
        <w:trPr>
          <w:trHeight w:val="255"/>
        </w:trPr>
        <w:tc>
          <w:tcPr>
            <w:tcW w:w="507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480"/>
        </w:trPr>
        <w:tc>
          <w:tcPr>
            <w:tcW w:w="8184" w:type="dxa"/>
            <w:gridSpan w:val="4"/>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 xml:space="preserve">The department holds basic financial instruments that do not expose it to certain market risks including to ‘currency risk’ and ‘other price risks’.  </w:t>
            </w:r>
          </w:p>
        </w:tc>
      </w:tr>
    </w:tbl>
    <w:p w:rsidR="007E1E1E" w:rsidRDefault="007E1E1E" w:rsidP="007E1E1E">
      <w:pPr>
        <w:pStyle w:val="GreyShadeTableBreak"/>
      </w:pPr>
      <w:bookmarkStart w:id="386" w:name="RANGE!D6:J27"/>
      <w:bookmarkEnd w:id="386"/>
    </w:p>
    <w:p w:rsidR="007E1E1E" w:rsidRDefault="007E1E1E" w:rsidP="007E1E1E">
      <w:pPr>
        <w:pStyle w:val="GreyShadeTableBreak"/>
      </w:pPr>
      <w:bookmarkStart w:id="387" w:name="RANGE!D7:G24"/>
      <w:bookmarkEnd w:id="387"/>
    </w:p>
    <w:p w:rsidR="007E1E1E" w:rsidRDefault="007E1E1E" w:rsidP="007E1E1E">
      <w:pPr>
        <w:spacing w:line="240" w:lineRule="auto"/>
        <w:sectPr w:rsidR="007E1E1E">
          <w:pgSz w:w="11906" w:h="16838"/>
          <w:pgMar w:top="1134" w:right="1134" w:bottom="1134" w:left="1134" w:header="958" w:footer="737" w:gutter="0"/>
          <w:cols w:space="720"/>
        </w:sectPr>
      </w:pPr>
    </w:p>
    <w:tbl>
      <w:tblPr>
        <w:tblW w:w="9087" w:type="dxa"/>
        <w:tblInd w:w="80" w:type="dxa"/>
        <w:tblLayout w:type="fixed"/>
        <w:tblLook w:val="04A0" w:firstRow="1" w:lastRow="0" w:firstColumn="1" w:lastColumn="0" w:noHBand="0" w:noVBand="1"/>
      </w:tblPr>
      <w:tblGrid>
        <w:gridCol w:w="6994"/>
        <w:gridCol w:w="2093"/>
      </w:tblGrid>
      <w:tr w:rsidR="007E1E1E" w:rsidTr="00B50E5D">
        <w:trPr>
          <w:trHeight w:val="255"/>
        </w:trPr>
        <w:tc>
          <w:tcPr>
            <w:tcW w:w="4196" w:type="dxa"/>
            <w:tcBorders>
              <w:top w:val="nil"/>
              <w:left w:val="nil"/>
              <w:bottom w:val="nil"/>
              <w:right w:val="nil"/>
            </w:tcBorders>
            <w:shd w:val="clear" w:color="000000" w:fill="D9D9D9"/>
            <w:noWrap/>
            <w:hideMark/>
          </w:tcPr>
          <w:p w:rsidR="007E1E1E" w:rsidRDefault="007E1E1E" w:rsidP="00B50E5D">
            <w:pPr>
              <w:rPr>
                <w:rFonts w:cs="Calibri"/>
                <w:b/>
                <w:bCs/>
                <w:szCs w:val="18"/>
                <w:u w:val="single"/>
              </w:rPr>
            </w:pPr>
            <w:bookmarkStart w:id="388" w:name="Note_AFOTABLE1" w:colFirst="0" w:colLast="0"/>
            <w:r>
              <w:rPr>
                <w:rFonts w:cs="Calibri"/>
                <w:b/>
                <w:bCs/>
                <w:szCs w:val="18"/>
                <w:u w:val="single"/>
              </w:rPr>
              <w:lastRenderedPageBreak/>
              <w:t xml:space="preserve">Note </w:t>
            </w:r>
            <w:proofErr w:type="spellStart"/>
            <w:r>
              <w:rPr>
                <w:rFonts w:cs="Calibri"/>
                <w:b/>
                <w:bCs/>
                <w:szCs w:val="18"/>
                <w:u w:val="single"/>
              </w:rPr>
              <w:t>26G</w:t>
            </w:r>
            <w:proofErr w:type="spellEnd"/>
            <w:r>
              <w:rPr>
                <w:rFonts w:cs="Calibri"/>
                <w:b/>
                <w:bCs/>
                <w:szCs w:val="18"/>
                <w:u w:val="single"/>
              </w:rPr>
              <w:t>: Concessional loans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bookmarkEnd w:id="388"/>
      <w:tr w:rsidR="007E1E1E" w:rsidTr="00B50E5D">
        <w:trPr>
          <w:trHeight w:val="255"/>
        </w:trPr>
        <w:tc>
          <w:tcPr>
            <w:tcW w:w="41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2014</w:t>
            </w:r>
          </w:p>
        </w:tc>
      </w:tr>
      <w:tr w:rsidR="007E1E1E" w:rsidTr="00B50E5D">
        <w:trPr>
          <w:trHeight w:val="255"/>
        </w:trPr>
        <w:tc>
          <w:tcPr>
            <w:tcW w:w="419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4196"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proofErr w:type="spellStart"/>
            <w:r>
              <w:rPr>
                <w:rFonts w:cs="Calibri"/>
                <w:b/>
                <w:bCs/>
                <w:szCs w:val="18"/>
              </w:rPr>
              <w:t>HECS</w:t>
            </w:r>
            <w:proofErr w:type="spellEnd"/>
            <w:r>
              <w:rPr>
                <w:rFonts w:cs="Calibri"/>
                <w:b/>
                <w:bCs/>
                <w:szCs w:val="18"/>
              </w:rPr>
              <w:t>\HELP loans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419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Nominal value</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33,813,381 </w:t>
            </w:r>
          </w:p>
        </w:tc>
      </w:tr>
      <w:tr w:rsidR="007E1E1E" w:rsidTr="00B50E5D">
        <w:trPr>
          <w:trHeight w:val="255"/>
        </w:trPr>
        <w:tc>
          <w:tcPr>
            <w:tcW w:w="419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Less: Unexpired discount</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(451,311)</w:t>
            </w:r>
          </w:p>
        </w:tc>
      </w:tr>
      <w:tr w:rsidR="007E1E1E" w:rsidTr="00B50E5D">
        <w:trPr>
          <w:trHeight w:val="255"/>
        </w:trPr>
        <w:tc>
          <w:tcPr>
            <w:tcW w:w="4196" w:type="dxa"/>
            <w:tcBorders>
              <w:top w:val="nil"/>
              <w:left w:val="nil"/>
              <w:bottom w:val="nil"/>
              <w:right w:val="nil"/>
            </w:tcBorders>
            <w:shd w:val="clear" w:color="000000" w:fill="D9D9D9"/>
            <w:noWrap/>
            <w:vAlign w:val="bottom"/>
            <w:hideMark/>
          </w:tcPr>
          <w:p w:rsidR="007E1E1E" w:rsidRDefault="007E1E1E" w:rsidP="007E1E1E">
            <w:pPr>
              <w:ind w:firstLineChars="300" w:firstLine="540"/>
              <w:rPr>
                <w:rFonts w:cs="Calibri"/>
                <w:szCs w:val="18"/>
              </w:rPr>
            </w:pPr>
            <w:r>
              <w:rPr>
                <w:rFonts w:cs="Calibri"/>
                <w:szCs w:val="18"/>
              </w:rPr>
              <w:t>Impairment</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(8,214,931)</w:t>
            </w:r>
          </w:p>
        </w:tc>
      </w:tr>
      <w:tr w:rsidR="007E1E1E" w:rsidTr="00B50E5D">
        <w:trPr>
          <w:trHeight w:val="255"/>
        </w:trPr>
        <w:tc>
          <w:tcPr>
            <w:tcW w:w="419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Carrying amount</w:t>
            </w:r>
          </w:p>
        </w:tc>
        <w:tc>
          <w:tcPr>
            <w:tcW w:w="12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25,147,139</w:t>
            </w:r>
          </w:p>
        </w:tc>
      </w:tr>
      <w:tr w:rsidR="007E1E1E" w:rsidTr="00B50E5D">
        <w:trPr>
          <w:trHeight w:val="255"/>
        </w:trPr>
        <w:tc>
          <w:tcPr>
            <w:tcW w:w="4196" w:type="dxa"/>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Child Care loans</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419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Nominal value</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884 </w:t>
            </w:r>
          </w:p>
        </w:tc>
      </w:tr>
      <w:tr w:rsidR="007E1E1E" w:rsidTr="00B50E5D">
        <w:trPr>
          <w:trHeight w:val="255"/>
        </w:trPr>
        <w:tc>
          <w:tcPr>
            <w:tcW w:w="4196" w:type="dxa"/>
            <w:tcBorders>
              <w:top w:val="nil"/>
              <w:left w:val="nil"/>
              <w:bottom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Less: Unexpired discount</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4196" w:type="dxa"/>
            <w:tcBorders>
              <w:top w:val="nil"/>
              <w:left w:val="nil"/>
              <w:bottom w:val="nil"/>
              <w:right w:val="nil"/>
            </w:tcBorders>
            <w:shd w:val="clear" w:color="000000" w:fill="D9D9D9"/>
            <w:noWrap/>
            <w:vAlign w:val="bottom"/>
            <w:hideMark/>
          </w:tcPr>
          <w:p w:rsidR="007E1E1E" w:rsidRDefault="007E1E1E" w:rsidP="007E1E1E">
            <w:pPr>
              <w:ind w:firstLineChars="300" w:firstLine="540"/>
              <w:rPr>
                <w:rFonts w:cs="Calibri"/>
                <w:szCs w:val="18"/>
              </w:rPr>
            </w:pPr>
            <w:r>
              <w:rPr>
                <w:rFonts w:cs="Calibri"/>
                <w:szCs w:val="18"/>
              </w:rPr>
              <w:t>Impairment</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4196" w:type="dxa"/>
            <w:tcBorders>
              <w:top w:val="nil"/>
              <w:left w:val="nil"/>
              <w:bottom w:val="nil"/>
              <w:right w:val="nil"/>
            </w:tcBorders>
            <w:shd w:val="clear" w:color="000000" w:fill="D9D9D9"/>
            <w:noWrap/>
            <w:vAlign w:val="bottom"/>
            <w:hideMark/>
          </w:tcPr>
          <w:p w:rsidR="007E1E1E" w:rsidRDefault="007E1E1E" w:rsidP="007E1E1E">
            <w:pPr>
              <w:ind w:firstLineChars="300" w:firstLine="540"/>
              <w:rPr>
                <w:rFonts w:cs="Calibri"/>
                <w:szCs w:val="18"/>
              </w:rPr>
            </w:pPr>
            <w:r>
              <w:rPr>
                <w:rFonts w:cs="Calibri"/>
                <w:szCs w:val="18"/>
              </w:rPr>
              <w:t>Principal repayment</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(157)</w:t>
            </w:r>
          </w:p>
        </w:tc>
      </w:tr>
      <w:tr w:rsidR="007E1E1E" w:rsidTr="00B50E5D">
        <w:trPr>
          <w:trHeight w:val="255"/>
        </w:trPr>
        <w:tc>
          <w:tcPr>
            <w:tcW w:w="4196" w:type="dxa"/>
            <w:tcBorders>
              <w:top w:val="nil"/>
              <w:left w:val="nil"/>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Carrying amount</w:t>
            </w:r>
          </w:p>
        </w:tc>
        <w:tc>
          <w:tcPr>
            <w:tcW w:w="125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727</w:t>
            </w:r>
          </w:p>
        </w:tc>
      </w:tr>
      <w:tr w:rsidR="007E1E1E" w:rsidTr="00B50E5D">
        <w:trPr>
          <w:trHeight w:val="270"/>
        </w:trPr>
        <w:tc>
          <w:tcPr>
            <w:tcW w:w="4196" w:type="dxa"/>
            <w:tcBorders>
              <w:top w:val="nil"/>
              <w:left w:val="nil"/>
              <w:bottom w:val="single" w:sz="24" w:space="0" w:color="D8D8D8"/>
              <w:right w:val="nil"/>
            </w:tcBorders>
            <w:shd w:val="clear" w:color="000000" w:fill="D9D9D9"/>
            <w:noWrap/>
            <w:vAlign w:val="bottom"/>
            <w:hideMark/>
          </w:tcPr>
          <w:p w:rsidR="007E1E1E" w:rsidRDefault="007E1E1E" w:rsidP="00B50E5D">
            <w:pPr>
              <w:rPr>
                <w:rFonts w:cs="Calibri"/>
                <w:b/>
                <w:bCs/>
                <w:i/>
                <w:iCs/>
                <w:szCs w:val="18"/>
              </w:rPr>
            </w:pPr>
            <w:r>
              <w:rPr>
                <w:rFonts w:cs="Calibri"/>
                <w:b/>
                <w:bCs/>
                <w:i/>
                <w:iCs/>
                <w:szCs w:val="18"/>
              </w:rPr>
              <w:t>Total Concessional loans</w:t>
            </w:r>
          </w:p>
        </w:tc>
        <w:tc>
          <w:tcPr>
            <w:tcW w:w="1256" w:type="dxa"/>
            <w:tcBorders>
              <w:top w:val="nil"/>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25,147,866</w:t>
            </w:r>
          </w:p>
        </w:tc>
      </w:tr>
    </w:tbl>
    <w:p w:rsidR="007E1E1E" w:rsidRDefault="007E1E1E" w:rsidP="007E1E1E">
      <w:pPr>
        <w:pStyle w:val="GreyShadeTableBreak"/>
      </w:pPr>
      <w:bookmarkStart w:id="389" w:name="RANGE!D6:F24"/>
      <w:bookmarkStart w:id="390" w:name="RANGE!D6:F25"/>
      <w:bookmarkStart w:id="391" w:name="RANGE!D6:F22"/>
      <w:bookmarkStart w:id="392" w:name="RANGE!D6:F23"/>
      <w:bookmarkEnd w:id="389"/>
      <w:bookmarkEnd w:id="390"/>
      <w:bookmarkEnd w:id="391"/>
      <w:bookmarkEnd w:id="392"/>
    </w:p>
    <w:p w:rsidR="007E1E1E" w:rsidRDefault="007E1E1E" w:rsidP="007E1E1E">
      <w:pPr>
        <w:pStyle w:val="NotesHeading-Level1GreyShade"/>
        <w:numPr>
          <w:ilvl w:val="0"/>
          <w:numId w:val="13"/>
        </w:numPr>
        <w:ind w:left="0" w:right="601" w:firstLine="0"/>
      </w:pPr>
      <w:bookmarkStart w:id="393" w:name="_Toc400713270"/>
      <w:r>
        <w:t>Administered Financial Assets Reconciliation</w:t>
      </w:r>
      <w:bookmarkEnd w:id="393"/>
      <w:r>
        <w:t xml:space="preserve"> </w:t>
      </w:r>
    </w:p>
    <w:tbl>
      <w:tblPr>
        <w:tblW w:w="9087" w:type="dxa"/>
        <w:tblInd w:w="80" w:type="dxa"/>
        <w:tblLayout w:type="fixed"/>
        <w:tblLook w:val="04A0" w:firstRow="1" w:lastRow="0" w:firstColumn="1" w:lastColumn="0" w:noHBand="0" w:noVBand="1"/>
      </w:tblPr>
      <w:tblGrid>
        <w:gridCol w:w="6259"/>
        <w:gridCol w:w="971"/>
        <w:gridCol w:w="1857"/>
      </w:tblGrid>
      <w:tr w:rsidR="007E1E1E" w:rsidTr="00B50E5D">
        <w:trPr>
          <w:trHeight w:val="240"/>
        </w:trPr>
        <w:tc>
          <w:tcPr>
            <w:tcW w:w="42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bookmarkStart w:id="394" w:name="Note_AARTABLE1" w:colFirst="0" w:colLast="0"/>
            <w:r>
              <w:rPr>
                <w:rFonts w:ascii="Arial" w:hAnsi="Arial" w:cs="Arial"/>
                <w:sz w:val="16"/>
                <w:szCs w:val="16"/>
              </w:rPr>
              <w:t> </w:t>
            </w:r>
          </w:p>
        </w:tc>
        <w:tc>
          <w:tcPr>
            <w:tcW w:w="657"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7"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2014</w:t>
            </w:r>
          </w:p>
        </w:tc>
      </w:tr>
      <w:bookmarkEnd w:id="394"/>
      <w:tr w:rsidR="007E1E1E" w:rsidTr="00B50E5D">
        <w:trPr>
          <w:trHeight w:val="240"/>
        </w:trPr>
        <w:tc>
          <w:tcPr>
            <w:tcW w:w="42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657"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7" w:type="dxa"/>
            <w:tcBorders>
              <w:top w:val="nil"/>
              <w:left w:val="nil"/>
              <w:bottom w:val="single" w:sz="4" w:space="0" w:color="D9D9D9"/>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40"/>
        </w:trPr>
        <w:tc>
          <w:tcPr>
            <w:tcW w:w="4236" w:type="dxa"/>
            <w:tcBorders>
              <w:top w:val="nil"/>
              <w:left w:val="nil"/>
              <w:bottom w:val="nil"/>
              <w:right w:val="nil"/>
            </w:tcBorders>
            <w:shd w:val="clear" w:color="000000" w:fill="D9D9D9"/>
            <w:noWrap/>
          </w:tcPr>
          <w:p w:rsidR="007E1E1E" w:rsidRDefault="007E1E1E" w:rsidP="00B50E5D">
            <w:pPr>
              <w:rPr>
                <w:rFonts w:cs="Calibri"/>
                <w:b/>
                <w:bCs/>
                <w:szCs w:val="18"/>
                <w:u w:val="single"/>
              </w:rPr>
            </w:pPr>
          </w:p>
        </w:tc>
        <w:tc>
          <w:tcPr>
            <w:tcW w:w="657" w:type="dxa"/>
            <w:tcBorders>
              <w:top w:val="nil"/>
              <w:left w:val="nil"/>
              <w:bottom w:val="nil"/>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Notes</w:t>
            </w:r>
          </w:p>
        </w:tc>
        <w:tc>
          <w:tcPr>
            <w:tcW w:w="1257"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b/>
                <w:bCs/>
                <w:szCs w:val="18"/>
              </w:rPr>
            </w:pPr>
            <w:r>
              <w:rPr>
                <w:rFonts w:cs="Calibri"/>
                <w:b/>
                <w:bCs/>
                <w:szCs w:val="18"/>
              </w:rPr>
              <w:t> </w:t>
            </w:r>
          </w:p>
        </w:tc>
      </w:tr>
      <w:tr w:rsidR="007E1E1E" w:rsidTr="00B50E5D">
        <w:trPr>
          <w:trHeight w:val="240"/>
        </w:trPr>
        <w:tc>
          <w:tcPr>
            <w:tcW w:w="423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657"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257"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510"/>
        </w:trPr>
        <w:tc>
          <w:tcPr>
            <w:tcW w:w="423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Total financial assets as per administered schedule of assets and liabilities</w:t>
            </w:r>
          </w:p>
        </w:tc>
        <w:tc>
          <w:tcPr>
            <w:tcW w:w="657"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1257"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28,200,446</w:t>
            </w:r>
          </w:p>
        </w:tc>
      </w:tr>
      <w:tr w:rsidR="007E1E1E" w:rsidTr="00B50E5D">
        <w:trPr>
          <w:trHeight w:val="240"/>
        </w:trPr>
        <w:tc>
          <w:tcPr>
            <w:tcW w:w="423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Less: non-financial instrument components</w:t>
            </w:r>
          </w:p>
        </w:tc>
        <w:tc>
          <w:tcPr>
            <w:tcW w:w="657"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257" w:type="dxa"/>
            <w:tcBorders>
              <w:top w:val="nil"/>
              <w:left w:val="nil"/>
              <w:bottom w:val="single" w:sz="4" w:space="0" w:color="D9D9D9"/>
              <w:right w:val="nil"/>
            </w:tcBorders>
            <w:shd w:val="clear" w:color="000000" w:fill="D9D9D9"/>
            <w:noWrap/>
            <w:vAlign w:val="bottom"/>
            <w:hideMark/>
          </w:tcPr>
          <w:p w:rsidR="007E1E1E" w:rsidRDefault="007E1E1E" w:rsidP="00B50E5D">
            <w:pPr>
              <w:rPr>
                <w:rFonts w:cs="Calibri"/>
                <w:b/>
                <w:bCs/>
                <w:szCs w:val="18"/>
              </w:rPr>
            </w:pPr>
            <w:r>
              <w:rPr>
                <w:rFonts w:cs="Calibri"/>
                <w:b/>
                <w:bCs/>
                <w:szCs w:val="18"/>
              </w:rPr>
              <w:t> </w:t>
            </w:r>
          </w:p>
        </w:tc>
      </w:tr>
      <w:tr w:rsidR="007E1E1E" w:rsidTr="00B50E5D">
        <w:trPr>
          <w:trHeight w:val="240"/>
        </w:trPr>
        <w:tc>
          <w:tcPr>
            <w:tcW w:w="423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GST receivable from Australian Taxation Office</w:t>
            </w:r>
          </w:p>
        </w:tc>
        <w:tc>
          <w:tcPr>
            <w:tcW w:w="657"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257"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13,364 </w:t>
            </w:r>
          </w:p>
        </w:tc>
      </w:tr>
      <w:tr w:rsidR="007E1E1E" w:rsidTr="00B50E5D">
        <w:trPr>
          <w:trHeight w:val="240"/>
        </w:trPr>
        <w:tc>
          <w:tcPr>
            <w:tcW w:w="423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Personal benefits receivable (net)</w:t>
            </w:r>
          </w:p>
        </w:tc>
        <w:tc>
          <w:tcPr>
            <w:tcW w:w="657"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257"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352,733 </w:t>
            </w:r>
          </w:p>
        </w:tc>
      </w:tr>
      <w:tr w:rsidR="007E1E1E" w:rsidTr="00B50E5D">
        <w:trPr>
          <w:trHeight w:val="240"/>
        </w:trPr>
        <w:tc>
          <w:tcPr>
            <w:tcW w:w="423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Unfunded University Superannuation (net)</w:t>
            </w:r>
          </w:p>
        </w:tc>
        <w:tc>
          <w:tcPr>
            <w:tcW w:w="657"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257"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422,000 </w:t>
            </w:r>
          </w:p>
        </w:tc>
      </w:tr>
      <w:tr w:rsidR="007E1E1E" w:rsidTr="00B50E5D">
        <w:trPr>
          <w:trHeight w:val="240"/>
        </w:trPr>
        <w:tc>
          <w:tcPr>
            <w:tcW w:w="4236" w:type="dxa"/>
            <w:tcBorders>
              <w:top w:val="nil"/>
              <w:left w:val="nil"/>
              <w:bottom w:val="single" w:sz="4" w:space="0" w:color="D9D9D9"/>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 xml:space="preserve">Special accounts </w:t>
            </w:r>
          </w:p>
        </w:tc>
        <w:tc>
          <w:tcPr>
            <w:tcW w:w="657"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 </w:t>
            </w:r>
          </w:p>
        </w:tc>
        <w:tc>
          <w:tcPr>
            <w:tcW w:w="1257"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91,293 </w:t>
            </w:r>
          </w:p>
        </w:tc>
      </w:tr>
      <w:tr w:rsidR="007E1E1E" w:rsidTr="00B50E5D">
        <w:trPr>
          <w:trHeight w:val="240"/>
        </w:trPr>
        <w:tc>
          <w:tcPr>
            <w:tcW w:w="4236" w:type="dxa"/>
            <w:tcBorders>
              <w:top w:val="nil"/>
              <w:left w:val="nil"/>
              <w:bottom w:val="single" w:sz="4" w:space="0" w:color="D9D9D9"/>
              <w:right w:val="nil"/>
            </w:tcBorders>
            <w:shd w:val="clear" w:color="000000" w:fill="D9D9D9"/>
            <w:vAlign w:val="bottom"/>
            <w:hideMark/>
          </w:tcPr>
          <w:p w:rsidR="007E1E1E" w:rsidRDefault="007E1E1E" w:rsidP="00B50E5D">
            <w:pPr>
              <w:rPr>
                <w:rFonts w:cs="Calibri"/>
                <w:szCs w:val="18"/>
              </w:rPr>
            </w:pPr>
            <w:r>
              <w:rPr>
                <w:rFonts w:cs="Calibri"/>
                <w:szCs w:val="18"/>
              </w:rPr>
              <w:t>Total non-financial instrument components</w:t>
            </w:r>
          </w:p>
        </w:tc>
        <w:tc>
          <w:tcPr>
            <w:tcW w:w="657" w:type="dxa"/>
            <w:tcBorders>
              <w:top w:val="nil"/>
              <w:left w:val="nil"/>
              <w:bottom w:val="single" w:sz="4" w:space="0" w:color="D9D9D9"/>
              <w:right w:val="nil"/>
            </w:tcBorders>
            <w:shd w:val="clear" w:color="000000" w:fill="D9D9D9"/>
            <w:vAlign w:val="bottom"/>
            <w:hideMark/>
          </w:tcPr>
          <w:p w:rsidR="007E1E1E" w:rsidRDefault="007E1E1E" w:rsidP="00B50E5D">
            <w:pPr>
              <w:rPr>
                <w:rFonts w:cs="Calibri"/>
                <w:b/>
                <w:bCs/>
                <w:szCs w:val="18"/>
              </w:rPr>
            </w:pPr>
            <w:r>
              <w:rPr>
                <w:rFonts w:cs="Calibri"/>
                <w:b/>
                <w:bCs/>
                <w:szCs w:val="18"/>
              </w:rPr>
              <w:t> </w:t>
            </w:r>
          </w:p>
        </w:tc>
        <w:tc>
          <w:tcPr>
            <w:tcW w:w="1257"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879,390</w:t>
            </w:r>
          </w:p>
        </w:tc>
      </w:tr>
      <w:tr w:rsidR="007E1E1E" w:rsidTr="00B50E5D">
        <w:trPr>
          <w:trHeight w:val="555"/>
        </w:trPr>
        <w:tc>
          <w:tcPr>
            <w:tcW w:w="4236" w:type="dxa"/>
            <w:tcBorders>
              <w:top w:val="single" w:sz="4" w:space="0" w:color="D9D9D9"/>
              <w:left w:val="nil"/>
              <w:bottom w:val="single" w:sz="24" w:space="0" w:color="D8D8D8"/>
              <w:right w:val="nil"/>
            </w:tcBorders>
            <w:shd w:val="clear" w:color="000000" w:fill="D9D9D9"/>
            <w:vAlign w:val="bottom"/>
            <w:hideMark/>
          </w:tcPr>
          <w:p w:rsidR="007E1E1E" w:rsidRDefault="007E1E1E" w:rsidP="00B50E5D">
            <w:pPr>
              <w:rPr>
                <w:rFonts w:cs="Calibri"/>
                <w:b/>
                <w:bCs/>
                <w:szCs w:val="18"/>
              </w:rPr>
            </w:pPr>
            <w:r>
              <w:rPr>
                <w:rFonts w:cs="Calibri"/>
                <w:b/>
                <w:bCs/>
                <w:szCs w:val="18"/>
              </w:rPr>
              <w:t>Total financial assets as per administered financial instruments note</w:t>
            </w:r>
          </w:p>
        </w:tc>
        <w:tc>
          <w:tcPr>
            <w:tcW w:w="657" w:type="dxa"/>
            <w:tcBorders>
              <w:top w:val="single" w:sz="4" w:space="0" w:color="D9D9D9"/>
              <w:left w:val="nil"/>
              <w:bottom w:val="single" w:sz="24" w:space="0" w:color="D8D8D8"/>
              <w:right w:val="nil"/>
            </w:tcBorders>
            <w:shd w:val="clear" w:color="000000" w:fill="D9D9D9"/>
            <w:vAlign w:val="bottom"/>
            <w:hideMark/>
          </w:tcPr>
          <w:p w:rsidR="007E1E1E" w:rsidRDefault="007E1E1E" w:rsidP="00B50E5D">
            <w:pPr>
              <w:jc w:val="right"/>
              <w:rPr>
                <w:rFonts w:cs="Calibri"/>
                <w:b/>
                <w:bCs/>
                <w:szCs w:val="18"/>
              </w:rPr>
            </w:pPr>
            <w:proofErr w:type="spellStart"/>
            <w:r>
              <w:rPr>
                <w:rFonts w:cs="Calibri"/>
                <w:b/>
                <w:bCs/>
                <w:szCs w:val="18"/>
              </w:rPr>
              <w:t>26A</w:t>
            </w:r>
            <w:proofErr w:type="spellEnd"/>
          </w:p>
        </w:tc>
        <w:tc>
          <w:tcPr>
            <w:tcW w:w="1257" w:type="dxa"/>
            <w:tcBorders>
              <w:top w:val="nil"/>
              <w:left w:val="nil"/>
              <w:bottom w:val="double" w:sz="6"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27,321,056</w:t>
            </w:r>
          </w:p>
        </w:tc>
      </w:tr>
    </w:tbl>
    <w:p w:rsidR="007E1E1E" w:rsidRDefault="007E1E1E" w:rsidP="007E1E1E">
      <w:pPr>
        <w:spacing w:line="240" w:lineRule="auto"/>
      </w:pPr>
    </w:p>
    <w:p w:rsidR="007E1E1E" w:rsidRDefault="007E1E1E" w:rsidP="007E1E1E">
      <w:pPr>
        <w:spacing w:line="240" w:lineRule="auto"/>
        <w:rPr>
          <w:rFonts w:asciiTheme="minorHAnsi" w:hAnsiTheme="minorHAnsi" w:cstheme="minorHAnsi"/>
          <w:b/>
          <w:sz w:val="20"/>
        </w:rPr>
      </w:pPr>
      <w:r>
        <w:rPr>
          <w:rFonts w:cstheme="minorHAnsi"/>
        </w:rPr>
        <w:br w:type="page"/>
      </w:r>
    </w:p>
    <w:p w:rsidR="007E1E1E" w:rsidRPr="00975BAD" w:rsidRDefault="007E1E1E" w:rsidP="007E1E1E">
      <w:pPr>
        <w:pStyle w:val="NotesHeading-Level1GreyShade"/>
        <w:numPr>
          <w:ilvl w:val="0"/>
          <w:numId w:val="13"/>
        </w:numPr>
        <w:ind w:left="0" w:right="566" w:firstLine="0"/>
      </w:pPr>
      <w:bookmarkStart w:id="395" w:name="_Toc400713271"/>
      <w:r w:rsidRPr="00975BAD">
        <w:lastRenderedPageBreak/>
        <w:t>Unfunded Superannuation Provision for Australian Universities</w:t>
      </w:r>
      <w:bookmarkEnd w:id="395"/>
    </w:p>
    <w:p w:rsidR="007E1E1E" w:rsidRPr="00975BAD" w:rsidRDefault="007E1E1E" w:rsidP="007E1E1E">
      <w:pPr>
        <w:pStyle w:val="GreyShadeTableBreak"/>
        <w:tabs>
          <w:tab w:val="clear" w:pos="9214"/>
          <w:tab w:val="left" w:pos="9072"/>
        </w:tabs>
        <w:ind w:right="566"/>
      </w:pPr>
    </w:p>
    <w:p w:rsidR="007E1E1E" w:rsidRDefault="007E1E1E" w:rsidP="007E1E1E">
      <w:pPr>
        <w:pStyle w:val="GreyShadeTableBreak"/>
        <w:tabs>
          <w:tab w:val="left" w:pos="9072"/>
        </w:tabs>
        <w:ind w:right="566"/>
      </w:pPr>
      <w:r>
        <w:t>Funding responsibility for universities has varied from time to time between the Commonwealth and the states.</w:t>
      </w:r>
    </w:p>
    <w:p w:rsidR="007E1E1E" w:rsidRDefault="007E1E1E" w:rsidP="007E1E1E">
      <w:pPr>
        <w:pStyle w:val="GreyShadeTableBreak"/>
        <w:tabs>
          <w:tab w:val="left" w:pos="9072"/>
        </w:tabs>
        <w:ind w:right="566"/>
      </w:pPr>
      <w:r>
        <w:t>A number of universities have employees or former employees who are members of state superannuation schemes which are unfunded or partly funded. Accordingly, there are cost sharing arrangements for these schemes in place between the Commonwealth and the states. The Commonwealth recognises the amount payable to universities for these entitlements in full. The Commonwealth is then reimbursed by the states for their share of the costs.</w:t>
      </w:r>
    </w:p>
    <w:p w:rsidR="007E1E1E" w:rsidRDefault="007E1E1E" w:rsidP="007E1E1E">
      <w:pPr>
        <w:pStyle w:val="GreyShadeTableBreak"/>
        <w:tabs>
          <w:tab w:val="left" w:pos="9072"/>
        </w:tabs>
        <w:ind w:right="566"/>
      </w:pPr>
    </w:p>
    <w:p w:rsidR="007E1E1E" w:rsidRDefault="007E1E1E" w:rsidP="007E1E1E">
      <w:pPr>
        <w:pStyle w:val="GreyShadeTableBreak"/>
        <w:tabs>
          <w:tab w:val="left" w:pos="9072"/>
        </w:tabs>
        <w:ind w:right="566"/>
      </w:pPr>
      <w:r>
        <w:t>The Department recognises two items in its Financial Statements that relate to the Unfunded Superannuation for</w:t>
      </w:r>
    </w:p>
    <w:p w:rsidR="007E1E1E" w:rsidRDefault="007E1E1E" w:rsidP="007E1E1E">
      <w:pPr>
        <w:pStyle w:val="GreyShadeTableBreak"/>
        <w:tabs>
          <w:tab w:val="left" w:pos="9072"/>
        </w:tabs>
        <w:ind w:right="566"/>
      </w:pPr>
      <w:proofErr w:type="gramStart"/>
      <w:r>
        <w:t>Australian Universities – a liability and a receivable.</w:t>
      </w:r>
      <w:proofErr w:type="gramEnd"/>
    </w:p>
    <w:p w:rsidR="007E1E1E" w:rsidRDefault="007E1E1E" w:rsidP="007E1E1E">
      <w:pPr>
        <w:pStyle w:val="GreyShadeTableBreak"/>
        <w:tabs>
          <w:tab w:val="left" w:pos="9072"/>
        </w:tabs>
        <w:ind w:right="566"/>
      </w:pPr>
    </w:p>
    <w:p w:rsidR="007E1E1E" w:rsidRDefault="007E1E1E" w:rsidP="007E1E1E">
      <w:pPr>
        <w:pStyle w:val="GreyShadeTableBreak"/>
        <w:tabs>
          <w:tab w:val="left" w:pos="9072"/>
        </w:tabs>
        <w:ind w:right="566"/>
      </w:pPr>
      <w:r>
        <w:t xml:space="preserve">The liability comprises a provision for the total amount of funding expected to be paid by the Commonwealth to the universities in order for them to meet their outstanding employer contribution obligations to the various state superannuation schemes to which some of their employees belong. The provision is recognised in accordance with </w:t>
      </w:r>
      <w:proofErr w:type="spellStart"/>
      <w:r w:rsidRPr="008F1A90">
        <w:rPr>
          <w:i/>
        </w:rPr>
        <w:t>AASB</w:t>
      </w:r>
      <w:proofErr w:type="spellEnd"/>
      <w:r w:rsidRPr="008F1A90">
        <w:rPr>
          <w:i/>
        </w:rPr>
        <w:t xml:space="preserve"> 137 Provisions, Contingent Liabilities and Contingent Assets</w:t>
      </w:r>
      <w:r>
        <w:t>, which requires the recognition of a provision where it is probable that a future sacrifice of economic benefit will be required and where the provision can be measured reliably, as a best estimate of the expenditure required to settle the present obligation at reporting date.</w:t>
      </w:r>
    </w:p>
    <w:p w:rsidR="007E1E1E" w:rsidRDefault="007E1E1E" w:rsidP="007E1E1E">
      <w:pPr>
        <w:pStyle w:val="GreyShadeTableBreak"/>
        <w:tabs>
          <w:tab w:val="left" w:pos="9072"/>
        </w:tabs>
        <w:ind w:right="566"/>
      </w:pPr>
    </w:p>
    <w:p w:rsidR="007E1E1E" w:rsidRDefault="007E1E1E" w:rsidP="007E1E1E">
      <w:pPr>
        <w:pStyle w:val="GreyShadeTableBreak"/>
        <w:tabs>
          <w:tab w:val="left" w:pos="9072"/>
        </w:tabs>
        <w:ind w:right="566"/>
      </w:pPr>
      <w:r>
        <w:t>The receivable comprises the contributions due and payable by the states to the Commonwealth under the cost sharing arrangement – representing the state’s share of the outstanding superannuation entitlement as at reporting date.</w:t>
      </w:r>
    </w:p>
    <w:p w:rsidR="007E1E1E" w:rsidRDefault="007E1E1E" w:rsidP="007E1E1E">
      <w:pPr>
        <w:pStyle w:val="GreyShadeTableBreak"/>
        <w:tabs>
          <w:tab w:val="left" w:pos="9072"/>
        </w:tabs>
        <w:ind w:right="566"/>
      </w:pPr>
    </w:p>
    <w:p w:rsidR="007E1E1E" w:rsidRPr="00975BAD" w:rsidRDefault="007E1E1E" w:rsidP="007E1E1E">
      <w:pPr>
        <w:pStyle w:val="GreyShadeTableBreak"/>
        <w:tabs>
          <w:tab w:val="left" w:pos="9072"/>
        </w:tabs>
        <w:ind w:right="566"/>
      </w:pPr>
      <w:r>
        <w:t xml:space="preserve">The Australian Government Actuary (AGA) provides an estimate of both the liability and receivable, based on data and calculations provided by each university’s respective actuary. Both the AGA and the department apply the provisions of </w:t>
      </w:r>
      <w:proofErr w:type="spellStart"/>
      <w:r w:rsidRPr="008F1A90">
        <w:rPr>
          <w:i/>
        </w:rPr>
        <w:t>AASB</w:t>
      </w:r>
      <w:proofErr w:type="spellEnd"/>
      <w:r w:rsidRPr="008F1A90">
        <w:rPr>
          <w:i/>
        </w:rPr>
        <w:t xml:space="preserve"> 119 Employee Benefits</w:t>
      </w:r>
      <w:r>
        <w:t xml:space="preserve"> in measuring the liability at reporting date. In accordance with the generally accepted accounting principles, the Financial Statements have recognised a liability for the total unfunded university superannuation of $6.868 billion. A gross receivable, representing the estimated reimbursement from the states of $1.622 billion and an impairment allowance of $1.200 billion has also been recognised.</w:t>
      </w:r>
    </w:p>
    <w:p w:rsidR="007E1E1E" w:rsidRPr="000D255F" w:rsidRDefault="007E1E1E" w:rsidP="007E1E1E">
      <w:pPr>
        <w:pStyle w:val="NotesHeading-Level1"/>
        <w:numPr>
          <w:ilvl w:val="0"/>
          <w:numId w:val="0"/>
        </w:numPr>
        <w:rPr>
          <w:rFonts w:cstheme="minorHAnsi"/>
          <w:highlight w:val="yellow"/>
        </w:rPr>
      </w:pPr>
    </w:p>
    <w:p w:rsidR="007E1E1E" w:rsidRDefault="007E1E1E" w:rsidP="007E1E1E">
      <w:pPr>
        <w:spacing w:line="240" w:lineRule="auto"/>
      </w:pPr>
    </w:p>
    <w:p w:rsidR="007E1E1E" w:rsidRDefault="007E1E1E" w:rsidP="007E1E1E">
      <w:pPr>
        <w:spacing w:line="240" w:lineRule="auto"/>
      </w:pPr>
    </w:p>
    <w:p w:rsidR="007E1E1E" w:rsidRDefault="007E1E1E" w:rsidP="007E1E1E">
      <w:pPr>
        <w:spacing w:line="240" w:lineRule="auto"/>
        <w:sectPr w:rsidR="007E1E1E">
          <w:pgSz w:w="11906" w:h="16838"/>
          <w:pgMar w:top="1134" w:right="1134" w:bottom="1134" w:left="1134" w:header="958" w:footer="737" w:gutter="0"/>
          <w:cols w:space="720"/>
        </w:sectPr>
      </w:pPr>
    </w:p>
    <w:p w:rsidR="007E1E1E" w:rsidRDefault="007E1E1E" w:rsidP="007E1E1E">
      <w:pPr>
        <w:pStyle w:val="NotesHeading-Level1"/>
        <w:rPr>
          <w:rFonts w:cstheme="minorHAnsi"/>
        </w:rPr>
      </w:pPr>
      <w:bookmarkStart w:id="396" w:name="RANGE!D7:D18"/>
      <w:bookmarkStart w:id="397" w:name="RANGE!D7:H18"/>
      <w:bookmarkStart w:id="398" w:name="RANGE!D6:H17"/>
      <w:bookmarkStart w:id="399" w:name="_Toc400713272"/>
      <w:bookmarkEnd w:id="396"/>
      <w:bookmarkEnd w:id="397"/>
      <w:bookmarkEnd w:id="398"/>
      <w:r>
        <w:rPr>
          <w:rFonts w:cstheme="minorHAnsi"/>
        </w:rPr>
        <w:lastRenderedPageBreak/>
        <w:t>Appropriations</w:t>
      </w:r>
      <w:bookmarkEnd w:id="399"/>
    </w:p>
    <w:tbl>
      <w:tblPr>
        <w:tblW w:w="13991" w:type="dxa"/>
        <w:tblInd w:w="80" w:type="dxa"/>
        <w:tblLayout w:type="fixed"/>
        <w:tblLook w:val="04A0" w:firstRow="1" w:lastRow="0" w:firstColumn="1" w:lastColumn="0" w:noHBand="0" w:noVBand="1"/>
      </w:tblPr>
      <w:tblGrid>
        <w:gridCol w:w="3043"/>
        <w:gridCol w:w="1376"/>
        <w:gridCol w:w="1376"/>
        <w:gridCol w:w="1119"/>
        <w:gridCol w:w="1118"/>
        <w:gridCol w:w="1119"/>
        <w:gridCol w:w="1117"/>
        <w:gridCol w:w="1301"/>
        <w:gridCol w:w="1305"/>
        <w:gridCol w:w="1117"/>
      </w:tblGrid>
      <w:tr w:rsidR="007E1E1E" w:rsidTr="00B50E5D">
        <w:trPr>
          <w:trHeight w:val="255"/>
        </w:trPr>
        <w:tc>
          <w:tcPr>
            <w:tcW w:w="5753" w:type="dxa"/>
            <w:gridSpan w:val="3"/>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400" w:name="Note_DAPTABLE1" w:colFirst="0" w:colLast="0"/>
            <w:r>
              <w:rPr>
                <w:rFonts w:cs="Calibri"/>
                <w:b/>
                <w:bCs/>
                <w:szCs w:val="18"/>
                <w:u w:val="single"/>
              </w:rPr>
              <w:t xml:space="preserve">Note </w:t>
            </w:r>
            <w:proofErr w:type="spellStart"/>
            <w:r>
              <w:rPr>
                <w:rFonts w:cs="Calibri"/>
                <w:b/>
                <w:bCs/>
                <w:szCs w:val="18"/>
                <w:u w:val="single"/>
              </w:rPr>
              <w:t>29A</w:t>
            </w:r>
            <w:proofErr w:type="spellEnd"/>
            <w:r>
              <w:rPr>
                <w:rFonts w:cs="Calibri"/>
                <w:b/>
                <w:bCs/>
                <w:szCs w:val="18"/>
                <w:u w:val="single"/>
              </w:rPr>
              <w:t>: Annual Appropriations ('Recoverable GST exclusive')</w:t>
            </w:r>
          </w:p>
        </w:tc>
        <w:tc>
          <w:tcPr>
            <w:tcW w:w="1111"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10"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11"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92"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bookmarkEnd w:id="400"/>
      <w:tr w:rsidR="007E1E1E" w:rsidTr="00B50E5D">
        <w:trPr>
          <w:trHeight w:val="255"/>
        </w:trPr>
        <w:tc>
          <w:tcPr>
            <w:tcW w:w="3021"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36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36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11"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10"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11"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92"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2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3021" w:type="dxa"/>
            <w:tcBorders>
              <w:top w:val="single" w:sz="4" w:space="0" w:color="auto"/>
              <w:left w:val="single" w:sz="4" w:space="0" w:color="auto"/>
              <w:bottom w:val="nil"/>
              <w:right w:val="single" w:sz="4" w:space="0" w:color="auto"/>
            </w:tcBorders>
            <w:shd w:val="clear" w:color="FFFFFF" w:fill="FFFFFF"/>
            <w:vAlign w:val="bottom"/>
            <w:hideMark/>
          </w:tcPr>
          <w:p w:rsidR="007E1E1E" w:rsidRDefault="007E1E1E" w:rsidP="00B50E5D">
            <w:pPr>
              <w:rPr>
                <w:rFonts w:cs="Calibri"/>
                <w:b/>
                <w:bCs/>
                <w:color w:val="000000"/>
                <w:sz w:val="16"/>
                <w:szCs w:val="16"/>
              </w:rPr>
            </w:pPr>
            <w:r>
              <w:rPr>
                <w:rFonts w:cs="Calibri"/>
                <w:b/>
                <w:bCs/>
                <w:color w:val="000000"/>
                <w:sz w:val="16"/>
                <w:szCs w:val="16"/>
              </w:rPr>
              <w:t> </w:t>
            </w:r>
          </w:p>
        </w:tc>
        <w:tc>
          <w:tcPr>
            <w:tcW w:w="8465" w:type="dxa"/>
            <w:gridSpan w:val="7"/>
            <w:tcBorders>
              <w:top w:val="single" w:sz="4" w:space="0" w:color="auto"/>
              <w:left w:val="nil"/>
              <w:bottom w:val="single" w:sz="4" w:space="0" w:color="auto"/>
              <w:right w:val="single" w:sz="4" w:space="0" w:color="000000"/>
            </w:tcBorders>
            <w:shd w:val="clear" w:color="FFFFFF" w:fill="FFFFFF"/>
            <w:vAlign w:val="bottom"/>
            <w:hideMark/>
          </w:tcPr>
          <w:p w:rsidR="007E1E1E" w:rsidRDefault="007E1E1E" w:rsidP="00B50E5D">
            <w:pPr>
              <w:jc w:val="center"/>
              <w:rPr>
                <w:rFonts w:cs="Calibri"/>
                <w:b/>
                <w:bCs/>
                <w:sz w:val="16"/>
                <w:szCs w:val="16"/>
              </w:rPr>
            </w:pPr>
            <w:r>
              <w:rPr>
                <w:rFonts w:cs="Calibri"/>
                <w:b/>
                <w:bCs/>
                <w:sz w:val="16"/>
                <w:szCs w:val="16"/>
              </w:rPr>
              <w:t>2014 Appropriations</w:t>
            </w:r>
          </w:p>
        </w:tc>
        <w:tc>
          <w:tcPr>
            <w:tcW w:w="1296" w:type="dxa"/>
            <w:vMerge w:val="restart"/>
            <w:tcBorders>
              <w:top w:val="single" w:sz="4" w:space="0" w:color="auto"/>
              <w:left w:val="single" w:sz="4" w:space="0" w:color="auto"/>
              <w:bottom w:val="nil"/>
              <w:right w:val="single" w:sz="4" w:space="0" w:color="auto"/>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Appropriation applied in 2014 (current and prior years)</w:t>
            </w:r>
          </w:p>
        </w:tc>
        <w:tc>
          <w:tcPr>
            <w:tcW w:w="1109" w:type="dxa"/>
            <w:tcBorders>
              <w:top w:val="single" w:sz="4" w:space="0" w:color="auto"/>
              <w:left w:val="nil"/>
              <w:bottom w:val="nil"/>
              <w:right w:val="single" w:sz="4" w:space="0" w:color="auto"/>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 </w:t>
            </w:r>
          </w:p>
        </w:tc>
      </w:tr>
      <w:tr w:rsidR="007E1E1E" w:rsidTr="00B50E5D">
        <w:trPr>
          <w:trHeight w:val="255"/>
        </w:trPr>
        <w:tc>
          <w:tcPr>
            <w:tcW w:w="3021" w:type="dxa"/>
            <w:tcBorders>
              <w:top w:val="nil"/>
              <w:left w:val="single" w:sz="4" w:space="0" w:color="auto"/>
              <w:bottom w:val="nil"/>
              <w:right w:val="single" w:sz="4" w:space="0" w:color="auto"/>
            </w:tcBorders>
            <w:shd w:val="clear" w:color="FFFFFF" w:fill="FFFFFF"/>
            <w:vAlign w:val="bottom"/>
            <w:hideMark/>
          </w:tcPr>
          <w:p w:rsidR="007E1E1E" w:rsidRDefault="007E1E1E" w:rsidP="00B50E5D">
            <w:pPr>
              <w:rPr>
                <w:rFonts w:cs="Calibri"/>
                <w:b/>
                <w:bCs/>
                <w:color w:val="000000"/>
                <w:sz w:val="16"/>
                <w:szCs w:val="16"/>
              </w:rPr>
            </w:pPr>
            <w:r>
              <w:rPr>
                <w:rFonts w:cs="Calibri"/>
                <w:b/>
                <w:bCs/>
                <w:color w:val="000000"/>
                <w:sz w:val="16"/>
                <w:szCs w:val="16"/>
              </w:rPr>
              <w:t> </w:t>
            </w:r>
          </w:p>
        </w:tc>
        <w:tc>
          <w:tcPr>
            <w:tcW w:w="3843" w:type="dxa"/>
            <w:gridSpan w:val="3"/>
            <w:tcBorders>
              <w:top w:val="single" w:sz="4" w:space="0" w:color="auto"/>
              <w:left w:val="nil"/>
              <w:bottom w:val="single" w:sz="4" w:space="0" w:color="auto"/>
              <w:right w:val="nil"/>
            </w:tcBorders>
            <w:shd w:val="clear" w:color="FFFFFF" w:fill="FFFFFF"/>
            <w:vAlign w:val="bottom"/>
            <w:hideMark/>
          </w:tcPr>
          <w:p w:rsidR="007E1E1E" w:rsidRDefault="007E1E1E" w:rsidP="00B50E5D">
            <w:pPr>
              <w:jc w:val="center"/>
              <w:rPr>
                <w:rFonts w:cs="Calibri"/>
                <w:b/>
                <w:bCs/>
                <w:i/>
                <w:iCs/>
                <w:color w:val="000000"/>
                <w:sz w:val="16"/>
                <w:szCs w:val="16"/>
              </w:rPr>
            </w:pPr>
            <w:r>
              <w:rPr>
                <w:rFonts w:cs="Calibri"/>
                <w:b/>
                <w:bCs/>
                <w:i/>
                <w:iCs/>
                <w:color w:val="000000"/>
                <w:sz w:val="16"/>
                <w:szCs w:val="16"/>
              </w:rPr>
              <w:t>Appropriation Act</w:t>
            </w:r>
          </w:p>
        </w:tc>
        <w:tc>
          <w:tcPr>
            <w:tcW w:w="3330" w:type="dxa"/>
            <w:gridSpan w:val="3"/>
            <w:tcBorders>
              <w:top w:val="single" w:sz="4" w:space="0" w:color="auto"/>
              <w:left w:val="single" w:sz="4" w:space="0" w:color="auto"/>
              <w:bottom w:val="single" w:sz="4" w:space="0" w:color="auto"/>
              <w:right w:val="single" w:sz="4" w:space="0" w:color="000000"/>
            </w:tcBorders>
            <w:shd w:val="clear" w:color="FFFFFF" w:fill="FFFFFF"/>
            <w:vAlign w:val="bottom"/>
            <w:hideMark/>
          </w:tcPr>
          <w:p w:rsidR="007E1E1E" w:rsidRDefault="007E1E1E" w:rsidP="00B50E5D">
            <w:pPr>
              <w:jc w:val="center"/>
              <w:rPr>
                <w:rFonts w:cs="Calibri"/>
                <w:b/>
                <w:bCs/>
                <w:i/>
                <w:iCs/>
                <w:color w:val="000000"/>
                <w:sz w:val="16"/>
                <w:szCs w:val="16"/>
              </w:rPr>
            </w:pPr>
            <w:proofErr w:type="spellStart"/>
            <w:r>
              <w:rPr>
                <w:rFonts w:cs="Calibri"/>
                <w:b/>
                <w:bCs/>
                <w:i/>
                <w:iCs/>
                <w:color w:val="000000"/>
                <w:sz w:val="16"/>
                <w:szCs w:val="16"/>
              </w:rPr>
              <w:t>FMA</w:t>
            </w:r>
            <w:proofErr w:type="spellEnd"/>
            <w:r>
              <w:rPr>
                <w:rFonts w:cs="Calibri"/>
                <w:b/>
                <w:bCs/>
                <w:i/>
                <w:iCs/>
                <w:color w:val="000000"/>
                <w:sz w:val="16"/>
                <w:szCs w:val="16"/>
              </w:rPr>
              <w:t xml:space="preserve"> Act</w:t>
            </w:r>
          </w:p>
        </w:tc>
        <w:tc>
          <w:tcPr>
            <w:tcW w:w="1292" w:type="dxa"/>
            <w:vMerge w:val="restart"/>
            <w:tcBorders>
              <w:top w:val="nil"/>
              <w:left w:val="single" w:sz="4" w:space="0" w:color="auto"/>
              <w:bottom w:val="nil"/>
              <w:right w:val="single" w:sz="4" w:space="0" w:color="auto"/>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Total appropriation</w:t>
            </w:r>
          </w:p>
        </w:tc>
        <w:tc>
          <w:tcPr>
            <w:tcW w:w="1296" w:type="dxa"/>
            <w:vMerge/>
            <w:tcBorders>
              <w:top w:val="single" w:sz="4" w:space="0" w:color="auto"/>
              <w:left w:val="single" w:sz="4" w:space="0" w:color="auto"/>
              <w:bottom w:val="nil"/>
              <w:right w:val="single" w:sz="4" w:space="0" w:color="auto"/>
            </w:tcBorders>
            <w:vAlign w:val="center"/>
            <w:hideMark/>
          </w:tcPr>
          <w:p w:rsidR="007E1E1E" w:rsidRDefault="007E1E1E" w:rsidP="00B50E5D">
            <w:pPr>
              <w:rPr>
                <w:rFonts w:cs="Calibri"/>
                <w:b/>
                <w:bCs/>
                <w:sz w:val="16"/>
                <w:szCs w:val="16"/>
              </w:rPr>
            </w:pPr>
          </w:p>
        </w:tc>
        <w:tc>
          <w:tcPr>
            <w:tcW w:w="1109" w:type="dxa"/>
            <w:tcBorders>
              <w:top w:val="nil"/>
              <w:left w:val="nil"/>
              <w:bottom w:val="nil"/>
              <w:right w:val="single" w:sz="4" w:space="0" w:color="auto"/>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 </w:t>
            </w:r>
          </w:p>
        </w:tc>
      </w:tr>
      <w:tr w:rsidR="007E1E1E" w:rsidTr="00B50E5D">
        <w:trPr>
          <w:trHeight w:val="450"/>
        </w:trPr>
        <w:tc>
          <w:tcPr>
            <w:tcW w:w="3021" w:type="dxa"/>
            <w:tcBorders>
              <w:top w:val="nil"/>
              <w:left w:val="single" w:sz="4" w:space="0" w:color="auto"/>
              <w:bottom w:val="nil"/>
              <w:right w:val="single" w:sz="4" w:space="0" w:color="auto"/>
            </w:tcBorders>
            <w:shd w:val="clear" w:color="FFFFFF" w:fill="FFFFFF"/>
            <w:vAlign w:val="bottom"/>
            <w:hideMark/>
          </w:tcPr>
          <w:p w:rsidR="007E1E1E" w:rsidRDefault="007E1E1E" w:rsidP="00B50E5D">
            <w:pPr>
              <w:rPr>
                <w:rFonts w:cs="Calibri"/>
                <w:b/>
                <w:bCs/>
                <w:color w:val="000000"/>
                <w:sz w:val="16"/>
                <w:szCs w:val="16"/>
              </w:rPr>
            </w:pPr>
            <w:r>
              <w:rPr>
                <w:rFonts w:cs="Calibri"/>
                <w:b/>
                <w:bCs/>
                <w:color w:val="000000"/>
                <w:sz w:val="16"/>
                <w:szCs w:val="16"/>
              </w:rPr>
              <w:t> </w:t>
            </w:r>
          </w:p>
        </w:tc>
        <w:tc>
          <w:tcPr>
            <w:tcW w:w="1366" w:type="dxa"/>
            <w:tcBorders>
              <w:top w:val="nil"/>
              <w:left w:val="nil"/>
              <w:bottom w:val="nil"/>
              <w:right w:val="nil"/>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Annual Appropriation</w:t>
            </w:r>
          </w:p>
        </w:tc>
        <w:tc>
          <w:tcPr>
            <w:tcW w:w="1366" w:type="dxa"/>
            <w:tcBorders>
              <w:top w:val="nil"/>
              <w:left w:val="nil"/>
              <w:bottom w:val="nil"/>
              <w:right w:val="nil"/>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 xml:space="preserve">Appropriations </w:t>
            </w:r>
            <w:proofErr w:type="spellStart"/>
            <w:r>
              <w:rPr>
                <w:rFonts w:cs="Calibri"/>
                <w:b/>
                <w:bCs/>
                <w:sz w:val="16"/>
                <w:szCs w:val="16"/>
              </w:rPr>
              <w:t>reduced</w:t>
            </w:r>
            <w:r>
              <w:rPr>
                <w:rFonts w:ascii="Arial" w:hAnsi="Arial" w:cs="Arial"/>
                <w:b/>
                <w:bCs/>
                <w:sz w:val="16"/>
                <w:szCs w:val="16"/>
                <w:vertAlign w:val="superscript"/>
              </w:rPr>
              <w:t>1</w:t>
            </w:r>
            <w:proofErr w:type="spellEnd"/>
          </w:p>
        </w:tc>
        <w:tc>
          <w:tcPr>
            <w:tcW w:w="1111" w:type="dxa"/>
            <w:tcBorders>
              <w:top w:val="nil"/>
              <w:left w:val="nil"/>
              <w:bottom w:val="nil"/>
              <w:right w:val="nil"/>
            </w:tcBorders>
            <w:shd w:val="clear" w:color="FFFFFF" w:fill="FFFFFF"/>
            <w:vAlign w:val="bottom"/>
            <w:hideMark/>
          </w:tcPr>
          <w:p w:rsidR="007E1E1E" w:rsidRDefault="007E1E1E" w:rsidP="00B50E5D">
            <w:pPr>
              <w:jc w:val="right"/>
              <w:rPr>
                <w:rFonts w:cs="Calibri"/>
                <w:b/>
                <w:bCs/>
                <w:sz w:val="16"/>
                <w:szCs w:val="16"/>
              </w:rPr>
            </w:pPr>
            <w:proofErr w:type="spellStart"/>
            <w:r>
              <w:rPr>
                <w:rFonts w:cs="Calibri"/>
                <w:b/>
                <w:bCs/>
                <w:sz w:val="16"/>
                <w:szCs w:val="16"/>
              </w:rPr>
              <w:t>AFM</w:t>
            </w:r>
            <w:r>
              <w:rPr>
                <w:rFonts w:ascii="Arial" w:hAnsi="Arial" w:cs="Arial"/>
                <w:b/>
                <w:bCs/>
                <w:sz w:val="16"/>
                <w:szCs w:val="16"/>
                <w:vertAlign w:val="superscript"/>
              </w:rPr>
              <w:t>2</w:t>
            </w:r>
            <w:proofErr w:type="spellEnd"/>
          </w:p>
        </w:tc>
        <w:tc>
          <w:tcPr>
            <w:tcW w:w="1110" w:type="dxa"/>
            <w:tcBorders>
              <w:top w:val="nil"/>
              <w:left w:val="single" w:sz="4" w:space="0" w:color="auto"/>
              <w:bottom w:val="nil"/>
              <w:right w:val="nil"/>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Section 30</w:t>
            </w:r>
          </w:p>
        </w:tc>
        <w:tc>
          <w:tcPr>
            <w:tcW w:w="1111" w:type="dxa"/>
            <w:tcBorders>
              <w:top w:val="nil"/>
              <w:left w:val="nil"/>
              <w:bottom w:val="nil"/>
              <w:right w:val="nil"/>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Section 31</w:t>
            </w:r>
          </w:p>
        </w:tc>
        <w:tc>
          <w:tcPr>
            <w:tcW w:w="1109" w:type="dxa"/>
            <w:tcBorders>
              <w:top w:val="nil"/>
              <w:left w:val="nil"/>
              <w:bottom w:val="nil"/>
              <w:right w:val="single" w:sz="4" w:space="0" w:color="auto"/>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Section 32</w:t>
            </w:r>
          </w:p>
        </w:tc>
        <w:tc>
          <w:tcPr>
            <w:tcW w:w="1292" w:type="dxa"/>
            <w:vMerge/>
            <w:tcBorders>
              <w:top w:val="nil"/>
              <w:left w:val="single" w:sz="4" w:space="0" w:color="auto"/>
              <w:bottom w:val="nil"/>
              <w:right w:val="single" w:sz="4" w:space="0" w:color="auto"/>
            </w:tcBorders>
            <w:vAlign w:val="center"/>
            <w:hideMark/>
          </w:tcPr>
          <w:p w:rsidR="007E1E1E" w:rsidRDefault="007E1E1E" w:rsidP="00B50E5D">
            <w:pPr>
              <w:rPr>
                <w:rFonts w:cs="Calibri"/>
                <w:b/>
                <w:bCs/>
                <w:sz w:val="16"/>
                <w:szCs w:val="16"/>
              </w:rPr>
            </w:pPr>
          </w:p>
        </w:tc>
        <w:tc>
          <w:tcPr>
            <w:tcW w:w="1296" w:type="dxa"/>
            <w:vMerge/>
            <w:tcBorders>
              <w:top w:val="single" w:sz="4" w:space="0" w:color="auto"/>
              <w:left w:val="single" w:sz="4" w:space="0" w:color="auto"/>
              <w:bottom w:val="nil"/>
              <w:right w:val="single" w:sz="4" w:space="0" w:color="auto"/>
            </w:tcBorders>
            <w:vAlign w:val="center"/>
            <w:hideMark/>
          </w:tcPr>
          <w:p w:rsidR="007E1E1E" w:rsidRDefault="007E1E1E" w:rsidP="00B50E5D">
            <w:pPr>
              <w:rPr>
                <w:rFonts w:cs="Calibri"/>
                <w:b/>
                <w:bCs/>
                <w:sz w:val="16"/>
                <w:szCs w:val="16"/>
              </w:rPr>
            </w:pPr>
          </w:p>
        </w:tc>
        <w:tc>
          <w:tcPr>
            <w:tcW w:w="1109" w:type="dxa"/>
            <w:tcBorders>
              <w:top w:val="nil"/>
              <w:left w:val="nil"/>
              <w:bottom w:val="nil"/>
              <w:right w:val="single" w:sz="4" w:space="0" w:color="auto"/>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Variance</w:t>
            </w:r>
          </w:p>
        </w:tc>
      </w:tr>
      <w:tr w:rsidR="007E1E1E" w:rsidTr="00B50E5D">
        <w:trPr>
          <w:trHeight w:val="255"/>
        </w:trPr>
        <w:tc>
          <w:tcPr>
            <w:tcW w:w="3021" w:type="dxa"/>
            <w:tcBorders>
              <w:top w:val="nil"/>
              <w:left w:val="single" w:sz="4" w:space="0" w:color="auto"/>
              <w:bottom w:val="single" w:sz="4" w:space="0" w:color="auto"/>
              <w:right w:val="single" w:sz="4" w:space="0" w:color="auto"/>
            </w:tcBorders>
            <w:shd w:val="clear" w:color="FFFFFF" w:fill="FFFFFF"/>
            <w:vAlign w:val="bottom"/>
            <w:hideMark/>
          </w:tcPr>
          <w:p w:rsidR="007E1E1E" w:rsidRDefault="007E1E1E" w:rsidP="00B50E5D">
            <w:pPr>
              <w:rPr>
                <w:rFonts w:cs="Calibri"/>
                <w:b/>
                <w:bCs/>
                <w:color w:val="000000"/>
                <w:sz w:val="16"/>
                <w:szCs w:val="16"/>
              </w:rPr>
            </w:pPr>
            <w:r>
              <w:rPr>
                <w:rFonts w:cs="Calibri"/>
                <w:b/>
                <w:bCs/>
                <w:color w:val="000000"/>
                <w:sz w:val="16"/>
                <w:szCs w:val="16"/>
              </w:rPr>
              <w:t> </w:t>
            </w:r>
          </w:p>
        </w:tc>
        <w:tc>
          <w:tcPr>
            <w:tcW w:w="136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$'000</w:t>
            </w:r>
          </w:p>
        </w:tc>
        <w:tc>
          <w:tcPr>
            <w:tcW w:w="136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$'000</w:t>
            </w:r>
          </w:p>
        </w:tc>
        <w:tc>
          <w:tcPr>
            <w:tcW w:w="1111"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$'000</w:t>
            </w:r>
          </w:p>
        </w:tc>
        <w:tc>
          <w:tcPr>
            <w:tcW w:w="1110"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$'000</w:t>
            </w:r>
          </w:p>
        </w:tc>
        <w:tc>
          <w:tcPr>
            <w:tcW w:w="1111"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$'000</w:t>
            </w:r>
          </w:p>
        </w:tc>
        <w:tc>
          <w:tcPr>
            <w:tcW w:w="1109"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$'000</w:t>
            </w:r>
          </w:p>
        </w:tc>
        <w:tc>
          <w:tcPr>
            <w:tcW w:w="1292"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$'000</w:t>
            </w:r>
          </w:p>
        </w:tc>
        <w:tc>
          <w:tcPr>
            <w:tcW w:w="129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$'000</w:t>
            </w:r>
          </w:p>
        </w:tc>
        <w:tc>
          <w:tcPr>
            <w:tcW w:w="1109"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$'000</w:t>
            </w:r>
          </w:p>
        </w:tc>
      </w:tr>
      <w:tr w:rsidR="007E1E1E" w:rsidTr="00B50E5D">
        <w:trPr>
          <w:trHeight w:val="255"/>
        </w:trPr>
        <w:tc>
          <w:tcPr>
            <w:tcW w:w="3021" w:type="dxa"/>
            <w:tcBorders>
              <w:top w:val="nil"/>
              <w:left w:val="single" w:sz="4" w:space="0" w:color="auto"/>
              <w:bottom w:val="nil"/>
              <w:right w:val="single" w:sz="4" w:space="0" w:color="auto"/>
            </w:tcBorders>
            <w:shd w:val="clear" w:color="FFFFFF" w:fill="FFFFFF"/>
            <w:vAlign w:val="bottom"/>
            <w:hideMark/>
          </w:tcPr>
          <w:p w:rsidR="007E1E1E" w:rsidRDefault="007E1E1E" w:rsidP="00B50E5D">
            <w:pPr>
              <w:rPr>
                <w:rFonts w:cs="Calibri"/>
                <w:b/>
                <w:bCs/>
                <w:color w:val="000000"/>
                <w:sz w:val="16"/>
                <w:szCs w:val="16"/>
              </w:rPr>
            </w:pPr>
            <w:r>
              <w:rPr>
                <w:rFonts w:cs="Calibri"/>
                <w:b/>
                <w:bCs/>
                <w:color w:val="000000"/>
                <w:sz w:val="16"/>
                <w:szCs w:val="16"/>
              </w:rPr>
              <w:t>DEPARTMENTAL</w:t>
            </w:r>
          </w:p>
        </w:tc>
        <w:tc>
          <w:tcPr>
            <w:tcW w:w="1366" w:type="dxa"/>
            <w:tcBorders>
              <w:top w:val="nil"/>
              <w:left w:val="nil"/>
              <w:bottom w:val="nil"/>
              <w:right w:val="nil"/>
            </w:tcBorders>
            <w:shd w:val="clear" w:color="FFFFFF" w:fill="FFFFFF"/>
            <w:vAlign w:val="bottom"/>
            <w:hideMark/>
          </w:tcPr>
          <w:p w:rsidR="007E1E1E" w:rsidRDefault="007E1E1E" w:rsidP="00B50E5D">
            <w:pPr>
              <w:rPr>
                <w:rFonts w:cs="Calibri"/>
                <w:sz w:val="16"/>
                <w:szCs w:val="16"/>
              </w:rPr>
            </w:pPr>
            <w:r>
              <w:rPr>
                <w:rFonts w:cs="Calibri"/>
                <w:sz w:val="16"/>
                <w:szCs w:val="16"/>
              </w:rPr>
              <w:t> </w:t>
            </w:r>
          </w:p>
        </w:tc>
        <w:tc>
          <w:tcPr>
            <w:tcW w:w="1366" w:type="dxa"/>
            <w:tcBorders>
              <w:top w:val="nil"/>
              <w:left w:val="nil"/>
              <w:bottom w:val="nil"/>
              <w:right w:val="nil"/>
            </w:tcBorders>
            <w:shd w:val="clear" w:color="FFFFFF" w:fill="FFFFFF"/>
            <w:vAlign w:val="bottom"/>
            <w:hideMark/>
          </w:tcPr>
          <w:p w:rsidR="007E1E1E" w:rsidRDefault="007E1E1E" w:rsidP="00B50E5D">
            <w:pPr>
              <w:rPr>
                <w:rFonts w:cs="Calibri"/>
                <w:sz w:val="16"/>
                <w:szCs w:val="16"/>
              </w:rPr>
            </w:pPr>
            <w:r>
              <w:rPr>
                <w:rFonts w:cs="Calibri"/>
                <w:sz w:val="16"/>
                <w:szCs w:val="16"/>
              </w:rPr>
              <w:t> </w:t>
            </w:r>
          </w:p>
        </w:tc>
        <w:tc>
          <w:tcPr>
            <w:tcW w:w="1111" w:type="dxa"/>
            <w:tcBorders>
              <w:top w:val="nil"/>
              <w:left w:val="nil"/>
              <w:bottom w:val="nil"/>
              <w:right w:val="single" w:sz="4" w:space="0" w:color="auto"/>
            </w:tcBorders>
            <w:shd w:val="clear" w:color="FFFFFF" w:fill="FFFFFF"/>
            <w:vAlign w:val="bottom"/>
            <w:hideMark/>
          </w:tcPr>
          <w:p w:rsidR="007E1E1E" w:rsidRDefault="007E1E1E" w:rsidP="00B50E5D">
            <w:pPr>
              <w:rPr>
                <w:rFonts w:cs="Calibri"/>
                <w:sz w:val="16"/>
                <w:szCs w:val="16"/>
              </w:rPr>
            </w:pPr>
            <w:r>
              <w:rPr>
                <w:rFonts w:cs="Calibri"/>
                <w:sz w:val="16"/>
                <w:szCs w:val="16"/>
              </w:rPr>
              <w:t> </w:t>
            </w:r>
          </w:p>
        </w:tc>
        <w:tc>
          <w:tcPr>
            <w:tcW w:w="1110" w:type="dxa"/>
            <w:tcBorders>
              <w:top w:val="nil"/>
              <w:left w:val="nil"/>
              <w:bottom w:val="nil"/>
              <w:right w:val="nil"/>
            </w:tcBorders>
            <w:shd w:val="clear" w:color="FFFFFF" w:fill="FFFFFF"/>
            <w:vAlign w:val="bottom"/>
            <w:hideMark/>
          </w:tcPr>
          <w:p w:rsidR="007E1E1E" w:rsidRDefault="007E1E1E" w:rsidP="00B50E5D">
            <w:pPr>
              <w:rPr>
                <w:rFonts w:cs="Calibri"/>
                <w:sz w:val="16"/>
                <w:szCs w:val="16"/>
              </w:rPr>
            </w:pPr>
            <w:r>
              <w:rPr>
                <w:rFonts w:cs="Calibri"/>
                <w:sz w:val="16"/>
                <w:szCs w:val="16"/>
              </w:rPr>
              <w:t> </w:t>
            </w:r>
          </w:p>
        </w:tc>
        <w:tc>
          <w:tcPr>
            <w:tcW w:w="1111" w:type="dxa"/>
            <w:tcBorders>
              <w:top w:val="nil"/>
              <w:left w:val="nil"/>
              <w:bottom w:val="nil"/>
              <w:right w:val="nil"/>
            </w:tcBorders>
            <w:shd w:val="clear" w:color="FFFFFF" w:fill="FFFFFF"/>
            <w:vAlign w:val="bottom"/>
            <w:hideMark/>
          </w:tcPr>
          <w:p w:rsidR="007E1E1E" w:rsidRDefault="007E1E1E" w:rsidP="00B50E5D">
            <w:pPr>
              <w:rPr>
                <w:rFonts w:cs="Calibri"/>
                <w:sz w:val="16"/>
                <w:szCs w:val="16"/>
              </w:rPr>
            </w:pPr>
            <w:r>
              <w:rPr>
                <w:rFonts w:cs="Calibri"/>
                <w:sz w:val="16"/>
                <w:szCs w:val="16"/>
              </w:rPr>
              <w:t> </w:t>
            </w:r>
          </w:p>
        </w:tc>
        <w:tc>
          <w:tcPr>
            <w:tcW w:w="1109" w:type="dxa"/>
            <w:tcBorders>
              <w:top w:val="nil"/>
              <w:left w:val="nil"/>
              <w:bottom w:val="nil"/>
              <w:right w:val="single" w:sz="4" w:space="0" w:color="auto"/>
            </w:tcBorders>
            <w:shd w:val="clear" w:color="FFFFFF" w:fill="FFFFFF"/>
            <w:vAlign w:val="bottom"/>
            <w:hideMark/>
          </w:tcPr>
          <w:p w:rsidR="007E1E1E" w:rsidRDefault="007E1E1E" w:rsidP="00B50E5D">
            <w:pPr>
              <w:rPr>
                <w:rFonts w:cs="Calibri"/>
                <w:sz w:val="16"/>
                <w:szCs w:val="16"/>
              </w:rPr>
            </w:pPr>
            <w:r>
              <w:rPr>
                <w:rFonts w:cs="Calibri"/>
                <w:sz w:val="16"/>
                <w:szCs w:val="16"/>
              </w:rPr>
              <w:t> </w:t>
            </w:r>
          </w:p>
        </w:tc>
        <w:tc>
          <w:tcPr>
            <w:tcW w:w="1292" w:type="dxa"/>
            <w:tcBorders>
              <w:top w:val="nil"/>
              <w:left w:val="nil"/>
              <w:bottom w:val="nil"/>
              <w:right w:val="single" w:sz="4" w:space="0" w:color="auto"/>
            </w:tcBorders>
            <w:shd w:val="clear" w:color="FFFFFF" w:fill="FFFFFF"/>
            <w:vAlign w:val="bottom"/>
            <w:hideMark/>
          </w:tcPr>
          <w:p w:rsidR="007E1E1E" w:rsidRDefault="007E1E1E" w:rsidP="00B50E5D">
            <w:pPr>
              <w:rPr>
                <w:rFonts w:cs="Calibri"/>
                <w:sz w:val="16"/>
                <w:szCs w:val="16"/>
              </w:rPr>
            </w:pPr>
            <w:r>
              <w:rPr>
                <w:rFonts w:cs="Calibri"/>
                <w:sz w:val="16"/>
                <w:szCs w:val="16"/>
              </w:rPr>
              <w:t> </w:t>
            </w:r>
          </w:p>
        </w:tc>
        <w:tc>
          <w:tcPr>
            <w:tcW w:w="1296" w:type="dxa"/>
            <w:tcBorders>
              <w:top w:val="nil"/>
              <w:left w:val="nil"/>
              <w:bottom w:val="nil"/>
              <w:right w:val="single" w:sz="4" w:space="0" w:color="auto"/>
            </w:tcBorders>
            <w:shd w:val="clear" w:color="FFFFFF" w:fill="FFFFFF"/>
            <w:vAlign w:val="bottom"/>
            <w:hideMark/>
          </w:tcPr>
          <w:p w:rsidR="007E1E1E" w:rsidRDefault="007E1E1E" w:rsidP="00B50E5D">
            <w:pPr>
              <w:rPr>
                <w:rFonts w:cs="Calibri"/>
                <w:b/>
                <w:bCs/>
                <w:color w:val="000000"/>
                <w:sz w:val="16"/>
                <w:szCs w:val="16"/>
              </w:rPr>
            </w:pPr>
            <w:r>
              <w:rPr>
                <w:rFonts w:cs="Calibri"/>
                <w:b/>
                <w:bCs/>
                <w:color w:val="000000"/>
                <w:sz w:val="16"/>
                <w:szCs w:val="16"/>
              </w:rPr>
              <w:t> </w:t>
            </w:r>
          </w:p>
        </w:tc>
        <w:tc>
          <w:tcPr>
            <w:tcW w:w="1109" w:type="dxa"/>
            <w:tcBorders>
              <w:top w:val="nil"/>
              <w:left w:val="nil"/>
              <w:bottom w:val="nil"/>
              <w:right w:val="single" w:sz="4" w:space="0" w:color="auto"/>
            </w:tcBorders>
            <w:shd w:val="clear" w:color="FFFFFF" w:fill="FFFFFF"/>
            <w:vAlign w:val="bottom"/>
            <w:hideMark/>
          </w:tcPr>
          <w:p w:rsidR="007E1E1E" w:rsidRDefault="007E1E1E" w:rsidP="00B50E5D">
            <w:pPr>
              <w:rPr>
                <w:rFonts w:cs="Calibri"/>
                <w:sz w:val="16"/>
                <w:szCs w:val="16"/>
              </w:rPr>
            </w:pPr>
            <w:r>
              <w:rPr>
                <w:rFonts w:cs="Calibri"/>
                <w:sz w:val="16"/>
                <w:szCs w:val="16"/>
              </w:rPr>
              <w:t> </w:t>
            </w:r>
          </w:p>
        </w:tc>
      </w:tr>
      <w:tr w:rsidR="007E1E1E" w:rsidTr="00B50E5D">
        <w:trPr>
          <w:trHeight w:val="255"/>
        </w:trPr>
        <w:tc>
          <w:tcPr>
            <w:tcW w:w="3021" w:type="dxa"/>
            <w:tcBorders>
              <w:top w:val="nil"/>
              <w:left w:val="single" w:sz="4" w:space="0" w:color="auto"/>
              <w:bottom w:val="nil"/>
              <w:right w:val="single" w:sz="4" w:space="0" w:color="auto"/>
            </w:tcBorders>
            <w:shd w:val="clear" w:color="FFFFFF" w:fill="FFFFFF"/>
            <w:vAlign w:val="bottom"/>
            <w:hideMark/>
          </w:tcPr>
          <w:p w:rsidR="007E1E1E" w:rsidRDefault="007E1E1E" w:rsidP="00B50E5D">
            <w:pPr>
              <w:ind w:firstLineChars="100" w:firstLine="161"/>
              <w:rPr>
                <w:rFonts w:cs="Calibri"/>
                <w:b/>
                <w:bCs/>
                <w:color w:val="000000"/>
                <w:sz w:val="16"/>
                <w:szCs w:val="16"/>
              </w:rPr>
            </w:pPr>
            <w:r>
              <w:rPr>
                <w:rFonts w:cs="Calibri"/>
                <w:b/>
                <w:bCs/>
                <w:color w:val="000000"/>
                <w:sz w:val="16"/>
                <w:szCs w:val="16"/>
              </w:rPr>
              <w:t>Ordinary annual services</w:t>
            </w:r>
          </w:p>
        </w:tc>
        <w:tc>
          <w:tcPr>
            <w:tcW w:w="136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c>
          <w:tcPr>
            <w:tcW w:w="136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c>
          <w:tcPr>
            <w:tcW w:w="1111" w:type="dxa"/>
            <w:tcBorders>
              <w:top w:val="nil"/>
              <w:left w:val="nil"/>
              <w:bottom w:val="nil"/>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c>
          <w:tcPr>
            <w:tcW w:w="1110"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c>
          <w:tcPr>
            <w:tcW w:w="1111"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13,108 </w:t>
            </w:r>
          </w:p>
        </w:tc>
        <w:tc>
          <w:tcPr>
            <w:tcW w:w="1109" w:type="dxa"/>
            <w:tcBorders>
              <w:top w:val="nil"/>
              <w:left w:val="nil"/>
              <w:bottom w:val="nil"/>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227,527 </w:t>
            </w:r>
          </w:p>
        </w:tc>
        <w:tc>
          <w:tcPr>
            <w:tcW w:w="1292" w:type="dxa"/>
            <w:tcBorders>
              <w:top w:val="nil"/>
              <w:left w:val="nil"/>
              <w:bottom w:val="nil"/>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240,635 </w:t>
            </w:r>
          </w:p>
        </w:tc>
        <w:tc>
          <w:tcPr>
            <w:tcW w:w="1296" w:type="dxa"/>
            <w:tcBorders>
              <w:top w:val="nil"/>
              <w:left w:val="nil"/>
              <w:bottom w:val="nil"/>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220,402 </w:t>
            </w:r>
          </w:p>
        </w:tc>
        <w:tc>
          <w:tcPr>
            <w:tcW w:w="1109" w:type="dxa"/>
            <w:tcBorders>
              <w:top w:val="nil"/>
              <w:left w:val="nil"/>
              <w:bottom w:val="nil"/>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20,233 </w:t>
            </w:r>
          </w:p>
        </w:tc>
      </w:tr>
      <w:tr w:rsidR="007E1E1E" w:rsidTr="00B50E5D">
        <w:trPr>
          <w:trHeight w:val="255"/>
        </w:trPr>
        <w:tc>
          <w:tcPr>
            <w:tcW w:w="3021" w:type="dxa"/>
            <w:tcBorders>
              <w:top w:val="nil"/>
              <w:left w:val="single" w:sz="4" w:space="0" w:color="auto"/>
              <w:bottom w:val="nil"/>
              <w:right w:val="single" w:sz="4" w:space="0" w:color="auto"/>
            </w:tcBorders>
            <w:shd w:val="clear" w:color="FFFFFF" w:fill="FFFFFF"/>
            <w:vAlign w:val="bottom"/>
            <w:hideMark/>
          </w:tcPr>
          <w:p w:rsidR="007E1E1E" w:rsidRDefault="007E1E1E" w:rsidP="00B50E5D">
            <w:pPr>
              <w:ind w:firstLineChars="100" w:firstLine="161"/>
              <w:rPr>
                <w:rFonts w:cs="Calibri"/>
                <w:b/>
                <w:bCs/>
                <w:color w:val="000000"/>
                <w:sz w:val="16"/>
                <w:szCs w:val="16"/>
              </w:rPr>
            </w:pPr>
            <w:r>
              <w:rPr>
                <w:rFonts w:cs="Calibri"/>
                <w:b/>
                <w:bCs/>
                <w:color w:val="000000"/>
                <w:sz w:val="16"/>
                <w:szCs w:val="16"/>
              </w:rPr>
              <w:t>Other services</w:t>
            </w:r>
          </w:p>
        </w:tc>
        <w:tc>
          <w:tcPr>
            <w:tcW w:w="1366" w:type="dxa"/>
            <w:tcBorders>
              <w:top w:val="nil"/>
              <w:left w:val="nil"/>
              <w:bottom w:val="nil"/>
              <w:right w:val="nil"/>
            </w:tcBorders>
            <w:shd w:val="clear" w:color="FFFFFF" w:fill="FFFFFF"/>
            <w:vAlign w:val="bottom"/>
            <w:hideMark/>
          </w:tcPr>
          <w:p w:rsidR="007E1E1E" w:rsidRDefault="007E1E1E" w:rsidP="00B50E5D">
            <w:pPr>
              <w:rPr>
                <w:rFonts w:cs="Calibri"/>
                <w:b/>
                <w:bCs/>
                <w:sz w:val="16"/>
                <w:szCs w:val="16"/>
              </w:rPr>
            </w:pPr>
            <w:r>
              <w:rPr>
                <w:rFonts w:cs="Calibri"/>
                <w:b/>
                <w:bCs/>
                <w:sz w:val="16"/>
                <w:szCs w:val="16"/>
              </w:rPr>
              <w:t> </w:t>
            </w:r>
          </w:p>
        </w:tc>
        <w:tc>
          <w:tcPr>
            <w:tcW w:w="1366" w:type="dxa"/>
            <w:tcBorders>
              <w:top w:val="nil"/>
              <w:left w:val="nil"/>
              <w:bottom w:val="nil"/>
              <w:right w:val="nil"/>
            </w:tcBorders>
            <w:shd w:val="clear" w:color="FFFFFF" w:fill="FFFFFF"/>
            <w:vAlign w:val="bottom"/>
            <w:hideMark/>
          </w:tcPr>
          <w:p w:rsidR="007E1E1E" w:rsidRDefault="007E1E1E" w:rsidP="00B50E5D">
            <w:pPr>
              <w:rPr>
                <w:rFonts w:cs="Calibri"/>
                <w:b/>
                <w:bCs/>
                <w:sz w:val="16"/>
                <w:szCs w:val="16"/>
              </w:rPr>
            </w:pPr>
            <w:r>
              <w:rPr>
                <w:rFonts w:cs="Calibri"/>
                <w:b/>
                <w:bCs/>
                <w:sz w:val="16"/>
                <w:szCs w:val="16"/>
              </w:rPr>
              <w:t> </w:t>
            </w:r>
          </w:p>
        </w:tc>
        <w:tc>
          <w:tcPr>
            <w:tcW w:w="1111" w:type="dxa"/>
            <w:tcBorders>
              <w:top w:val="nil"/>
              <w:left w:val="nil"/>
              <w:bottom w:val="nil"/>
              <w:right w:val="single" w:sz="4" w:space="0" w:color="auto"/>
            </w:tcBorders>
            <w:shd w:val="clear" w:color="FFFFFF" w:fill="FFFFFF"/>
            <w:vAlign w:val="bottom"/>
            <w:hideMark/>
          </w:tcPr>
          <w:p w:rsidR="007E1E1E" w:rsidRDefault="007E1E1E" w:rsidP="00B50E5D">
            <w:pPr>
              <w:rPr>
                <w:rFonts w:cs="Calibri"/>
                <w:b/>
                <w:bCs/>
                <w:sz w:val="16"/>
                <w:szCs w:val="16"/>
              </w:rPr>
            </w:pPr>
            <w:r>
              <w:rPr>
                <w:rFonts w:cs="Calibri"/>
                <w:b/>
                <w:bCs/>
                <w:sz w:val="16"/>
                <w:szCs w:val="16"/>
              </w:rPr>
              <w:t> </w:t>
            </w:r>
          </w:p>
        </w:tc>
        <w:tc>
          <w:tcPr>
            <w:tcW w:w="1110" w:type="dxa"/>
            <w:tcBorders>
              <w:top w:val="nil"/>
              <w:left w:val="nil"/>
              <w:bottom w:val="nil"/>
              <w:right w:val="nil"/>
            </w:tcBorders>
            <w:shd w:val="clear" w:color="FFFFFF" w:fill="FFFFFF"/>
            <w:vAlign w:val="bottom"/>
            <w:hideMark/>
          </w:tcPr>
          <w:p w:rsidR="007E1E1E" w:rsidRDefault="007E1E1E" w:rsidP="00B50E5D">
            <w:pPr>
              <w:rPr>
                <w:rFonts w:cs="Calibri"/>
                <w:b/>
                <w:bCs/>
                <w:sz w:val="16"/>
                <w:szCs w:val="16"/>
              </w:rPr>
            </w:pPr>
            <w:r>
              <w:rPr>
                <w:rFonts w:cs="Calibri"/>
                <w:b/>
                <w:bCs/>
                <w:sz w:val="16"/>
                <w:szCs w:val="16"/>
              </w:rPr>
              <w:t> </w:t>
            </w:r>
          </w:p>
        </w:tc>
        <w:tc>
          <w:tcPr>
            <w:tcW w:w="1111" w:type="dxa"/>
            <w:tcBorders>
              <w:top w:val="nil"/>
              <w:left w:val="nil"/>
              <w:bottom w:val="nil"/>
              <w:right w:val="nil"/>
            </w:tcBorders>
            <w:shd w:val="clear" w:color="FFFFFF" w:fill="FFFFFF"/>
            <w:vAlign w:val="bottom"/>
            <w:hideMark/>
          </w:tcPr>
          <w:p w:rsidR="007E1E1E" w:rsidRDefault="007E1E1E" w:rsidP="00B50E5D">
            <w:pPr>
              <w:rPr>
                <w:rFonts w:cs="Calibri"/>
                <w:b/>
                <w:bCs/>
                <w:sz w:val="16"/>
                <w:szCs w:val="16"/>
              </w:rPr>
            </w:pPr>
            <w:r>
              <w:rPr>
                <w:rFonts w:cs="Calibri"/>
                <w:b/>
                <w:bCs/>
                <w:sz w:val="16"/>
                <w:szCs w:val="16"/>
              </w:rPr>
              <w:t> </w:t>
            </w:r>
          </w:p>
        </w:tc>
        <w:tc>
          <w:tcPr>
            <w:tcW w:w="1109" w:type="dxa"/>
            <w:tcBorders>
              <w:top w:val="nil"/>
              <w:left w:val="nil"/>
              <w:bottom w:val="nil"/>
              <w:right w:val="single" w:sz="4" w:space="0" w:color="auto"/>
            </w:tcBorders>
            <w:shd w:val="clear" w:color="FFFFFF" w:fill="FFFFFF"/>
            <w:vAlign w:val="bottom"/>
            <w:hideMark/>
          </w:tcPr>
          <w:p w:rsidR="007E1E1E" w:rsidRDefault="007E1E1E" w:rsidP="00B50E5D">
            <w:pPr>
              <w:rPr>
                <w:rFonts w:cs="Calibri"/>
                <w:b/>
                <w:bCs/>
                <w:sz w:val="16"/>
                <w:szCs w:val="16"/>
              </w:rPr>
            </w:pPr>
            <w:r>
              <w:rPr>
                <w:rFonts w:cs="Calibri"/>
                <w:b/>
                <w:bCs/>
                <w:sz w:val="16"/>
                <w:szCs w:val="16"/>
              </w:rPr>
              <w:t> </w:t>
            </w:r>
          </w:p>
        </w:tc>
        <w:tc>
          <w:tcPr>
            <w:tcW w:w="1292" w:type="dxa"/>
            <w:tcBorders>
              <w:top w:val="nil"/>
              <w:left w:val="nil"/>
              <w:bottom w:val="nil"/>
              <w:right w:val="single" w:sz="4" w:space="0" w:color="auto"/>
            </w:tcBorders>
            <w:shd w:val="clear" w:color="FFFFFF" w:fill="FFFFFF"/>
            <w:vAlign w:val="bottom"/>
            <w:hideMark/>
          </w:tcPr>
          <w:p w:rsidR="007E1E1E" w:rsidRDefault="007E1E1E" w:rsidP="00B50E5D">
            <w:pPr>
              <w:rPr>
                <w:rFonts w:cs="Calibri"/>
                <w:b/>
                <w:bCs/>
                <w:sz w:val="16"/>
                <w:szCs w:val="16"/>
              </w:rPr>
            </w:pPr>
            <w:r>
              <w:rPr>
                <w:rFonts w:cs="Calibri"/>
                <w:b/>
                <w:bCs/>
                <w:sz w:val="16"/>
                <w:szCs w:val="16"/>
              </w:rPr>
              <w:t> </w:t>
            </w:r>
          </w:p>
        </w:tc>
        <w:tc>
          <w:tcPr>
            <w:tcW w:w="1296" w:type="dxa"/>
            <w:tcBorders>
              <w:top w:val="nil"/>
              <w:left w:val="nil"/>
              <w:bottom w:val="nil"/>
              <w:right w:val="single" w:sz="4" w:space="0" w:color="auto"/>
            </w:tcBorders>
            <w:shd w:val="clear" w:color="FFFFFF" w:fill="FFFFFF"/>
            <w:vAlign w:val="bottom"/>
            <w:hideMark/>
          </w:tcPr>
          <w:p w:rsidR="007E1E1E" w:rsidRDefault="007E1E1E" w:rsidP="00B50E5D">
            <w:pPr>
              <w:rPr>
                <w:rFonts w:cs="Calibri"/>
                <w:b/>
                <w:bCs/>
                <w:sz w:val="16"/>
                <w:szCs w:val="16"/>
              </w:rPr>
            </w:pPr>
            <w:r>
              <w:rPr>
                <w:rFonts w:cs="Calibri"/>
                <w:b/>
                <w:bCs/>
                <w:sz w:val="16"/>
                <w:szCs w:val="16"/>
              </w:rPr>
              <w:t> </w:t>
            </w:r>
          </w:p>
        </w:tc>
        <w:tc>
          <w:tcPr>
            <w:tcW w:w="1109" w:type="dxa"/>
            <w:tcBorders>
              <w:top w:val="nil"/>
              <w:left w:val="nil"/>
              <w:bottom w:val="nil"/>
              <w:right w:val="single" w:sz="4" w:space="0" w:color="auto"/>
            </w:tcBorders>
            <w:shd w:val="clear" w:color="FFFFFF" w:fill="FFFFFF"/>
            <w:vAlign w:val="bottom"/>
            <w:hideMark/>
          </w:tcPr>
          <w:p w:rsidR="007E1E1E" w:rsidRDefault="007E1E1E" w:rsidP="00B50E5D">
            <w:pPr>
              <w:rPr>
                <w:rFonts w:cs="Calibri"/>
                <w:b/>
                <w:bCs/>
                <w:sz w:val="16"/>
                <w:szCs w:val="16"/>
              </w:rPr>
            </w:pPr>
            <w:r>
              <w:rPr>
                <w:rFonts w:cs="Calibri"/>
                <w:b/>
                <w:bCs/>
                <w:sz w:val="16"/>
                <w:szCs w:val="16"/>
              </w:rPr>
              <w:t> </w:t>
            </w:r>
          </w:p>
        </w:tc>
      </w:tr>
      <w:tr w:rsidR="007E1E1E" w:rsidTr="00B50E5D">
        <w:trPr>
          <w:trHeight w:val="255"/>
        </w:trPr>
        <w:tc>
          <w:tcPr>
            <w:tcW w:w="3021" w:type="dxa"/>
            <w:tcBorders>
              <w:top w:val="nil"/>
              <w:left w:val="single" w:sz="4" w:space="0" w:color="auto"/>
              <w:bottom w:val="nil"/>
              <w:right w:val="single" w:sz="4" w:space="0" w:color="auto"/>
            </w:tcBorders>
            <w:shd w:val="clear" w:color="FFFFFF" w:fill="FFFFFF"/>
            <w:vAlign w:val="bottom"/>
            <w:hideMark/>
          </w:tcPr>
          <w:p w:rsidR="007E1E1E" w:rsidRDefault="007E1E1E" w:rsidP="00B50E5D">
            <w:pPr>
              <w:ind w:firstLineChars="200" w:firstLine="320"/>
              <w:rPr>
                <w:rFonts w:cs="Calibri"/>
                <w:color w:val="000000"/>
                <w:sz w:val="16"/>
                <w:szCs w:val="16"/>
              </w:rPr>
            </w:pPr>
            <w:r>
              <w:rPr>
                <w:rFonts w:cs="Calibri"/>
                <w:color w:val="000000"/>
                <w:sz w:val="16"/>
                <w:szCs w:val="16"/>
              </w:rPr>
              <w:t>Equity</w:t>
            </w:r>
          </w:p>
        </w:tc>
        <w:tc>
          <w:tcPr>
            <w:tcW w:w="1366"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13,636 </w:t>
            </w:r>
          </w:p>
        </w:tc>
        <w:tc>
          <w:tcPr>
            <w:tcW w:w="1366"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c>
          <w:tcPr>
            <w:tcW w:w="1111"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c>
          <w:tcPr>
            <w:tcW w:w="1110"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c>
          <w:tcPr>
            <w:tcW w:w="1111"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c>
          <w:tcPr>
            <w:tcW w:w="1109"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1,475 </w:t>
            </w:r>
          </w:p>
        </w:tc>
        <w:tc>
          <w:tcPr>
            <w:tcW w:w="1292"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15,111 </w:t>
            </w:r>
          </w:p>
        </w:tc>
        <w:tc>
          <w:tcPr>
            <w:tcW w:w="12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8,861 </w:t>
            </w:r>
          </w:p>
        </w:tc>
        <w:tc>
          <w:tcPr>
            <w:tcW w:w="1109"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6,250 </w:t>
            </w:r>
          </w:p>
        </w:tc>
      </w:tr>
      <w:tr w:rsidR="007E1E1E" w:rsidTr="00B50E5D">
        <w:trPr>
          <w:trHeight w:val="255"/>
        </w:trPr>
        <w:tc>
          <w:tcPr>
            <w:tcW w:w="3021"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7E1E1E" w:rsidRDefault="007E1E1E" w:rsidP="00B50E5D">
            <w:pPr>
              <w:rPr>
                <w:rFonts w:cs="Calibri"/>
                <w:b/>
                <w:bCs/>
                <w:color w:val="000000"/>
                <w:sz w:val="16"/>
                <w:szCs w:val="16"/>
              </w:rPr>
            </w:pPr>
            <w:r>
              <w:rPr>
                <w:rFonts w:cs="Calibri"/>
                <w:b/>
                <w:bCs/>
                <w:color w:val="000000"/>
                <w:sz w:val="16"/>
                <w:szCs w:val="16"/>
              </w:rPr>
              <w:t>Total departmental</w:t>
            </w:r>
          </w:p>
        </w:tc>
        <w:tc>
          <w:tcPr>
            <w:tcW w:w="136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13,636</w:t>
            </w:r>
          </w:p>
        </w:tc>
        <w:tc>
          <w:tcPr>
            <w:tcW w:w="1366"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w:t>
            </w:r>
          </w:p>
        </w:tc>
        <w:tc>
          <w:tcPr>
            <w:tcW w:w="1111" w:type="dxa"/>
            <w:tcBorders>
              <w:top w:val="single" w:sz="4" w:space="0" w:color="auto"/>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w:t>
            </w:r>
          </w:p>
        </w:tc>
        <w:tc>
          <w:tcPr>
            <w:tcW w:w="1110"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w:t>
            </w:r>
          </w:p>
        </w:tc>
        <w:tc>
          <w:tcPr>
            <w:tcW w:w="1111" w:type="dxa"/>
            <w:tcBorders>
              <w:top w:val="single" w:sz="4" w:space="0" w:color="auto"/>
              <w:left w:val="nil"/>
              <w:bottom w:val="single" w:sz="4" w:space="0" w:color="auto"/>
              <w:right w:val="nil"/>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13,108</w:t>
            </w:r>
          </w:p>
        </w:tc>
        <w:tc>
          <w:tcPr>
            <w:tcW w:w="1109"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229,002</w:t>
            </w:r>
          </w:p>
        </w:tc>
        <w:tc>
          <w:tcPr>
            <w:tcW w:w="1292"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255,746</w:t>
            </w:r>
          </w:p>
        </w:tc>
        <w:tc>
          <w:tcPr>
            <w:tcW w:w="12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229,263</w:t>
            </w:r>
          </w:p>
        </w:tc>
        <w:tc>
          <w:tcPr>
            <w:tcW w:w="1109"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26,483</w:t>
            </w:r>
          </w:p>
        </w:tc>
      </w:tr>
      <w:tr w:rsidR="007E1E1E" w:rsidTr="00B50E5D">
        <w:trPr>
          <w:trHeight w:val="255"/>
        </w:trPr>
        <w:tc>
          <w:tcPr>
            <w:tcW w:w="3021" w:type="dxa"/>
            <w:tcBorders>
              <w:top w:val="nil"/>
              <w:left w:val="single" w:sz="4" w:space="0" w:color="auto"/>
              <w:bottom w:val="nil"/>
              <w:right w:val="single" w:sz="4" w:space="0" w:color="auto"/>
            </w:tcBorders>
            <w:shd w:val="clear" w:color="000000" w:fill="D9D9D9"/>
            <w:vAlign w:val="bottom"/>
            <w:hideMark/>
          </w:tcPr>
          <w:p w:rsidR="007E1E1E" w:rsidRDefault="007E1E1E" w:rsidP="00B50E5D">
            <w:pPr>
              <w:rPr>
                <w:rFonts w:cs="Calibri"/>
                <w:b/>
                <w:bCs/>
                <w:sz w:val="16"/>
                <w:szCs w:val="16"/>
              </w:rPr>
            </w:pPr>
            <w:r>
              <w:rPr>
                <w:rFonts w:cs="Calibri"/>
                <w:b/>
                <w:bCs/>
                <w:sz w:val="16"/>
                <w:szCs w:val="16"/>
              </w:rPr>
              <w:t>ADMINISTERED</w:t>
            </w:r>
          </w:p>
        </w:tc>
        <w:tc>
          <w:tcPr>
            <w:tcW w:w="1366" w:type="dxa"/>
            <w:tcBorders>
              <w:top w:val="nil"/>
              <w:left w:val="nil"/>
              <w:bottom w:val="nil"/>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366" w:type="dxa"/>
            <w:tcBorders>
              <w:top w:val="nil"/>
              <w:left w:val="nil"/>
              <w:bottom w:val="nil"/>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111" w:type="dxa"/>
            <w:tcBorders>
              <w:top w:val="nil"/>
              <w:left w:val="nil"/>
              <w:bottom w:val="nil"/>
              <w:right w:val="single" w:sz="4" w:space="0" w:color="auto"/>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110" w:type="dxa"/>
            <w:tcBorders>
              <w:top w:val="nil"/>
              <w:left w:val="nil"/>
              <w:bottom w:val="nil"/>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111" w:type="dxa"/>
            <w:tcBorders>
              <w:top w:val="nil"/>
              <w:left w:val="nil"/>
              <w:bottom w:val="nil"/>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109" w:type="dxa"/>
            <w:tcBorders>
              <w:top w:val="nil"/>
              <w:left w:val="nil"/>
              <w:bottom w:val="nil"/>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292" w:type="dxa"/>
            <w:tcBorders>
              <w:top w:val="nil"/>
              <w:left w:val="single" w:sz="4" w:space="0" w:color="auto"/>
              <w:bottom w:val="nil"/>
              <w:right w:val="single" w:sz="4" w:space="0" w:color="auto"/>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296" w:type="dxa"/>
            <w:tcBorders>
              <w:top w:val="nil"/>
              <w:left w:val="nil"/>
              <w:bottom w:val="nil"/>
              <w:right w:val="single" w:sz="4" w:space="0" w:color="auto"/>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109" w:type="dxa"/>
            <w:tcBorders>
              <w:top w:val="nil"/>
              <w:left w:val="nil"/>
              <w:bottom w:val="nil"/>
              <w:right w:val="single" w:sz="4" w:space="0" w:color="auto"/>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r>
      <w:tr w:rsidR="007E1E1E" w:rsidTr="00B50E5D">
        <w:trPr>
          <w:trHeight w:val="255"/>
        </w:trPr>
        <w:tc>
          <w:tcPr>
            <w:tcW w:w="3021" w:type="dxa"/>
            <w:tcBorders>
              <w:top w:val="nil"/>
              <w:left w:val="single" w:sz="4" w:space="0" w:color="auto"/>
              <w:bottom w:val="nil"/>
              <w:right w:val="single" w:sz="4" w:space="0" w:color="auto"/>
            </w:tcBorders>
            <w:shd w:val="clear" w:color="000000" w:fill="D9D9D9"/>
            <w:vAlign w:val="bottom"/>
            <w:hideMark/>
          </w:tcPr>
          <w:p w:rsidR="007E1E1E" w:rsidRDefault="007E1E1E" w:rsidP="00B50E5D">
            <w:pPr>
              <w:ind w:firstLineChars="100" w:firstLine="161"/>
              <w:rPr>
                <w:rFonts w:cs="Calibri"/>
                <w:b/>
                <w:bCs/>
                <w:sz w:val="16"/>
                <w:szCs w:val="16"/>
              </w:rPr>
            </w:pPr>
            <w:r>
              <w:rPr>
                <w:rFonts w:cs="Calibri"/>
                <w:b/>
                <w:bCs/>
                <w:sz w:val="16"/>
                <w:szCs w:val="16"/>
              </w:rPr>
              <w:t>Ordinary annual services</w:t>
            </w:r>
          </w:p>
        </w:tc>
        <w:tc>
          <w:tcPr>
            <w:tcW w:w="1366" w:type="dxa"/>
            <w:tcBorders>
              <w:top w:val="nil"/>
              <w:left w:val="nil"/>
              <w:bottom w:val="nil"/>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366" w:type="dxa"/>
            <w:tcBorders>
              <w:top w:val="nil"/>
              <w:left w:val="nil"/>
              <w:bottom w:val="nil"/>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111" w:type="dxa"/>
            <w:tcBorders>
              <w:top w:val="nil"/>
              <w:left w:val="nil"/>
              <w:bottom w:val="nil"/>
              <w:right w:val="single" w:sz="4" w:space="0" w:color="auto"/>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110" w:type="dxa"/>
            <w:tcBorders>
              <w:top w:val="nil"/>
              <w:left w:val="nil"/>
              <w:bottom w:val="nil"/>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111" w:type="dxa"/>
            <w:tcBorders>
              <w:top w:val="nil"/>
              <w:left w:val="nil"/>
              <w:bottom w:val="nil"/>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109" w:type="dxa"/>
            <w:tcBorders>
              <w:top w:val="nil"/>
              <w:left w:val="nil"/>
              <w:bottom w:val="nil"/>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292" w:type="dxa"/>
            <w:tcBorders>
              <w:top w:val="nil"/>
              <w:left w:val="single" w:sz="4" w:space="0" w:color="auto"/>
              <w:bottom w:val="nil"/>
              <w:right w:val="single" w:sz="4" w:space="0" w:color="auto"/>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296" w:type="dxa"/>
            <w:tcBorders>
              <w:top w:val="nil"/>
              <w:left w:val="nil"/>
              <w:bottom w:val="nil"/>
              <w:right w:val="single" w:sz="4" w:space="0" w:color="auto"/>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109" w:type="dxa"/>
            <w:tcBorders>
              <w:top w:val="nil"/>
              <w:left w:val="nil"/>
              <w:bottom w:val="nil"/>
              <w:right w:val="single" w:sz="4" w:space="0" w:color="auto"/>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r>
      <w:tr w:rsidR="007E1E1E" w:rsidTr="00B50E5D">
        <w:trPr>
          <w:trHeight w:val="255"/>
        </w:trPr>
        <w:tc>
          <w:tcPr>
            <w:tcW w:w="3021" w:type="dxa"/>
            <w:tcBorders>
              <w:top w:val="nil"/>
              <w:left w:val="single" w:sz="4" w:space="0" w:color="auto"/>
              <w:bottom w:val="nil"/>
              <w:right w:val="single" w:sz="4" w:space="0" w:color="auto"/>
            </w:tcBorders>
            <w:shd w:val="clear" w:color="000000" w:fill="D9D9D9"/>
            <w:vAlign w:val="bottom"/>
            <w:hideMark/>
          </w:tcPr>
          <w:p w:rsidR="007E1E1E" w:rsidRDefault="007E1E1E" w:rsidP="00B50E5D">
            <w:pPr>
              <w:ind w:firstLineChars="200" w:firstLine="320"/>
              <w:rPr>
                <w:rFonts w:cs="Calibri"/>
                <w:color w:val="000000"/>
                <w:sz w:val="16"/>
                <w:szCs w:val="16"/>
              </w:rPr>
            </w:pPr>
            <w:r>
              <w:rPr>
                <w:rFonts w:cs="Calibri"/>
                <w:color w:val="000000"/>
                <w:sz w:val="16"/>
                <w:szCs w:val="16"/>
              </w:rPr>
              <w:t>Administered items</w:t>
            </w:r>
          </w:p>
        </w:tc>
        <w:tc>
          <w:tcPr>
            <w:tcW w:w="136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180,183 </w:t>
            </w:r>
          </w:p>
        </w:tc>
        <w:tc>
          <w:tcPr>
            <w:tcW w:w="136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(76,493)</w:t>
            </w:r>
          </w:p>
        </w:tc>
        <w:tc>
          <w:tcPr>
            <w:tcW w:w="1111" w:type="dxa"/>
            <w:tcBorders>
              <w:top w:val="nil"/>
              <w:left w:val="nil"/>
              <w:bottom w:val="nil"/>
              <w:right w:val="single" w:sz="4" w:space="0" w:color="auto"/>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w:t>
            </w:r>
          </w:p>
        </w:tc>
        <w:tc>
          <w:tcPr>
            <w:tcW w:w="1110"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3,250 </w:t>
            </w:r>
          </w:p>
        </w:tc>
        <w:tc>
          <w:tcPr>
            <w:tcW w:w="1111"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w:t>
            </w:r>
          </w:p>
        </w:tc>
        <w:tc>
          <w:tcPr>
            <w:tcW w:w="110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697,145 </w:t>
            </w:r>
          </w:p>
        </w:tc>
        <w:tc>
          <w:tcPr>
            <w:tcW w:w="1292" w:type="dxa"/>
            <w:tcBorders>
              <w:top w:val="nil"/>
              <w:left w:val="single" w:sz="4" w:space="0" w:color="auto"/>
              <w:bottom w:val="nil"/>
              <w:right w:val="single" w:sz="4" w:space="0" w:color="auto"/>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804,085 </w:t>
            </w:r>
          </w:p>
        </w:tc>
        <w:tc>
          <w:tcPr>
            <w:tcW w:w="1296" w:type="dxa"/>
            <w:tcBorders>
              <w:top w:val="nil"/>
              <w:left w:val="nil"/>
              <w:bottom w:val="nil"/>
              <w:right w:val="single" w:sz="4" w:space="0" w:color="auto"/>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734,179 </w:t>
            </w:r>
          </w:p>
        </w:tc>
        <w:tc>
          <w:tcPr>
            <w:tcW w:w="1109" w:type="dxa"/>
            <w:tcBorders>
              <w:top w:val="nil"/>
              <w:left w:val="nil"/>
              <w:bottom w:val="nil"/>
              <w:right w:val="single" w:sz="4" w:space="0" w:color="auto"/>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69,906 </w:t>
            </w:r>
          </w:p>
        </w:tc>
      </w:tr>
      <w:tr w:rsidR="007E1E1E" w:rsidTr="00B50E5D">
        <w:trPr>
          <w:trHeight w:val="255"/>
        </w:trPr>
        <w:tc>
          <w:tcPr>
            <w:tcW w:w="3021" w:type="dxa"/>
            <w:tcBorders>
              <w:top w:val="nil"/>
              <w:left w:val="single" w:sz="4" w:space="0" w:color="auto"/>
              <w:bottom w:val="nil"/>
              <w:right w:val="single" w:sz="4" w:space="0" w:color="auto"/>
            </w:tcBorders>
            <w:shd w:val="clear" w:color="000000" w:fill="D9D9D9"/>
            <w:vAlign w:val="bottom"/>
            <w:hideMark/>
          </w:tcPr>
          <w:p w:rsidR="007E1E1E" w:rsidRDefault="007E1E1E" w:rsidP="00B50E5D">
            <w:pPr>
              <w:ind w:firstLineChars="200" w:firstLine="320"/>
              <w:rPr>
                <w:rFonts w:cs="Calibri"/>
                <w:color w:val="000000"/>
                <w:sz w:val="16"/>
                <w:szCs w:val="16"/>
              </w:rPr>
            </w:pPr>
            <w:r>
              <w:rPr>
                <w:rFonts w:cs="Calibri"/>
                <w:color w:val="000000"/>
                <w:sz w:val="16"/>
                <w:szCs w:val="16"/>
              </w:rPr>
              <w:t xml:space="preserve">Payments to CAC Act </w:t>
            </w:r>
            <w:proofErr w:type="spellStart"/>
            <w:r>
              <w:rPr>
                <w:rFonts w:cs="Calibri"/>
                <w:color w:val="000000"/>
                <w:sz w:val="16"/>
                <w:szCs w:val="16"/>
              </w:rPr>
              <w:t>bodies</w:t>
            </w:r>
            <w:r>
              <w:rPr>
                <w:rFonts w:cs="Calibri"/>
                <w:color w:val="000000"/>
                <w:sz w:val="16"/>
                <w:szCs w:val="16"/>
                <w:vertAlign w:val="superscript"/>
              </w:rPr>
              <w:t>3</w:t>
            </w:r>
            <w:proofErr w:type="spellEnd"/>
          </w:p>
        </w:tc>
        <w:tc>
          <w:tcPr>
            <w:tcW w:w="136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5,360 </w:t>
            </w:r>
          </w:p>
        </w:tc>
        <w:tc>
          <w:tcPr>
            <w:tcW w:w="136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c>
          <w:tcPr>
            <w:tcW w:w="1111" w:type="dxa"/>
            <w:tcBorders>
              <w:top w:val="nil"/>
              <w:left w:val="nil"/>
              <w:bottom w:val="nil"/>
              <w:right w:val="single" w:sz="4" w:space="0" w:color="auto"/>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c>
          <w:tcPr>
            <w:tcW w:w="1110"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c>
          <w:tcPr>
            <w:tcW w:w="1111"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c>
          <w:tcPr>
            <w:tcW w:w="110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c>
          <w:tcPr>
            <w:tcW w:w="1292" w:type="dxa"/>
            <w:tcBorders>
              <w:top w:val="nil"/>
              <w:left w:val="single" w:sz="4" w:space="0" w:color="auto"/>
              <w:bottom w:val="nil"/>
              <w:right w:val="single" w:sz="4" w:space="0" w:color="auto"/>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5,360 </w:t>
            </w:r>
          </w:p>
        </w:tc>
        <w:tc>
          <w:tcPr>
            <w:tcW w:w="1296" w:type="dxa"/>
            <w:tcBorders>
              <w:top w:val="nil"/>
              <w:left w:val="nil"/>
              <w:bottom w:val="nil"/>
              <w:right w:val="single" w:sz="4" w:space="0" w:color="auto"/>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5,360 </w:t>
            </w:r>
          </w:p>
        </w:tc>
        <w:tc>
          <w:tcPr>
            <w:tcW w:w="1109" w:type="dxa"/>
            <w:tcBorders>
              <w:top w:val="nil"/>
              <w:left w:val="nil"/>
              <w:bottom w:val="nil"/>
              <w:right w:val="single" w:sz="4" w:space="0" w:color="auto"/>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r>
      <w:tr w:rsidR="007E1E1E" w:rsidTr="00B50E5D">
        <w:trPr>
          <w:trHeight w:val="255"/>
        </w:trPr>
        <w:tc>
          <w:tcPr>
            <w:tcW w:w="3021" w:type="dxa"/>
            <w:tcBorders>
              <w:top w:val="nil"/>
              <w:left w:val="single" w:sz="4" w:space="0" w:color="auto"/>
              <w:bottom w:val="nil"/>
              <w:right w:val="single" w:sz="4" w:space="0" w:color="auto"/>
            </w:tcBorders>
            <w:shd w:val="clear" w:color="000000" w:fill="D9D9D9"/>
            <w:vAlign w:val="bottom"/>
            <w:hideMark/>
          </w:tcPr>
          <w:p w:rsidR="007E1E1E" w:rsidRDefault="007E1E1E" w:rsidP="00B50E5D">
            <w:pPr>
              <w:ind w:firstLineChars="100" w:firstLine="161"/>
              <w:rPr>
                <w:rFonts w:cs="Calibri"/>
                <w:b/>
                <w:bCs/>
                <w:sz w:val="16"/>
                <w:szCs w:val="16"/>
              </w:rPr>
            </w:pPr>
            <w:r>
              <w:rPr>
                <w:rFonts w:cs="Calibri"/>
                <w:b/>
                <w:bCs/>
                <w:sz w:val="16"/>
                <w:szCs w:val="16"/>
              </w:rPr>
              <w:t>Other services</w:t>
            </w:r>
          </w:p>
        </w:tc>
        <w:tc>
          <w:tcPr>
            <w:tcW w:w="1366" w:type="dxa"/>
            <w:tcBorders>
              <w:top w:val="nil"/>
              <w:left w:val="nil"/>
              <w:bottom w:val="nil"/>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366" w:type="dxa"/>
            <w:tcBorders>
              <w:top w:val="nil"/>
              <w:left w:val="nil"/>
              <w:bottom w:val="nil"/>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111" w:type="dxa"/>
            <w:tcBorders>
              <w:top w:val="nil"/>
              <w:left w:val="nil"/>
              <w:bottom w:val="nil"/>
              <w:right w:val="single" w:sz="4" w:space="0" w:color="auto"/>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110" w:type="dxa"/>
            <w:tcBorders>
              <w:top w:val="nil"/>
              <w:left w:val="nil"/>
              <w:bottom w:val="nil"/>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111" w:type="dxa"/>
            <w:tcBorders>
              <w:top w:val="nil"/>
              <w:left w:val="nil"/>
              <w:bottom w:val="nil"/>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109" w:type="dxa"/>
            <w:tcBorders>
              <w:top w:val="nil"/>
              <w:left w:val="nil"/>
              <w:bottom w:val="nil"/>
              <w:right w:val="nil"/>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292" w:type="dxa"/>
            <w:tcBorders>
              <w:top w:val="nil"/>
              <w:left w:val="single" w:sz="4" w:space="0" w:color="auto"/>
              <w:bottom w:val="nil"/>
              <w:right w:val="single" w:sz="4" w:space="0" w:color="auto"/>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296" w:type="dxa"/>
            <w:tcBorders>
              <w:top w:val="nil"/>
              <w:left w:val="nil"/>
              <w:bottom w:val="nil"/>
              <w:right w:val="single" w:sz="4" w:space="0" w:color="auto"/>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c>
          <w:tcPr>
            <w:tcW w:w="1109" w:type="dxa"/>
            <w:tcBorders>
              <w:top w:val="nil"/>
              <w:left w:val="nil"/>
              <w:bottom w:val="nil"/>
              <w:right w:val="single" w:sz="4" w:space="0" w:color="auto"/>
            </w:tcBorders>
            <w:shd w:val="clear" w:color="000000" w:fill="D9D9D9"/>
            <w:noWrap/>
            <w:vAlign w:val="bottom"/>
            <w:hideMark/>
          </w:tcPr>
          <w:p w:rsidR="007E1E1E" w:rsidRDefault="007E1E1E" w:rsidP="00B50E5D">
            <w:pPr>
              <w:rPr>
                <w:rFonts w:cs="Calibri"/>
                <w:sz w:val="16"/>
                <w:szCs w:val="16"/>
              </w:rPr>
            </w:pPr>
            <w:r>
              <w:rPr>
                <w:rFonts w:cs="Calibri"/>
                <w:sz w:val="16"/>
                <w:szCs w:val="16"/>
              </w:rPr>
              <w:t> </w:t>
            </w:r>
          </w:p>
        </w:tc>
      </w:tr>
      <w:tr w:rsidR="007E1E1E" w:rsidTr="00B50E5D">
        <w:trPr>
          <w:trHeight w:val="255"/>
        </w:trPr>
        <w:tc>
          <w:tcPr>
            <w:tcW w:w="3021" w:type="dxa"/>
            <w:tcBorders>
              <w:top w:val="nil"/>
              <w:left w:val="single" w:sz="4" w:space="0" w:color="auto"/>
              <w:bottom w:val="nil"/>
              <w:right w:val="single" w:sz="4" w:space="0" w:color="auto"/>
            </w:tcBorders>
            <w:shd w:val="clear" w:color="000000" w:fill="D9D9D9"/>
            <w:noWrap/>
            <w:vAlign w:val="bottom"/>
            <w:hideMark/>
          </w:tcPr>
          <w:p w:rsidR="007E1E1E" w:rsidRDefault="007E1E1E" w:rsidP="00B50E5D">
            <w:pPr>
              <w:ind w:firstLineChars="200" w:firstLine="320"/>
              <w:rPr>
                <w:rFonts w:cs="Calibri"/>
                <w:color w:val="000000"/>
                <w:sz w:val="16"/>
                <w:szCs w:val="16"/>
              </w:rPr>
            </w:pPr>
            <w:r>
              <w:rPr>
                <w:rFonts w:cs="Calibri"/>
                <w:color w:val="000000"/>
                <w:sz w:val="16"/>
                <w:szCs w:val="16"/>
              </w:rPr>
              <w:t>States, ACT, NT and local government</w:t>
            </w:r>
          </w:p>
        </w:tc>
        <w:tc>
          <w:tcPr>
            <w:tcW w:w="136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c>
          <w:tcPr>
            <w:tcW w:w="136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c>
          <w:tcPr>
            <w:tcW w:w="1111" w:type="dxa"/>
            <w:tcBorders>
              <w:top w:val="nil"/>
              <w:left w:val="nil"/>
              <w:bottom w:val="nil"/>
              <w:right w:val="single" w:sz="4" w:space="0" w:color="auto"/>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c>
          <w:tcPr>
            <w:tcW w:w="1110"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c>
          <w:tcPr>
            <w:tcW w:w="1111"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c>
          <w:tcPr>
            <w:tcW w:w="110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41,092 </w:t>
            </w:r>
          </w:p>
        </w:tc>
        <w:tc>
          <w:tcPr>
            <w:tcW w:w="1292" w:type="dxa"/>
            <w:tcBorders>
              <w:top w:val="nil"/>
              <w:left w:val="single" w:sz="4" w:space="0" w:color="auto"/>
              <w:bottom w:val="nil"/>
              <w:right w:val="single" w:sz="4" w:space="0" w:color="auto"/>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41,092 </w:t>
            </w:r>
          </w:p>
        </w:tc>
        <w:tc>
          <w:tcPr>
            <w:tcW w:w="1296" w:type="dxa"/>
            <w:tcBorders>
              <w:top w:val="nil"/>
              <w:left w:val="nil"/>
              <w:bottom w:val="nil"/>
              <w:right w:val="single" w:sz="4" w:space="0" w:color="auto"/>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38,554 </w:t>
            </w:r>
          </w:p>
        </w:tc>
        <w:tc>
          <w:tcPr>
            <w:tcW w:w="1109" w:type="dxa"/>
            <w:tcBorders>
              <w:top w:val="nil"/>
              <w:left w:val="nil"/>
              <w:bottom w:val="nil"/>
              <w:right w:val="single" w:sz="4" w:space="0" w:color="auto"/>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2,538 </w:t>
            </w:r>
          </w:p>
        </w:tc>
      </w:tr>
      <w:tr w:rsidR="007E1E1E" w:rsidTr="00B50E5D">
        <w:trPr>
          <w:trHeight w:val="255"/>
        </w:trPr>
        <w:tc>
          <w:tcPr>
            <w:tcW w:w="3021" w:type="dxa"/>
            <w:tcBorders>
              <w:top w:val="nil"/>
              <w:left w:val="single" w:sz="4" w:space="0" w:color="auto"/>
              <w:bottom w:val="nil"/>
              <w:right w:val="single" w:sz="4" w:space="0" w:color="auto"/>
            </w:tcBorders>
            <w:shd w:val="clear" w:color="000000" w:fill="D9D9D9"/>
            <w:noWrap/>
            <w:vAlign w:val="bottom"/>
            <w:hideMark/>
          </w:tcPr>
          <w:p w:rsidR="007E1E1E" w:rsidRDefault="007E1E1E" w:rsidP="00B50E5D">
            <w:pPr>
              <w:ind w:firstLineChars="200" w:firstLine="320"/>
              <w:rPr>
                <w:rFonts w:cs="Calibri"/>
                <w:color w:val="000000"/>
                <w:sz w:val="16"/>
                <w:szCs w:val="16"/>
              </w:rPr>
            </w:pPr>
            <w:r>
              <w:rPr>
                <w:rFonts w:cs="Calibri"/>
                <w:color w:val="000000"/>
                <w:sz w:val="16"/>
                <w:szCs w:val="16"/>
              </w:rPr>
              <w:t>Administered assets and liabilities</w:t>
            </w:r>
          </w:p>
        </w:tc>
        <w:tc>
          <w:tcPr>
            <w:tcW w:w="136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2,897 </w:t>
            </w:r>
          </w:p>
        </w:tc>
        <w:tc>
          <w:tcPr>
            <w:tcW w:w="136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(2,897)</w:t>
            </w:r>
          </w:p>
        </w:tc>
        <w:tc>
          <w:tcPr>
            <w:tcW w:w="1111" w:type="dxa"/>
            <w:tcBorders>
              <w:top w:val="nil"/>
              <w:left w:val="nil"/>
              <w:bottom w:val="nil"/>
              <w:right w:val="single" w:sz="4" w:space="0" w:color="auto"/>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c>
          <w:tcPr>
            <w:tcW w:w="1110"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c>
          <w:tcPr>
            <w:tcW w:w="1111"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c>
          <w:tcPr>
            <w:tcW w:w="1109"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c>
          <w:tcPr>
            <w:tcW w:w="1292" w:type="dxa"/>
            <w:tcBorders>
              <w:top w:val="nil"/>
              <w:left w:val="single" w:sz="4" w:space="0" w:color="auto"/>
              <w:bottom w:val="nil"/>
              <w:right w:val="single" w:sz="4" w:space="0" w:color="auto"/>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c>
          <w:tcPr>
            <w:tcW w:w="1296" w:type="dxa"/>
            <w:tcBorders>
              <w:top w:val="nil"/>
              <w:left w:val="nil"/>
              <w:bottom w:val="nil"/>
              <w:right w:val="single" w:sz="4" w:space="0" w:color="auto"/>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c>
          <w:tcPr>
            <w:tcW w:w="1109" w:type="dxa"/>
            <w:tcBorders>
              <w:top w:val="nil"/>
              <w:left w:val="nil"/>
              <w:bottom w:val="nil"/>
              <w:right w:val="single" w:sz="4" w:space="0" w:color="auto"/>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r>
      <w:tr w:rsidR="007E1E1E" w:rsidTr="00B50E5D">
        <w:trPr>
          <w:trHeight w:val="255"/>
        </w:trPr>
        <w:tc>
          <w:tcPr>
            <w:tcW w:w="3021"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7E1E1E" w:rsidRDefault="007E1E1E" w:rsidP="00B50E5D">
            <w:pPr>
              <w:rPr>
                <w:rFonts w:cs="Calibri"/>
                <w:b/>
                <w:bCs/>
                <w:sz w:val="16"/>
                <w:szCs w:val="16"/>
              </w:rPr>
            </w:pPr>
            <w:r>
              <w:rPr>
                <w:rFonts w:cs="Calibri"/>
                <w:b/>
                <w:bCs/>
                <w:sz w:val="16"/>
                <w:szCs w:val="16"/>
              </w:rPr>
              <w:t>Total administered</w:t>
            </w:r>
          </w:p>
        </w:tc>
        <w:tc>
          <w:tcPr>
            <w:tcW w:w="136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188,440</w:t>
            </w:r>
          </w:p>
        </w:tc>
        <w:tc>
          <w:tcPr>
            <w:tcW w:w="136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(79,390)</w:t>
            </w:r>
          </w:p>
        </w:tc>
        <w:tc>
          <w:tcPr>
            <w:tcW w:w="1111" w:type="dxa"/>
            <w:tcBorders>
              <w:top w:val="single" w:sz="4" w:space="0" w:color="auto"/>
              <w:left w:val="nil"/>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w:t>
            </w:r>
          </w:p>
        </w:tc>
        <w:tc>
          <w:tcPr>
            <w:tcW w:w="1110"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3,250</w:t>
            </w:r>
          </w:p>
        </w:tc>
        <w:tc>
          <w:tcPr>
            <w:tcW w:w="1111"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w:t>
            </w:r>
          </w:p>
        </w:tc>
        <w:tc>
          <w:tcPr>
            <w:tcW w:w="1109"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738,237</w:t>
            </w:r>
          </w:p>
        </w:tc>
        <w:tc>
          <w:tcPr>
            <w:tcW w:w="129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850,537</w:t>
            </w:r>
          </w:p>
        </w:tc>
        <w:tc>
          <w:tcPr>
            <w:tcW w:w="1296" w:type="dxa"/>
            <w:tcBorders>
              <w:top w:val="single" w:sz="4" w:space="0" w:color="auto"/>
              <w:left w:val="nil"/>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778,093</w:t>
            </w:r>
          </w:p>
        </w:tc>
        <w:tc>
          <w:tcPr>
            <w:tcW w:w="1109" w:type="dxa"/>
            <w:tcBorders>
              <w:top w:val="single" w:sz="4" w:space="0" w:color="auto"/>
              <w:left w:val="nil"/>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72,444</w:t>
            </w:r>
          </w:p>
        </w:tc>
      </w:tr>
    </w:tbl>
    <w:p w:rsidR="007E1E1E" w:rsidRDefault="007E1E1E" w:rsidP="007E1E1E">
      <w:pPr>
        <w:pStyle w:val="AdminBlankGreyShade"/>
      </w:pPr>
      <w:bookmarkStart w:id="401" w:name="RANGE!D7:M27"/>
      <w:bookmarkStart w:id="402" w:name="RANGE!D7:M28"/>
      <w:bookmarkStart w:id="403" w:name="RANGE!D7:M29"/>
      <w:bookmarkEnd w:id="401"/>
      <w:bookmarkEnd w:id="402"/>
      <w:bookmarkEnd w:id="403"/>
      <w:r>
        <w:t>Notes</w:t>
      </w:r>
      <w:proofErr w:type="gramStart"/>
      <w:r>
        <w:t>:</w:t>
      </w:r>
      <w:proofErr w:type="gramEnd"/>
      <w:r>
        <w:br/>
      </w:r>
      <w:r w:rsidRPr="007E6ECE">
        <w:rPr>
          <w:vertAlign w:val="superscript"/>
        </w:rPr>
        <w:t>1</w:t>
      </w:r>
      <w:r>
        <w:t xml:space="preserve"> Appropriations reduced under Appropriation Acts (No. 1, 3 &amp; 5) 2013–14: sections 10,11 and 12 and under Appropriation Acts (No. 2, 4 &amp; 6) 2013–14: sections 12, 13 and 14. Departmental appropriations do not lapse at financial year end. However, the responsible Minister may decide that part or all of a departmental appropriation is not required and request the Finance Minister to reduce that appropriation. The reduction in the appropriation is effected by the Finance Minister’s determination and is disallowable by Parliament.  </w:t>
      </w:r>
    </w:p>
    <w:p w:rsidR="007E1E1E" w:rsidRDefault="007E1E1E" w:rsidP="007E1E1E">
      <w:pPr>
        <w:pStyle w:val="AdminBlankGreyShade"/>
      </w:pPr>
      <w:r>
        <w:t>As with departmental appropriations, the responsible Minister may decide that part or all of an administered appropriation is not required and request that the Finance Minister reduce that appropriation. For administered appropriations reduced under section 11 of the Appropriations Acts (Nos 1, 3 &amp; 5) 2013–14 and section 12 of Appropriation Acts (No. 2, 4 &amp; 6) 2013–14, the appropriation is taken to be reduced to the required amount specified in Table F of this note once the annual report is tabled in Parliament. All administered appropriations may be adjusted by a Finance Minister’s determination which is disallowable by Parliament. In 2013–14 there was no reduction in administered appropriations.</w:t>
      </w:r>
    </w:p>
    <w:p w:rsidR="007E1E1E" w:rsidRDefault="007E1E1E" w:rsidP="007E1E1E">
      <w:pPr>
        <w:pStyle w:val="AdminBlankGreyShade"/>
      </w:pPr>
      <w:r w:rsidRPr="007E6ECE">
        <w:rPr>
          <w:vertAlign w:val="superscript"/>
        </w:rPr>
        <w:t>2</w:t>
      </w:r>
      <w:r>
        <w:t xml:space="preserve"> Advance to the Finance Minister (</w:t>
      </w:r>
      <w:proofErr w:type="spellStart"/>
      <w:r>
        <w:t>AFM</w:t>
      </w:r>
      <w:proofErr w:type="spellEnd"/>
      <w:r>
        <w:t>) – Appropriation Acts (No. 1, 3 &amp; 5) 2013–14: section 13 and Appropriation Acts (No. 2, 4 &amp; 6) 2013–14: section 15</w:t>
      </w:r>
    </w:p>
    <w:p w:rsidR="007E1E1E" w:rsidRDefault="007E1E1E" w:rsidP="007E1E1E">
      <w:pPr>
        <w:pStyle w:val="AdminBlankGreyShade"/>
      </w:pPr>
      <w:r w:rsidRPr="004768DC">
        <w:rPr>
          <w:vertAlign w:val="superscript"/>
        </w:rPr>
        <w:t>3</w:t>
      </w:r>
      <w:r>
        <w:t xml:space="preserve"> The Department of the Prime Minister and Cabinet made payments to the Australian Institute of Aboriginal and Torres Strait Islander Studies on behalf of the Department of Education.</w:t>
      </w:r>
    </w:p>
    <w:p w:rsidR="007E1E1E" w:rsidRDefault="007E1E1E" w:rsidP="007E1E1E">
      <w:pPr>
        <w:pStyle w:val="AdminBlankGreyShade"/>
      </w:pPr>
      <w:r>
        <w:t>The administered variances reflect the creditor balances at 30 June 2014.</w:t>
      </w:r>
    </w:p>
    <w:p w:rsidR="007E1E1E" w:rsidRDefault="007E1E1E" w:rsidP="007E1E1E">
      <w:pPr>
        <w:pStyle w:val="AdminBlankGreyShade"/>
        <w:rPr>
          <w:rFonts w:cs="Arial"/>
        </w:rPr>
      </w:pPr>
      <w:bookmarkStart w:id="404" w:name="RANGE!D36:M55"/>
      <w:bookmarkStart w:id="405" w:name="RANGE!D37:M56"/>
      <w:bookmarkStart w:id="406" w:name="RANGE!D34:M54"/>
      <w:bookmarkStart w:id="407" w:name="RANGE!D35:M55"/>
      <w:bookmarkStart w:id="408" w:name="RANGE!D39:M59"/>
      <w:bookmarkStart w:id="409" w:name="RANGE!D33:M53"/>
      <w:bookmarkEnd w:id="404"/>
      <w:bookmarkEnd w:id="405"/>
      <w:bookmarkEnd w:id="406"/>
      <w:bookmarkEnd w:id="407"/>
      <w:bookmarkEnd w:id="408"/>
      <w:bookmarkEnd w:id="409"/>
      <w:r>
        <w:br w:type="page"/>
      </w:r>
    </w:p>
    <w:tbl>
      <w:tblPr>
        <w:tblW w:w="13991" w:type="dxa"/>
        <w:tblInd w:w="80" w:type="dxa"/>
        <w:tblLayout w:type="fixed"/>
        <w:tblLook w:val="04A0" w:firstRow="1" w:lastRow="0" w:firstColumn="1" w:lastColumn="0" w:noHBand="0" w:noVBand="1"/>
      </w:tblPr>
      <w:tblGrid>
        <w:gridCol w:w="3893"/>
        <w:gridCol w:w="1368"/>
        <w:gridCol w:w="1367"/>
        <w:gridCol w:w="1157"/>
        <w:gridCol w:w="1367"/>
        <w:gridCol w:w="1367"/>
        <w:gridCol w:w="1158"/>
        <w:gridCol w:w="1157"/>
        <w:gridCol w:w="1157"/>
      </w:tblGrid>
      <w:tr w:rsidR="007E1E1E" w:rsidTr="00B50E5D">
        <w:trPr>
          <w:trHeight w:val="240"/>
        </w:trPr>
        <w:tc>
          <w:tcPr>
            <w:tcW w:w="3893"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bookmarkStart w:id="410" w:name="RANGE!D7:D19"/>
            <w:bookmarkStart w:id="411" w:name="Note_DCBTABLE1" w:colFirst="0" w:colLast="0"/>
            <w:r>
              <w:rPr>
                <w:rFonts w:cs="Calibri"/>
                <w:szCs w:val="18"/>
              </w:rPr>
              <w:lastRenderedPageBreak/>
              <w:t> </w:t>
            </w:r>
            <w:bookmarkEnd w:id="410"/>
          </w:p>
        </w:tc>
        <w:tc>
          <w:tcPr>
            <w:tcW w:w="1368"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367"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57"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367"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367"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58"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57"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57"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bookmarkEnd w:id="411"/>
      <w:tr w:rsidR="007E1E1E" w:rsidTr="00B50E5D">
        <w:trPr>
          <w:trHeight w:val="255"/>
        </w:trPr>
        <w:tc>
          <w:tcPr>
            <w:tcW w:w="7785" w:type="dxa"/>
            <w:gridSpan w:val="4"/>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29B</w:t>
            </w:r>
            <w:proofErr w:type="spellEnd"/>
            <w:r>
              <w:rPr>
                <w:rFonts w:cs="Calibri"/>
                <w:b/>
                <w:bCs/>
                <w:szCs w:val="18"/>
                <w:u w:val="single"/>
              </w:rPr>
              <w:t>: Departmental and Administered Capital Budgets ('Recoverable GST exclusive')</w:t>
            </w:r>
          </w:p>
          <w:p w:rsidR="007E1E1E" w:rsidRDefault="007E1E1E" w:rsidP="00B50E5D">
            <w:pPr>
              <w:rPr>
                <w:rFonts w:cs="Calibri"/>
                <w:szCs w:val="18"/>
              </w:rPr>
            </w:pPr>
            <w:r>
              <w:rPr>
                <w:rFonts w:cs="Calibri"/>
                <w:szCs w:val="18"/>
              </w:rPr>
              <w:t> </w:t>
            </w:r>
          </w:p>
        </w:tc>
        <w:tc>
          <w:tcPr>
            <w:tcW w:w="1367"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367"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58"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57"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57"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3893"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368"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367"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57"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367"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367"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58"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57"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57"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480"/>
        </w:trPr>
        <w:tc>
          <w:tcPr>
            <w:tcW w:w="3893" w:type="dxa"/>
            <w:tcBorders>
              <w:top w:val="single" w:sz="4" w:space="0" w:color="auto"/>
              <w:left w:val="single" w:sz="4" w:space="0" w:color="auto"/>
              <w:bottom w:val="nil"/>
              <w:right w:val="single" w:sz="4" w:space="0" w:color="auto"/>
            </w:tcBorders>
            <w:shd w:val="clear" w:color="FFFFFF" w:fill="FFFFFF"/>
            <w:vAlign w:val="bottom"/>
            <w:hideMark/>
          </w:tcPr>
          <w:p w:rsidR="007E1E1E" w:rsidRDefault="007E1E1E" w:rsidP="00B50E5D">
            <w:pPr>
              <w:rPr>
                <w:rFonts w:cs="Calibri"/>
                <w:b/>
                <w:bCs/>
                <w:color w:val="000000"/>
                <w:sz w:val="16"/>
                <w:szCs w:val="16"/>
              </w:rPr>
            </w:pPr>
            <w:r>
              <w:rPr>
                <w:rFonts w:cs="Calibri"/>
                <w:b/>
                <w:bCs/>
                <w:color w:val="000000"/>
                <w:sz w:val="16"/>
                <w:szCs w:val="16"/>
              </w:rPr>
              <w:t> </w:t>
            </w:r>
          </w:p>
        </w:tc>
        <w:tc>
          <w:tcPr>
            <w:tcW w:w="5259" w:type="dxa"/>
            <w:gridSpan w:val="4"/>
            <w:tcBorders>
              <w:top w:val="single" w:sz="4" w:space="0" w:color="auto"/>
              <w:left w:val="nil"/>
              <w:bottom w:val="single" w:sz="4" w:space="0" w:color="auto"/>
              <w:right w:val="single" w:sz="4" w:space="0" w:color="000000"/>
            </w:tcBorders>
            <w:shd w:val="clear" w:color="FFFFFF" w:fill="FFFFFF"/>
            <w:vAlign w:val="bottom"/>
            <w:hideMark/>
          </w:tcPr>
          <w:p w:rsidR="007E1E1E" w:rsidRDefault="007E1E1E" w:rsidP="00B50E5D">
            <w:pPr>
              <w:jc w:val="center"/>
              <w:rPr>
                <w:rFonts w:cs="Calibri"/>
                <w:b/>
                <w:bCs/>
                <w:sz w:val="16"/>
                <w:szCs w:val="16"/>
              </w:rPr>
            </w:pPr>
            <w:r>
              <w:rPr>
                <w:rFonts w:cs="Calibri"/>
                <w:b/>
                <w:bCs/>
                <w:sz w:val="16"/>
                <w:szCs w:val="16"/>
              </w:rPr>
              <w:t>2014 Capital Budget Appropriations</w:t>
            </w:r>
          </w:p>
        </w:tc>
        <w:tc>
          <w:tcPr>
            <w:tcW w:w="3682" w:type="dxa"/>
            <w:gridSpan w:val="3"/>
            <w:tcBorders>
              <w:top w:val="single" w:sz="4" w:space="0" w:color="auto"/>
              <w:left w:val="nil"/>
              <w:bottom w:val="single" w:sz="4" w:space="0" w:color="auto"/>
              <w:right w:val="single" w:sz="4" w:space="0" w:color="000000"/>
            </w:tcBorders>
            <w:shd w:val="clear" w:color="FFFFFF" w:fill="FFFFFF"/>
            <w:vAlign w:val="bottom"/>
            <w:hideMark/>
          </w:tcPr>
          <w:p w:rsidR="007E1E1E" w:rsidRDefault="007E1E1E" w:rsidP="00B50E5D">
            <w:pPr>
              <w:jc w:val="center"/>
              <w:rPr>
                <w:rFonts w:cs="Calibri"/>
                <w:b/>
                <w:bCs/>
                <w:sz w:val="16"/>
                <w:szCs w:val="16"/>
              </w:rPr>
            </w:pPr>
            <w:r>
              <w:rPr>
                <w:rFonts w:cs="Calibri"/>
                <w:b/>
                <w:bCs/>
                <w:sz w:val="16"/>
                <w:szCs w:val="16"/>
              </w:rPr>
              <w:t>Capital Budget Appropriations applied in 2014</w:t>
            </w:r>
          </w:p>
        </w:tc>
        <w:tc>
          <w:tcPr>
            <w:tcW w:w="1157" w:type="dxa"/>
            <w:vMerge w:val="restart"/>
            <w:tcBorders>
              <w:top w:val="single" w:sz="4" w:space="0" w:color="auto"/>
              <w:left w:val="single" w:sz="4" w:space="0" w:color="auto"/>
              <w:bottom w:val="nil"/>
              <w:right w:val="single" w:sz="4" w:space="0" w:color="auto"/>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Variance</w:t>
            </w:r>
          </w:p>
        </w:tc>
      </w:tr>
      <w:tr w:rsidR="007E1E1E" w:rsidTr="00B50E5D">
        <w:trPr>
          <w:trHeight w:val="255"/>
        </w:trPr>
        <w:tc>
          <w:tcPr>
            <w:tcW w:w="3893" w:type="dxa"/>
            <w:tcBorders>
              <w:top w:val="nil"/>
              <w:left w:val="single" w:sz="4" w:space="0" w:color="auto"/>
              <w:bottom w:val="nil"/>
              <w:right w:val="single" w:sz="4" w:space="0" w:color="auto"/>
            </w:tcBorders>
            <w:shd w:val="clear" w:color="FFFFFF" w:fill="FFFFFF"/>
            <w:vAlign w:val="bottom"/>
            <w:hideMark/>
          </w:tcPr>
          <w:p w:rsidR="007E1E1E" w:rsidRDefault="007E1E1E" w:rsidP="00B50E5D">
            <w:pPr>
              <w:rPr>
                <w:rFonts w:cs="Calibri"/>
                <w:b/>
                <w:bCs/>
                <w:color w:val="000000"/>
                <w:sz w:val="16"/>
                <w:szCs w:val="16"/>
              </w:rPr>
            </w:pPr>
            <w:r>
              <w:rPr>
                <w:rFonts w:cs="Calibri"/>
                <w:b/>
                <w:bCs/>
                <w:color w:val="000000"/>
                <w:sz w:val="16"/>
                <w:szCs w:val="16"/>
              </w:rPr>
              <w:t> </w:t>
            </w:r>
          </w:p>
        </w:tc>
        <w:tc>
          <w:tcPr>
            <w:tcW w:w="2735" w:type="dxa"/>
            <w:gridSpan w:val="2"/>
            <w:tcBorders>
              <w:top w:val="single" w:sz="4" w:space="0" w:color="auto"/>
              <w:left w:val="nil"/>
              <w:bottom w:val="single" w:sz="4" w:space="0" w:color="auto"/>
              <w:right w:val="single" w:sz="4" w:space="0" w:color="000000"/>
            </w:tcBorders>
            <w:shd w:val="clear" w:color="FFFFFF" w:fill="FFFFFF"/>
            <w:vAlign w:val="bottom"/>
            <w:hideMark/>
          </w:tcPr>
          <w:p w:rsidR="007E1E1E" w:rsidRDefault="007E1E1E" w:rsidP="00B50E5D">
            <w:pPr>
              <w:jc w:val="center"/>
              <w:rPr>
                <w:rFonts w:cs="Calibri"/>
                <w:b/>
                <w:bCs/>
                <w:i/>
                <w:iCs/>
                <w:color w:val="000000"/>
                <w:sz w:val="16"/>
                <w:szCs w:val="16"/>
              </w:rPr>
            </w:pPr>
            <w:r>
              <w:rPr>
                <w:rFonts w:cs="Calibri"/>
                <w:b/>
                <w:bCs/>
                <w:i/>
                <w:iCs/>
                <w:color w:val="000000"/>
                <w:sz w:val="16"/>
                <w:szCs w:val="16"/>
              </w:rPr>
              <w:t>Appropriation Act</w:t>
            </w:r>
          </w:p>
        </w:tc>
        <w:tc>
          <w:tcPr>
            <w:tcW w:w="1157"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center"/>
              <w:rPr>
                <w:rFonts w:cs="Calibri"/>
                <w:b/>
                <w:bCs/>
                <w:i/>
                <w:iCs/>
                <w:color w:val="000000"/>
                <w:sz w:val="16"/>
                <w:szCs w:val="16"/>
              </w:rPr>
            </w:pPr>
            <w:proofErr w:type="spellStart"/>
            <w:r>
              <w:rPr>
                <w:rFonts w:cs="Calibri"/>
                <w:b/>
                <w:bCs/>
                <w:i/>
                <w:iCs/>
                <w:color w:val="000000"/>
                <w:sz w:val="16"/>
                <w:szCs w:val="16"/>
              </w:rPr>
              <w:t>FMA</w:t>
            </w:r>
            <w:proofErr w:type="spellEnd"/>
            <w:r>
              <w:rPr>
                <w:rFonts w:cs="Calibri"/>
                <w:b/>
                <w:bCs/>
                <w:i/>
                <w:iCs/>
                <w:color w:val="000000"/>
                <w:sz w:val="16"/>
                <w:szCs w:val="16"/>
              </w:rPr>
              <w:t xml:space="preserve"> Act</w:t>
            </w:r>
          </w:p>
        </w:tc>
        <w:tc>
          <w:tcPr>
            <w:tcW w:w="1367" w:type="dxa"/>
            <w:vMerge w:val="restart"/>
            <w:tcBorders>
              <w:top w:val="nil"/>
              <w:left w:val="single" w:sz="4" w:space="0" w:color="auto"/>
              <w:bottom w:val="nil"/>
              <w:right w:val="single" w:sz="4" w:space="0" w:color="auto"/>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Total Capital Budget Appropriations</w:t>
            </w:r>
          </w:p>
        </w:tc>
        <w:tc>
          <w:tcPr>
            <w:tcW w:w="1367" w:type="dxa"/>
            <w:vMerge w:val="restart"/>
            <w:tcBorders>
              <w:top w:val="nil"/>
              <w:left w:val="single" w:sz="4" w:space="0" w:color="auto"/>
              <w:bottom w:val="nil"/>
              <w:right w:val="single" w:sz="4" w:space="0" w:color="auto"/>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 xml:space="preserve">Payments for non-financial </w:t>
            </w:r>
            <w:proofErr w:type="spellStart"/>
            <w:r>
              <w:rPr>
                <w:rFonts w:cs="Calibri"/>
                <w:b/>
                <w:bCs/>
                <w:sz w:val="16"/>
                <w:szCs w:val="16"/>
              </w:rPr>
              <w:t>assets</w:t>
            </w:r>
            <w:r>
              <w:rPr>
                <w:rFonts w:cs="Calibri"/>
                <w:b/>
                <w:bCs/>
                <w:sz w:val="16"/>
                <w:szCs w:val="16"/>
                <w:vertAlign w:val="superscript"/>
              </w:rPr>
              <w:t>3</w:t>
            </w:r>
            <w:proofErr w:type="spellEnd"/>
          </w:p>
        </w:tc>
        <w:tc>
          <w:tcPr>
            <w:tcW w:w="1158" w:type="dxa"/>
            <w:vMerge w:val="restart"/>
            <w:tcBorders>
              <w:top w:val="nil"/>
              <w:left w:val="single" w:sz="4" w:space="0" w:color="auto"/>
              <w:bottom w:val="nil"/>
              <w:right w:val="single" w:sz="4" w:space="0" w:color="auto"/>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Payments for other purposes</w:t>
            </w:r>
          </w:p>
        </w:tc>
        <w:tc>
          <w:tcPr>
            <w:tcW w:w="1157" w:type="dxa"/>
            <w:vMerge w:val="restart"/>
            <w:tcBorders>
              <w:top w:val="nil"/>
              <w:left w:val="single" w:sz="4" w:space="0" w:color="auto"/>
              <w:bottom w:val="nil"/>
              <w:right w:val="single" w:sz="4" w:space="0" w:color="auto"/>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Total payments</w:t>
            </w:r>
          </w:p>
        </w:tc>
        <w:tc>
          <w:tcPr>
            <w:tcW w:w="1157" w:type="dxa"/>
            <w:vMerge/>
            <w:tcBorders>
              <w:top w:val="single" w:sz="4" w:space="0" w:color="auto"/>
              <w:left w:val="single" w:sz="4" w:space="0" w:color="auto"/>
              <w:bottom w:val="nil"/>
              <w:right w:val="single" w:sz="4" w:space="0" w:color="auto"/>
            </w:tcBorders>
            <w:vAlign w:val="center"/>
            <w:hideMark/>
          </w:tcPr>
          <w:p w:rsidR="007E1E1E" w:rsidRDefault="007E1E1E" w:rsidP="00B50E5D">
            <w:pPr>
              <w:rPr>
                <w:rFonts w:cs="Calibri"/>
                <w:b/>
                <w:bCs/>
                <w:sz w:val="16"/>
                <w:szCs w:val="16"/>
              </w:rPr>
            </w:pPr>
          </w:p>
        </w:tc>
      </w:tr>
      <w:tr w:rsidR="007E1E1E" w:rsidTr="00B50E5D">
        <w:trPr>
          <w:trHeight w:val="915"/>
        </w:trPr>
        <w:tc>
          <w:tcPr>
            <w:tcW w:w="3893" w:type="dxa"/>
            <w:tcBorders>
              <w:top w:val="nil"/>
              <w:left w:val="single" w:sz="4" w:space="0" w:color="auto"/>
              <w:bottom w:val="nil"/>
              <w:right w:val="single" w:sz="4" w:space="0" w:color="auto"/>
            </w:tcBorders>
            <w:shd w:val="clear" w:color="FFFFFF" w:fill="FFFFFF"/>
            <w:vAlign w:val="bottom"/>
            <w:hideMark/>
          </w:tcPr>
          <w:p w:rsidR="007E1E1E" w:rsidRDefault="007E1E1E" w:rsidP="00B50E5D">
            <w:pPr>
              <w:rPr>
                <w:rFonts w:cs="Calibri"/>
                <w:b/>
                <w:bCs/>
                <w:color w:val="000000"/>
                <w:sz w:val="16"/>
                <w:szCs w:val="16"/>
              </w:rPr>
            </w:pPr>
            <w:r>
              <w:rPr>
                <w:rFonts w:cs="Calibri"/>
                <w:b/>
                <w:bCs/>
                <w:color w:val="000000"/>
                <w:sz w:val="16"/>
                <w:szCs w:val="16"/>
              </w:rPr>
              <w:t> </w:t>
            </w:r>
          </w:p>
        </w:tc>
        <w:tc>
          <w:tcPr>
            <w:tcW w:w="1368" w:type="dxa"/>
            <w:tcBorders>
              <w:top w:val="nil"/>
              <w:left w:val="nil"/>
              <w:bottom w:val="nil"/>
              <w:right w:val="nil"/>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Annual Capital Budget</w:t>
            </w:r>
          </w:p>
        </w:tc>
        <w:tc>
          <w:tcPr>
            <w:tcW w:w="1367" w:type="dxa"/>
            <w:tcBorders>
              <w:top w:val="nil"/>
              <w:left w:val="nil"/>
              <w:bottom w:val="nil"/>
              <w:right w:val="single" w:sz="4" w:space="0" w:color="auto"/>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 xml:space="preserve">Appropriations </w:t>
            </w:r>
            <w:proofErr w:type="spellStart"/>
            <w:r>
              <w:rPr>
                <w:rFonts w:cs="Calibri"/>
                <w:b/>
                <w:bCs/>
                <w:sz w:val="16"/>
                <w:szCs w:val="16"/>
              </w:rPr>
              <w:t>reduced</w:t>
            </w:r>
            <w:r>
              <w:rPr>
                <w:rFonts w:cs="Calibri"/>
                <w:b/>
                <w:bCs/>
                <w:sz w:val="16"/>
                <w:szCs w:val="16"/>
                <w:vertAlign w:val="superscript"/>
              </w:rPr>
              <w:t>2</w:t>
            </w:r>
            <w:proofErr w:type="spellEnd"/>
          </w:p>
        </w:tc>
        <w:tc>
          <w:tcPr>
            <w:tcW w:w="1157" w:type="dxa"/>
            <w:tcBorders>
              <w:top w:val="nil"/>
              <w:left w:val="nil"/>
              <w:bottom w:val="nil"/>
              <w:right w:val="single" w:sz="4" w:space="0" w:color="auto"/>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Section 32</w:t>
            </w:r>
          </w:p>
        </w:tc>
        <w:tc>
          <w:tcPr>
            <w:tcW w:w="1367" w:type="dxa"/>
            <w:vMerge/>
            <w:tcBorders>
              <w:top w:val="nil"/>
              <w:left w:val="single" w:sz="4" w:space="0" w:color="auto"/>
              <w:bottom w:val="nil"/>
              <w:right w:val="single" w:sz="4" w:space="0" w:color="auto"/>
            </w:tcBorders>
            <w:vAlign w:val="center"/>
            <w:hideMark/>
          </w:tcPr>
          <w:p w:rsidR="007E1E1E" w:rsidRDefault="007E1E1E" w:rsidP="00B50E5D">
            <w:pPr>
              <w:rPr>
                <w:rFonts w:cs="Calibri"/>
                <w:b/>
                <w:bCs/>
                <w:sz w:val="16"/>
                <w:szCs w:val="16"/>
              </w:rPr>
            </w:pPr>
          </w:p>
        </w:tc>
        <w:tc>
          <w:tcPr>
            <w:tcW w:w="1367" w:type="dxa"/>
            <w:vMerge/>
            <w:tcBorders>
              <w:top w:val="nil"/>
              <w:left w:val="single" w:sz="4" w:space="0" w:color="auto"/>
              <w:bottom w:val="nil"/>
              <w:right w:val="single" w:sz="4" w:space="0" w:color="auto"/>
            </w:tcBorders>
            <w:vAlign w:val="center"/>
            <w:hideMark/>
          </w:tcPr>
          <w:p w:rsidR="007E1E1E" w:rsidRDefault="007E1E1E" w:rsidP="00B50E5D">
            <w:pPr>
              <w:rPr>
                <w:rFonts w:cs="Calibri"/>
                <w:b/>
                <w:bCs/>
                <w:sz w:val="16"/>
                <w:szCs w:val="16"/>
              </w:rPr>
            </w:pPr>
          </w:p>
        </w:tc>
        <w:tc>
          <w:tcPr>
            <w:tcW w:w="1158" w:type="dxa"/>
            <w:vMerge/>
            <w:tcBorders>
              <w:top w:val="nil"/>
              <w:left w:val="single" w:sz="4" w:space="0" w:color="auto"/>
              <w:bottom w:val="nil"/>
              <w:right w:val="single" w:sz="4" w:space="0" w:color="auto"/>
            </w:tcBorders>
            <w:vAlign w:val="center"/>
            <w:hideMark/>
          </w:tcPr>
          <w:p w:rsidR="007E1E1E" w:rsidRDefault="007E1E1E" w:rsidP="00B50E5D">
            <w:pPr>
              <w:rPr>
                <w:rFonts w:cs="Calibri"/>
                <w:b/>
                <w:bCs/>
                <w:sz w:val="16"/>
                <w:szCs w:val="16"/>
              </w:rPr>
            </w:pPr>
          </w:p>
        </w:tc>
        <w:tc>
          <w:tcPr>
            <w:tcW w:w="1157" w:type="dxa"/>
            <w:vMerge/>
            <w:tcBorders>
              <w:top w:val="nil"/>
              <w:left w:val="single" w:sz="4" w:space="0" w:color="auto"/>
              <w:bottom w:val="nil"/>
              <w:right w:val="single" w:sz="4" w:space="0" w:color="auto"/>
            </w:tcBorders>
            <w:vAlign w:val="center"/>
            <w:hideMark/>
          </w:tcPr>
          <w:p w:rsidR="007E1E1E" w:rsidRDefault="007E1E1E" w:rsidP="00B50E5D">
            <w:pPr>
              <w:rPr>
                <w:rFonts w:cs="Calibri"/>
                <w:b/>
                <w:bCs/>
                <w:sz w:val="16"/>
                <w:szCs w:val="16"/>
              </w:rPr>
            </w:pPr>
          </w:p>
        </w:tc>
        <w:tc>
          <w:tcPr>
            <w:tcW w:w="1157" w:type="dxa"/>
            <w:vMerge/>
            <w:tcBorders>
              <w:top w:val="single" w:sz="4" w:space="0" w:color="auto"/>
              <w:left w:val="single" w:sz="4" w:space="0" w:color="auto"/>
              <w:bottom w:val="nil"/>
              <w:right w:val="single" w:sz="4" w:space="0" w:color="auto"/>
            </w:tcBorders>
            <w:vAlign w:val="center"/>
            <w:hideMark/>
          </w:tcPr>
          <w:p w:rsidR="007E1E1E" w:rsidRDefault="007E1E1E" w:rsidP="00B50E5D">
            <w:pPr>
              <w:rPr>
                <w:rFonts w:cs="Calibri"/>
                <w:b/>
                <w:bCs/>
                <w:sz w:val="16"/>
                <w:szCs w:val="16"/>
              </w:rPr>
            </w:pPr>
          </w:p>
        </w:tc>
      </w:tr>
      <w:tr w:rsidR="007E1E1E" w:rsidTr="00B50E5D">
        <w:trPr>
          <w:trHeight w:val="255"/>
        </w:trPr>
        <w:tc>
          <w:tcPr>
            <w:tcW w:w="3893" w:type="dxa"/>
            <w:tcBorders>
              <w:top w:val="nil"/>
              <w:left w:val="single" w:sz="4" w:space="0" w:color="auto"/>
              <w:bottom w:val="single" w:sz="4" w:space="0" w:color="auto"/>
              <w:right w:val="single" w:sz="4" w:space="0" w:color="auto"/>
            </w:tcBorders>
            <w:shd w:val="clear" w:color="FFFFFF" w:fill="FFFFFF"/>
            <w:vAlign w:val="bottom"/>
            <w:hideMark/>
          </w:tcPr>
          <w:p w:rsidR="007E1E1E" w:rsidRDefault="007E1E1E" w:rsidP="00B50E5D">
            <w:pPr>
              <w:rPr>
                <w:rFonts w:cs="Calibri"/>
                <w:b/>
                <w:bCs/>
                <w:color w:val="000000"/>
                <w:sz w:val="16"/>
                <w:szCs w:val="16"/>
              </w:rPr>
            </w:pPr>
            <w:r>
              <w:rPr>
                <w:rFonts w:cs="Calibri"/>
                <w:b/>
                <w:bCs/>
                <w:color w:val="000000"/>
                <w:sz w:val="16"/>
                <w:szCs w:val="16"/>
              </w:rPr>
              <w:t> </w:t>
            </w:r>
          </w:p>
        </w:tc>
        <w:tc>
          <w:tcPr>
            <w:tcW w:w="1368"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$'000</w:t>
            </w:r>
          </w:p>
        </w:tc>
        <w:tc>
          <w:tcPr>
            <w:tcW w:w="1367"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$'000</w:t>
            </w:r>
          </w:p>
        </w:tc>
        <w:tc>
          <w:tcPr>
            <w:tcW w:w="1157"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$'000</w:t>
            </w:r>
          </w:p>
        </w:tc>
        <w:tc>
          <w:tcPr>
            <w:tcW w:w="1367"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$'001</w:t>
            </w:r>
          </w:p>
        </w:tc>
        <w:tc>
          <w:tcPr>
            <w:tcW w:w="1367"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$'000</w:t>
            </w:r>
          </w:p>
        </w:tc>
        <w:tc>
          <w:tcPr>
            <w:tcW w:w="1158"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$'000</w:t>
            </w:r>
          </w:p>
        </w:tc>
        <w:tc>
          <w:tcPr>
            <w:tcW w:w="1157"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$'000</w:t>
            </w:r>
          </w:p>
        </w:tc>
        <w:tc>
          <w:tcPr>
            <w:tcW w:w="1157"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 w:val="16"/>
                <w:szCs w:val="16"/>
              </w:rPr>
            </w:pPr>
            <w:r>
              <w:rPr>
                <w:rFonts w:cs="Calibri"/>
                <w:b/>
                <w:bCs/>
                <w:sz w:val="16"/>
                <w:szCs w:val="16"/>
              </w:rPr>
              <w:t>$'000</w:t>
            </w:r>
          </w:p>
        </w:tc>
      </w:tr>
      <w:tr w:rsidR="007E1E1E" w:rsidTr="00B50E5D">
        <w:trPr>
          <w:trHeight w:val="255"/>
        </w:trPr>
        <w:tc>
          <w:tcPr>
            <w:tcW w:w="3893" w:type="dxa"/>
            <w:tcBorders>
              <w:top w:val="nil"/>
              <w:left w:val="single" w:sz="4" w:space="0" w:color="auto"/>
              <w:bottom w:val="nil"/>
              <w:right w:val="single" w:sz="4" w:space="0" w:color="auto"/>
            </w:tcBorders>
            <w:shd w:val="clear" w:color="FFFFFF" w:fill="FFFFFF"/>
            <w:vAlign w:val="bottom"/>
            <w:hideMark/>
          </w:tcPr>
          <w:p w:rsidR="007E1E1E" w:rsidRDefault="007E1E1E" w:rsidP="00B50E5D">
            <w:pPr>
              <w:rPr>
                <w:rFonts w:cs="Calibri"/>
                <w:b/>
                <w:bCs/>
                <w:color w:val="000000"/>
                <w:sz w:val="16"/>
                <w:szCs w:val="16"/>
              </w:rPr>
            </w:pPr>
            <w:r>
              <w:rPr>
                <w:rFonts w:cs="Calibri"/>
                <w:b/>
                <w:bCs/>
                <w:color w:val="000000"/>
                <w:sz w:val="16"/>
                <w:szCs w:val="16"/>
              </w:rPr>
              <w:t>DEPARTMENTAL</w:t>
            </w:r>
          </w:p>
        </w:tc>
        <w:tc>
          <w:tcPr>
            <w:tcW w:w="1368" w:type="dxa"/>
            <w:tcBorders>
              <w:top w:val="nil"/>
              <w:left w:val="nil"/>
              <w:bottom w:val="nil"/>
              <w:right w:val="nil"/>
            </w:tcBorders>
            <w:shd w:val="clear" w:color="FFFFFF" w:fill="FFFFFF"/>
            <w:vAlign w:val="bottom"/>
            <w:hideMark/>
          </w:tcPr>
          <w:p w:rsidR="007E1E1E" w:rsidRDefault="007E1E1E" w:rsidP="00B50E5D">
            <w:pPr>
              <w:rPr>
                <w:rFonts w:cs="Calibri"/>
                <w:sz w:val="16"/>
                <w:szCs w:val="16"/>
              </w:rPr>
            </w:pPr>
            <w:r>
              <w:rPr>
                <w:rFonts w:cs="Calibri"/>
                <w:sz w:val="16"/>
                <w:szCs w:val="16"/>
              </w:rPr>
              <w:t> </w:t>
            </w:r>
          </w:p>
        </w:tc>
        <w:tc>
          <w:tcPr>
            <w:tcW w:w="1367" w:type="dxa"/>
            <w:tcBorders>
              <w:top w:val="nil"/>
              <w:left w:val="nil"/>
              <w:bottom w:val="nil"/>
              <w:right w:val="single" w:sz="4" w:space="0" w:color="auto"/>
            </w:tcBorders>
            <w:shd w:val="clear" w:color="FFFFFF" w:fill="FFFFFF"/>
            <w:vAlign w:val="bottom"/>
            <w:hideMark/>
          </w:tcPr>
          <w:p w:rsidR="007E1E1E" w:rsidRDefault="007E1E1E" w:rsidP="00B50E5D">
            <w:pPr>
              <w:rPr>
                <w:rFonts w:cs="Calibri"/>
                <w:sz w:val="16"/>
                <w:szCs w:val="16"/>
              </w:rPr>
            </w:pPr>
            <w:r>
              <w:rPr>
                <w:rFonts w:cs="Calibri"/>
                <w:sz w:val="16"/>
                <w:szCs w:val="16"/>
              </w:rPr>
              <w:t> </w:t>
            </w:r>
          </w:p>
        </w:tc>
        <w:tc>
          <w:tcPr>
            <w:tcW w:w="1157" w:type="dxa"/>
            <w:tcBorders>
              <w:top w:val="nil"/>
              <w:left w:val="nil"/>
              <w:bottom w:val="nil"/>
              <w:right w:val="single" w:sz="4" w:space="0" w:color="auto"/>
            </w:tcBorders>
            <w:shd w:val="clear" w:color="FFFFFF" w:fill="FFFFFF"/>
            <w:vAlign w:val="bottom"/>
            <w:hideMark/>
          </w:tcPr>
          <w:p w:rsidR="007E1E1E" w:rsidRDefault="007E1E1E" w:rsidP="00B50E5D">
            <w:pPr>
              <w:rPr>
                <w:rFonts w:cs="Calibri"/>
                <w:sz w:val="16"/>
                <w:szCs w:val="16"/>
              </w:rPr>
            </w:pPr>
            <w:r>
              <w:rPr>
                <w:rFonts w:cs="Calibri"/>
                <w:sz w:val="16"/>
                <w:szCs w:val="16"/>
              </w:rPr>
              <w:t> </w:t>
            </w:r>
          </w:p>
        </w:tc>
        <w:tc>
          <w:tcPr>
            <w:tcW w:w="1367" w:type="dxa"/>
            <w:tcBorders>
              <w:top w:val="nil"/>
              <w:left w:val="nil"/>
              <w:bottom w:val="nil"/>
              <w:right w:val="single" w:sz="4" w:space="0" w:color="auto"/>
            </w:tcBorders>
            <w:shd w:val="clear" w:color="FFFFFF" w:fill="FFFFFF"/>
            <w:vAlign w:val="bottom"/>
            <w:hideMark/>
          </w:tcPr>
          <w:p w:rsidR="007E1E1E" w:rsidRDefault="007E1E1E" w:rsidP="00B50E5D">
            <w:pPr>
              <w:rPr>
                <w:rFonts w:cs="Calibri"/>
                <w:sz w:val="16"/>
                <w:szCs w:val="16"/>
              </w:rPr>
            </w:pPr>
            <w:r>
              <w:rPr>
                <w:rFonts w:cs="Calibri"/>
                <w:sz w:val="16"/>
                <w:szCs w:val="16"/>
              </w:rPr>
              <w:t> </w:t>
            </w:r>
          </w:p>
        </w:tc>
        <w:tc>
          <w:tcPr>
            <w:tcW w:w="1367" w:type="dxa"/>
            <w:tcBorders>
              <w:top w:val="nil"/>
              <w:left w:val="nil"/>
              <w:bottom w:val="nil"/>
              <w:right w:val="single" w:sz="4" w:space="0" w:color="auto"/>
            </w:tcBorders>
            <w:shd w:val="clear" w:color="FFFFFF" w:fill="FFFFFF"/>
            <w:vAlign w:val="bottom"/>
            <w:hideMark/>
          </w:tcPr>
          <w:p w:rsidR="007E1E1E" w:rsidRDefault="007E1E1E" w:rsidP="00B50E5D">
            <w:pPr>
              <w:rPr>
                <w:rFonts w:cs="Calibri"/>
                <w:sz w:val="16"/>
                <w:szCs w:val="16"/>
              </w:rPr>
            </w:pPr>
            <w:r>
              <w:rPr>
                <w:rFonts w:cs="Calibri"/>
                <w:sz w:val="16"/>
                <w:szCs w:val="16"/>
              </w:rPr>
              <w:t> </w:t>
            </w:r>
          </w:p>
        </w:tc>
        <w:tc>
          <w:tcPr>
            <w:tcW w:w="1158" w:type="dxa"/>
            <w:tcBorders>
              <w:top w:val="nil"/>
              <w:left w:val="nil"/>
              <w:bottom w:val="nil"/>
              <w:right w:val="single" w:sz="4" w:space="0" w:color="auto"/>
            </w:tcBorders>
            <w:shd w:val="clear" w:color="FFFFFF" w:fill="FFFFFF"/>
            <w:vAlign w:val="bottom"/>
            <w:hideMark/>
          </w:tcPr>
          <w:p w:rsidR="007E1E1E" w:rsidRDefault="007E1E1E" w:rsidP="00B50E5D">
            <w:pPr>
              <w:rPr>
                <w:rFonts w:cs="Calibri"/>
                <w:sz w:val="16"/>
                <w:szCs w:val="16"/>
              </w:rPr>
            </w:pPr>
            <w:r>
              <w:rPr>
                <w:rFonts w:cs="Calibri"/>
                <w:sz w:val="16"/>
                <w:szCs w:val="16"/>
              </w:rPr>
              <w:t> </w:t>
            </w:r>
          </w:p>
        </w:tc>
        <w:tc>
          <w:tcPr>
            <w:tcW w:w="1157" w:type="dxa"/>
            <w:tcBorders>
              <w:top w:val="nil"/>
              <w:left w:val="nil"/>
              <w:bottom w:val="nil"/>
              <w:right w:val="single" w:sz="4" w:space="0" w:color="auto"/>
            </w:tcBorders>
            <w:shd w:val="clear" w:color="FFFFFF" w:fill="FFFFFF"/>
            <w:vAlign w:val="bottom"/>
            <w:hideMark/>
          </w:tcPr>
          <w:p w:rsidR="007E1E1E" w:rsidRDefault="007E1E1E" w:rsidP="00B50E5D">
            <w:pPr>
              <w:rPr>
                <w:rFonts w:cs="Calibri"/>
                <w:sz w:val="16"/>
                <w:szCs w:val="16"/>
              </w:rPr>
            </w:pPr>
            <w:r>
              <w:rPr>
                <w:rFonts w:cs="Calibri"/>
                <w:sz w:val="16"/>
                <w:szCs w:val="16"/>
              </w:rPr>
              <w:t> </w:t>
            </w:r>
          </w:p>
        </w:tc>
        <w:tc>
          <w:tcPr>
            <w:tcW w:w="1157" w:type="dxa"/>
            <w:tcBorders>
              <w:top w:val="nil"/>
              <w:left w:val="nil"/>
              <w:bottom w:val="nil"/>
              <w:right w:val="single" w:sz="4" w:space="0" w:color="auto"/>
            </w:tcBorders>
            <w:shd w:val="clear" w:color="FFFFFF" w:fill="FFFFFF"/>
            <w:vAlign w:val="bottom"/>
            <w:hideMark/>
          </w:tcPr>
          <w:p w:rsidR="007E1E1E" w:rsidRDefault="007E1E1E" w:rsidP="00B50E5D">
            <w:pPr>
              <w:rPr>
                <w:rFonts w:cs="Calibri"/>
                <w:sz w:val="16"/>
                <w:szCs w:val="16"/>
              </w:rPr>
            </w:pPr>
            <w:r>
              <w:rPr>
                <w:rFonts w:cs="Calibri"/>
                <w:sz w:val="16"/>
                <w:szCs w:val="16"/>
              </w:rPr>
              <w:t> </w:t>
            </w:r>
          </w:p>
        </w:tc>
      </w:tr>
      <w:tr w:rsidR="007E1E1E" w:rsidTr="00B50E5D">
        <w:trPr>
          <w:trHeight w:val="255"/>
        </w:trPr>
        <w:tc>
          <w:tcPr>
            <w:tcW w:w="3893" w:type="dxa"/>
            <w:tcBorders>
              <w:top w:val="nil"/>
              <w:left w:val="single" w:sz="4" w:space="0" w:color="auto"/>
              <w:bottom w:val="nil"/>
              <w:right w:val="single" w:sz="4" w:space="0" w:color="auto"/>
            </w:tcBorders>
            <w:shd w:val="clear" w:color="FFFFFF" w:fill="FFFFFF"/>
            <w:vAlign w:val="bottom"/>
            <w:hideMark/>
          </w:tcPr>
          <w:p w:rsidR="007E1E1E" w:rsidRDefault="007E1E1E" w:rsidP="00B50E5D">
            <w:pPr>
              <w:ind w:firstLineChars="100" w:firstLine="161"/>
              <w:rPr>
                <w:rFonts w:cs="Calibri"/>
                <w:b/>
                <w:bCs/>
                <w:color w:val="000000"/>
                <w:sz w:val="16"/>
                <w:szCs w:val="16"/>
              </w:rPr>
            </w:pPr>
            <w:r>
              <w:rPr>
                <w:rFonts w:cs="Calibri"/>
                <w:b/>
                <w:bCs/>
                <w:color w:val="000000"/>
                <w:sz w:val="16"/>
                <w:szCs w:val="16"/>
              </w:rPr>
              <w:t>Ordinary annual services</w:t>
            </w:r>
          </w:p>
        </w:tc>
        <w:tc>
          <w:tcPr>
            <w:tcW w:w="1368"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w:t>
            </w:r>
          </w:p>
        </w:tc>
        <w:tc>
          <w:tcPr>
            <w:tcW w:w="1367" w:type="dxa"/>
            <w:tcBorders>
              <w:top w:val="nil"/>
              <w:left w:val="nil"/>
              <w:bottom w:val="nil"/>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w:t>
            </w:r>
          </w:p>
        </w:tc>
        <w:tc>
          <w:tcPr>
            <w:tcW w:w="1157" w:type="dxa"/>
            <w:tcBorders>
              <w:top w:val="nil"/>
              <w:left w:val="nil"/>
              <w:bottom w:val="nil"/>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w:t>
            </w:r>
          </w:p>
        </w:tc>
        <w:tc>
          <w:tcPr>
            <w:tcW w:w="1367" w:type="dxa"/>
            <w:tcBorders>
              <w:top w:val="nil"/>
              <w:left w:val="nil"/>
              <w:bottom w:val="nil"/>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w:t>
            </w:r>
          </w:p>
        </w:tc>
        <w:tc>
          <w:tcPr>
            <w:tcW w:w="1367" w:type="dxa"/>
            <w:tcBorders>
              <w:top w:val="nil"/>
              <w:left w:val="nil"/>
              <w:bottom w:val="nil"/>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w:t>
            </w:r>
          </w:p>
        </w:tc>
        <w:tc>
          <w:tcPr>
            <w:tcW w:w="1158" w:type="dxa"/>
            <w:tcBorders>
              <w:top w:val="nil"/>
              <w:left w:val="nil"/>
              <w:bottom w:val="nil"/>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w:t>
            </w:r>
          </w:p>
        </w:tc>
        <w:tc>
          <w:tcPr>
            <w:tcW w:w="1157" w:type="dxa"/>
            <w:tcBorders>
              <w:top w:val="nil"/>
              <w:left w:val="nil"/>
              <w:bottom w:val="nil"/>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w:t>
            </w:r>
          </w:p>
        </w:tc>
        <w:tc>
          <w:tcPr>
            <w:tcW w:w="1157" w:type="dxa"/>
            <w:tcBorders>
              <w:top w:val="nil"/>
              <w:left w:val="nil"/>
              <w:bottom w:val="nil"/>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w:t>
            </w:r>
          </w:p>
        </w:tc>
      </w:tr>
      <w:tr w:rsidR="007E1E1E" w:rsidTr="00B50E5D">
        <w:trPr>
          <w:trHeight w:val="255"/>
        </w:trPr>
        <w:tc>
          <w:tcPr>
            <w:tcW w:w="3893" w:type="dxa"/>
            <w:tcBorders>
              <w:top w:val="nil"/>
              <w:left w:val="single" w:sz="4" w:space="0" w:color="auto"/>
              <w:bottom w:val="single" w:sz="4" w:space="0" w:color="auto"/>
              <w:right w:val="single" w:sz="4" w:space="0" w:color="auto"/>
            </w:tcBorders>
            <w:shd w:val="clear" w:color="FFFFFF" w:fill="FFFFFF"/>
            <w:vAlign w:val="bottom"/>
            <w:hideMark/>
          </w:tcPr>
          <w:p w:rsidR="007E1E1E" w:rsidRDefault="007E1E1E" w:rsidP="00B50E5D">
            <w:pPr>
              <w:ind w:firstLineChars="200" w:firstLine="320"/>
              <w:rPr>
                <w:rFonts w:cs="Calibri"/>
                <w:color w:val="000000"/>
                <w:sz w:val="16"/>
                <w:szCs w:val="16"/>
              </w:rPr>
            </w:pPr>
            <w:r>
              <w:rPr>
                <w:rFonts w:cs="Calibri"/>
                <w:color w:val="000000"/>
                <w:sz w:val="16"/>
                <w:szCs w:val="16"/>
              </w:rPr>
              <w:t xml:space="preserve">Capital </w:t>
            </w:r>
            <w:proofErr w:type="spellStart"/>
            <w:r>
              <w:rPr>
                <w:rFonts w:cs="Calibri"/>
                <w:color w:val="000000"/>
                <w:sz w:val="16"/>
                <w:szCs w:val="16"/>
              </w:rPr>
              <w:t>Budget</w:t>
            </w:r>
            <w:r>
              <w:rPr>
                <w:rFonts w:cs="Calibri"/>
                <w:color w:val="000000"/>
                <w:sz w:val="16"/>
                <w:szCs w:val="16"/>
                <w:vertAlign w:val="superscript"/>
              </w:rPr>
              <w:t>1</w:t>
            </w:r>
            <w:proofErr w:type="spellEnd"/>
          </w:p>
        </w:tc>
        <w:tc>
          <w:tcPr>
            <w:tcW w:w="1368"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c>
          <w:tcPr>
            <w:tcW w:w="1367"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c>
          <w:tcPr>
            <w:tcW w:w="1157"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20,164 </w:t>
            </w:r>
          </w:p>
        </w:tc>
        <w:tc>
          <w:tcPr>
            <w:tcW w:w="1367"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20,164 </w:t>
            </w:r>
          </w:p>
        </w:tc>
        <w:tc>
          <w:tcPr>
            <w:tcW w:w="1367"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16,226 </w:t>
            </w:r>
          </w:p>
        </w:tc>
        <w:tc>
          <w:tcPr>
            <w:tcW w:w="1158"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 -</w:t>
            </w:r>
          </w:p>
        </w:tc>
        <w:tc>
          <w:tcPr>
            <w:tcW w:w="1157"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16,226 </w:t>
            </w:r>
          </w:p>
        </w:tc>
        <w:tc>
          <w:tcPr>
            <w:tcW w:w="1157"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3,938 </w:t>
            </w:r>
          </w:p>
        </w:tc>
      </w:tr>
    </w:tbl>
    <w:p w:rsidR="007E1E1E" w:rsidRDefault="007E1E1E" w:rsidP="007E1E1E">
      <w:bookmarkStart w:id="412" w:name="RANGE!D7:L19"/>
      <w:bookmarkEnd w:id="412"/>
    </w:p>
    <w:p w:rsidR="007E1E1E" w:rsidRDefault="007E1E1E" w:rsidP="007E1E1E">
      <w:pPr>
        <w:pStyle w:val="AdminBlankGreyShade"/>
      </w:pPr>
      <w:r>
        <w:t>Notes:</w:t>
      </w:r>
    </w:p>
    <w:p w:rsidR="007E1E1E" w:rsidRDefault="007E1E1E" w:rsidP="007E1E1E">
      <w:pPr>
        <w:pStyle w:val="AdminBlankGreyShade"/>
      </w:pPr>
      <w:r w:rsidRPr="007E6ECE">
        <w:rPr>
          <w:vertAlign w:val="superscript"/>
        </w:rPr>
        <w:t>1</w:t>
      </w:r>
      <w:r>
        <w:t xml:space="preserve"> Departmental and Administered Capital Budgets are appropriated through Appropriation Acts (</w:t>
      </w:r>
      <w:proofErr w:type="spellStart"/>
      <w:r>
        <w:t>No.1</w:t>
      </w:r>
      <w:proofErr w:type="spellEnd"/>
      <w:r>
        <w:t>, 3 &amp; 5). They form part of ordinary annual services and are not separately identified in the Appropriation Acts. For more information on ordinary annual services appropriation, please see Table A: Annual appropriations.</w:t>
      </w:r>
    </w:p>
    <w:p w:rsidR="007E1E1E" w:rsidRDefault="007E1E1E" w:rsidP="007E1E1E">
      <w:pPr>
        <w:pStyle w:val="AdminBlankGreyShade"/>
      </w:pPr>
      <w:r w:rsidRPr="007E6ECE">
        <w:rPr>
          <w:vertAlign w:val="superscript"/>
        </w:rPr>
        <w:t>2</w:t>
      </w:r>
      <w:r>
        <w:t xml:space="preserve"> Appropriations reduced under Appropriation Acts (No. 1, 3 &amp; 5) 2013–14: sections 10, 11, 12 and 15 or via a determination by the Finance Minister.</w:t>
      </w:r>
    </w:p>
    <w:p w:rsidR="007E1E1E" w:rsidRDefault="007E1E1E" w:rsidP="007E1E1E">
      <w:pPr>
        <w:pStyle w:val="AdminBlankGreyShade"/>
      </w:pPr>
      <w:r w:rsidRPr="007E6ECE">
        <w:rPr>
          <w:vertAlign w:val="superscript"/>
        </w:rPr>
        <w:t>3</w:t>
      </w:r>
      <w:r>
        <w:t xml:space="preserve"> Payments made on non–financial assets include purchase of assets, expenditure on assets which has been capitalised, costs incurred to make good an asset to its original condition, and the capital repayment component of finance leases. </w:t>
      </w:r>
    </w:p>
    <w:p w:rsidR="007E1E1E" w:rsidRDefault="007E1E1E" w:rsidP="007E1E1E">
      <w:pPr>
        <w:pStyle w:val="AdminBlankGreyShade"/>
      </w:pPr>
    </w:p>
    <w:p w:rsidR="007E1E1E" w:rsidRDefault="007E1E1E" w:rsidP="007E1E1E">
      <w:pPr>
        <w:spacing w:line="240" w:lineRule="auto"/>
      </w:pPr>
      <w:r>
        <w:br w:type="page"/>
      </w:r>
    </w:p>
    <w:p w:rsidR="007E1E1E" w:rsidRDefault="007E1E1E" w:rsidP="007E1E1E">
      <w:pPr>
        <w:spacing w:line="240" w:lineRule="auto"/>
        <w:sectPr w:rsidR="007E1E1E">
          <w:pgSz w:w="16838" w:h="11906" w:orient="landscape"/>
          <w:pgMar w:top="1134" w:right="1134" w:bottom="1134" w:left="1134" w:header="958" w:footer="737" w:gutter="0"/>
          <w:cols w:space="720"/>
        </w:sectPr>
      </w:pPr>
      <w:bookmarkStart w:id="413" w:name="RANGE!D26:L37"/>
      <w:bookmarkStart w:id="414" w:name="RANGE!D24:L33"/>
      <w:bookmarkStart w:id="415" w:name="RANGE!D24:L34"/>
      <w:bookmarkEnd w:id="413"/>
      <w:bookmarkEnd w:id="414"/>
      <w:bookmarkEnd w:id="415"/>
    </w:p>
    <w:p w:rsidR="007E1E1E" w:rsidRDefault="007E1E1E" w:rsidP="007E1E1E"/>
    <w:tbl>
      <w:tblPr>
        <w:tblW w:w="9087" w:type="dxa"/>
        <w:tblInd w:w="80" w:type="dxa"/>
        <w:tblLayout w:type="fixed"/>
        <w:tblLook w:val="04A0" w:firstRow="1" w:lastRow="0" w:firstColumn="1" w:lastColumn="0" w:noHBand="0" w:noVBand="1"/>
      </w:tblPr>
      <w:tblGrid>
        <w:gridCol w:w="7633"/>
        <w:gridCol w:w="1454"/>
      </w:tblGrid>
      <w:tr w:rsidR="007E1E1E" w:rsidTr="00B50E5D">
        <w:trPr>
          <w:trHeight w:val="255"/>
        </w:trPr>
        <w:tc>
          <w:tcPr>
            <w:tcW w:w="7852" w:type="dxa"/>
            <w:gridSpan w:val="2"/>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416" w:name="RANGE!D7:D32"/>
            <w:bookmarkStart w:id="417" w:name="Note_DUATABLE1" w:colFirst="0" w:colLast="0"/>
            <w:r>
              <w:rPr>
                <w:rFonts w:cs="Calibri"/>
                <w:b/>
                <w:bCs/>
                <w:szCs w:val="18"/>
                <w:u w:val="single"/>
              </w:rPr>
              <w:t xml:space="preserve">Note </w:t>
            </w:r>
            <w:proofErr w:type="spellStart"/>
            <w:r>
              <w:rPr>
                <w:rFonts w:cs="Calibri"/>
                <w:b/>
                <w:bCs/>
                <w:szCs w:val="18"/>
                <w:u w:val="single"/>
              </w:rPr>
              <w:t>29C</w:t>
            </w:r>
            <w:proofErr w:type="spellEnd"/>
            <w:r>
              <w:rPr>
                <w:rFonts w:cs="Calibri"/>
                <w:b/>
                <w:bCs/>
                <w:szCs w:val="18"/>
                <w:u w:val="single"/>
              </w:rPr>
              <w:t>: Unspent Annual Appropriations ('Recoverable GST exclusive')</w:t>
            </w:r>
            <w:bookmarkEnd w:id="416"/>
          </w:p>
        </w:tc>
      </w:tr>
      <w:bookmarkEnd w:id="417"/>
      <w:tr w:rsidR="007E1E1E" w:rsidTr="00B50E5D">
        <w:trPr>
          <w:trHeight w:val="255"/>
        </w:trPr>
        <w:tc>
          <w:tcPr>
            <w:tcW w:w="659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255"/>
        </w:trPr>
        <w:tc>
          <w:tcPr>
            <w:tcW w:w="6596" w:type="dxa"/>
            <w:vMerge w:val="restart"/>
            <w:tcBorders>
              <w:top w:val="single" w:sz="4" w:space="0" w:color="auto"/>
              <w:left w:val="nil"/>
              <w:bottom w:val="single" w:sz="4" w:space="0" w:color="000000"/>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256" w:type="dxa"/>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2014</w:t>
            </w:r>
          </w:p>
        </w:tc>
      </w:tr>
      <w:tr w:rsidR="007E1E1E" w:rsidTr="00B50E5D">
        <w:trPr>
          <w:trHeight w:val="255"/>
        </w:trPr>
        <w:tc>
          <w:tcPr>
            <w:tcW w:w="6596" w:type="dxa"/>
            <w:vMerge/>
            <w:tcBorders>
              <w:top w:val="single" w:sz="4" w:space="0" w:color="auto"/>
              <w:left w:val="nil"/>
              <w:bottom w:val="single" w:sz="4" w:space="0" w:color="000000"/>
              <w:right w:val="nil"/>
            </w:tcBorders>
            <w:vAlign w:val="center"/>
            <w:hideMark/>
          </w:tcPr>
          <w:p w:rsidR="007E1E1E" w:rsidRDefault="007E1E1E" w:rsidP="00B50E5D">
            <w:pPr>
              <w:rPr>
                <w:rFonts w:cs="Calibri"/>
                <w:b/>
                <w:bCs/>
                <w:szCs w:val="18"/>
              </w:rPr>
            </w:pPr>
          </w:p>
        </w:tc>
        <w:tc>
          <w:tcPr>
            <w:tcW w:w="1256" w:type="dxa"/>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6596" w:type="dxa"/>
            <w:vMerge w:val="restart"/>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Departmental</w:t>
            </w:r>
          </w:p>
        </w:tc>
        <w:tc>
          <w:tcPr>
            <w:tcW w:w="125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596" w:type="dxa"/>
            <w:vMerge/>
            <w:tcBorders>
              <w:top w:val="nil"/>
              <w:left w:val="nil"/>
              <w:bottom w:val="nil"/>
              <w:right w:val="nil"/>
            </w:tcBorders>
            <w:vAlign w:val="center"/>
            <w:hideMark/>
          </w:tcPr>
          <w:p w:rsidR="007E1E1E" w:rsidRDefault="007E1E1E" w:rsidP="00B50E5D">
            <w:pPr>
              <w:rPr>
                <w:rFonts w:cs="Calibri"/>
                <w:b/>
                <w:bCs/>
                <w:szCs w:val="18"/>
              </w:rPr>
            </w:pPr>
          </w:p>
        </w:tc>
        <w:tc>
          <w:tcPr>
            <w:tcW w:w="125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59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Appropriation Act (No. 1) 2013-14</w:t>
            </w:r>
          </w:p>
        </w:tc>
        <w:tc>
          <w:tcPr>
            <w:tcW w:w="125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27,935 </w:t>
            </w:r>
          </w:p>
        </w:tc>
      </w:tr>
      <w:tr w:rsidR="007E1E1E" w:rsidTr="00B50E5D">
        <w:trPr>
          <w:trHeight w:val="270"/>
        </w:trPr>
        <w:tc>
          <w:tcPr>
            <w:tcW w:w="659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departmental</w:t>
            </w:r>
          </w:p>
        </w:tc>
        <w:tc>
          <w:tcPr>
            <w:tcW w:w="125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27,935</w:t>
            </w:r>
          </w:p>
        </w:tc>
      </w:tr>
      <w:tr w:rsidR="007E1E1E" w:rsidTr="00B50E5D">
        <w:trPr>
          <w:trHeight w:val="270"/>
        </w:trPr>
        <w:tc>
          <w:tcPr>
            <w:tcW w:w="6596" w:type="dxa"/>
            <w:vMerge w:val="restart"/>
            <w:tcBorders>
              <w:top w:val="nil"/>
              <w:left w:val="nil"/>
              <w:bottom w:val="nil"/>
              <w:right w:val="nil"/>
            </w:tcBorders>
            <w:shd w:val="clear" w:color="000000" w:fill="D9D9D9"/>
            <w:vAlign w:val="bottom"/>
            <w:hideMark/>
          </w:tcPr>
          <w:p w:rsidR="007E1E1E" w:rsidRDefault="007E1E1E" w:rsidP="00B50E5D">
            <w:pPr>
              <w:rPr>
                <w:rFonts w:cs="Calibri"/>
                <w:b/>
                <w:bCs/>
                <w:szCs w:val="18"/>
              </w:rPr>
            </w:pPr>
            <w:r>
              <w:rPr>
                <w:rFonts w:cs="Calibri"/>
                <w:b/>
                <w:bCs/>
                <w:szCs w:val="18"/>
              </w:rPr>
              <w:t>Administered</w:t>
            </w:r>
          </w:p>
        </w:tc>
        <w:tc>
          <w:tcPr>
            <w:tcW w:w="1256"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596" w:type="dxa"/>
            <w:vMerge/>
            <w:tcBorders>
              <w:top w:val="nil"/>
              <w:left w:val="nil"/>
              <w:bottom w:val="nil"/>
              <w:right w:val="nil"/>
            </w:tcBorders>
            <w:vAlign w:val="center"/>
            <w:hideMark/>
          </w:tcPr>
          <w:p w:rsidR="007E1E1E" w:rsidRDefault="007E1E1E" w:rsidP="00B50E5D">
            <w:pPr>
              <w:rPr>
                <w:rFonts w:cs="Calibri"/>
                <w:b/>
                <w:bCs/>
                <w:szCs w:val="18"/>
              </w:rPr>
            </w:pPr>
          </w:p>
        </w:tc>
        <w:tc>
          <w:tcPr>
            <w:tcW w:w="1256"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6596"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Appropriation Act (</w:t>
            </w:r>
            <w:proofErr w:type="spellStart"/>
            <w:r>
              <w:rPr>
                <w:rFonts w:cs="Calibri"/>
                <w:szCs w:val="18"/>
              </w:rPr>
              <w:t>No.1</w:t>
            </w:r>
            <w:proofErr w:type="spellEnd"/>
            <w:r>
              <w:rPr>
                <w:rFonts w:cs="Calibri"/>
                <w:szCs w:val="18"/>
              </w:rPr>
              <w:t>) 2013-14</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28,216 </w:t>
            </w:r>
          </w:p>
        </w:tc>
      </w:tr>
      <w:tr w:rsidR="007E1E1E" w:rsidTr="00B50E5D">
        <w:trPr>
          <w:trHeight w:val="255"/>
        </w:trPr>
        <w:tc>
          <w:tcPr>
            <w:tcW w:w="6596"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Appropriation Act (</w:t>
            </w:r>
            <w:proofErr w:type="spellStart"/>
            <w:r>
              <w:rPr>
                <w:rFonts w:cs="Calibri"/>
                <w:szCs w:val="18"/>
              </w:rPr>
              <w:t>No.3</w:t>
            </w:r>
            <w:proofErr w:type="spellEnd"/>
            <w:r>
              <w:rPr>
                <w:rFonts w:cs="Calibri"/>
                <w:szCs w:val="18"/>
              </w:rPr>
              <w:t>) 2013-14</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125,302 </w:t>
            </w:r>
          </w:p>
        </w:tc>
      </w:tr>
      <w:tr w:rsidR="007E1E1E" w:rsidTr="00B50E5D">
        <w:trPr>
          <w:trHeight w:val="255"/>
        </w:trPr>
        <w:tc>
          <w:tcPr>
            <w:tcW w:w="6596"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Appropriation Act (No. 2) 2013-14</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2,538 </w:t>
            </w:r>
          </w:p>
        </w:tc>
      </w:tr>
      <w:tr w:rsidR="007E1E1E" w:rsidTr="00B50E5D">
        <w:trPr>
          <w:trHeight w:val="255"/>
        </w:trPr>
        <w:tc>
          <w:tcPr>
            <w:tcW w:w="6596" w:type="dxa"/>
            <w:tcBorders>
              <w:top w:val="nil"/>
              <w:left w:val="nil"/>
              <w:bottom w:val="nil"/>
              <w:right w:val="nil"/>
            </w:tcBorders>
            <w:shd w:val="clear" w:color="000000" w:fill="D9D9D9"/>
            <w:vAlign w:val="bottom"/>
            <w:hideMark/>
          </w:tcPr>
          <w:p w:rsidR="007E1E1E" w:rsidRDefault="007E1E1E" w:rsidP="00B50E5D">
            <w:pPr>
              <w:rPr>
                <w:rFonts w:cs="Calibri"/>
                <w:szCs w:val="18"/>
              </w:rPr>
            </w:pPr>
            <w:r>
              <w:rPr>
                <w:rFonts w:cs="Calibri"/>
                <w:szCs w:val="18"/>
              </w:rPr>
              <w:t>Appropriation Act (No. 4) 2013-14</w:t>
            </w:r>
          </w:p>
        </w:tc>
        <w:tc>
          <w:tcPr>
            <w:tcW w:w="125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 xml:space="preserve">2,897 </w:t>
            </w:r>
          </w:p>
        </w:tc>
      </w:tr>
      <w:tr w:rsidR="007E1E1E" w:rsidTr="00B50E5D">
        <w:trPr>
          <w:trHeight w:val="270"/>
        </w:trPr>
        <w:tc>
          <w:tcPr>
            <w:tcW w:w="6596" w:type="dxa"/>
            <w:tcBorders>
              <w:top w:val="nil"/>
              <w:left w:val="nil"/>
              <w:bottom w:val="single" w:sz="12" w:space="0" w:color="D9D9D9"/>
              <w:right w:val="nil"/>
            </w:tcBorders>
            <w:shd w:val="clear" w:color="000000" w:fill="D9D9D9"/>
            <w:vAlign w:val="bottom"/>
            <w:hideMark/>
          </w:tcPr>
          <w:p w:rsidR="007E1E1E" w:rsidRDefault="007E1E1E" w:rsidP="00B50E5D">
            <w:pPr>
              <w:rPr>
                <w:rFonts w:cs="Calibri"/>
                <w:b/>
                <w:bCs/>
                <w:i/>
                <w:iCs/>
                <w:szCs w:val="18"/>
              </w:rPr>
            </w:pPr>
            <w:r>
              <w:rPr>
                <w:rFonts w:cs="Calibri"/>
                <w:b/>
                <w:bCs/>
                <w:i/>
                <w:iCs/>
                <w:szCs w:val="18"/>
              </w:rPr>
              <w:t>Total administered</w:t>
            </w:r>
          </w:p>
        </w:tc>
        <w:tc>
          <w:tcPr>
            <w:tcW w:w="1256" w:type="dxa"/>
            <w:tcBorders>
              <w:top w:val="single" w:sz="4" w:space="0" w:color="auto"/>
              <w:left w:val="nil"/>
              <w:bottom w:val="double" w:sz="6" w:space="0" w:color="auto"/>
              <w:right w:val="nil"/>
            </w:tcBorders>
            <w:shd w:val="clear" w:color="000000" w:fill="D9D9D9"/>
            <w:noWrap/>
            <w:vAlign w:val="bottom"/>
            <w:hideMark/>
          </w:tcPr>
          <w:p w:rsidR="007E1E1E" w:rsidRDefault="007E1E1E" w:rsidP="00B50E5D">
            <w:pPr>
              <w:jc w:val="right"/>
              <w:rPr>
                <w:rFonts w:cs="Calibri"/>
                <w:b/>
                <w:bCs/>
                <w:sz w:val="16"/>
                <w:szCs w:val="16"/>
              </w:rPr>
            </w:pPr>
            <w:r>
              <w:rPr>
                <w:rFonts w:cs="Calibri"/>
                <w:b/>
                <w:bCs/>
                <w:sz w:val="16"/>
                <w:szCs w:val="16"/>
              </w:rPr>
              <w:t>158,953</w:t>
            </w:r>
          </w:p>
        </w:tc>
      </w:tr>
    </w:tbl>
    <w:p w:rsidR="007E1E1E" w:rsidRDefault="007E1E1E" w:rsidP="007E1E1E">
      <w:pPr>
        <w:spacing w:line="240" w:lineRule="auto"/>
        <w:rPr>
          <w:i/>
        </w:rPr>
        <w:sectPr w:rsidR="007E1E1E">
          <w:pgSz w:w="11906" w:h="16838"/>
          <w:pgMar w:top="1134" w:right="1134" w:bottom="1134" w:left="1134" w:header="958" w:footer="737" w:gutter="0"/>
          <w:cols w:space="720"/>
        </w:sectPr>
      </w:pPr>
      <w:bookmarkStart w:id="418" w:name="RANGE!D7:F32"/>
      <w:bookmarkStart w:id="419" w:name="RANGE!D7:F31"/>
      <w:bookmarkStart w:id="420" w:name="RANGE!D7:F29"/>
      <w:bookmarkStart w:id="421" w:name="RANGE!D7:F34"/>
      <w:bookmarkStart w:id="422" w:name="RANGE!D7:F30"/>
      <w:bookmarkStart w:id="423" w:name="RANGE!D6:F15"/>
      <w:bookmarkStart w:id="424" w:name="RANGE!D6:F16"/>
      <w:bookmarkStart w:id="425" w:name="RANGE!D6:I16"/>
      <w:bookmarkStart w:id="426" w:name="RANGE!D20:F31"/>
      <w:bookmarkStart w:id="427" w:name="RANGE!D20:F27"/>
      <w:bookmarkEnd w:id="418"/>
      <w:bookmarkEnd w:id="419"/>
      <w:bookmarkEnd w:id="420"/>
      <w:bookmarkEnd w:id="421"/>
      <w:bookmarkEnd w:id="422"/>
      <w:bookmarkEnd w:id="423"/>
      <w:bookmarkEnd w:id="424"/>
      <w:bookmarkEnd w:id="425"/>
      <w:bookmarkEnd w:id="426"/>
      <w:bookmarkEnd w:id="427"/>
    </w:p>
    <w:tbl>
      <w:tblPr>
        <w:tblW w:w="13991" w:type="dxa"/>
        <w:tblInd w:w="80" w:type="dxa"/>
        <w:tblLayout w:type="fixed"/>
        <w:tblLook w:val="04A0" w:firstRow="1" w:lastRow="0" w:firstColumn="1" w:lastColumn="0" w:noHBand="0" w:noVBand="1"/>
      </w:tblPr>
      <w:tblGrid>
        <w:gridCol w:w="5520"/>
        <w:gridCol w:w="1956"/>
        <w:gridCol w:w="5097"/>
        <w:gridCol w:w="1418"/>
      </w:tblGrid>
      <w:tr w:rsidR="007E1E1E" w:rsidTr="00B50E5D">
        <w:trPr>
          <w:trHeight w:val="255"/>
        </w:trPr>
        <w:tc>
          <w:tcPr>
            <w:tcW w:w="12561" w:type="dxa"/>
            <w:gridSpan w:val="4"/>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428" w:name="Note_DSATABLE1" w:colFirst="0" w:colLast="0"/>
            <w:r>
              <w:rPr>
                <w:rFonts w:cs="Calibri"/>
                <w:b/>
                <w:bCs/>
                <w:szCs w:val="18"/>
                <w:u w:val="single"/>
              </w:rPr>
              <w:lastRenderedPageBreak/>
              <w:t xml:space="preserve">Note </w:t>
            </w:r>
            <w:proofErr w:type="spellStart"/>
            <w:r>
              <w:rPr>
                <w:rFonts w:cs="Calibri"/>
                <w:b/>
                <w:bCs/>
                <w:szCs w:val="18"/>
                <w:u w:val="single"/>
              </w:rPr>
              <w:t>29D</w:t>
            </w:r>
            <w:proofErr w:type="spellEnd"/>
            <w:r>
              <w:rPr>
                <w:rFonts w:cs="Calibri"/>
                <w:b/>
                <w:bCs/>
                <w:szCs w:val="18"/>
                <w:u w:val="single"/>
              </w:rPr>
              <w:t>: Special Appropriations ('Recoverable GST exclusive')</w:t>
            </w:r>
          </w:p>
        </w:tc>
      </w:tr>
      <w:bookmarkEnd w:id="428"/>
      <w:tr w:rsidR="007E1E1E" w:rsidTr="00B50E5D">
        <w:trPr>
          <w:trHeight w:val="255"/>
        </w:trPr>
        <w:tc>
          <w:tcPr>
            <w:tcW w:w="49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7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457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c>
          <w:tcPr>
            <w:tcW w:w="1273"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r>
              <w:rPr>
                <w:rFonts w:ascii="Arial" w:hAnsi="Arial" w:cs="Arial"/>
                <w:szCs w:val="18"/>
              </w:rPr>
              <w:t> </w:t>
            </w:r>
          </w:p>
        </w:tc>
      </w:tr>
      <w:tr w:rsidR="007E1E1E" w:rsidTr="00B50E5D">
        <w:trPr>
          <w:trHeight w:val="525"/>
        </w:trPr>
        <w:tc>
          <w:tcPr>
            <w:tcW w:w="4956" w:type="dxa"/>
            <w:vMerge w:val="restart"/>
            <w:tcBorders>
              <w:top w:val="single" w:sz="4" w:space="0" w:color="auto"/>
              <w:left w:val="single" w:sz="4" w:space="0" w:color="auto"/>
              <w:bottom w:val="single" w:sz="4" w:space="0" w:color="auto"/>
              <w:right w:val="single" w:sz="4" w:space="0" w:color="auto"/>
            </w:tcBorders>
            <w:shd w:val="clear" w:color="FFFFFF" w:fill="FFFFFF"/>
            <w:vAlign w:val="bottom"/>
            <w:hideMark/>
          </w:tcPr>
          <w:p w:rsidR="007E1E1E" w:rsidRDefault="007E1E1E" w:rsidP="00B50E5D">
            <w:pPr>
              <w:rPr>
                <w:rFonts w:cs="Calibri"/>
                <w:b/>
                <w:bCs/>
                <w:szCs w:val="18"/>
              </w:rPr>
            </w:pPr>
            <w:r>
              <w:rPr>
                <w:rFonts w:cs="Calibri"/>
                <w:b/>
                <w:bCs/>
                <w:szCs w:val="18"/>
              </w:rPr>
              <w:t>Authority</w:t>
            </w:r>
          </w:p>
        </w:tc>
        <w:tc>
          <w:tcPr>
            <w:tcW w:w="1756" w:type="dxa"/>
            <w:vMerge w:val="restart"/>
            <w:tcBorders>
              <w:top w:val="single" w:sz="4" w:space="0" w:color="auto"/>
              <w:left w:val="single" w:sz="4" w:space="0" w:color="auto"/>
              <w:bottom w:val="single" w:sz="4" w:space="0" w:color="auto"/>
              <w:right w:val="single" w:sz="4" w:space="0" w:color="auto"/>
            </w:tcBorders>
            <w:shd w:val="clear" w:color="FFFFFF" w:fill="FFFFFF"/>
            <w:vAlign w:val="bottom"/>
            <w:hideMark/>
          </w:tcPr>
          <w:p w:rsidR="007E1E1E" w:rsidRDefault="007E1E1E" w:rsidP="00B50E5D">
            <w:pPr>
              <w:rPr>
                <w:rFonts w:cs="Calibri"/>
                <w:b/>
                <w:bCs/>
                <w:szCs w:val="18"/>
              </w:rPr>
            </w:pPr>
            <w:r>
              <w:rPr>
                <w:rFonts w:cs="Calibri"/>
                <w:b/>
                <w:bCs/>
                <w:szCs w:val="18"/>
              </w:rPr>
              <w:t>Type</w:t>
            </w:r>
          </w:p>
        </w:tc>
        <w:tc>
          <w:tcPr>
            <w:tcW w:w="4576" w:type="dxa"/>
            <w:vMerge w:val="restart"/>
            <w:tcBorders>
              <w:top w:val="single" w:sz="4" w:space="0" w:color="auto"/>
              <w:left w:val="single" w:sz="4" w:space="0" w:color="auto"/>
              <w:bottom w:val="single" w:sz="4" w:space="0" w:color="auto"/>
              <w:right w:val="single" w:sz="4" w:space="0" w:color="auto"/>
            </w:tcBorders>
            <w:shd w:val="clear" w:color="FFFFFF" w:fill="FFFFFF"/>
            <w:vAlign w:val="bottom"/>
            <w:hideMark/>
          </w:tcPr>
          <w:p w:rsidR="007E1E1E" w:rsidRDefault="007E1E1E" w:rsidP="00B50E5D">
            <w:pPr>
              <w:rPr>
                <w:rFonts w:cs="Calibri"/>
                <w:b/>
                <w:bCs/>
                <w:szCs w:val="18"/>
              </w:rPr>
            </w:pPr>
            <w:r>
              <w:rPr>
                <w:rFonts w:cs="Calibri"/>
                <w:b/>
                <w:bCs/>
                <w:szCs w:val="18"/>
              </w:rPr>
              <w:t>Purpose</w:t>
            </w:r>
          </w:p>
        </w:tc>
        <w:tc>
          <w:tcPr>
            <w:tcW w:w="1273" w:type="dxa"/>
            <w:tcBorders>
              <w:top w:val="single" w:sz="4" w:space="0" w:color="auto"/>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Cs w:val="18"/>
              </w:rPr>
            </w:pPr>
            <w:r>
              <w:rPr>
                <w:rFonts w:cs="Calibri"/>
                <w:b/>
                <w:bCs/>
                <w:szCs w:val="18"/>
              </w:rPr>
              <w:t>Appropriation applied</w:t>
            </w:r>
          </w:p>
        </w:tc>
      </w:tr>
      <w:tr w:rsidR="007E1E1E" w:rsidTr="00B50E5D">
        <w:trPr>
          <w:trHeight w:val="255"/>
        </w:trPr>
        <w:tc>
          <w:tcPr>
            <w:tcW w:w="4956" w:type="dxa"/>
            <w:vMerge/>
            <w:tcBorders>
              <w:top w:val="single" w:sz="4" w:space="0" w:color="auto"/>
              <w:left w:val="single" w:sz="4" w:space="0" w:color="auto"/>
              <w:bottom w:val="single" w:sz="4" w:space="0" w:color="auto"/>
              <w:right w:val="single" w:sz="4" w:space="0" w:color="auto"/>
            </w:tcBorders>
            <w:vAlign w:val="center"/>
            <w:hideMark/>
          </w:tcPr>
          <w:p w:rsidR="007E1E1E" w:rsidRDefault="007E1E1E" w:rsidP="00B50E5D">
            <w:pPr>
              <w:rPr>
                <w:rFonts w:cs="Calibri"/>
                <w:b/>
                <w:bCs/>
                <w:szCs w:val="18"/>
              </w:rPr>
            </w:pPr>
          </w:p>
        </w:tc>
        <w:tc>
          <w:tcPr>
            <w:tcW w:w="1756" w:type="dxa"/>
            <w:vMerge/>
            <w:tcBorders>
              <w:top w:val="single" w:sz="4" w:space="0" w:color="auto"/>
              <w:left w:val="single" w:sz="4" w:space="0" w:color="auto"/>
              <w:bottom w:val="single" w:sz="4" w:space="0" w:color="auto"/>
              <w:right w:val="single" w:sz="4" w:space="0" w:color="auto"/>
            </w:tcBorders>
            <w:vAlign w:val="center"/>
            <w:hideMark/>
          </w:tcPr>
          <w:p w:rsidR="007E1E1E" w:rsidRDefault="007E1E1E" w:rsidP="00B50E5D">
            <w:pPr>
              <w:rPr>
                <w:rFonts w:cs="Calibri"/>
                <w:b/>
                <w:bCs/>
                <w:szCs w:val="18"/>
              </w:rPr>
            </w:pPr>
          </w:p>
        </w:tc>
        <w:tc>
          <w:tcPr>
            <w:tcW w:w="4576" w:type="dxa"/>
            <w:vMerge/>
            <w:tcBorders>
              <w:top w:val="single" w:sz="4" w:space="0" w:color="auto"/>
              <w:left w:val="single" w:sz="4" w:space="0" w:color="auto"/>
              <w:bottom w:val="single" w:sz="4" w:space="0" w:color="auto"/>
              <w:right w:val="single" w:sz="4" w:space="0" w:color="auto"/>
            </w:tcBorders>
            <w:vAlign w:val="center"/>
            <w:hideMark/>
          </w:tcPr>
          <w:p w:rsidR="007E1E1E" w:rsidRDefault="007E1E1E" w:rsidP="00B50E5D">
            <w:pPr>
              <w:rPr>
                <w:rFonts w:cs="Calibri"/>
                <w:b/>
                <w:bCs/>
                <w:szCs w:val="18"/>
              </w:rPr>
            </w:pPr>
          </w:p>
        </w:tc>
        <w:tc>
          <w:tcPr>
            <w:tcW w:w="1273" w:type="dxa"/>
            <w:tcBorders>
              <w:top w:val="nil"/>
              <w:left w:val="nil"/>
              <w:bottom w:val="nil"/>
              <w:right w:val="single" w:sz="4" w:space="0" w:color="auto"/>
            </w:tcBorders>
            <w:shd w:val="clear" w:color="FFFFFF" w:fill="FFFFFF"/>
            <w:vAlign w:val="bottom"/>
            <w:hideMark/>
          </w:tcPr>
          <w:p w:rsidR="007E1E1E" w:rsidRDefault="007E1E1E" w:rsidP="00B50E5D">
            <w:pPr>
              <w:jc w:val="right"/>
              <w:rPr>
                <w:rFonts w:cs="Calibri"/>
                <w:b/>
                <w:bCs/>
                <w:szCs w:val="18"/>
              </w:rPr>
            </w:pPr>
            <w:r>
              <w:rPr>
                <w:rFonts w:cs="Calibri"/>
                <w:b/>
                <w:bCs/>
                <w:szCs w:val="18"/>
              </w:rPr>
              <w:t>2014</w:t>
            </w:r>
          </w:p>
        </w:tc>
      </w:tr>
      <w:tr w:rsidR="007E1E1E" w:rsidTr="00B50E5D">
        <w:trPr>
          <w:trHeight w:val="255"/>
        </w:trPr>
        <w:tc>
          <w:tcPr>
            <w:tcW w:w="4956" w:type="dxa"/>
            <w:vMerge/>
            <w:tcBorders>
              <w:top w:val="single" w:sz="4" w:space="0" w:color="auto"/>
              <w:left w:val="single" w:sz="4" w:space="0" w:color="auto"/>
              <w:bottom w:val="single" w:sz="4" w:space="0" w:color="auto"/>
              <w:right w:val="single" w:sz="4" w:space="0" w:color="auto"/>
            </w:tcBorders>
            <w:vAlign w:val="center"/>
            <w:hideMark/>
          </w:tcPr>
          <w:p w:rsidR="007E1E1E" w:rsidRDefault="007E1E1E" w:rsidP="00B50E5D">
            <w:pPr>
              <w:rPr>
                <w:rFonts w:cs="Calibri"/>
                <w:b/>
                <w:bCs/>
                <w:szCs w:val="18"/>
              </w:rPr>
            </w:pPr>
          </w:p>
        </w:tc>
        <w:tc>
          <w:tcPr>
            <w:tcW w:w="1756" w:type="dxa"/>
            <w:vMerge/>
            <w:tcBorders>
              <w:top w:val="single" w:sz="4" w:space="0" w:color="auto"/>
              <w:left w:val="single" w:sz="4" w:space="0" w:color="auto"/>
              <w:bottom w:val="single" w:sz="4" w:space="0" w:color="auto"/>
              <w:right w:val="single" w:sz="4" w:space="0" w:color="auto"/>
            </w:tcBorders>
            <w:vAlign w:val="center"/>
            <w:hideMark/>
          </w:tcPr>
          <w:p w:rsidR="007E1E1E" w:rsidRDefault="007E1E1E" w:rsidP="00B50E5D">
            <w:pPr>
              <w:rPr>
                <w:rFonts w:cs="Calibri"/>
                <w:b/>
                <w:bCs/>
                <w:szCs w:val="18"/>
              </w:rPr>
            </w:pPr>
          </w:p>
        </w:tc>
        <w:tc>
          <w:tcPr>
            <w:tcW w:w="4576" w:type="dxa"/>
            <w:vMerge/>
            <w:tcBorders>
              <w:top w:val="single" w:sz="4" w:space="0" w:color="auto"/>
              <w:left w:val="single" w:sz="4" w:space="0" w:color="auto"/>
              <w:bottom w:val="single" w:sz="4" w:space="0" w:color="auto"/>
              <w:right w:val="single" w:sz="4" w:space="0" w:color="auto"/>
            </w:tcBorders>
            <w:vAlign w:val="center"/>
            <w:hideMark/>
          </w:tcPr>
          <w:p w:rsidR="007E1E1E" w:rsidRDefault="007E1E1E" w:rsidP="00B50E5D">
            <w:pPr>
              <w:rPr>
                <w:rFonts w:cs="Calibri"/>
                <w:b/>
                <w:bCs/>
                <w:szCs w:val="18"/>
              </w:rPr>
            </w:pPr>
          </w:p>
        </w:tc>
        <w:tc>
          <w:tcPr>
            <w:tcW w:w="1273"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480"/>
        </w:trPr>
        <w:tc>
          <w:tcPr>
            <w:tcW w:w="4956" w:type="dxa"/>
            <w:tcBorders>
              <w:top w:val="nil"/>
              <w:left w:val="single" w:sz="4" w:space="0" w:color="auto"/>
              <w:bottom w:val="single" w:sz="4" w:space="0" w:color="auto"/>
              <w:right w:val="single" w:sz="4" w:space="0" w:color="auto"/>
            </w:tcBorders>
            <w:shd w:val="clear" w:color="FFFFFF" w:fill="FFFFFF"/>
            <w:hideMark/>
          </w:tcPr>
          <w:p w:rsidR="007E1E1E" w:rsidRDefault="007E1E1E" w:rsidP="00B50E5D">
            <w:pPr>
              <w:rPr>
                <w:rFonts w:cs="Calibri"/>
                <w:szCs w:val="18"/>
              </w:rPr>
            </w:pPr>
            <w:r>
              <w:rPr>
                <w:rFonts w:cs="Calibri"/>
                <w:szCs w:val="18"/>
              </w:rPr>
              <w:t>A New Tax System (Family Assistance) (Administration) Act 1999 (Administered)</w:t>
            </w:r>
          </w:p>
        </w:tc>
        <w:tc>
          <w:tcPr>
            <w:tcW w:w="1756" w:type="dxa"/>
            <w:tcBorders>
              <w:top w:val="nil"/>
              <w:left w:val="nil"/>
              <w:bottom w:val="single" w:sz="4" w:space="0" w:color="auto"/>
              <w:right w:val="single" w:sz="4" w:space="0" w:color="auto"/>
            </w:tcBorders>
            <w:shd w:val="clear" w:color="FFFFFF" w:fill="FFFFFF"/>
            <w:hideMark/>
          </w:tcPr>
          <w:p w:rsidR="007E1E1E" w:rsidRDefault="007E1E1E" w:rsidP="00B50E5D">
            <w:pPr>
              <w:rPr>
                <w:rFonts w:cs="Calibri"/>
                <w:szCs w:val="18"/>
              </w:rPr>
            </w:pPr>
            <w:r>
              <w:rPr>
                <w:rFonts w:cs="Calibri"/>
                <w:szCs w:val="18"/>
              </w:rPr>
              <w:t>Unlimited Amount</w:t>
            </w:r>
          </w:p>
        </w:tc>
        <w:tc>
          <w:tcPr>
            <w:tcW w:w="4576" w:type="dxa"/>
            <w:tcBorders>
              <w:top w:val="nil"/>
              <w:left w:val="nil"/>
              <w:bottom w:val="single" w:sz="4" w:space="0" w:color="auto"/>
              <w:right w:val="single" w:sz="4" w:space="0" w:color="auto"/>
            </w:tcBorders>
            <w:shd w:val="clear" w:color="FFFFFF" w:fill="FFFFFF"/>
            <w:hideMark/>
          </w:tcPr>
          <w:p w:rsidR="007E1E1E" w:rsidRDefault="007E1E1E" w:rsidP="00B50E5D">
            <w:pPr>
              <w:rPr>
                <w:rFonts w:cs="Calibri"/>
                <w:szCs w:val="18"/>
              </w:rPr>
            </w:pPr>
            <w:r>
              <w:rPr>
                <w:rFonts w:cs="Calibri"/>
                <w:szCs w:val="18"/>
              </w:rPr>
              <w:t>An Act to enable the payment of family assistance to support families</w:t>
            </w:r>
          </w:p>
        </w:tc>
        <w:tc>
          <w:tcPr>
            <w:tcW w:w="1273"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4,248,003 </w:t>
            </w:r>
          </w:p>
        </w:tc>
      </w:tr>
      <w:tr w:rsidR="007E1E1E" w:rsidTr="00B50E5D">
        <w:trPr>
          <w:trHeight w:val="720"/>
        </w:trPr>
        <w:tc>
          <w:tcPr>
            <w:tcW w:w="4956" w:type="dxa"/>
            <w:tcBorders>
              <w:top w:val="nil"/>
              <w:left w:val="single" w:sz="4" w:space="0" w:color="auto"/>
              <w:bottom w:val="single" w:sz="4" w:space="0" w:color="auto"/>
              <w:right w:val="single" w:sz="4" w:space="0" w:color="auto"/>
            </w:tcBorders>
            <w:shd w:val="clear" w:color="FFFFFF" w:fill="FFFFFF"/>
            <w:hideMark/>
          </w:tcPr>
          <w:p w:rsidR="007E1E1E" w:rsidRDefault="007E1E1E" w:rsidP="00B50E5D">
            <w:pPr>
              <w:rPr>
                <w:rFonts w:cs="Calibri"/>
                <w:szCs w:val="18"/>
              </w:rPr>
            </w:pPr>
            <w:r>
              <w:rPr>
                <w:rFonts w:cs="Calibri"/>
                <w:szCs w:val="18"/>
              </w:rPr>
              <w:t>Australian Education Act 2013 - (Administered)</w:t>
            </w:r>
          </w:p>
        </w:tc>
        <w:tc>
          <w:tcPr>
            <w:tcW w:w="1756" w:type="dxa"/>
            <w:tcBorders>
              <w:top w:val="nil"/>
              <w:left w:val="nil"/>
              <w:bottom w:val="single" w:sz="4" w:space="0" w:color="auto"/>
              <w:right w:val="single" w:sz="4" w:space="0" w:color="auto"/>
            </w:tcBorders>
            <w:shd w:val="clear" w:color="FFFFFF" w:fill="FFFFFF"/>
            <w:hideMark/>
          </w:tcPr>
          <w:p w:rsidR="007E1E1E" w:rsidRDefault="007E1E1E" w:rsidP="00B50E5D">
            <w:pPr>
              <w:rPr>
                <w:rFonts w:cs="Calibri"/>
                <w:szCs w:val="18"/>
              </w:rPr>
            </w:pPr>
            <w:r>
              <w:rPr>
                <w:rFonts w:cs="Calibri"/>
                <w:szCs w:val="18"/>
              </w:rPr>
              <w:t>Unlimited Amount</w:t>
            </w:r>
          </w:p>
        </w:tc>
        <w:tc>
          <w:tcPr>
            <w:tcW w:w="4576" w:type="dxa"/>
            <w:tcBorders>
              <w:top w:val="nil"/>
              <w:left w:val="nil"/>
              <w:bottom w:val="single" w:sz="4" w:space="0" w:color="auto"/>
              <w:right w:val="single" w:sz="4" w:space="0" w:color="auto"/>
            </w:tcBorders>
            <w:shd w:val="clear" w:color="FFFFFF" w:fill="FFFFFF"/>
            <w:hideMark/>
          </w:tcPr>
          <w:p w:rsidR="007E1E1E" w:rsidRDefault="007E1E1E" w:rsidP="00B50E5D">
            <w:pPr>
              <w:rPr>
                <w:rFonts w:cs="Calibri"/>
                <w:szCs w:val="18"/>
              </w:rPr>
            </w:pPr>
            <w:r>
              <w:rPr>
                <w:rFonts w:cs="Calibri"/>
                <w:szCs w:val="18"/>
              </w:rPr>
              <w:t>An Act to grant financial assistance to the states for primary and secondary education and for related purposes</w:t>
            </w:r>
          </w:p>
        </w:tc>
        <w:tc>
          <w:tcPr>
            <w:tcW w:w="1273"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6,724,976 </w:t>
            </w:r>
          </w:p>
        </w:tc>
      </w:tr>
      <w:tr w:rsidR="007E1E1E" w:rsidTr="00B50E5D">
        <w:trPr>
          <w:trHeight w:val="720"/>
        </w:trPr>
        <w:tc>
          <w:tcPr>
            <w:tcW w:w="4956" w:type="dxa"/>
            <w:tcBorders>
              <w:top w:val="nil"/>
              <w:left w:val="single" w:sz="4" w:space="0" w:color="auto"/>
              <w:bottom w:val="single" w:sz="4" w:space="0" w:color="auto"/>
              <w:right w:val="single" w:sz="4" w:space="0" w:color="auto"/>
            </w:tcBorders>
            <w:shd w:val="clear" w:color="FFFFFF" w:fill="FFFFFF"/>
            <w:hideMark/>
          </w:tcPr>
          <w:p w:rsidR="007E1E1E" w:rsidRDefault="007E1E1E" w:rsidP="00B50E5D">
            <w:pPr>
              <w:rPr>
                <w:rFonts w:cs="Calibri"/>
                <w:szCs w:val="18"/>
              </w:rPr>
            </w:pPr>
            <w:r>
              <w:rPr>
                <w:rFonts w:cs="Calibri"/>
                <w:szCs w:val="18"/>
              </w:rPr>
              <w:t>Schools Assistance Act 2008 - Section 167 (Administered)</w:t>
            </w:r>
          </w:p>
        </w:tc>
        <w:tc>
          <w:tcPr>
            <w:tcW w:w="1756" w:type="dxa"/>
            <w:tcBorders>
              <w:top w:val="nil"/>
              <w:left w:val="nil"/>
              <w:bottom w:val="single" w:sz="4" w:space="0" w:color="auto"/>
              <w:right w:val="single" w:sz="4" w:space="0" w:color="auto"/>
            </w:tcBorders>
            <w:shd w:val="clear" w:color="FFFFFF" w:fill="FFFFFF"/>
            <w:hideMark/>
          </w:tcPr>
          <w:p w:rsidR="007E1E1E" w:rsidRDefault="007E1E1E" w:rsidP="00B50E5D">
            <w:pPr>
              <w:rPr>
                <w:rFonts w:cs="Calibri"/>
                <w:szCs w:val="18"/>
              </w:rPr>
            </w:pPr>
            <w:r>
              <w:rPr>
                <w:rFonts w:cs="Calibri"/>
                <w:szCs w:val="18"/>
              </w:rPr>
              <w:t>Unlimited Amount</w:t>
            </w:r>
          </w:p>
        </w:tc>
        <w:tc>
          <w:tcPr>
            <w:tcW w:w="4576" w:type="dxa"/>
            <w:tcBorders>
              <w:top w:val="nil"/>
              <w:left w:val="nil"/>
              <w:bottom w:val="single" w:sz="4" w:space="0" w:color="auto"/>
              <w:right w:val="single" w:sz="4" w:space="0" w:color="auto"/>
            </w:tcBorders>
            <w:shd w:val="clear" w:color="FFFFFF" w:fill="FFFFFF"/>
            <w:hideMark/>
          </w:tcPr>
          <w:p w:rsidR="007E1E1E" w:rsidRDefault="007E1E1E" w:rsidP="00B50E5D">
            <w:pPr>
              <w:rPr>
                <w:rFonts w:cs="Calibri"/>
                <w:szCs w:val="18"/>
              </w:rPr>
            </w:pPr>
            <w:r>
              <w:rPr>
                <w:rFonts w:cs="Calibri"/>
                <w:szCs w:val="18"/>
              </w:rPr>
              <w:t>An Act to grant financial assistance to the states for 2005 to 2008 for primary and secondary education, and for related purposes</w:t>
            </w:r>
          </w:p>
        </w:tc>
        <w:tc>
          <w:tcPr>
            <w:tcW w:w="1273"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 xml:space="preserve">2,401,002 </w:t>
            </w:r>
          </w:p>
        </w:tc>
      </w:tr>
      <w:tr w:rsidR="007E1E1E" w:rsidTr="00B50E5D">
        <w:trPr>
          <w:trHeight w:val="720"/>
        </w:trPr>
        <w:tc>
          <w:tcPr>
            <w:tcW w:w="4956" w:type="dxa"/>
            <w:tcBorders>
              <w:top w:val="nil"/>
              <w:left w:val="single" w:sz="4" w:space="0" w:color="auto"/>
              <w:bottom w:val="single" w:sz="4" w:space="0" w:color="auto"/>
              <w:right w:val="single" w:sz="4" w:space="0" w:color="auto"/>
            </w:tcBorders>
            <w:shd w:val="clear" w:color="FFFFFF" w:fill="FFFFFF"/>
            <w:hideMark/>
          </w:tcPr>
          <w:p w:rsidR="007E1E1E" w:rsidRDefault="007E1E1E" w:rsidP="00B50E5D">
            <w:pPr>
              <w:rPr>
                <w:rFonts w:cs="Calibri"/>
                <w:szCs w:val="18"/>
              </w:rPr>
            </w:pPr>
            <w:r>
              <w:rPr>
                <w:rFonts w:cs="Calibri"/>
                <w:szCs w:val="18"/>
              </w:rPr>
              <w:t>Higher Education Support Act 2003 - Section 164-25 (Administered)</w:t>
            </w:r>
          </w:p>
        </w:tc>
        <w:tc>
          <w:tcPr>
            <w:tcW w:w="1756" w:type="dxa"/>
            <w:tcBorders>
              <w:top w:val="nil"/>
              <w:left w:val="nil"/>
              <w:bottom w:val="single" w:sz="4" w:space="0" w:color="auto"/>
              <w:right w:val="single" w:sz="4" w:space="0" w:color="auto"/>
            </w:tcBorders>
            <w:shd w:val="clear" w:color="FFFFFF" w:fill="FFFFFF"/>
            <w:hideMark/>
          </w:tcPr>
          <w:p w:rsidR="007E1E1E" w:rsidRDefault="007E1E1E" w:rsidP="00B50E5D">
            <w:pPr>
              <w:rPr>
                <w:rFonts w:cs="Calibri"/>
                <w:szCs w:val="18"/>
              </w:rPr>
            </w:pPr>
            <w:r>
              <w:rPr>
                <w:rFonts w:cs="Calibri"/>
                <w:szCs w:val="18"/>
              </w:rPr>
              <w:t>Unlimited Amount</w:t>
            </w:r>
          </w:p>
        </w:tc>
        <w:tc>
          <w:tcPr>
            <w:tcW w:w="4576" w:type="dxa"/>
            <w:tcBorders>
              <w:top w:val="nil"/>
              <w:left w:val="nil"/>
              <w:bottom w:val="single" w:sz="4" w:space="0" w:color="auto"/>
              <w:right w:val="single" w:sz="4" w:space="0" w:color="auto"/>
            </w:tcBorders>
            <w:shd w:val="clear" w:color="FFFFFF" w:fill="FFFFFF"/>
            <w:hideMark/>
          </w:tcPr>
          <w:p w:rsidR="007E1E1E" w:rsidRDefault="007E1E1E" w:rsidP="00B50E5D">
            <w:pPr>
              <w:rPr>
                <w:rFonts w:cs="Calibri"/>
                <w:szCs w:val="18"/>
              </w:rPr>
            </w:pPr>
            <w:r>
              <w:rPr>
                <w:rFonts w:cs="Calibri"/>
                <w:szCs w:val="18"/>
              </w:rPr>
              <w:t>An Act to grant financial assistance to support the higher education system for individuals and universities</w:t>
            </w:r>
          </w:p>
        </w:tc>
        <w:tc>
          <w:tcPr>
            <w:tcW w:w="1273"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rPr>
                <w:rFonts w:cs="Calibri"/>
                <w:b/>
                <w:bCs/>
                <w:sz w:val="16"/>
                <w:szCs w:val="16"/>
              </w:rPr>
            </w:pPr>
            <w:r>
              <w:rPr>
                <w:rFonts w:cs="Calibri"/>
                <w:b/>
                <w:bCs/>
                <w:sz w:val="16"/>
                <w:szCs w:val="16"/>
              </w:rPr>
              <w:t xml:space="preserve">            11,817,312 </w:t>
            </w:r>
          </w:p>
        </w:tc>
      </w:tr>
      <w:tr w:rsidR="007E1E1E" w:rsidTr="00B50E5D">
        <w:trPr>
          <w:trHeight w:val="255"/>
        </w:trPr>
        <w:tc>
          <w:tcPr>
            <w:tcW w:w="4956" w:type="dxa"/>
            <w:tcBorders>
              <w:top w:val="nil"/>
              <w:left w:val="single" w:sz="4" w:space="0" w:color="auto"/>
              <w:bottom w:val="single" w:sz="4" w:space="0" w:color="auto"/>
              <w:right w:val="single" w:sz="4" w:space="0" w:color="auto"/>
            </w:tcBorders>
            <w:shd w:val="clear" w:color="FFFFFF" w:fill="FFFFFF"/>
            <w:vAlign w:val="bottom"/>
            <w:hideMark/>
          </w:tcPr>
          <w:p w:rsidR="007E1E1E" w:rsidRDefault="007E1E1E" w:rsidP="00B50E5D">
            <w:pPr>
              <w:rPr>
                <w:rFonts w:cs="Calibri"/>
                <w:b/>
                <w:bCs/>
                <w:szCs w:val="18"/>
              </w:rPr>
            </w:pPr>
            <w:r>
              <w:rPr>
                <w:rFonts w:cs="Calibri"/>
                <w:b/>
                <w:bCs/>
                <w:szCs w:val="18"/>
              </w:rPr>
              <w:t>Total special appropriations applied</w:t>
            </w:r>
          </w:p>
        </w:tc>
        <w:tc>
          <w:tcPr>
            <w:tcW w:w="175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457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273"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 w:val="16"/>
                <w:szCs w:val="16"/>
              </w:rPr>
            </w:pPr>
            <w:r>
              <w:rPr>
                <w:rFonts w:cs="Calibri"/>
                <w:b/>
                <w:bCs/>
                <w:sz w:val="16"/>
                <w:szCs w:val="16"/>
              </w:rPr>
              <w:t>25,191,293</w:t>
            </w:r>
          </w:p>
        </w:tc>
      </w:tr>
    </w:tbl>
    <w:p w:rsidR="007E1E1E" w:rsidRDefault="007E1E1E" w:rsidP="007E1E1E">
      <w:bookmarkStart w:id="429" w:name="RANGE!D7:H16"/>
      <w:bookmarkStart w:id="430" w:name="RANGE!D7:H21"/>
      <w:bookmarkStart w:id="431" w:name="RANGE!D7:H30"/>
      <w:bookmarkStart w:id="432" w:name="RANGE!D7:H29"/>
      <w:bookmarkStart w:id="433" w:name="RANGE!D7:H24"/>
      <w:bookmarkStart w:id="434" w:name="RANGE!D7:H26"/>
      <w:bookmarkStart w:id="435" w:name="RANGE!D6:H25"/>
      <w:bookmarkStart w:id="436" w:name="RANGE!D6:I15"/>
      <w:bookmarkEnd w:id="429"/>
      <w:bookmarkEnd w:id="430"/>
      <w:bookmarkEnd w:id="431"/>
      <w:bookmarkEnd w:id="432"/>
      <w:bookmarkEnd w:id="433"/>
      <w:bookmarkEnd w:id="434"/>
      <w:bookmarkEnd w:id="435"/>
      <w:bookmarkEnd w:id="436"/>
    </w:p>
    <w:p w:rsidR="007E1E1E" w:rsidRDefault="007E1E1E" w:rsidP="007E1E1E">
      <w:pPr>
        <w:pStyle w:val="AdminBlankGreyShade"/>
      </w:pPr>
    </w:p>
    <w:p w:rsidR="007E1E1E" w:rsidRDefault="007E1E1E" w:rsidP="007E1E1E">
      <w:pPr>
        <w:pStyle w:val="AdminBlankGreyShade"/>
        <w:sectPr w:rsidR="007E1E1E">
          <w:pgSz w:w="16838" w:h="11906" w:orient="landscape"/>
          <w:pgMar w:top="1134" w:right="1134" w:bottom="1134" w:left="1134" w:header="958" w:footer="737" w:gutter="0"/>
          <w:cols w:space="720"/>
        </w:sectPr>
      </w:pPr>
    </w:p>
    <w:tbl>
      <w:tblPr>
        <w:tblW w:w="9087" w:type="dxa"/>
        <w:tblInd w:w="80" w:type="dxa"/>
        <w:tblLayout w:type="fixed"/>
        <w:tblLook w:val="04A0" w:firstRow="1" w:lastRow="0" w:firstColumn="1" w:lastColumn="0" w:noHBand="0" w:noVBand="1"/>
      </w:tblPr>
      <w:tblGrid>
        <w:gridCol w:w="2565"/>
        <w:gridCol w:w="1032"/>
        <w:gridCol w:w="915"/>
        <w:gridCol w:w="915"/>
        <w:gridCol w:w="915"/>
        <w:gridCol w:w="915"/>
        <w:gridCol w:w="915"/>
        <w:gridCol w:w="915"/>
      </w:tblGrid>
      <w:tr w:rsidR="007E1E1E" w:rsidTr="00B50E5D">
        <w:trPr>
          <w:trHeight w:val="255"/>
        </w:trPr>
        <w:tc>
          <w:tcPr>
            <w:tcW w:w="8981" w:type="dxa"/>
            <w:gridSpan w:val="8"/>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437" w:name="RANGE!D8:D19"/>
            <w:bookmarkStart w:id="438" w:name="Note_DACTABLE1" w:colFirst="0" w:colLast="0"/>
            <w:r>
              <w:rPr>
                <w:rFonts w:cs="Calibri"/>
                <w:b/>
                <w:bCs/>
                <w:szCs w:val="18"/>
                <w:u w:val="single"/>
              </w:rPr>
              <w:lastRenderedPageBreak/>
              <w:t xml:space="preserve">Note </w:t>
            </w:r>
            <w:proofErr w:type="spellStart"/>
            <w:r>
              <w:rPr>
                <w:rFonts w:cs="Calibri"/>
                <w:b/>
                <w:bCs/>
                <w:szCs w:val="18"/>
                <w:u w:val="single"/>
              </w:rPr>
              <w:t>29E</w:t>
            </w:r>
            <w:proofErr w:type="spellEnd"/>
            <w:r>
              <w:rPr>
                <w:rFonts w:cs="Calibri"/>
                <w:b/>
                <w:bCs/>
                <w:szCs w:val="18"/>
                <w:u w:val="single"/>
              </w:rPr>
              <w:t>: Disclosure by Agent in Relation to Annual and Special Appropriations ('Recoverable GST exclusive')</w:t>
            </w:r>
            <w:bookmarkEnd w:id="437"/>
          </w:p>
        </w:tc>
      </w:tr>
      <w:bookmarkEnd w:id="438"/>
      <w:tr w:rsidR="007E1E1E" w:rsidTr="00B50E5D">
        <w:trPr>
          <w:trHeight w:val="255"/>
        </w:trPr>
        <w:tc>
          <w:tcPr>
            <w:tcW w:w="253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021"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904"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904"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904"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904"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904"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904"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930"/>
        </w:trPr>
        <w:tc>
          <w:tcPr>
            <w:tcW w:w="2536" w:type="dxa"/>
            <w:tcBorders>
              <w:top w:val="single" w:sz="4" w:space="0" w:color="auto"/>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 </w:t>
            </w:r>
          </w:p>
        </w:tc>
        <w:tc>
          <w:tcPr>
            <w:tcW w:w="1021" w:type="dxa"/>
            <w:tcBorders>
              <w:top w:val="single" w:sz="4" w:space="0" w:color="auto"/>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808" w:type="dxa"/>
            <w:gridSpan w:val="2"/>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Department of Prime Minister and Cabinet</w:t>
            </w:r>
          </w:p>
        </w:tc>
        <w:tc>
          <w:tcPr>
            <w:tcW w:w="1808" w:type="dxa"/>
            <w:gridSpan w:val="2"/>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Department of Foreign Affairs and Trade</w:t>
            </w:r>
          </w:p>
        </w:tc>
        <w:tc>
          <w:tcPr>
            <w:tcW w:w="1808" w:type="dxa"/>
            <w:gridSpan w:val="2"/>
            <w:tcBorders>
              <w:top w:val="single" w:sz="4" w:space="0" w:color="auto"/>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Department of Social Services</w:t>
            </w:r>
          </w:p>
        </w:tc>
      </w:tr>
      <w:tr w:rsidR="007E1E1E" w:rsidTr="00B50E5D">
        <w:trPr>
          <w:trHeight w:val="255"/>
        </w:trPr>
        <w:tc>
          <w:tcPr>
            <w:tcW w:w="2536" w:type="dxa"/>
            <w:tcBorders>
              <w:top w:val="nil"/>
              <w:left w:val="nil"/>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2014</w:t>
            </w:r>
          </w:p>
        </w:tc>
        <w:tc>
          <w:tcPr>
            <w:tcW w:w="1021" w:type="dxa"/>
            <w:tcBorders>
              <w:top w:val="nil"/>
              <w:left w:val="nil"/>
              <w:bottom w:val="single" w:sz="4" w:space="0" w:color="auto"/>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808" w:type="dxa"/>
            <w:gridSpan w:val="2"/>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808" w:type="dxa"/>
            <w:gridSpan w:val="2"/>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808" w:type="dxa"/>
            <w:gridSpan w:val="2"/>
            <w:tcBorders>
              <w:top w:val="nil"/>
              <w:left w:val="nil"/>
              <w:bottom w:val="single" w:sz="4" w:space="0" w:color="auto"/>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253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Total receipts</w:t>
            </w:r>
          </w:p>
        </w:tc>
        <w:tc>
          <w:tcPr>
            <w:tcW w:w="1021"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808" w:type="dxa"/>
            <w:gridSpan w:val="2"/>
            <w:tcBorders>
              <w:top w:val="single" w:sz="4" w:space="0" w:color="auto"/>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92,471 </w:t>
            </w:r>
          </w:p>
        </w:tc>
        <w:tc>
          <w:tcPr>
            <w:tcW w:w="1808" w:type="dxa"/>
            <w:gridSpan w:val="2"/>
            <w:tcBorders>
              <w:top w:val="single" w:sz="4" w:space="0" w:color="auto"/>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3,688 </w:t>
            </w:r>
          </w:p>
        </w:tc>
        <w:tc>
          <w:tcPr>
            <w:tcW w:w="1808" w:type="dxa"/>
            <w:gridSpan w:val="2"/>
            <w:tcBorders>
              <w:top w:val="single" w:sz="4" w:space="0" w:color="auto"/>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300 </w:t>
            </w:r>
          </w:p>
        </w:tc>
      </w:tr>
      <w:tr w:rsidR="007E1E1E" w:rsidTr="00B50E5D">
        <w:trPr>
          <w:trHeight w:val="255"/>
        </w:trPr>
        <w:tc>
          <w:tcPr>
            <w:tcW w:w="2536" w:type="dxa"/>
            <w:tcBorders>
              <w:top w:val="nil"/>
              <w:left w:val="nil"/>
              <w:bottom w:val="single" w:sz="4" w:space="0" w:color="auto"/>
              <w:right w:val="nil"/>
            </w:tcBorders>
            <w:shd w:val="clear" w:color="FFFFFF" w:fill="FFFFFF"/>
            <w:vAlign w:val="bottom"/>
            <w:hideMark/>
          </w:tcPr>
          <w:p w:rsidR="007E1E1E" w:rsidRDefault="007E1E1E" w:rsidP="00B50E5D">
            <w:pPr>
              <w:rPr>
                <w:rFonts w:cs="Calibri"/>
                <w:szCs w:val="18"/>
              </w:rPr>
            </w:pPr>
            <w:r>
              <w:rPr>
                <w:rFonts w:cs="Calibri"/>
                <w:szCs w:val="18"/>
              </w:rPr>
              <w:t>Total payments</w:t>
            </w:r>
          </w:p>
        </w:tc>
        <w:tc>
          <w:tcPr>
            <w:tcW w:w="1021" w:type="dxa"/>
            <w:tcBorders>
              <w:top w:val="nil"/>
              <w:left w:val="nil"/>
              <w:bottom w:val="single" w:sz="4" w:space="0" w:color="auto"/>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808" w:type="dxa"/>
            <w:gridSpan w:val="2"/>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92,471 </w:t>
            </w:r>
          </w:p>
        </w:tc>
        <w:tc>
          <w:tcPr>
            <w:tcW w:w="1808" w:type="dxa"/>
            <w:gridSpan w:val="2"/>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3,688 </w:t>
            </w:r>
          </w:p>
        </w:tc>
        <w:tc>
          <w:tcPr>
            <w:tcW w:w="1808" w:type="dxa"/>
            <w:gridSpan w:val="2"/>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300 </w:t>
            </w:r>
          </w:p>
        </w:tc>
      </w:tr>
    </w:tbl>
    <w:p w:rsidR="007E1E1E" w:rsidRDefault="007E1E1E" w:rsidP="007E1E1E">
      <w:pPr>
        <w:spacing w:line="240" w:lineRule="auto"/>
        <w:sectPr w:rsidR="007E1E1E">
          <w:pgSz w:w="11906" w:h="16838"/>
          <w:pgMar w:top="1134" w:right="1134" w:bottom="1134" w:left="1134" w:header="958" w:footer="737" w:gutter="0"/>
          <w:cols w:space="720"/>
        </w:sectPr>
      </w:pPr>
      <w:bookmarkStart w:id="439" w:name="RANGE!D8:K19"/>
      <w:bookmarkStart w:id="440" w:name="RANGE!D7:K18"/>
      <w:bookmarkStart w:id="441" w:name="RANGE!D25:H32"/>
      <w:bookmarkEnd w:id="439"/>
      <w:bookmarkEnd w:id="440"/>
      <w:bookmarkEnd w:id="441"/>
    </w:p>
    <w:tbl>
      <w:tblPr>
        <w:tblW w:w="13991" w:type="dxa"/>
        <w:tblInd w:w="80" w:type="dxa"/>
        <w:tblLayout w:type="fixed"/>
        <w:tblLook w:val="04A0" w:firstRow="1" w:lastRow="0" w:firstColumn="1" w:lastColumn="0" w:noHBand="0" w:noVBand="1"/>
      </w:tblPr>
      <w:tblGrid>
        <w:gridCol w:w="4827"/>
        <w:gridCol w:w="1876"/>
        <w:gridCol w:w="1822"/>
        <w:gridCol w:w="1822"/>
        <w:gridCol w:w="1822"/>
        <w:gridCol w:w="1822"/>
      </w:tblGrid>
      <w:tr w:rsidR="007E1E1E" w:rsidTr="00B50E5D">
        <w:trPr>
          <w:trHeight w:val="255"/>
        </w:trPr>
        <w:tc>
          <w:tcPr>
            <w:tcW w:w="5433" w:type="dxa"/>
            <w:gridSpan w:val="2"/>
            <w:tcBorders>
              <w:top w:val="nil"/>
              <w:left w:val="nil"/>
              <w:bottom w:val="nil"/>
              <w:right w:val="nil"/>
            </w:tcBorders>
            <w:shd w:val="clear" w:color="auto" w:fill="auto"/>
            <w:noWrap/>
            <w:hideMark/>
          </w:tcPr>
          <w:p w:rsidR="007E1E1E" w:rsidRDefault="007E1E1E" w:rsidP="00B50E5D">
            <w:pPr>
              <w:rPr>
                <w:rFonts w:cs="Calibri"/>
                <w:b/>
                <w:bCs/>
                <w:szCs w:val="18"/>
                <w:u w:val="single"/>
              </w:rPr>
            </w:pPr>
            <w:bookmarkStart w:id="442" w:name="Note_ARATABLE1" w:colFirst="0" w:colLast="0"/>
            <w:r>
              <w:rPr>
                <w:rFonts w:cs="Calibri"/>
                <w:b/>
                <w:bCs/>
                <w:szCs w:val="18"/>
                <w:u w:val="single"/>
              </w:rPr>
              <w:lastRenderedPageBreak/>
              <w:t xml:space="preserve">Note </w:t>
            </w:r>
            <w:proofErr w:type="spellStart"/>
            <w:r>
              <w:rPr>
                <w:rFonts w:cs="Calibri"/>
                <w:b/>
                <w:bCs/>
                <w:szCs w:val="18"/>
                <w:u w:val="single"/>
              </w:rPr>
              <w:t>29F</w:t>
            </w:r>
            <w:proofErr w:type="spellEnd"/>
            <w:r>
              <w:rPr>
                <w:rFonts w:cs="Calibri"/>
                <w:b/>
                <w:bCs/>
                <w:szCs w:val="18"/>
                <w:u w:val="single"/>
              </w:rPr>
              <w:t>: Reduction in Administered Items ('Recoverable GST exclusive')</w:t>
            </w:r>
          </w:p>
        </w:tc>
        <w:tc>
          <w:tcPr>
            <w:tcW w:w="1476" w:type="dxa"/>
            <w:tcBorders>
              <w:top w:val="nil"/>
              <w:left w:val="nil"/>
              <w:bottom w:val="nil"/>
              <w:right w:val="nil"/>
            </w:tcBorders>
            <w:shd w:val="clear" w:color="auto" w:fill="auto"/>
            <w:hideMark/>
          </w:tcPr>
          <w:p w:rsidR="007E1E1E" w:rsidRDefault="007E1E1E" w:rsidP="00B50E5D">
            <w:pPr>
              <w:rPr>
                <w:rFonts w:ascii="Arial" w:hAnsi="Arial" w:cs="Arial"/>
                <w:b/>
                <w:bCs/>
                <w:szCs w:val="18"/>
                <w:u w:val="single"/>
              </w:rPr>
            </w:pPr>
          </w:p>
        </w:tc>
        <w:tc>
          <w:tcPr>
            <w:tcW w:w="1476" w:type="dxa"/>
            <w:tcBorders>
              <w:top w:val="nil"/>
              <w:left w:val="nil"/>
              <w:bottom w:val="nil"/>
              <w:right w:val="nil"/>
            </w:tcBorders>
            <w:shd w:val="clear" w:color="auto" w:fill="auto"/>
            <w:hideMark/>
          </w:tcPr>
          <w:p w:rsidR="007E1E1E" w:rsidRDefault="007E1E1E" w:rsidP="00B50E5D">
            <w:pPr>
              <w:rPr>
                <w:rFonts w:ascii="Arial" w:hAnsi="Arial" w:cs="Arial"/>
                <w:b/>
                <w:bCs/>
                <w:szCs w:val="18"/>
                <w:u w:val="single"/>
              </w:rPr>
            </w:pPr>
          </w:p>
        </w:tc>
        <w:tc>
          <w:tcPr>
            <w:tcW w:w="1476" w:type="dxa"/>
            <w:tcBorders>
              <w:top w:val="nil"/>
              <w:left w:val="nil"/>
              <w:bottom w:val="nil"/>
              <w:right w:val="nil"/>
            </w:tcBorders>
            <w:shd w:val="clear" w:color="auto" w:fill="auto"/>
            <w:hideMark/>
          </w:tcPr>
          <w:p w:rsidR="007E1E1E" w:rsidRDefault="007E1E1E" w:rsidP="00B50E5D">
            <w:pPr>
              <w:rPr>
                <w:rFonts w:ascii="Arial" w:hAnsi="Arial" w:cs="Arial"/>
                <w:b/>
                <w:bCs/>
                <w:szCs w:val="18"/>
                <w:u w:val="single"/>
              </w:rPr>
            </w:pPr>
          </w:p>
        </w:tc>
        <w:tc>
          <w:tcPr>
            <w:tcW w:w="1476" w:type="dxa"/>
            <w:tcBorders>
              <w:top w:val="nil"/>
              <w:left w:val="nil"/>
              <w:bottom w:val="nil"/>
              <w:right w:val="nil"/>
            </w:tcBorders>
            <w:shd w:val="clear" w:color="auto" w:fill="auto"/>
            <w:hideMark/>
          </w:tcPr>
          <w:p w:rsidR="007E1E1E" w:rsidRDefault="007E1E1E" w:rsidP="00B50E5D">
            <w:pPr>
              <w:rPr>
                <w:rFonts w:ascii="Arial" w:hAnsi="Arial" w:cs="Arial"/>
                <w:b/>
                <w:bCs/>
                <w:szCs w:val="18"/>
                <w:u w:val="single"/>
              </w:rPr>
            </w:pPr>
          </w:p>
        </w:tc>
      </w:tr>
      <w:bookmarkEnd w:id="442"/>
      <w:tr w:rsidR="007E1E1E" w:rsidTr="00B50E5D">
        <w:trPr>
          <w:trHeight w:val="255"/>
        </w:trPr>
        <w:tc>
          <w:tcPr>
            <w:tcW w:w="3912" w:type="dxa"/>
            <w:tcBorders>
              <w:top w:val="nil"/>
              <w:left w:val="nil"/>
              <w:bottom w:val="nil"/>
              <w:right w:val="nil"/>
            </w:tcBorders>
            <w:shd w:val="clear" w:color="auto" w:fill="auto"/>
            <w:noWrap/>
            <w:vAlign w:val="bottom"/>
            <w:hideMark/>
          </w:tcPr>
          <w:p w:rsidR="007E1E1E" w:rsidRDefault="007E1E1E" w:rsidP="00B50E5D">
            <w:pPr>
              <w:rPr>
                <w:rFonts w:ascii="Arial" w:hAnsi="Arial" w:cs="Arial"/>
                <w:sz w:val="20"/>
              </w:rPr>
            </w:pPr>
          </w:p>
        </w:tc>
        <w:tc>
          <w:tcPr>
            <w:tcW w:w="1521" w:type="dxa"/>
            <w:tcBorders>
              <w:top w:val="nil"/>
              <w:left w:val="nil"/>
              <w:bottom w:val="nil"/>
              <w:right w:val="nil"/>
            </w:tcBorders>
            <w:shd w:val="clear" w:color="auto" w:fill="auto"/>
            <w:noWrap/>
            <w:vAlign w:val="bottom"/>
            <w:hideMark/>
          </w:tcPr>
          <w:p w:rsidR="007E1E1E" w:rsidRDefault="007E1E1E" w:rsidP="00B50E5D">
            <w:pPr>
              <w:rPr>
                <w:rFonts w:ascii="Arial" w:hAnsi="Arial" w:cs="Arial"/>
                <w:sz w:val="20"/>
              </w:rPr>
            </w:pPr>
          </w:p>
        </w:tc>
        <w:tc>
          <w:tcPr>
            <w:tcW w:w="1476" w:type="dxa"/>
            <w:tcBorders>
              <w:top w:val="nil"/>
              <w:left w:val="nil"/>
              <w:bottom w:val="nil"/>
              <w:right w:val="nil"/>
            </w:tcBorders>
            <w:shd w:val="clear" w:color="auto" w:fill="auto"/>
            <w:noWrap/>
            <w:vAlign w:val="bottom"/>
            <w:hideMark/>
          </w:tcPr>
          <w:p w:rsidR="007E1E1E" w:rsidRDefault="007E1E1E" w:rsidP="00B50E5D">
            <w:pPr>
              <w:rPr>
                <w:rFonts w:ascii="Arial" w:hAnsi="Arial" w:cs="Arial"/>
                <w:sz w:val="20"/>
              </w:rPr>
            </w:pPr>
          </w:p>
        </w:tc>
        <w:tc>
          <w:tcPr>
            <w:tcW w:w="1476" w:type="dxa"/>
            <w:tcBorders>
              <w:top w:val="nil"/>
              <w:left w:val="nil"/>
              <w:bottom w:val="nil"/>
              <w:right w:val="nil"/>
            </w:tcBorders>
            <w:shd w:val="clear" w:color="auto" w:fill="auto"/>
            <w:noWrap/>
            <w:vAlign w:val="bottom"/>
            <w:hideMark/>
          </w:tcPr>
          <w:p w:rsidR="007E1E1E" w:rsidRDefault="007E1E1E" w:rsidP="00B50E5D">
            <w:pPr>
              <w:rPr>
                <w:rFonts w:ascii="Arial" w:hAnsi="Arial" w:cs="Arial"/>
                <w:sz w:val="20"/>
              </w:rPr>
            </w:pPr>
          </w:p>
        </w:tc>
        <w:tc>
          <w:tcPr>
            <w:tcW w:w="1476" w:type="dxa"/>
            <w:tcBorders>
              <w:top w:val="nil"/>
              <w:left w:val="nil"/>
              <w:bottom w:val="nil"/>
              <w:right w:val="nil"/>
            </w:tcBorders>
            <w:shd w:val="clear" w:color="auto" w:fill="auto"/>
            <w:noWrap/>
            <w:vAlign w:val="bottom"/>
            <w:hideMark/>
          </w:tcPr>
          <w:p w:rsidR="007E1E1E" w:rsidRDefault="007E1E1E" w:rsidP="00B50E5D">
            <w:pPr>
              <w:rPr>
                <w:rFonts w:ascii="Arial" w:hAnsi="Arial" w:cs="Arial"/>
                <w:sz w:val="20"/>
              </w:rPr>
            </w:pPr>
          </w:p>
        </w:tc>
        <w:tc>
          <w:tcPr>
            <w:tcW w:w="1476" w:type="dxa"/>
            <w:tcBorders>
              <w:top w:val="nil"/>
              <w:left w:val="nil"/>
              <w:bottom w:val="nil"/>
              <w:right w:val="nil"/>
            </w:tcBorders>
            <w:shd w:val="clear" w:color="auto" w:fill="auto"/>
            <w:noWrap/>
            <w:vAlign w:val="bottom"/>
            <w:hideMark/>
          </w:tcPr>
          <w:p w:rsidR="007E1E1E" w:rsidRDefault="007E1E1E" w:rsidP="00B50E5D">
            <w:pPr>
              <w:rPr>
                <w:rFonts w:ascii="Arial" w:hAnsi="Arial" w:cs="Arial"/>
                <w:sz w:val="20"/>
              </w:rPr>
            </w:pPr>
          </w:p>
        </w:tc>
      </w:tr>
      <w:tr w:rsidR="007E1E1E" w:rsidTr="00B50E5D">
        <w:trPr>
          <w:trHeight w:val="480"/>
        </w:trPr>
        <w:tc>
          <w:tcPr>
            <w:tcW w:w="3912" w:type="dxa"/>
            <w:tcBorders>
              <w:top w:val="single" w:sz="4" w:space="0" w:color="auto"/>
              <w:left w:val="nil"/>
              <w:bottom w:val="single" w:sz="4" w:space="0" w:color="auto"/>
              <w:right w:val="nil"/>
            </w:tcBorders>
            <w:shd w:val="clear" w:color="000000" w:fill="D9D9D9"/>
            <w:vAlign w:val="bottom"/>
            <w:hideMark/>
          </w:tcPr>
          <w:p w:rsidR="007E1E1E" w:rsidRDefault="007E1E1E" w:rsidP="00B50E5D">
            <w:pPr>
              <w:rPr>
                <w:rFonts w:cs="Calibri"/>
                <w:b/>
                <w:bCs/>
                <w:szCs w:val="18"/>
              </w:rPr>
            </w:pPr>
            <w:r>
              <w:rPr>
                <w:rFonts w:cs="Calibri"/>
                <w:b/>
                <w:bCs/>
                <w:szCs w:val="18"/>
              </w:rPr>
              <w:t>2014</w:t>
            </w:r>
          </w:p>
        </w:tc>
        <w:tc>
          <w:tcPr>
            <w:tcW w:w="2997" w:type="dxa"/>
            <w:gridSpan w:val="2"/>
            <w:tcBorders>
              <w:top w:val="single" w:sz="4" w:space="0" w:color="auto"/>
              <w:left w:val="nil"/>
              <w:bottom w:val="single" w:sz="4" w:space="0" w:color="auto"/>
              <w:right w:val="nil"/>
            </w:tcBorders>
            <w:shd w:val="clear" w:color="000000" w:fill="D9D9D9"/>
            <w:vAlign w:val="bottom"/>
            <w:hideMark/>
          </w:tcPr>
          <w:p w:rsidR="007E1E1E" w:rsidRDefault="007E1E1E" w:rsidP="00B50E5D">
            <w:pPr>
              <w:jc w:val="center"/>
              <w:rPr>
                <w:rFonts w:cs="Calibri"/>
                <w:b/>
                <w:bCs/>
                <w:szCs w:val="18"/>
              </w:rPr>
            </w:pPr>
            <w:r>
              <w:rPr>
                <w:rFonts w:cs="Calibri"/>
                <w:b/>
                <w:bCs/>
                <w:szCs w:val="18"/>
              </w:rPr>
              <w:t xml:space="preserve">Amount required - by Appropriation </w:t>
            </w:r>
            <w:proofErr w:type="spellStart"/>
            <w:r>
              <w:rPr>
                <w:rFonts w:cs="Calibri"/>
                <w:b/>
                <w:bCs/>
                <w:szCs w:val="18"/>
              </w:rPr>
              <w:t>Act</w:t>
            </w:r>
            <w:r>
              <w:rPr>
                <w:rFonts w:cs="Calibri"/>
                <w:b/>
                <w:bCs/>
                <w:szCs w:val="18"/>
                <w:vertAlign w:val="superscript"/>
              </w:rPr>
              <w:t>3</w:t>
            </w:r>
            <w:proofErr w:type="spellEnd"/>
          </w:p>
        </w:tc>
        <w:tc>
          <w:tcPr>
            <w:tcW w:w="1476" w:type="dxa"/>
            <w:tcBorders>
              <w:top w:val="single" w:sz="4" w:space="0" w:color="auto"/>
              <w:left w:val="nil"/>
              <w:bottom w:val="single" w:sz="4" w:space="0" w:color="auto"/>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xml:space="preserve">Total amount </w:t>
            </w:r>
            <w:proofErr w:type="spellStart"/>
            <w:r>
              <w:rPr>
                <w:rFonts w:cs="Calibri"/>
                <w:b/>
                <w:bCs/>
                <w:szCs w:val="18"/>
              </w:rPr>
              <w:t>required</w:t>
            </w:r>
            <w:r>
              <w:rPr>
                <w:rFonts w:cs="Calibri"/>
                <w:b/>
                <w:bCs/>
                <w:szCs w:val="18"/>
                <w:vertAlign w:val="superscript"/>
              </w:rPr>
              <w:t>3</w:t>
            </w:r>
            <w:proofErr w:type="spellEnd"/>
          </w:p>
        </w:tc>
        <w:tc>
          <w:tcPr>
            <w:tcW w:w="1476" w:type="dxa"/>
            <w:tcBorders>
              <w:top w:val="single" w:sz="4" w:space="0" w:color="auto"/>
              <w:left w:val="nil"/>
              <w:bottom w:val="single" w:sz="4" w:space="0" w:color="auto"/>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xml:space="preserve">Total amount </w:t>
            </w:r>
            <w:proofErr w:type="spellStart"/>
            <w:r>
              <w:rPr>
                <w:rFonts w:cs="Calibri"/>
                <w:b/>
                <w:bCs/>
                <w:szCs w:val="18"/>
              </w:rPr>
              <w:t>appropriated</w:t>
            </w:r>
            <w:r>
              <w:rPr>
                <w:rFonts w:cs="Calibri"/>
                <w:b/>
                <w:bCs/>
                <w:szCs w:val="18"/>
                <w:vertAlign w:val="superscript"/>
              </w:rPr>
              <w:t>4</w:t>
            </w:r>
            <w:proofErr w:type="spellEnd"/>
          </w:p>
        </w:tc>
        <w:tc>
          <w:tcPr>
            <w:tcW w:w="1476" w:type="dxa"/>
            <w:tcBorders>
              <w:top w:val="single" w:sz="4" w:space="0" w:color="auto"/>
              <w:left w:val="nil"/>
              <w:bottom w:val="single" w:sz="4" w:space="0" w:color="auto"/>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 xml:space="preserve">Total </w:t>
            </w:r>
            <w:proofErr w:type="spellStart"/>
            <w:r>
              <w:rPr>
                <w:rFonts w:cs="Calibri"/>
                <w:b/>
                <w:bCs/>
                <w:szCs w:val="18"/>
              </w:rPr>
              <w:t>reduction</w:t>
            </w:r>
            <w:r>
              <w:rPr>
                <w:rFonts w:cs="Calibri"/>
                <w:b/>
                <w:bCs/>
                <w:szCs w:val="18"/>
                <w:vertAlign w:val="superscript"/>
              </w:rPr>
              <w:t>5</w:t>
            </w:r>
            <w:proofErr w:type="spellEnd"/>
          </w:p>
        </w:tc>
      </w:tr>
      <w:tr w:rsidR="007E1E1E" w:rsidTr="00B50E5D">
        <w:trPr>
          <w:trHeight w:val="255"/>
        </w:trPr>
        <w:tc>
          <w:tcPr>
            <w:tcW w:w="3912" w:type="dxa"/>
            <w:tcBorders>
              <w:top w:val="nil"/>
              <w:left w:val="nil"/>
              <w:bottom w:val="single" w:sz="4" w:space="0" w:color="auto"/>
              <w:right w:val="nil"/>
            </w:tcBorders>
            <w:shd w:val="clear" w:color="000000" w:fill="D9D9D9"/>
            <w:vAlign w:val="bottom"/>
            <w:hideMark/>
          </w:tcPr>
          <w:p w:rsidR="007E1E1E" w:rsidRDefault="007E1E1E" w:rsidP="00B50E5D">
            <w:pPr>
              <w:rPr>
                <w:rFonts w:cs="Calibri"/>
                <w:b/>
                <w:bCs/>
                <w:szCs w:val="18"/>
              </w:rPr>
            </w:pPr>
            <w:r>
              <w:rPr>
                <w:rFonts w:cs="Calibri"/>
                <w:b/>
                <w:bCs/>
                <w:szCs w:val="18"/>
              </w:rPr>
              <w:t>Ordinary Annual Services</w:t>
            </w:r>
          </w:p>
        </w:tc>
        <w:tc>
          <w:tcPr>
            <w:tcW w:w="1521" w:type="dxa"/>
            <w:tcBorders>
              <w:top w:val="nil"/>
              <w:left w:val="nil"/>
              <w:bottom w:val="single" w:sz="4" w:space="0" w:color="auto"/>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Act (</w:t>
            </w:r>
            <w:proofErr w:type="spellStart"/>
            <w:r>
              <w:rPr>
                <w:rFonts w:cs="Calibri"/>
                <w:b/>
                <w:bCs/>
                <w:szCs w:val="18"/>
              </w:rPr>
              <w:t>No.1</w:t>
            </w:r>
            <w:proofErr w:type="spellEnd"/>
            <w:r>
              <w:rPr>
                <w:rFonts w:cs="Calibri"/>
                <w:b/>
                <w:bCs/>
                <w:szCs w:val="18"/>
              </w:rPr>
              <w:t>)</w:t>
            </w:r>
          </w:p>
        </w:tc>
        <w:tc>
          <w:tcPr>
            <w:tcW w:w="1476" w:type="dxa"/>
            <w:tcBorders>
              <w:top w:val="nil"/>
              <w:left w:val="nil"/>
              <w:bottom w:val="single" w:sz="4" w:space="0" w:color="auto"/>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Act (</w:t>
            </w:r>
            <w:proofErr w:type="spellStart"/>
            <w:r>
              <w:rPr>
                <w:rFonts w:cs="Calibri"/>
                <w:b/>
                <w:bCs/>
                <w:szCs w:val="18"/>
              </w:rPr>
              <w:t>No.3</w:t>
            </w:r>
            <w:proofErr w:type="spellEnd"/>
            <w:r>
              <w:rPr>
                <w:rFonts w:cs="Calibri"/>
                <w:b/>
                <w:bCs/>
                <w:szCs w:val="18"/>
              </w:rPr>
              <w:t>)</w:t>
            </w:r>
          </w:p>
        </w:tc>
        <w:tc>
          <w:tcPr>
            <w:tcW w:w="1476" w:type="dxa"/>
            <w:tcBorders>
              <w:top w:val="nil"/>
              <w:left w:val="nil"/>
              <w:bottom w:val="single" w:sz="4" w:space="0" w:color="auto"/>
              <w:right w:val="nil"/>
            </w:tcBorders>
            <w:shd w:val="clear" w:color="000000" w:fill="D9D9D9"/>
            <w:vAlign w:val="bottom"/>
            <w:hideMark/>
          </w:tcPr>
          <w:p w:rsidR="007E1E1E" w:rsidRDefault="007E1E1E" w:rsidP="00B50E5D">
            <w:pPr>
              <w:jc w:val="center"/>
              <w:rPr>
                <w:rFonts w:cs="Calibri"/>
                <w:b/>
                <w:bCs/>
                <w:szCs w:val="18"/>
              </w:rPr>
            </w:pPr>
            <w:r>
              <w:rPr>
                <w:rFonts w:cs="Calibri"/>
                <w:b/>
                <w:bCs/>
                <w:szCs w:val="18"/>
              </w:rPr>
              <w:t> </w:t>
            </w:r>
          </w:p>
        </w:tc>
        <w:tc>
          <w:tcPr>
            <w:tcW w:w="1476" w:type="dxa"/>
            <w:tcBorders>
              <w:top w:val="nil"/>
              <w:left w:val="nil"/>
              <w:bottom w:val="single" w:sz="4" w:space="0" w:color="auto"/>
              <w:right w:val="nil"/>
            </w:tcBorders>
            <w:shd w:val="clear" w:color="000000" w:fill="D9D9D9"/>
            <w:vAlign w:val="bottom"/>
            <w:hideMark/>
          </w:tcPr>
          <w:p w:rsidR="007E1E1E" w:rsidRDefault="007E1E1E" w:rsidP="00B50E5D">
            <w:pPr>
              <w:jc w:val="center"/>
              <w:rPr>
                <w:rFonts w:cs="Calibri"/>
                <w:b/>
                <w:bCs/>
                <w:szCs w:val="18"/>
              </w:rPr>
            </w:pPr>
            <w:r>
              <w:rPr>
                <w:rFonts w:cs="Calibri"/>
                <w:b/>
                <w:bCs/>
                <w:szCs w:val="18"/>
              </w:rPr>
              <w:t> </w:t>
            </w:r>
          </w:p>
        </w:tc>
        <w:tc>
          <w:tcPr>
            <w:tcW w:w="1476" w:type="dxa"/>
            <w:tcBorders>
              <w:top w:val="nil"/>
              <w:left w:val="nil"/>
              <w:bottom w:val="single" w:sz="4" w:space="0" w:color="auto"/>
              <w:right w:val="nil"/>
            </w:tcBorders>
            <w:shd w:val="clear" w:color="000000" w:fill="D9D9D9"/>
            <w:vAlign w:val="bottom"/>
            <w:hideMark/>
          </w:tcPr>
          <w:p w:rsidR="007E1E1E" w:rsidRDefault="007E1E1E" w:rsidP="00B50E5D">
            <w:pPr>
              <w:jc w:val="center"/>
              <w:rPr>
                <w:rFonts w:cs="Calibri"/>
                <w:b/>
                <w:bCs/>
                <w:szCs w:val="18"/>
              </w:rPr>
            </w:pPr>
            <w:r>
              <w:rPr>
                <w:rFonts w:cs="Calibri"/>
                <w:b/>
                <w:bCs/>
                <w:szCs w:val="18"/>
              </w:rPr>
              <w:t> </w:t>
            </w:r>
          </w:p>
        </w:tc>
      </w:tr>
      <w:tr w:rsidR="007E1E1E" w:rsidTr="00B50E5D">
        <w:trPr>
          <w:trHeight w:val="255"/>
        </w:trPr>
        <w:tc>
          <w:tcPr>
            <w:tcW w:w="3912" w:type="dxa"/>
            <w:tcBorders>
              <w:top w:val="nil"/>
              <w:left w:val="nil"/>
              <w:bottom w:val="single" w:sz="4" w:space="0" w:color="D9D9D9"/>
              <w:right w:val="nil"/>
            </w:tcBorders>
            <w:shd w:val="clear" w:color="000000" w:fill="D9D9D9"/>
            <w:vAlign w:val="bottom"/>
            <w:hideMark/>
          </w:tcPr>
          <w:p w:rsidR="007E1E1E" w:rsidRDefault="007E1E1E" w:rsidP="007E1E1E">
            <w:pPr>
              <w:ind w:firstLineChars="200" w:firstLine="360"/>
              <w:rPr>
                <w:rFonts w:cs="Calibri"/>
                <w:szCs w:val="18"/>
              </w:rPr>
            </w:pPr>
            <w:r>
              <w:rPr>
                <w:rFonts w:cs="Calibri"/>
                <w:szCs w:val="18"/>
              </w:rPr>
              <w:t>Outcome 1</w:t>
            </w:r>
          </w:p>
        </w:tc>
        <w:tc>
          <w:tcPr>
            <w:tcW w:w="1521"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337,772,000.00</w:t>
            </w:r>
          </w:p>
        </w:tc>
        <w:tc>
          <w:tcPr>
            <w:tcW w:w="147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62,976,637.83</w:t>
            </w:r>
          </w:p>
        </w:tc>
        <w:tc>
          <w:tcPr>
            <w:tcW w:w="147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400,748,637.83 </w:t>
            </w:r>
          </w:p>
        </w:tc>
        <w:tc>
          <w:tcPr>
            <w:tcW w:w="147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441,288,000.00</w:t>
            </w:r>
          </w:p>
        </w:tc>
        <w:tc>
          <w:tcPr>
            <w:tcW w:w="147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40,539,362.17 </w:t>
            </w:r>
          </w:p>
        </w:tc>
      </w:tr>
      <w:tr w:rsidR="007E1E1E" w:rsidTr="00B50E5D">
        <w:trPr>
          <w:trHeight w:val="255"/>
        </w:trPr>
        <w:tc>
          <w:tcPr>
            <w:tcW w:w="3912" w:type="dxa"/>
            <w:tcBorders>
              <w:top w:val="nil"/>
              <w:left w:val="nil"/>
              <w:bottom w:val="single" w:sz="4" w:space="0" w:color="D9D9D9"/>
              <w:right w:val="nil"/>
            </w:tcBorders>
            <w:shd w:val="clear" w:color="000000" w:fill="D9D9D9"/>
            <w:vAlign w:val="bottom"/>
            <w:hideMark/>
          </w:tcPr>
          <w:p w:rsidR="007E1E1E" w:rsidRDefault="007E1E1E" w:rsidP="007E1E1E">
            <w:pPr>
              <w:ind w:firstLineChars="200" w:firstLine="360"/>
              <w:rPr>
                <w:rFonts w:cs="Calibri"/>
                <w:szCs w:val="18"/>
              </w:rPr>
            </w:pPr>
            <w:r>
              <w:rPr>
                <w:rFonts w:cs="Calibri"/>
                <w:szCs w:val="18"/>
              </w:rPr>
              <w:t>Outcome 2</w:t>
            </w:r>
          </w:p>
        </w:tc>
        <w:tc>
          <w:tcPr>
            <w:tcW w:w="1521"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266,772,000.00</w:t>
            </w:r>
          </w:p>
        </w:tc>
        <w:tc>
          <w:tcPr>
            <w:tcW w:w="147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39,096,058.80</w:t>
            </w:r>
          </w:p>
        </w:tc>
        <w:tc>
          <w:tcPr>
            <w:tcW w:w="147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305,868,058.80 </w:t>
            </w:r>
          </w:p>
        </w:tc>
        <w:tc>
          <w:tcPr>
            <w:tcW w:w="147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341,822,000.00</w:t>
            </w:r>
          </w:p>
        </w:tc>
        <w:tc>
          <w:tcPr>
            <w:tcW w:w="147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35,953,941.20 </w:t>
            </w:r>
          </w:p>
        </w:tc>
      </w:tr>
      <w:tr w:rsidR="007E1E1E" w:rsidTr="00B50E5D">
        <w:trPr>
          <w:trHeight w:val="255"/>
        </w:trPr>
        <w:tc>
          <w:tcPr>
            <w:tcW w:w="3912" w:type="dxa"/>
            <w:tcBorders>
              <w:top w:val="nil"/>
              <w:left w:val="nil"/>
              <w:bottom w:val="single" w:sz="4" w:space="0" w:color="D9D9D9"/>
              <w:right w:val="nil"/>
            </w:tcBorders>
            <w:shd w:val="clear" w:color="000000" w:fill="D9D9D9"/>
            <w:vAlign w:val="bottom"/>
            <w:hideMark/>
          </w:tcPr>
          <w:p w:rsidR="007E1E1E" w:rsidRDefault="007E1E1E" w:rsidP="007E1E1E">
            <w:pPr>
              <w:ind w:firstLineChars="200" w:firstLine="360"/>
              <w:rPr>
                <w:rFonts w:cs="Calibri"/>
                <w:szCs w:val="18"/>
              </w:rPr>
            </w:pPr>
            <w:r>
              <w:rPr>
                <w:rFonts w:cs="Calibri"/>
                <w:szCs w:val="18"/>
              </w:rPr>
              <w:t>Outcome 3</w:t>
            </w:r>
          </w:p>
        </w:tc>
        <w:tc>
          <w:tcPr>
            <w:tcW w:w="1521"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58,104,000.00</w:t>
            </w:r>
          </w:p>
        </w:tc>
        <w:tc>
          <w:tcPr>
            <w:tcW w:w="147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1,617,000.00</w:t>
            </w:r>
          </w:p>
        </w:tc>
        <w:tc>
          <w:tcPr>
            <w:tcW w:w="147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59,721,000.00 </w:t>
            </w:r>
          </w:p>
        </w:tc>
        <w:tc>
          <w:tcPr>
            <w:tcW w:w="147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59,721,000.00</w:t>
            </w:r>
          </w:p>
        </w:tc>
        <w:tc>
          <w:tcPr>
            <w:tcW w:w="147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3912" w:type="dxa"/>
            <w:tcBorders>
              <w:top w:val="nil"/>
              <w:left w:val="nil"/>
              <w:bottom w:val="single" w:sz="4" w:space="0" w:color="D9D9D9"/>
              <w:right w:val="nil"/>
            </w:tcBorders>
            <w:shd w:val="clear" w:color="000000" w:fill="D9D9D9"/>
            <w:vAlign w:val="bottom"/>
            <w:hideMark/>
          </w:tcPr>
          <w:p w:rsidR="007E1E1E" w:rsidRDefault="007E1E1E" w:rsidP="007E1E1E">
            <w:pPr>
              <w:ind w:firstLineChars="200" w:firstLine="360"/>
              <w:rPr>
                <w:rFonts w:cs="Calibri"/>
                <w:szCs w:val="18"/>
              </w:rPr>
            </w:pPr>
            <w:r>
              <w:rPr>
                <w:rFonts w:cs="Calibri"/>
                <w:szCs w:val="18"/>
              </w:rPr>
              <w:t>Outcome 4</w:t>
            </w:r>
          </w:p>
        </w:tc>
        <w:tc>
          <w:tcPr>
            <w:tcW w:w="1521"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34,497,000.00</w:t>
            </w:r>
          </w:p>
        </w:tc>
        <w:tc>
          <w:tcPr>
            <w:tcW w:w="147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w:t>
            </w:r>
          </w:p>
        </w:tc>
        <w:tc>
          <w:tcPr>
            <w:tcW w:w="147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34,497,000.00 </w:t>
            </w:r>
          </w:p>
        </w:tc>
        <w:tc>
          <w:tcPr>
            <w:tcW w:w="147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34,497,000.00</w:t>
            </w:r>
          </w:p>
        </w:tc>
        <w:tc>
          <w:tcPr>
            <w:tcW w:w="1476" w:type="dxa"/>
            <w:tcBorders>
              <w:top w:val="nil"/>
              <w:left w:val="nil"/>
              <w:bottom w:val="single" w:sz="4" w:space="0" w:color="D9D9D9"/>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3912" w:type="dxa"/>
            <w:tcBorders>
              <w:top w:val="single" w:sz="4" w:space="0" w:color="auto"/>
              <w:left w:val="nil"/>
              <w:bottom w:val="single" w:sz="4" w:space="0" w:color="auto"/>
              <w:right w:val="nil"/>
            </w:tcBorders>
            <w:shd w:val="clear" w:color="000000" w:fill="D9D9D9"/>
            <w:vAlign w:val="bottom"/>
            <w:hideMark/>
          </w:tcPr>
          <w:p w:rsidR="007E1E1E" w:rsidRDefault="007E1E1E" w:rsidP="00B50E5D">
            <w:pPr>
              <w:rPr>
                <w:rFonts w:cs="Calibri"/>
                <w:b/>
                <w:bCs/>
                <w:szCs w:val="18"/>
              </w:rPr>
            </w:pPr>
            <w:r>
              <w:rPr>
                <w:rFonts w:cs="Calibri"/>
                <w:b/>
                <w:bCs/>
                <w:szCs w:val="18"/>
              </w:rPr>
              <w:t>Other services</w:t>
            </w:r>
          </w:p>
        </w:tc>
        <w:tc>
          <w:tcPr>
            <w:tcW w:w="1521" w:type="dxa"/>
            <w:tcBorders>
              <w:top w:val="single" w:sz="4" w:space="0" w:color="auto"/>
              <w:left w:val="nil"/>
              <w:bottom w:val="single" w:sz="4" w:space="0" w:color="auto"/>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Act (</w:t>
            </w:r>
            <w:proofErr w:type="spellStart"/>
            <w:r>
              <w:rPr>
                <w:rFonts w:cs="Calibri"/>
                <w:b/>
                <w:bCs/>
                <w:szCs w:val="18"/>
              </w:rPr>
              <w:t>No.2</w:t>
            </w:r>
            <w:proofErr w:type="spellEnd"/>
            <w:r>
              <w:rPr>
                <w:rFonts w:cs="Calibri"/>
                <w:b/>
                <w:bCs/>
                <w:szCs w:val="18"/>
              </w:rPr>
              <w:t>)</w:t>
            </w:r>
          </w:p>
        </w:tc>
        <w:tc>
          <w:tcPr>
            <w:tcW w:w="1476" w:type="dxa"/>
            <w:tcBorders>
              <w:top w:val="single" w:sz="4" w:space="0" w:color="auto"/>
              <w:left w:val="nil"/>
              <w:bottom w:val="single" w:sz="4" w:space="0" w:color="auto"/>
              <w:right w:val="nil"/>
            </w:tcBorders>
            <w:shd w:val="clear" w:color="000000" w:fill="D9D9D9"/>
            <w:vAlign w:val="bottom"/>
            <w:hideMark/>
          </w:tcPr>
          <w:p w:rsidR="007E1E1E" w:rsidRDefault="007E1E1E" w:rsidP="00B50E5D">
            <w:pPr>
              <w:jc w:val="right"/>
              <w:rPr>
                <w:rFonts w:cs="Calibri"/>
                <w:b/>
                <w:bCs/>
                <w:szCs w:val="18"/>
              </w:rPr>
            </w:pPr>
            <w:r>
              <w:rPr>
                <w:rFonts w:cs="Calibri"/>
                <w:b/>
                <w:bCs/>
                <w:szCs w:val="18"/>
              </w:rPr>
              <w:t>Act (</w:t>
            </w:r>
            <w:proofErr w:type="spellStart"/>
            <w:r>
              <w:rPr>
                <w:rFonts w:cs="Calibri"/>
                <w:b/>
                <w:bCs/>
                <w:szCs w:val="18"/>
              </w:rPr>
              <w:t>No.4</w:t>
            </w:r>
            <w:proofErr w:type="spellEnd"/>
            <w:r>
              <w:rPr>
                <w:rFonts w:cs="Calibri"/>
                <w:b/>
                <w:bCs/>
                <w:szCs w:val="18"/>
              </w:rPr>
              <w:t>)</w:t>
            </w:r>
          </w:p>
        </w:tc>
        <w:tc>
          <w:tcPr>
            <w:tcW w:w="147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47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476" w:type="dxa"/>
            <w:tcBorders>
              <w:top w:val="single" w:sz="4" w:space="0" w:color="auto"/>
              <w:left w:val="nil"/>
              <w:bottom w:val="single" w:sz="4" w:space="0" w:color="auto"/>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480"/>
        </w:trPr>
        <w:tc>
          <w:tcPr>
            <w:tcW w:w="3912" w:type="dxa"/>
            <w:tcBorders>
              <w:top w:val="nil"/>
              <w:left w:val="nil"/>
              <w:bottom w:val="single" w:sz="4" w:space="0" w:color="D9D9D9"/>
              <w:right w:val="nil"/>
            </w:tcBorders>
            <w:shd w:val="clear" w:color="000000" w:fill="D9D9D9"/>
            <w:vAlign w:val="bottom"/>
            <w:hideMark/>
          </w:tcPr>
          <w:p w:rsidR="007E1E1E" w:rsidRDefault="007E1E1E" w:rsidP="007E1E1E">
            <w:pPr>
              <w:ind w:firstLineChars="100" w:firstLine="181"/>
              <w:rPr>
                <w:rFonts w:cs="Calibri"/>
                <w:b/>
                <w:bCs/>
                <w:szCs w:val="18"/>
              </w:rPr>
            </w:pPr>
            <w:r>
              <w:rPr>
                <w:rFonts w:cs="Calibri"/>
                <w:b/>
                <w:bCs/>
                <w:szCs w:val="18"/>
              </w:rPr>
              <w:t>Specific payments to States, ACT, NT and Local government</w:t>
            </w:r>
          </w:p>
        </w:tc>
        <w:tc>
          <w:tcPr>
            <w:tcW w:w="1521"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47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47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47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47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3912" w:type="dxa"/>
            <w:tcBorders>
              <w:top w:val="nil"/>
              <w:left w:val="nil"/>
              <w:bottom w:val="nil"/>
              <w:right w:val="nil"/>
            </w:tcBorders>
            <w:shd w:val="clear" w:color="000000" w:fill="D9D9D9"/>
            <w:noWrap/>
            <w:vAlign w:val="bottom"/>
            <w:hideMark/>
          </w:tcPr>
          <w:p w:rsidR="007E1E1E" w:rsidRDefault="007E1E1E" w:rsidP="007E1E1E">
            <w:pPr>
              <w:ind w:firstLineChars="200" w:firstLine="360"/>
              <w:rPr>
                <w:rFonts w:cs="Calibri"/>
                <w:szCs w:val="18"/>
              </w:rPr>
            </w:pPr>
            <w:r>
              <w:rPr>
                <w:rFonts w:cs="Calibri"/>
                <w:szCs w:val="18"/>
              </w:rPr>
              <w:t>Outcome 2</w:t>
            </w:r>
          </w:p>
        </w:tc>
        <w:tc>
          <w:tcPr>
            <w:tcW w:w="1521"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41,091,901.40</w:t>
            </w:r>
          </w:p>
        </w:tc>
        <w:tc>
          <w:tcPr>
            <w:tcW w:w="1476" w:type="dxa"/>
            <w:tcBorders>
              <w:top w:val="nil"/>
              <w:left w:val="nil"/>
              <w:bottom w:val="nil"/>
              <w:right w:val="nil"/>
            </w:tcBorders>
            <w:shd w:val="clear" w:color="000000" w:fill="D9D9D9"/>
            <w:noWrap/>
            <w:vAlign w:val="bottom"/>
            <w:hideMark/>
          </w:tcPr>
          <w:p w:rsidR="007E1E1E" w:rsidRDefault="007E1E1E" w:rsidP="00B50E5D">
            <w:pPr>
              <w:jc w:val="center"/>
              <w:rPr>
                <w:rFonts w:cs="Calibri"/>
                <w:b/>
                <w:bCs/>
                <w:szCs w:val="18"/>
              </w:rPr>
            </w:pPr>
            <w:r>
              <w:rPr>
                <w:rFonts w:cs="Calibri"/>
                <w:b/>
                <w:bCs/>
                <w:szCs w:val="18"/>
              </w:rPr>
              <w:t>-</w:t>
            </w:r>
          </w:p>
        </w:tc>
        <w:tc>
          <w:tcPr>
            <w:tcW w:w="147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41,091,901.40 </w:t>
            </w:r>
          </w:p>
        </w:tc>
        <w:tc>
          <w:tcPr>
            <w:tcW w:w="147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41,092,000.00</w:t>
            </w:r>
          </w:p>
        </w:tc>
        <w:tc>
          <w:tcPr>
            <w:tcW w:w="1476" w:type="dxa"/>
            <w:tcBorders>
              <w:top w:val="nil"/>
              <w:left w:val="nil"/>
              <w:bottom w:val="nil"/>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98.60 </w:t>
            </w:r>
          </w:p>
        </w:tc>
      </w:tr>
      <w:tr w:rsidR="007E1E1E" w:rsidTr="00B50E5D">
        <w:trPr>
          <w:trHeight w:val="285"/>
        </w:trPr>
        <w:tc>
          <w:tcPr>
            <w:tcW w:w="3912" w:type="dxa"/>
            <w:tcBorders>
              <w:top w:val="nil"/>
              <w:left w:val="nil"/>
              <w:bottom w:val="single" w:sz="4" w:space="0" w:color="D9D9D9"/>
              <w:right w:val="nil"/>
            </w:tcBorders>
            <w:shd w:val="clear" w:color="000000" w:fill="D9D9D9"/>
            <w:vAlign w:val="bottom"/>
            <w:hideMark/>
          </w:tcPr>
          <w:p w:rsidR="007E1E1E" w:rsidRDefault="007E1E1E" w:rsidP="007E1E1E">
            <w:pPr>
              <w:ind w:firstLineChars="100" w:firstLine="181"/>
              <w:rPr>
                <w:rFonts w:cs="Calibri"/>
                <w:b/>
                <w:bCs/>
                <w:szCs w:val="18"/>
              </w:rPr>
            </w:pPr>
            <w:r>
              <w:rPr>
                <w:rFonts w:cs="Calibri"/>
                <w:b/>
                <w:bCs/>
                <w:szCs w:val="18"/>
              </w:rPr>
              <w:t>Administered assets and liabilities</w:t>
            </w:r>
          </w:p>
        </w:tc>
        <w:tc>
          <w:tcPr>
            <w:tcW w:w="1521"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47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47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47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c>
          <w:tcPr>
            <w:tcW w:w="147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255"/>
        </w:trPr>
        <w:tc>
          <w:tcPr>
            <w:tcW w:w="3912" w:type="dxa"/>
            <w:tcBorders>
              <w:top w:val="nil"/>
              <w:left w:val="nil"/>
              <w:bottom w:val="single" w:sz="4" w:space="0" w:color="auto"/>
              <w:right w:val="nil"/>
            </w:tcBorders>
            <w:shd w:val="clear" w:color="000000" w:fill="D9D9D9"/>
            <w:noWrap/>
            <w:vAlign w:val="bottom"/>
            <w:hideMark/>
          </w:tcPr>
          <w:p w:rsidR="007E1E1E" w:rsidRDefault="007E1E1E" w:rsidP="007E1E1E">
            <w:pPr>
              <w:ind w:firstLineChars="200" w:firstLine="360"/>
              <w:rPr>
                <w:rFonts w:cs="Calibri"/>
                <w:szCs w:val="18"/>
              </w:rPr>
            </w:pPr>
            <w:r>
              <w:rPr>
                <w:rFonts w:cs="Calibri"/>
                <w:szCs w:val="18"/>
              </w:rPr>
              <w:t>Outcome 2</w:t>
            </w:r>
          </w:p>
        </w:tc>
        <w:tc>
          <w:tcPr>
            <w:tcW w:w="1521" w:type="dxa"/>
            <w:tcBorders>
              <w:top w:val="nil"/>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w:t>
            </w:r>
          </w:p>
        </w:tc>
        <w:tc>
          <w:tcPr>
            <w:tcW w:w="1476" w:type="dxa"/>
            <w:tcBorders>
              <w:top w:val="nil"/>
              <w:left w:val="nil"/>
              <w:bottom w:val="single" w:sz="4" w:space="0" w:color="auto"/>
              <w:right w:val="nil"/>
            </w:tcBorders>
            <w:shd w:val="clear" w:color="000000" w:fill="D9D9D9"/>
            <w:noWrap/>
            <w:vAlign w:val="bottom"/>
            <w:hideMark/>
          </w:tcPr>
          <w:p w:rsidR="007E1E1E" w:rsidRDefault="007E1E1E" w:rsidP="00B50E5D">
            <w:pPr>
              <w:jc w:val="center"/>
              <w:rPr>
                <w:rFonts w:cs="Calibri"/>
                <w:b/>
                <w:bCs/>
                <w:szCs w:val="18"/>
              </w:rPr>
            </w:pPr>
            <w:r>
              <w:rPr>
                <w:rFonts w:cs="Calibri"/>
                <w:b/>
                <w:bCs/>
                <w:szCs w:val="18"/>
              </w:rPr>
              <w:t>-</w:t>
            </w:r>
          </w:p>
        </w:tc>
        <w:tc>
          <w:tcPr>
            <w:tcW w:w="1476" w:type="dxa"/>
            <w:tcBorders>
              <w:top w:val="nil"/>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c>
          <w:tcPr>
            <w:tcW w:w="1476" w:type="dxa"/>
            <w:tcBorders>
              <w:top w:val="nil"/>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2,897,000.00</w:t>
            </w:r>
          </w:p>
        </w:tc>
        <w:tc>
          <w:tcPr>
            <w:tcW w:w="1476" w:type="dxa"/>
            <w:tcBorders>
              <w:top w:val="nil"/>
              <w:left w:val="nil"/>
              <w:bottom w:val="single" w:sz="4" w:space="0" w:color="auto"/>
              <w:right w:val="nil"/>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2,897,000.00 </w:t>
            </w:r>
          </w:p>
        </w:tc>
      </w:tr>
    </w:tbl>
    <w:p w:rsidR="007E1E1E" w:rsidRDefault="007E1E1E" w:rsidP="007E1E1E">
      <w:pPr>
        <w:pStyle w:val="AdminBlankGreyShade"/>
      </w:pPr>
      <w:bookmarkStart w:id="443" w:name="RANGE!D7:J19"/>
      <w:bookmarkStart w:id="444" w:name="RANGE!D7:J17"/>
      <w:bookmarkStart w:id="445" w:name="RANGE!D6:I17"/>
      <w:bookmarkStart w:id="446" w:name="RANGE!D7:I18"/>
      <w:bookmarkStart w:id="447" w:name="RANGE!D7:J18"/>
      <w:bookmarkStart w:id="448" w:name="RANGE!D6:J17"/>
      <w:bookmarkStart w:id="449" w:name="RANGE!D6:L17"/>
      <w:bookmarkStart w:id="450" w:name="RANGE!D6:K19"/>
      <w:bookmarkStart w:id="451" w:name="RANGE!D6:K20"/>
      <w:bookmarkEnd w:id="443"/>
      <w:bookmarkEnd w:id="444"/>
      <w:bookmarkEnd w:id="445"/>
      <w:bookmarkEnd w:id="446"/>
      <w:bookmarkEnd w:id="447"/>
      <w:bookmarkEnd w:id="448"/>
      <w:bookmarkEnd w:id="449"/>
      <w:bookmarkEnd w:id="450"/>
      <w:bookmarkEnd w:id="451"/>
    </w:p>
    <w:p w:rsidR="007E1E1E" w:rsidRDefault="007E1E1E" w:rsidP="007E1E1E">
      <w:pPr>
        <w:pStyle w:val="AdminBlankGreyShade"/>
      </w:pPr>
      <w:r>
        <w:t>Notes:</w:t>
      </w:r>
    </w:p>
    <w:p w:rsidR="007E1E1E" w:rsidRDefault="007E1E1E" w:rsidP="007E1E1E">
      <w:pPr>
        <w:pStyle w:val="AdminBlankGreyShade"/>
      </w:pPr>
      <w:r w:rsidRPr="00CB26FF">
        <w:rPr>
          <w:vertAlign w:val="superscript"/>
        </w:rPr>
        <w:t>1</w:t>
      </w:r>
      <w:r>
        <w:t xml:space="preserve"> Numbers in this section are disclosed to the cent.</w:t>
      </w:r>
    </w:p>
    <w:p w:rsidR="007E1E1E" w:rsidRDefault="007E1E1E" w:rsidP="007E1E1E">
      <w:pPr>
        <w:pStyle w:val="AdminBlankGreyShade"/>
      </w:pPr>
      <w:r w:rsidRPr="00CB26FF">
        <w:rPr>
          <w:vertAlign w:val="superscript"/>
        </w:rPr>
        <w:t>2</w:t>
      </w:r>
      <w:r>
        <w:t xml:space="preserve"> Administered items for 2014 were reduced to these amounts when these financial statements were tabled in Parliament as part of the department’s 2014 annual report. This reduction is effective in 2015, but the amounts are reflected in Table A in the 2014 financial statements in the column 'Appropriations reduced' as they are adjustments to 2014</w:t>
      </w:r>
      <w:r>
        <w:rPr>
          <w:szCs w:val="16"/>
        </w:rPr>
        <w:t xml:space="preserve"> </w:t>
      </w:r>
      <w:r>
        <w:t>appropriations.</w:t>
      </w:r>
    </w:p>
    <w:p w:rsidR="007E1E1E" w:rsidRDefault="007E1E1E" w:rsidP="007E1E1E">
      <w:pPr>
        <w:pStyle w:val="AdminBlankGreyShade"/>
      </w:pPr>
      <w:r w:rsidRPr="00CB26FF">
        <w:rPr>
          <w:vertAlign w:val="superscript"/>
        </w:rPr>
        <w:t>3</w:t>
      </w:r>
      <w:r>
        <w:t xml:space="preserve"> Amount required as per Appropriation Act (Act 1 s. 11; Act 2 s. 12).</w:t>
      </w:r>
    </w:p>
    <w:p w:rsidR="007E1E1E" w:rsidRDefault="007E1E1E" w:rsidP="007E1E1E">
      <w:pPr>
        <w:pStyle w:val="AdminBlankGreyShade"/>
      </w:pPr>
      <w:proofErr w:type="gramStart"/>
      <w:r w:rsidRPr="00CB26FF">
        <w:rPr>
          <w:vertAlign w:val="superscript"/>
        </w:rPr>
        <w:t>4</w:t>
      </w:r>
      <w:r>
        <w:t xml:space="preserve"> Total amount appropriated in 2014.</w:t>
      </w:r>
      <w:proofErr w:type="gramEnd"/>
    </w:p>
    <w:p w:rsidR="007E1E1E" w:rsidRDefault="007E1E1E" w:rsidP="007E1E1E">
      <w:pPr>
        <w:pStyle w:val="AdminBlankGreyShade"/>
      </w:pPr>
      <w:r w:rsidRPr="00CB26FF">
        <w:rPr>
          <w:vertAlign w:val="superscript"/>
        </w:rPr>
        <w:t>5</w:t>
      </w:r>
      <w:r>
        <w:t xml:space="preserve"> Total </w:t>
      </w:r>
      <w:proofErr w:type="gramStart"/>
      <w:r>
        <w:t>reduction</w:t>
      </w:r>
      <w:proofErr w:type="gramEnd"/>
      <w:r>
        <w:t xml:space="preserve"> effective in 2015.</w:t>
      </w:r>
    </w:p>
    <w:p w:rsidR="007E1E1E" w:rsidRDefault="007E1E1E" w:rsidP="007E1E1E"/>
    <w:p w:rsidR="007E1E1E" w:rsidRDefault="007E1E1E" w:rsidP="007E1E1E"/>
    <w:p w:rsidR="007E1E1E" w:rsidRDefault="007E1E1E" w:rsidP="007E1E1E"/>
    <w:p w:rsidR="007E1E1E" w:rsidRDefault="007E1E1E" w:rsidP="007E1E1E"/>
    <w:p w:rsidR="007E1E1E" w:rsidRDefault="007E1E1E" w:rsidP="007E1E1E"/>
    <w:p w:rsidR="007E1E1E" w:rsidRDefault="007E1E1E" w:rsidP="007E1E1E"/>
    <w:p w:rsidR="007E1E1E" w:rsidRDefault="007E1E1E" w:rsidP="007E1E1E"/>
    <w:p w:rsidR="007E1E1E" w:rsidRDefault="007E1E1E" w:rsidP="007E1E1E"/>
    <w:p w:rsidR="007E1E1E" w:rsidRDefault="007E1E1E" w:rsidP="007E1E1E"/>
    <w:p w:rsidR="007E1E1E" w:rsidRDefault="007E1E1E" w:rsidP="007E1E1E"/>
    <w:p w:rsidR="007E1E1E" w:rsidRDefault="007E1E1E" w:rsidP="007E1E1E"/>
    <w:p w:rsidR="007E1E1E" w:rsidRDefault="007E1E1E" w:rsidP="007E1E1E"/>
    <w:p w:rsidR="007E1E1E" w:rsidRDefault="007E1E1E" w:rsidP="007E1E1E">
      <w:pPr>
        <w:pStyle w:val="ReferenceText"/>
        <w:sectPr w:rsidR="007E1E1E">
          <w:pgSz w:w="16838" w:h="11906" w:orient="landscape"/>
          <w:pgMar w:top="1134" w:right="1134" w:bottom="1134" w:left="1134" w:header="958" w:footer="737" w:gutter="0"/>
          <w:cols w:space="720"/>
        </w:sectPr>
      </w:pPr>
      <w:bookmarkStart w:id="452" w:name="RANGE!D23:J31"/>
      <w:bookmarkStart w:id="453" w:name="RANGE!D23:J32"/>
      <w:bookmarkStart w:id="454" w:name="RANGE!D22:J31"/>
      <w:bookmarkStart w:id="455" w:name="RANGE!D22:L31"/>
      <w:bookmarkStart w:id="456" w:name="RANGE!D24:K35"/>
      <w:bookmarkStart w:id="457" w:name="RANGE!D25:D37"/>
      <w:bookmarkStart w:id="458" w:name="RANGE!D25:K37"/>
      <w:bookmarkStart w:id="459" w:name="RANGE!D25:K36"/>
      <w:bookmarkEnd w:id="452"/>
      <w:bookmarkEnd w:id="453"/>
      <w:bookmarkEnd w:id="454"/>
      <w:bookmarkEnd w:id="455"/>
      <w:bookmarkEnd w:id="456"/>
      <w:bookmarkEnd w:id="457"/>
      <w:bookmarkEnd w:id="458"/>
      <w:bookmarkEnd w:id="459"/>
    </w:p>
    <w:p w:rsidR="007E1E1E" w:rsidRDefault="007E1E1E" w:rsidP="007E1E1E">
      <w:pPr>
        <w:pStyle w:val="NotesHeading-Level1"/>
      </w:pPr>
      <w:bookmarkStart w:id="460" w:name="_Toc400713273"/>
      <w:r>
        <w:lastRenderedPageBreak/>
        <w:t>Special Accounts</w:t>
      </w:r>
      <w:bookmarkEnd w:id="460"/>
    </w:p>
    <w:p w:rsidR="007E1E1E" w:rsidRDefault="007E1E1E" w:rsidP="007E1E1E"/>
    <w:tbl>
      <w:tblPr>
        <w:tblW w:w="13991" w:type="dxa"/>
        <w:tblInd w:w="80" w:type="dxa"/>
        <w:tblLayout w:type="fixed"/>
        <w:tblLook w:val="04A0" w:firstRow="1" w:lastRow="0" w:firstColumn="1" w:lastColumn="0" w:noHBand="0" w:noVBand="1"/>
      </w:tblPr>
      <w:tblGrid>
        <w:gridCol w:w="6236"/>
        <w:gridCol w:w="2585"/>
        <w:gridCol w:w="2585"/>
        <w:gridCol w:w="2585"/>
      </w:tblGrid>
      <w:tr w:rsidR="007E1E1E" w:rsidTr="00B50E5D">
        <w:trPr>
          <w:trHeight w:val="255"/>
        </w:trPr>
        <w:tc>
          <w:tcPr>
            <w:tcW w:w="10804" w:type="dxa"/>
            <w:gridSpan w:val="4"/>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461" w:name="Note_SACTABLE1" w:colFirst="0" w:colLast="0"/>
            <w:r>
              <w:rPr>
                <w:rFonts w:cs="Calibri"/>
                <w:b/>
                <w:bCs/>
                <w:szCs w:val="18"/>
                <w:u w:val="single"/>
              </w:rPr>
              <w:t xml:space="preserve">Note </w:t>
            </w:r>
            <w:proofErr w:type="spellStart"/>
            <w:r>
              <w:rPr>
                <w:rFonts w:cs="Calibri"/>
                <w:b/>
                <w:bCs/>
                <w:szCs w:val="18"/>
                <w:u w:val="single"/>
              </w:rPr>
              <w:t>30A</w:t>
            </w:r>
            <w:proofErr w:type="spellEnd"/>
            <w:r>
              <w:rPr>
                <w:rFonts w:cs="Calibri"/>
                <w:b/>
                <w:bCs/>
                <w:szCs w:val="18"/>
                <w:u w:val="single"/>
              </w:rPr>
              <w:t>: Special Accounts ('Recoverable GST exclusive')</w:t>
            </w:r>
          </w:p>
        </w:tc>
      </w:tr>
      <w:bookmarkEnd w:id="461"/>
      <w:tr w:rsidR="007E1E1E" w:rsidTr="00B50E5D">
        <w:trPr>
          <w:trHeight w:val="255"/>
        </w:trPr>
        <w:tc>
          <w:tcPr>
            <w:tcW w:w="4816" w:type="dxa"/>
            <w:tcBorders>
              <w:top w:val="nil"/>
              <w:left w:val="nil"/>
              <w:bottom w:val="nil"/>
              <w:right w:val="nil"/>
            </w:tcBorders>
            <w:shd w:val="clear" w:color="FFFFFF" w:fill="FFFFFF"/>
            <w:noWrap/>
            <w:vAlign w:val="bottom"/>
            <w:hideMark/>
          </w:tcPr>
          <w:p w:rsidR="007E1E1E" w:rsidRDefault="007E1E1E" w:rsidP="00B50E5D">
            <w:pPr>
              <w:rPr>
                <w:rFonts w:cs="Calibri"/>
                <w:sz w:val="20"/>
              </w:rPr>
            </w:pPr>
            <w:r>
              <w:rPr>
                <w:rFonts w:cs="Calibri"/>
                <w:sz w:val="20"/>
              </w:rPr>
              <w:t> </w:t>
            </w:r>
          </w:p>
        </w:tc>
        <w:tc>
          <w:tcPr>
            <w:tcW w:w="1996" w:type="dxa"/>
            <w:tcBorders>
              <w:top w:val="nil"/>
              <w:left w:val="nil"/>
              <w:bottom w:val="nil"/>
              <w:right w:val="nil"/>
            </w:tcBorders>
            <w:shd w:val="clear" w:color="FFFFFF" w:fill="FFFFFF"/>
            <w:noWrap/>
            <w:vAlign w:val="bottom"/>
            <w:hideMark/>
          </w:tcPr>
          <w:p w:rsidR="007E1E1E" w:rsidRDefault="007E1E1E" w:rsidP="00B50E5D">
            <w:pPr>
              <w:rPr>
                <w:rFonts w:cs="Calibri"/>
                <w:sz w:val="20"/>
              </w:rPr>
            </w:pPr>
            <w:r>
              <w:rPr>
                <w:rFonts w:cs="Calibri"/>
                <w:sz w:val="20"/>
              </w:rPr>
              <w:t> </w:t>
            </w:r>
          </w:p>
        </w:tc>
        <w:tc>
          <w:tcPr>
            <w:tcW w:w="1996" w:type="dxa"/>
            <w:tcBorders>
              <w:top w:val="nil"/>
              <w:left w:val="nil"/>
              <w:bottom w:val="nil"/>
              <w:right w:val="nil"/>
            </w:tcBorders>
            <w:shd w:val="clear" w:color="FFFFFF" w:fill="FFFFFF"/>
            <w:noWrap/>
            <w:vAlign w:val="bottom"/>
            <w:hideMark/>
          </w:tcPr>
          <w:p w:rsidR="007E1E1E" w:rsidRDefault="007E1E1E" w:rsidP="00B50E5D">
            <w:pPr>
              <w:rPr>
                <w:rFonts w:cs="Calibri"/>
                <w:sz w:val="20"/>
              </w:rPr>
            </w:pPr>
            <w:r>
              <w:rPr>
                <w:rFonts w:cs="Calibri"/>
                <w:sz w:val="20"/>
              </w:rPr>
              <w:t> </w:t>
            </w:r>
          </w:p>
        </w:tc>
        <w:tc>
          <w:tcPr>
            <w:tcW w:w="1996" w:type="dxa"/>
            <w:tcBorders>
              <w:top w:val="nil"/>
              <w:left w:val="nil"/>
              <w:bottom w:val="nil"/>
              <w:right w:val="nil"/>
            </w:tcBorders>
            <w:shd w:val="clear" w:color="FFFFFF" w:fill="FFFFFF"/>
            <w:noWrap/>
            <w:vAlign w:val="bottom"/>
            <w:hideMark/>
          </w:tcPr>
          <w:p w:rsidR="007E1E1E" w:rsidRDefault="007E1E1E" w:rsidP="00B50E5D">
            <w:pPr>
              <w:rPr>
                <w:rFonts w:cs="Calibri"/>
                <w:sz w:val="20"/>
              </w:rPr>
            </w:pPr>
            <w:r>
              <w:rPr>
                <w:rFonts w:cs="Calibri"/>
                <w:sz w:val="20"/>
              </w:rPr>
              <w:t> </w:t>
            </w:r>
          </w:p>
        </w:tc>
      </w:tr>
      <w:tr w:rsidR="007E1E1E" w:rsidTr="00B50E5D">
        <w:trPr>
          <w:trHeight w:val="1020"/>
        </w:trPr>
        <w:tc>
          <w:tcPr>
            <w:tcW w:w="4816"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996" w:type="dxa"/>
            <w:tcBorders>
              <w:top w:val="single" w:sz="4" w:space="0" w:color="auto"/>
              <w:left w:val="nil"/>
              <w:bottom w:val="single" w:sz="4" w:space="0" w:color="auto"/>
              <w:right w:val="single" w:sz="4" w:space="0" w:color="auto"/>
            </w:tcBorders>
            <w:shd w:val="clear" w:color="FFFFFF" w:fill="FFFFFF"/>
            <w:hideMark/>
          </w:tcPr>
          <w:p w:rsidR="007E1E1E" w:rsidRDefault="007E1E1E" w:rsidP="00B50E5D">
            <w:pPr>
              <w:jc w:val="center"/>
              <w:rPr>
                <w:rFonts w:cs="Calibri"/>
                <w:b/>
                <w:bCs/>
                <w:szCs w:val="18"/>
              </w:rPr>
            </w:pPr>
            <w:r>
              <w:rPr>
                <w:rFonts w:cs="Calibri"/>
                <w:b/>
                <w:bCs/>
                <w:szCs w:val="18"/>
              </w:rPr>
              <w:t xml:space="preserve">Education Investment Fund - Research Portfolio Special </w:t>
            </w:r>
            <w:proofErr w:type="spellStart"/>
            <w:r>
              <w:rPr>
                <w:rFonts w:cs="Calibri"/>
                <w:b/>
                <w:bCs/>
                <w:szCs w:val="18"/>
              </w:rPr>
              <w:t>Account</w:t>
            </w:r>
            <w:r>
              <w:rPr>
                <w:rFonts w:cs="Calibri"/>
                <w:b/>
                <w:bCs/>
                <w:szCs w:val="18"/>
                <w:vertAlign w:val="superscript"/>
              </w:rPr>
              <w:t>1</w:t>
            </w:r>
            <w:proofErr w:type="spellEnd"/>
          </w:p>
        </w:tc>
        <w:tc>
          <w:tcPr>
            <w:tcW w:w="1996" w:type="dxa"/>
            <w:tcBorders>
              <w:top w:val="single" w:sz="4" w:space="0" w:color="auto"/>
              <w:left w:val="nil"/>
              <w:bottom w:val="single" w:sz="4" w:space="0" w:color="auto"/>
              <w:right w:val="single" w:sz="4" w:space="0" w:color="auto"/>
            </w:tcBorders>
            <w:shd w:val="clear" w:color="FFFFFF" w:fill="FFFFFF"/>
            <w:hideMark/>
          </w:tcPr>
          <w:p w:rsidR="007E1E1E" w:rsidRDefault="007E1E1E" w:rsidP="00B50E5D">
            <w:pPr>
              <w:jc w:val="center"/>
              <w:rPr>
                <w:rFonts w:cs="Calibri"/>
                <w:b/>
                <w:bCs/>
                <w:szCs w:val="18"/>
              </w:rPr>
            </w:pPr>
            <w:r>
              <w:rPr>
                <w:rFonts w:cs="Calibri"/>
                <w:b/>
                <w:bCs/>
                <w:szCs w:val="18"/>
              </w:rPr>
              <w:t xml:space="preserve">Education Investment Fund - Education Portfolio Special </w:t>
            </w:r>
            <w:proofErr w:type="spellStart"/>
            <w:r>
              <w:rPr>
                <w:rFonts w:cs="Calibri"/>
                <w:b/>
                <w:bCs/>
                <w:szCs w:val="18"/>
              </w:rPr>
              <w:t>Account</w:t>
            </w:r>
            <w:r>
              <w:rPr>
                <w:rFonts w:cs="Calibri"/>
                <w:b/>
                <w:bCs/>
                <w:szCs w:val="18"/>
                <w:vertAlign w:val="superscript"/>
              </w:rPr>
              <w:t>2</w:t>
            </w:r>
            <w:proofErr w:type="spellEnd"/>
          </w:p>
        </w:tc>
        <w:tc>
          <w:tcPr>
            <w:tcW w:w="1996" w:type="dxa"/>
            <w:tcBorders>
              <w:top w:val="single" w:sz="4" w:space="0" w:color="auto"/>
              <w:left w:val="nil"/>
              <w:bottom w:val="single" w:sz="4" w:space="0" w:color="auto"/>
              <w:right w:val="single" w:sz="4" w:space="0" w:color="auto"/>
            </w:tcBorders>
            <w:shd w:val="clear" w:color="FFFFFF" w:fill="FFFFFF"/>
            <w:hideMark/>
          </w:tcPr>
          <w:p w:rsidR="007E1E1E" w:rsidRDefault="007E1E1E" w:rsidP="00B50E5D">
            <w:pPr>
              <w:jc w:val="center"/>
              <w:rPr>
                <w:rFonts w:cs="Calibri"/>
                <w:b/>
                <w:bCs/>
                <w:szCs w:val="18"/>
              </w:rPr>
            </w:pPr>
            <w:r>
              <w:rPr>
                <w:rFonts w:cs="Calibri"/>
                <w:b/>
                <w:bCs/>
                <w:szCs w:val="18"/>
              </w:rPr>
              <w:t xml:space="preserve">National Youth Affairs Research </w:t>
            </w:r>
            <w:proofErr w:type="spellStart"/>
            <w:r>
              <w:rPr>
                <w:rFonts w:cs="Calibri"/>
                <w:b/>
                <w:bCs/>
                <w:szCs w:val="18"/>
              </w:rPr>
              <w:t>Scheme</w:t>
            </w:r>
            <w:r>
              <w:rPr>
                <w:rFonts w:cs="Calibri"/>
                <w:b/>
                <w:bCs/>
                <w:szCs w:val="18"/>
                <w:vertAlign w:val="superscript"/>
              </w:rPr>
              <w:t>3</w:t>
            </w:r>
            <w:proofErr w:type="spellEnd"/>
          </w:p>
        </w:tc>
      </w:tr>
      <w:tr w:rsidR="007E1E1E" w:rsidTr="00B50E5D">
        <w:trPr>
          <w:trHeight w:val="255"/>
        </w:trPr>
        <w:tc>
          <w:tcPr>
            <w:tcW w:w="4816" w:type="dxa"/>
            <w:vMerge w:val="restart"/>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99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Cs w:val="18"/>
              </w:rPr>
            </w:pPr>
            <w:r>
              <w:rPr>
                <w:rFonts w:cs="Calibri"/>
                <w:b/>
                <w:bCs/>
                <w:szCs w:val="18"/>
              </w:rPr>
              <w:t>2014</w:t>
            </w:r>
          </w:p>
        </w:tc>
        <w:tc>
          <w:tcPr>
            <w:tcW w:w="199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Cs w:val="18"/>
              </w:rPr>
            </w:pPr>
            <w:r>
              <w:rPr>
                <w:rFonts w:cs="Calibri"/>
                <w:b/>
                <w:bCs/>
                <w:szCs w:val="18"/>
              </w:rPr>
              <w:t>2014</w:t>
            </w:r>
          </w:p>
        </w:tc>
        <w:tc>
          <w:tcPr>
            <w:tcW w:w="199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Cs w:val="18"/>
              </w:rPr>
            </w:pPr>
            <w:r>
              <w:rPr>
                <w:rFonts w:cs="Calibri"/>
                <w:b/>
                <w:bCs/>
                <w:szCs w:val="18"/>
              </w:rPr>
              <w:t>2014</w:t>
            </w:r>
          </w:p>
        </w:tc>
      </w:tr>
      <w:tr w:rsidR="007E1E1E" w:rsidTr="00B50E5D">
        <w:trPr>
          <w:trHeight w:val="255"/>
        </w:trPr>
        <w:tc>
          <w:tcPr>
            <w:tcW w:w="4816" w:type="dxa"/>
            <w:vMerge/>
            <w:tcBorders>
              <w:top w:val="nil"/>
              <w:left w:val="single" w:sz="4" w:space="0" w:color="auto"/>
              <w:bottom w:val="single" w:sz="4" w:space="0" w:color="auto"/>
              <w:right w:val="single" w:sz="4" w:space="0" w:color="auto"/>
            </w:tcBorders>
            <w:vAlign w:val="center"/>
            <w:hideMark/>
          </w:tcPr>
          <w:p w:rsidR="007E1E1E" w:rsidRDefault="007E1E1E" w:rsidP="00B50E5D">
            <w:pPr>
              <w:rPr>
                <w:rFonts w:cs="Calibri"/>
                <w:b/>
                <w:bCs/>
                <w:szCs w:val="18"/>
              </w:rPr>
            </w:pPr>
          </w:p>
        </w:tc>
        <w:tc>
          <w:tcPr>
            <w:tcW w:w="199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99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99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4816" w:type="dxa"/>
            <w:tcBorders>
              <w:top w:val="nil"/>
              <w:left w:val="single" w:sz="4" w:space="0" w:color="auto"/>
              <w:bottom w:val="single" w:sz="4" w:space="0" w:color="auto"/>
              <w:right w:val="single" w:sz="4" w:space="0" w:color="auto"/>
            </w:tcBorders>
            <w:shd w:val="clear" w:color="FFFFFF" w:fill="FFFFFF"/>
            <w:vAlign w:val="bottom"/>
            <w:hideMark/>
          </w:tcPr>
          <w:p w:rsidR="007E1E1E" w:rsidRDefault="007E1E1E" w:rsidP="00B50E5D">
            <w:pPr>
              <w:rPr>
                <w:rFonts w:cs="Calibri"/>
                <w:b/>
                <w:bCs/>
                <w:szCs w:val="18"/>
              </w:rPr>
            </w:pPr>
            <w:r>
              <w:rPr>
                <w:rFonts w:cs="Calibri"/>
                <w:b/>
                <w:bCs/>
                <w:szCs w:val="18"/>
              </w:rPr>
              <w:t>Balance brought forward from previous period</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4816" w:type="dxa"/>
            <w:tcBorders>
              <w:top w:val="nil"/>
              <w:left w:val="single" w:sz="4" w:space="0" w:color="auto"/>
              <w:bottom w:val="single" w:sz="4" w:space="0" w:color="auto"/>
              <w:right w:val="single" w:sz="4" w:space="0" w:color="auto"/>
            </w:tcBorders>
            <w:shd w:val="clear" w:color="FFFFFF" w:fill="FFFFFF"/>
            <w:vAlign w:val="bottom"/>
            <w:hideMark/>
          </w:tcPr>
          <w:p w:rsidR="007E1E1E" w:rsidRDefault="007E1E1E" w:rsidP="00B50E5D">
            <w:pPr>
              <w:rPr>
                <w:rFonts w:cs="Calibri"/>
                <w:b/>
                <w:bCs/>
                <w:szCs w:val="18"/>
              </w:rPr>
            </w:pPr>
            <w:r>
              <w:rPr>
                <w:rFonts w:cs="Calibri"/>
                <w:b/>
                <w:bCs/>
                <w:szCs w:val="18"/>
              </w:rPr>
              <w:t>Increases</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481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Appropriation credited to special account</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92,985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141,222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481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Transfer through restructuring</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251 </w:t>
            </w:r>
          </w:p>
        </w:tc>
      </w:tr>
      <w:tr w:rsidR="007E1E1E" w:rsidTr="00B50E5D">
        <w:trPr>
          <w:trHeight w:val="255"/>
        </w:trPr>
        <w:tc>
          <w:tcPr>
            <w:tcW w:w="4816" w:type="dxa"/>
            <w:tcBorders>
              <w:top w:val="nil"/>
              <w:left w:val="single" w:sz="4" w:space="0" w:color="auto"/>
              <w:bottom w:val="single" w:sz="4" w:space="0" w:color="auto"/>
              <w:right w:val="single" w:sz="4" w:space="0" w:color="auto"/>
            </w:tcBorders>
            <w:shd w:val="clear" w:color="FFFFFF" w:fill="FFFFFF"/>
            <w:vAlign w:val="bottom"/>
            <w:hideMark/>
          </w:tcPr>
          <w:p w:rsidR="007E1E1E" w:rsidRDefault="007E1E1E" w:rsidP="00B50E5D">
            <w:pPr>
              <w:rPr>
                <w:rFonts w:cs="Calibri"/>
                <w:b/>
                <w:bCs/>
                <w:i/>
                <w:iCs/>
                <w:szCs w:val="18"/>
              </w:rPr>
            </w:pPr>
            <w:r>
              <w:rPr>
                <w:rFonts w:cs="Calibri"/>
                <w:b/>
                <w:bCs/>
                <w:i/>
                <w:iCs/>
                <w:szCs w:val="18"/>
              </w:rPr>
              <w:t>Total increases</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92,985</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141,222</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251</w:t>
            </w:r>
          </w:p>
        </w:tc>
      </w:tr>
      <w:tr w:rsidR="007E1E1E" w:rsidTr="00B50E5D">
        <w:trPr>
          <w:trHeight w:val="255"/>
        </w:trPr>
        <w:tc>
          <w:tcPr>
            <w:tcW w:w="4816" w:type="dxa"/>
            <w:tcBorders>
              <w:top w:val="nil"/>
              <w:left w:val="single" w:sz="4" w:space="0" w:color="auto"/>
              <w:bottom w:val="single" w:sz="4" w:space="0" w:color="auto"/>
              <w:right w:val="single" w:sz="4" w:space="0" w:color="auto"/>
            </w:tcBorders>
            <w:shd w:val="clear" w:color="FFFFFF" w:fill="FFFFFF"/>
            <w:vAlign w:val="bottom"/>
            <w:hideMark/>
          </w:tcPr>
          <w:p w:rsidR="007E1E1E" w:rsidRDefault="007E1E1E" w:rsidP="00B50E5D">
            <w:pPr>
              <w:rPr>
                <w:rFonts w:cs="Calibri"/>
                <w:b/>
                <w:bCs/>
                <w:szCs w:val="18"/>
              </w:rPr>
            </w:pPr>
            <w:r>
              <w:rPr>
                <w:rFonts w:cs="Calibri"/>
                <w:b/>
                <w:bCs/>
                <w:szCs w:val="18"/>
              </w:rPr>
              <w:t>Available for payments</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92,985</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141,222</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251</w:t>
            </w:r>
          </w:p>
        </w:tc>
      </w:tr>
      <w:tr w:rsidR="007E1E1E" w:rsidTr="00B50E5D">
        <w:trPr>
          <w:trHeight w:val="255"/>
        </w:trPr>
        <w:tc>
          <w:tcPr>
            <w:tcW w:w="4816" w:type="dxa"/>
            <w:tcBorders>
              <w:top w:val="nil"/>
              <w:left w:val="single" w:sz="4" w:space="0" w:color="auto"/>
              <w:bottom w:val="single" w:sz="4" w:space="0" w:color="auto"/>
              <w:right w:val="single" w:sz="4" w:space="0" w:color="auto"/>
            </w:tcBorders>
            <w:shd w:val="clear" w:color="FFFFFF" w:fill="FFFFFF"/>
            <w:vAlign w:val="bottom"/>
            <w:hideMark/>
          </w:tcPr>
          <w:p w:rsidR="007E1E1E" w:rsidRDefault="007E1E1E" w:rsidP="00B50E5D">
            <w:pPr>
              <w:rPr>
                <w:rFonts w:cs="Calibri"/>
                <w:b/>
                <w:bCs/>
                <w:szCs w:val="18"/>
              </w:rPr>
            </w:pPr>
            <w:r>
              <w:rPr>
                <w:rFonts w:cs="Calibri"/>
                <w:b/>
                <w:bCs/>
                <w:szCs w:val="18"/>
              </w:rPr>
              <w:t>Decreases</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481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rPr>
                <w:rFonts w:cs="Calibri"/>
                <w:b/>
                <w:bCs/>
                <w:szCs w:val="18"/>
              </w:rPr>
            </w:pPr>
            <w:r>
              <w:rPr>
                <w:rFonts w:cs="Calibri"/>
                <w:b/>
                <w:bCs/>
                <w:szCs w:val="18"/>
              </w:rPr>
              <w:t>Departmental</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481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Transfer to the Official Public Account (</w:t>
            </w:r>
            <w:proofErr w:type="spellStart"/>
            <w:r>
              <w:rPr>
                <w:rFonts w:cs="Calibri"/>
                <w:szCs w:val="18"/>
              </w:rPr>
              <w:t>OPA</w:t>
            </w:r>
            <w:proofErr w:type="spellEnd"/>
            <w:r>
              <w:rPr>
                <w:rFonts w:cs="Calibri"/>
                <w:szCs w:val="18"/>
              </w:rPr>
              <w:t>)</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481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Other Payments</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4816" w:type="dxa"/>
            <w:tcBorders>
              <w:top w:val="nil"/>
              <w:left w:val="single" w:sz="4" w:space="0" w:color="auto"/>
              <w:bottom w:val="single" w:sz="4" w:space="0" w:color="auto"/>
              <w:right w:val="single" w:sz="4" w:space="0" w:color="auto"/>
            </w:tcBorders>
            <w:shd w:val="clear" w:color="FFFFFF" w:fill="FFFFFF"/>
            <w:vAlign w:val="bottom"/>
            <w:hideMark/>
          </w:tcPr>
          <w:p w:rsidR="007E1E1E" w:rsidRDefault="007E1E1E" w:rsidP="00B50E5D">
            <w:pPr>
              <w:rPr>
                <w:rFonts w:cs="Calibri"/>
                <w:b/>
                <w:bCs/>
                <w:i/>
                <w:iCs/>
                <w:szCs w:val="18"/>
              </w:rPr>
            </w:pPr>
            <w:r>
              <w:rPr>
                <w:rFonts w:cs="Calibri"/>
                <w:b/>
                <w:bCs/>
                <w:i/>
                <w:iCs/>
                <w:szCs w:val="18"/>
              </w:rPr>
              <w:t>Total Departmental</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4816" w:type="dxa"/>
            <w:tcBorders>
              <w:top w:val="nil"/>
              <w:left w:val="single" w:sz="4" w:space="0" w:color="auto"/>
              <w:bottom w:val="single" w:sz="4" w:space="0" w:color="auto"/>
              <w:right w:val="nil"/>
            </w:tcBorders>
            <w:shd w:val="clear" w:color="000000" w:fill="D9D9D9"/>
            <w:vAlign w:val="bottom"/>
            <w:hideMark/>
          </w:tcPr>
          <w:p w:rsidR="007E1E1E" w:rsidRDefault="007E1E1E" w:rsidP="00B50E5D">
            <w:pPr>
              <w:rPr>
                <w:rFonts w:cs="Calibri"/>
                <w:b/>
                <w:bCs/>
                <w:szCs w:val="18"/>
              </w:rPr>
            </w:pPr>
            <w:r>
              <w:rPr>
                <w:rFonts w:cs="Calibri"/>
                <w:b/>
                <w:bCs/>
                <w:szCs w:val="18"/>
              </w:rPr>
              <w:t>Administered</w:t>
            </w:r>
          </w:p>
        </w:tc>
        <w:tc>
          <w:tcPr>
            <w:tcW w:w="1996" w:type="dxa"/>
            <w:tcBorders>
              <w:top w:val="nil"/>
              <w:left w:val="single" w:sz="4" w:space="0" w:color="auto"/>
              <w:bottom w:val="single" w:sz="4" w:space="0" w:color="auto"/>
              <w:right w:val="single" w:sz="4" w:space="0" w:color="auto"/>
            </w:tcBorders>
            <w:shd w:val="clear" w:color="000000" w:fill="D9D9D9"/>
            <w:noWrap/>
            <w:vAlign w:val="bottom"/>
            <w:hideMark/>
          </w:tcPr>
          <w:p w:rsidR="007E1E1E" w:rsidRDefault="007E1E1E" w:rsidP="00B50E5D">
            <w:pPr>
              <w:rPr>
                <w:rFonts w:cs="Calibri"/>
                <w:b/>
                <w:bCs/>
                <w:szCs w:val="18"/>
              </w:rPr>
            </w:pPr>
            <w:r>
              <w:rPr>
                <w:rFonts w:cs="Calibri"/>
                <w:b/>
                <w:bCs/>
                <w:szCs w:val="18"/>
              </w:rPr>
              <w:t> </w:t>
            </w:r>
          </w:p>
        </w:tc>
        <w:tc>
          <w:tcPr>
            <w:tcW w:w="19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rPr>
                <w:rFonts w:cs="Calibri"/>
                <w:b/>
                <w:bCs/>
                <w:szCs w:val="18"/>
              </w:rPr>
            </w:pPr>
            <w:r>
              <w:rPr>
                <w:rFonts w:cs="Calibri"/>
                <w:b/>
                <w:bCs/>
                <w:szCs w:val="18"/>
              </w:rPr>
              <w:t> </w:t>
            </w:r>
          </w:p>
        </w:tc>
        <w:tc>
          <w:tcPr>
            <w:tcW w:w="19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rPr>
                <w:rFonts w:cs="Calibri"/>
                <w:b/>
                <w:bCs/>
                <w:szCs w:val="18"/>
              </w:rPr>
            </w:pPr>
            <w:r>
              <w:rPr>
                <w:rFonts w:cs="Calibri"/>
                <w:b/>
                <w:bCs/>
                <w:szCs w:val="18"/>
              </w:rPr>
              <w:t> </w:t>
            </w:r>
          </w:p>
        </w:tc>
      </w:tr>
      <w:tr w:rsidR="007E1E1E" w:rsidTr="00B50E5D">
        <w:trPr>
          <w:trHeight w:val="255"/>
        </w:trPr>
        <w:tc>
          <w:tcPr>
            <w:tcW w:w="4816" w:type="dxa"/>
            <w:tcBorders>
              <w:top w:val="nil"/>
              <w:left w:val="single" w:sz="4" w:space="0" w:color="auto"/>
              <w:bottom w:val="single" w:sz="4" w:space="0" w:color="auto"/>
              <w:right w:val="single" w:sz="4" w:space="0" w:color="auto"/>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Payments made</w:t>
            </w:r>
          </w:p>
        </w:tc>
        <w:tc>
          <w:tcPr>
            <w:tcW w:w="19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Cs w:val="18"/>
              </w:rPr>
            </w:pPr>
            <w:r>
              <w:rPr>
                <w:rFonts w:cs="Calibri"/>
                <w:b/>
                <w:bCs/>
                <w:szCs w:val="18"/>
              </w:rPr>
              <w:t>(92,985)</w:t>
            </w:r>
          </w:p>
        </w:tc>
        <w:tc>
          <w:tcPr>
            <w:tcW w:w="19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(141,222)</w:t>
            </w:r>
          </w:p>
        </w:tc>
        <w:tc>
          <w:tcPr>
            <w:tcW w:w="19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4816" w:type="dxa"/>
            <w:tcBorders>
              <w:top w:val="nil"/>
              <w:left w:val="single" w:sz="4" w:space="0" w:color="auto"/>
              <w:bottom w:val="single" w:sz="4" w:space="0" w:color="auto"/>
              <w:right w:val="single" w:sz="4" w:space="0" w:color="auto"/>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Transfer through restructuring</w:t>
            </w:r>
          </w:p>
        </w:tc>
        <w:tc>
          <w:tcPr>
            <w:tcW w:w="19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c>
          <w:tcPr>
            <w:tcW w:w="19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c>
          <w:tcPr>
            <w:tcW w:w="19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4816" w:type="dxa"/>
            <w:tcBorders>
              <w:top w:val="nil"/>
              <w:left w:val="single" w:sz="4" w:space="0" w:color="auto"/>
              <w:bottom w:val="single" w:sz="4" w:space="0" w:color="auto"/>
              <w:right w:val="nil"/>
            </w:tcBorders>
            <w:shd w:val="clear" w:color="000000" w:fill="D9D9D9"/>
            <w:vAlign w:val="bottom"/>
            <w:hideMark/>
          </w:tcPr>
          <w:p w:rsidR="007E1E1E" w:rsidRDefault="007E1E1E" w:rsidP="00B50E5D">
            <w:pPr>
              <w:rPr>
                <w:rFonts w:cs="Calibri"/>
                <w:b/>
                <w:bCs/>
                <w:szCs w:val="18"/>
              </w:rPr>
            </w:pPr>
            <w:r>
              <w:rPr>
                <w:rFonts w:cs="Calibri"/>
                <w:b/>
                <w:bCs/>
                <w:szCs w:val="18"/>
              </w:rPr>
              <w:t xml:space="preserve">Total Administered </w:t>
            </w:r>
          </w:p>
        </w:tc>
        <w:tc>
          <w:tcPr>
            <w:tcW w:w="1996" w:type="dxa"/>
            <w:tcBorders>
              <w:top w:val="nil"/>
              <w:left w:val="single" w:sz="4" w:space="0" w:color="auto"/>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Cs w:val="18"/>
              </w:rPr>
            </w:pPr>
            <w:r>
              <w:rPr>
                <w:rFonts w:cs="Calibri"/>
                <w:b/>
                <w:bCs/>
                <w:szCs w:val="18"/>
              </w:rPr>
              <w:t>(92,985)</w:t>
            </w:r>
          </w:p>
        </w:tc>
        <w:tc>
          <w:tcPr>
            <w:tcW w:w="19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Cs w:val="18"/>
              </w:rPr>
            </w:pPr>
            <w:r>
              <w:rPr>
                <w:rFonts w:cs="Calibri"/>
                <w:b/>
                <w:bCs/>
                <w:szCs w:val="18"/>
              </w:rPr>
              <w:t>(141,222)</w:t>
            </w:r>
          </w:p>
        </w:tc>
        <w:tc>
          <w:tcPr>
            <w:tcW w:w="19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4816" w:type="dxa"/>
            <w:tcBorders>
              <w:top w:val="nil"/>
              <w:left w:val="single" w:sz="4" w:space="0" w:color="auto"/>
              <w:bottom w:val="single" w:sz="4" w:space="0" w:color="auto"/>
              <w:right w:val="single" w:sz="4" w:space="0" w:color="auto"/>
            </w:tcBorders>
            <w:shd w:val="clear" w:color="FFFFFF" w:fill="FFFFFF"/>
            <w:vAlign w:val="bottom"/>
            <w:hideMark/>
          </w:tcPr>
          <w:p w:rsidR="007E1E1E" w:rsidRDefault="007E1E1E" w:rsidP="00B50E5D">
            <w:pPr>
              <w:rPr>
                <w:rFonts w:cs="Calibri"/>
                <w:b/>
                <w:bCs/>
                <w:i/>
                <w:iCs/>
                <w:szCs w:val="18"/>
              </w:rPr>
            </w:pPr>
            <w:r>
              <w:rPr>
                <w:rFonts w:cs="Calibri"/>
                <w:b/>
                <w:bCs/>
                <w:i/>
                <w:iCs/>
                <w:szCs w:val="18"/>
              </w:rPr>
              <w:t>Total decreases</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(92,985)</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(141,222)</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4816" w:type="dxa"/>
            <w:tcBorders>
              <w:top w:val="nil"/>
              <w:left w:val="single" w:sz="4" w:space="0" w:color="auto"/>
              <w:bottom w:val="single" w:sz="4" w:space="0" w:color="auto"/>
              <w:right w:val="single" w:sz="4" w:space="0" w:color="auto"/>
            </w:tcBorders>
            <w:shd w:val="clear" w:color="FFFFFF" w:fill="FFFFFF"/>
            <w:vAlign w:val="bottom"/>
            <w:hideMark/>
          </w:tcPr>
          <w:p w:rsidR="007E1E1E" w:rsidRDefault="007E1E1E" w:rsidP="00B50E5D">
            <w:pPr>
              <w:rPr>
                <w:rFonts w:cs="Calibri"/>
                <w:b/>
                <w:bCs/>
                <w:i/>
                <w:iCs/>
                <w:szCs w:val="18"/>
              </w:rPr>
            </w:pPr>
            <w:r>
              <w:rPr>
                <w:rFonts w:cs="Calibri"/>
                <w:b/>
                <w:bCs/>
                <w:i/>
                <w:iCs/>
                <w:szCs w:val="18"/>
              </w:rPr>
              <w:t>Total balance carried to the next period</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251</w:t>
            </w:r>
          </w:p>
        </w:tc>
      </w:tr>
    </w:tbl>
    <w:p w:rsidR="007E1E1E" w:rsidRDefault="007E1E1E" w:rsidP="007E1E1E">
      <w:bookmarkStart w:id="462" w:name="RANGE!D9:J30"/>
      <w:bookmarkEnd w:id="462"/>
    </w:p>
    <w:p w:rsidR="007E1E1E" w:rsidRDefault="007E1E1E" w:rsidP="007E1E1E">
      <w:pPr>
        <w:spacing w:line="240" w:lineRule="auto"/>
        <w:rPr>
          <w:b/>
        </w:rPr>
      </w:pPr>
      <w:r>
        <w:rPr>
          <w:b/>
        </w:rPr>
        <w:br w:type="page"/>
      </w:r>
    </w:p>
    <w:tbl>
      <w:tblPr>
        <w:tblW w:w="13991" w:type="dxa"/>
        <w:tblInd w:w="80" w:type="dxa"/>
        <w:tblLayout w:type="fixed"/>
        <w:tblLook w:val="04A0" w:firstRow="1" w:lastRow="0" w:firstColumn="1" w:lastColumn="0" w:noHBand="0" w:noVBand="1"/>
      </w:tblPr>
      <w:tblGrid>
        <w:gridCol w:w="6236"/>
        <w:gridCol w:w="2585"/>
        <w:gridCol w:w="2585"/>
        <w:gridCol w:w="2585"/>
      </w:tblGrid>
      <w:tr w:rsidR="007E1E1E" w:rsidTr="00B50E5D">
        <w:trPr>
          <w:trHeight w:val="255"/>
        </w:trPr>
        <w:tc>
          <w:tcPr>
            <w:tcW w:w="481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463" w:name="Note_SACTABLE2" w:colFirst="0" w:colLast="0"/>
            <w:r>
              <w:rPr>
                <w:rFonts w:cs="Calibri"/>
                <w:b/>
                <w:bCs/>
                <w:szCs w:val="18"/>
                <w:u w:val="single"/>
              </w:rPr>
              <w:lastRenderedPageBreak/>
              <w:t xml:space="preserve">Note </w:t>
            </w:r>
            <w:proofErr w:type="spellStart"/>
            <w:r>
              <w:rPr>
                <w:rFonts w:cs="Calibri"/>
                <w:b/>
                <w:bCs/>
                <w:szCs w:val="18"/>
                <w:u w:val="single"/>
              </w:rPr>
              <w:t>30A</w:t>
            </w:r>
            <w:proofErr w:type="spellEnd"/>
            <w:r>
              <w:rPr>
                <w:rFonts w:cs="Calibri"/>
                <w:b/>
                <w:bCs/>
                <w:szCs w:val="18"/>
                <w:u w:val="single"/>
              </w:rPr>
              <w:t>: Special Accounts ('Recoverable GST exclusive')</w:t>
            </w:r>
          </w:p>
        </w:tc>
        <w:tc>
          <w:tcPr>
            <w:tcW w:w="1996" w:type="dxa"/>
            <w:tcBorders>
              <w:top w:val="nil"/>
              <w:left w:val="nil"/>
              <w:bottom w:val="nil"/>
              <w:right w:val="nil"/>
            </w:tcBorders>
            <w:shd w:val="clear" w:color="auto" w:fill="auto"/>
            <w:noWrap/>
            <w:vAlign w:val="bottom"/>
            <w:hideMark/>
          </w:tcPr>
          <w:p w:rsidR="007E1E1E" w:rsidRDefault="007E1E1E" w:rsidP="00B50E5D">
            <w:pPr>
              <w:rPr>
                <w:rFonts w:ascii="Arial" w:hAnsi="Arial" w:cs="Arial"/>
                <w:sz w:val="20"/>
              </w:rPr>
            </w:pPr>
          </w:p>
        </w:tc>
        <w:tc>
          <w:tcPr>
            <w:tcW w:w="1996" w:type="dxa"/>
            <w:tcBorders>
              <w:top w:val="nil"/>
              <w:left w:val="nil"/>
              <w:bottom w:val="nil"/>
              <w:right w:val="nil"/>
            </w:tcBorders>
            <w:shd w:val="clear" w:color="auto" w:fill="auto"/>
            <w:noWrap/>
            <w:vAlign w:val="bottom"/>
            <w:hideMark/>
          </w:tcPr>
          <w:p w:rsidR="007E1E1E" w:rsidRDefault="007E1E1E" w:rsidP="00B50E5D">
            <w:pPr>
              <w:rPr>
                <w:rFonts w:ascii="Arial" w:hAnsi="Arial" w:cs="Arial"/>
                <w:sz w:val="20"/>
              </w:rPr>
            </w:pPr>
          </w:p>
        </w:tc>
        <w:tc>
          <w:tcPr>
            <w:tcW w:w="1996" w:type="dxa"/>
            <w:tcBorders>
              <w:top w:val="nil"/>
              <w:left w:val="nil"/>
              <w:bottom w:val="nil"/>
              <w:right w:val="nil"/>
            </w:tcBorders>
            <w:shd w:val="clear" w:color="auto" w:fill="auto"/>
            <w:noWrap/>
            <w:vAlign w:val="bottom"/>
            <w:hideMark/>
          </w:tcPr>
          <w:p w:rsidR="007E1E1E" w:rsidRDefault="007E1E1E" w:rsidP="00B50E5D">
            <w:pPr>
              <w:rPr>
                <w:rFonts w:ascii="Arial" w:hAnsi="Arial" w:cs="Arial"/>
                <w:sz w:val="20"/>
              </w:rPr>
            </w:pPr>
          </w:p>
        </w:tc>
      </w:tr>
      <w:bookmarkEnd w:id="463"/>
      <w:tr w:rsidR="007E1E1E" w:rsidTr="00B50E5D">
        <w:trPr>
          <w:trHeight w:val="255"/>
        </w:trPr>
        <w:tc>
          <w:tcPr>
            <w:tcW w:w="4816" w:type="dxa"/>
            <w:tcBorders>
              <w:top w:val="nil"/>
              <w:left w:val="nil"/>
              <w:bottom w:val="nil"/>
              <w:right w:val="nil"/>
            </w:tcBorders>
            <w:shd w:val="clear" w:color="FFFFFF" w:fill="FFFFFF"/>
            <w:noWrap/>
            <w:vAlign w:val="bottom"/>
            <w:hideMark/>
          </w:tcPr>
          <w:p w:rsidR="007E1E1E" w:rsidRDefault="007E1E1E" w:rsidP="00B50E5D">
            <w:pPr>
              <w:rPr>
                <w:rFonts w:cs="Calibri"/>
                <w:sz w:val="20"/>
              </w:rPr>
            </w:pPr>
            <w:r>
              <w:rPr>
                <w:rFonts w:cs="Calibri"/>
                <w:sz w:val="20"/>
              </w:rPr>
              <w:t> </w:t>
            </w:r>
          </w:p>
        </w:tc>
        <w:tc>
          <w:tcPr>
            <w:tcW w:w="1996" w:type="dxa"/>
            <w:tcBorders>
              <w:top w:val="nil"/>
              <w:left w:val="nil"/>
              <w:bottom w:val="nil"/>
              <w:right w:val="nil"/>
            </w:tcBorders>
            <w:shd w:val="clear" w:color="FFFFFF" w:fill="FFFFFF"/>
            <w:noWrap/>
            <w:vAlign w:val="bottom"/>
            <w:hideMark/>
          </w:tcPr>
          <w:p w:rsidR="007E1E1E" w:rsidRDefault="007E1E1E" w:rsidP="00B50E5D">
            <w:pPr>
              <w:rPr>
                <w:rFonts w:cs="Calibri"/>
                <w:sz w:val="20"/>
              </w:rPr>
            </w:pPr>
            <w:r>
              <w:rPr>
                <w:rFonts w:cs="Calibri"/>
                <w:sz w:val="20"/>
              </w:rPr>
              <w:t> </w:t>
            </w:r>
          </w:p>
        </w:tc>
        <w:tc>
          <w:tcPr>
            <w:tcW w:w="1996" w:type="dxa"/>
            <w:tcBorders>
              <w:top w:val="nil"/>
              <w:left w:val="nil"/>
              <w:bottom w:val="nil"/>
              <w:right w:val="nil"/>
            </w:tcBorders>
            <w:shd w:val="clear" w:color="FFFFFF" w:fill="FFFFFF"/>
            <w:noWrap/>
            <w:vAlign w:val="bottom"/>
            <w:hideMark/>
          </w:tcPr>
          <w:p w:rsidR="007E1E1E" w:rsidRDefault="007E1E1E" w:rsidP="00B50E5D">
            <w:pPr>
              <w:rPr>
                <w:rFonts w:cs="Calibri"/>
                <w:sz w:val="20"/>
              </w:rPr>
            </w:pPr>
            <w:r>
              <w:rPr>
                <w:rFonts w:cs="Calibri"/>
                <w:sz w:val="20"/>
              </w:rPr>
              <w:t> </w:t>
            </w:r>
          </w:p>
        </w:tc>
        <w:tc>
          <w:tcPr>
            <w:tcW w:w="1996" w:type="dxa"/>
            <w:tcBorders>
              <w:top w:val="nil"/>
              <w:left w:val="nil"/>
              <w:bottom w:val="nil"/>
              <w:right w:val="nil"/>
            </w:tcBorders>
            <w:shd w:val="clear" w:color="FFFFFF" w:fill="FFFFFF"/>
            <w:noWrap/>
            <w:vAlign w:val="bottom"/>
            <w:hideMark/>
          </w:tcPr>
          <w:p w:rsidR="007E1E1E" w:rsidRDefault="007E1E1E" w:rsidP="00B50E5D">
            <w:pPr>
              <w:rPr>
                <w:rFonts w:cs="Calibri"/>
                <w:sz w:val="20"/>
              </w:rPr>
            </w:pPr>
            <w:r>
              <w:rPr>
                <w:rFonts w:cs="Calibri"/>
                <w:sz w:val="20"/>
              </w:rPr>
              <w:t> </w:t>
            </w:r>
          </w:p>
        </w:tc>
      </w:tr>
      <w:tr w:rsidR="007E1E1E" w:rsidTr="00B50E5D">
        <w:trPr>
          <w:trHeight w:val="840"/>
        </w:trPr>
        <w:tc>
          <w:tcPr>
            <w:tcW w:w="4816" w:type="dxa"/>
            <w:tcBorders>
              <w:top w:val="single" w:sz="4" w:space="0" w:color="auto"/>
              <w:left w:val="single" w:sz="4" w:space="0" w:color="auto"/>
              <w:bottom w:val="single" w:sz="4" w:space="0" w:color="auto"/>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996" w:type="dxa"/>
            <w:tcBorders>
              <w:top w:val="single" w:sz="4" w:space="0" w:color="auto"/>
              <w:left w:val="single" w:sz="4" w:space="0" w:color="auto"/>
              <w:bottom w:val="single" w:sz="4" w:space="0" w:color="auto"/>
              <w:right w:val="single" w:sz="4" w:space="0" w:color="auto"/>
            </w:tcBorders>
            <w:shd w:val="clear" w:color="FFFFFF" w:fill="FFFFFF"/>
            <w:hideMark/>
          </w:tcPr>
          <w:p w:rsidR="007E1E1E" w:rsidRDefault="007E1E1E" w:rsidP="00B50E5D">
            <w:pPr>
              <w:jc w:val="center"/>
              <w:rPr>
                <w:rFonts w:cs="Calibri"/>
                <w:b/>
                <w:bCs/>
                <w:szCs w:val="18"/>
              </w:rPr>
            </w:pPr>
            <w:r>
              <w:rPr>
                <w:rFonts w:cs="Calibri"/>
                <w:b/>
                <w:bCs/>
                <w:szCs w:val="18"/>
              </w:rPr>
              <w:t xml:space="preserve">Early Years Quality </w:t>
            </w:r>
            <w:proofErr w:type="spellStart"/>
            <w:r>
              <w:rPr>
                <w:rFonts w:cs="Calibri"/>
                <w:b/>
                <w:bCs/>
                <w:szCs w:val="18"/>
              </w:rPr>
              <w:t>Fund</w:t>
            </w:r>
            <w:r>
              <w:rPr>
                <w:rFonts w:cs="Calibri"/>
                <w:b/>
                <w:bCs/>
                <w:szCs w:val="18"/>
                <w:vertAlign w:val="superscript"/>
              </w:rPr>
              <w:t>4</w:t>
            </w:r>
            <w:proofErr w:type="spellEnd"/>
          </w:p>
        </w:tc>
        <w:tc>
          <w:tcPr>
            <w:tcW w:w="1996" w:type="dxa"/>
            <w:tcBorders>
              <w:top w:val="single" w:sz="4" w:space="0" w:color="auto"/>
              <w:left w:val="nil"/>
              <w:bottom w:val="single" w:sz="4" w:space="0" w:color="auto"/>
              <w:right w:val="single" w:sz="4" w:space="0" w:color="auto"/>
            </w:tcBorders>
            <w:shd w:val="clear" w:color="FFFFFF" w:fill="FFFFFF"/>
            <w:hideMark/>
          </w:tcPr>
          <w:p w:rsidR="007E1E1E" w:rsidRDefault="007E1E1E" w:rsidP="00B50E5D">
            <w:pPr>
              <w:jc w:val="center"/>
              <w:rPr>
                <w:rFonts w:cs="Calibri"/>
                <w:b/>
                <w:bCs/>
                <w:szCs w:val="18"/>
              </w:rPr>
            </w:pPr>
            <w:r>
              <w:rPr>
                <w:rFonts w:cs="Calibri"/>
                <w:b/>
                <w:bCs/>
                <w:szCs w:val="18"/>
              </w:rPr>
              <w:t xml:space="preserve">Overseas Student Tuition </w:t>
            </w:r>
            <w:proofErr w:type="spellStart"/>
            <w:r>
              <w:rPr>
                <w:rFonts w:cs="Calibri"/>
                <w:b/>
                <w:bCs/>
                <w:szCs w:val="18"/>
              </w:rPr>
              <w:t>Fund</w:t>
            </w:r>
            <w:r>
              <w:rPr>
                <w:rFonts w:cs="Calibri"/>
                <w:b/>
                <w:bCs/>
                <w:szCs w:val="18"/>
                <w:vertAlign w:val="superscript"/>
              </w:rPr>
              <w:t>5</w:t>
            </w:r>
            <w:proofErr w:type="spellEnd"/>
          </w:p>
        </w:tc>
        <w:tc>
          <w:tcPr>
            <w:tcW w:w="1996" w:type="dxa"/>
            <w:tcBorders>
              <w:top w:val="single" w:sz="4" w:space="0" w:color="auto"/>
              <w:left w:val="nil"/>
              <w:bottom w:val="single" w:sz="4" w:space="0" w:color="auto"/>
              <w:right w:val="single" w:sz="4" w:space="0" w:color="auto"/>
            </w:tcBorders>
            <w:shd w:val="clear" w:color="FFFFFF" w:fill="FFFFFF"/>
            <w:hideMark/>
          </w:tcPr>
          <w:p w:rsidR="007E1E1E" w:rsidRDefault="007E1E1E" w:rsidP="00B50E5D">
            <w:pPr>
              <w:jc w:val="center"/>
              <w:rPr>
                <w:rFonts w:cs="Calibri"/>
                <w:b/>
                <w:bCs/>
                <w:szCs w:val="18"/>
              </w:rPr>
            </w:pPr>
            <w:r>
              <w:rPr>
                <w:rFonts w:cs="Calibri"/>
                <w:b/>
                <w:bCs/>
                <w:szCs w:val="18"/>
              </w:rPr>
              <w:t xml:space="preserve">Services for Other Entities and Trust </w:t>
            </w:r>
            <w:proofErr w:type="spellStart"/>
            <w:r>
              <w:rPr>
                <w:rFonts w:cs="Calibri"/>
                <w:b/>
                <w:bCs/>
                <w:szCs w:val="18"/>
              </w:rPr>
              <w:t>Money</w:t>
            </w:r>
            <w:r>
              <w:rPr>
                <w:rFonts w:cs="Calibri"/>
                <w:b/>
                <w:bCs/>
                <w:szCs w:val="18"/>
                <w:vertAlign w:val="superscript"/>
              </w:rPr>
              <w:t>6</w:t>
            </w:r>
            <w:proofErr w:type="spellEnd"/>
          </w:p>
        </w:tc>
      </w:tr>
      <w:tr w:rsidR="007E1E1E" w:rsidTr="00B50E5D">
        <w:trPr>
          <w:trHeight w:val="255"/>
        </w:trPr>
        <w:tc>
          <w:tcPr>
            <w:tcW w:w="4816" w:type="dxa"/>
            <w:vMerge w:val="restart"/>
            <w:tcBorders>
              <w:top w:val="nil"/>
              <w:left w:val="single" w:sz="4" w:space="0" w:color="auto"/>
              <w:bottom w:val="single" w:sz="4" w:space="0" w:color="auto"/>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996" w:type="dxa"/>
            <w:tcBorders>
              <w:top w:val="nil"/>
              <w:left w:val="single" w:sz="4" w:space="0" w:color="auto"/>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Cs w:val="18"/>
              </w:rPr>
            </w:pPr>
            <w:r>
              <w:rPr>
                <w:rFonts w:cs="Calibri"/>
                <w:b/>
                <w:bCs/>
                <w:szCs w:val="18"/>
              </w:rPr>
              <w:t>2014</w:t>
            </w:r>
          </w:p>
        </w:tc>
        <w:tc>
          <w:tcPr>
            <w:tcW w:w="199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Cs w:val="18"/>
              </w:rPr>
            </w:pPr>
            <w:r>
              <w:rPr>
                <w:rFonts w:cs="Calibri"/>
                <w:b/>
                <w:bCs/>
                <w:szCs w:val="18"/>
              </w:rPr>
              <w:t>2014</w:t>
            </w:r>
          </w:p>
        </w:tc>
        <w:tc>
          <w:tcPr>
            <w:tcW w:w="199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Cs w:val="18"/>
              </w:rPr>
            </w:pPr>
            <w:r>
              <w:rPr>
                <w:rFonts w:cs="Calibri"/>
                <w:b/>
                <w:bCs/>
                <w:szCs w:val="18"/>
              </w:rPr>
              <w:t>2014</w:t>
            </w:r>
          </w:p>
        </w:tc>
      </w:tr>
      <w:tr w:rsidR="007E1E1E" w:rsidTr="00B50E5D">
        <w:trPr>
          <w:trHeight w:val="255"/>
        </w:trPr>
        <w:tc>
          <w:tcPr>
            <w:tcW w:w="4816" w:type="dxa"/>
            <w:vMerge/>
            <w:tcBorders>
              <w:top w:val="nil"/>
              <w:left w:val="single" w:sz="4" w:space="0" w:color="auto"/>
              <w:bottom w:val="single" w:sz="4" w:space="0" w:color="auto"/>
              <w:right w:val="nil"/>
            </w:tcBorders>
            <w:vAlign w:val="center"/>
            <w:hideMark/>
          </w:tcPr>
          <w:p w:rsidR="007E1E1E" w:rsidRDefault="007E1E1E" w:rsidP="00B50E5D">
            <w:pPr>
              <w:rPr>
                <w:rFonts w:cs="Calibri"/>
                <w:b/>
                <w:bCs/>
                <w:szCs w:val="18"/>
              </w:rPr>
            </w:pPr>
          </w:p>
        </w:tc>
        <w:tc>
          <w:tcPr>
            <w:tcW w:w="1996" w:type="dxa"/>
            <w:tcBorders>
              <w:top w:val="nil"/>
              <w:left w:val="single" w:sz="4" w:space="0" w:color="auto"/>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99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99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481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Balance brought forward from previous period</w:t>
            </w:r>
          </w:p>
        </w:tc>
        <w:tc>
          <w:tcPr>
            <w:tcW w:w="19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481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Increases</w:t>
            </w:r>
          </w:p>
        </w:tc>
        <w:tc>
          <w:tcPr>
            <w:tcW w:w="19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4816" w:type="dxa"/>
            <w:tcBorders>
              <w:top w:val="nil"/>
              <w:left w:val="single" w:sz="4" w:space="0" w:color="auto"/>
              <w:bottom w:val="single" w:sz="4" w:space="0" w:color="auto"/>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Appropriations credited to special account</w:t>
            </w:r>
          </w:p>
        </w:tc>
        <w:tc>
          <w:tcPr>
            <w:tcW w:w="19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4816" w:type="dxa"/>
            <w:tcBorders>
              <w:top w:val="nil"/>
              <w:left w:val="single" w:sz="4" w:space="0" w:color="auto"/>
              <w:bottom w:val="single" w:sz="4" w:space="0" w:color="auto"/>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Costs recovered</w:t>
            </w:r>
          </w:p>
        </w:tc>
        <w:tc>
          <w:tcPr>
            <w:tcW w:w="19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6,518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6,852 </w:t>
            </w:r>
          </w:p>
        </w:tc>
      </w:tr>
      <w:tr w:rsidR="007E1E1E" w:rsidTr="00B50E5D">
        <w:trPr>
          <w:trHeight w:val="255"/>
        </w:trPr>
        <w:tc>
          <w:tcPr>
            <w:tcW w:w="4816" w:type="dxa"/>
            <w:tcBorders>
              <w:top w:val="nil"/>
              <w:left w:val="single" w:sz="4" w:space="0" w:color="auto"/>
              <w:bottom w:val="single" w:sz="4" w:space="0" w:color="auto"/>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Transfer through restructuring</w:t>
            </w:r>
          </w:p>
        </w:tc>
        <w:tc>
          <w:tcPr>
            <w:tcW w:w="19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135,000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5,847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4,042 </w:t>
            </w:r>
          </w:p>
        </w:tc>
      </w:tr>
      <w:tr w:rsidR="007E1E1E" w:rsidTr="00B50E5D">
        <w:trPr>
          <w:trHeight w:val="255"/>
        </w:trPr>
        <w:tc>
          <w:tcPr>
            <w:tcW w:w="481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increases</w:t>
            </w:r>
          </w:p>
        </w:tc>
        <w:tc>
          <w:tcPr>
            <w:tcW w:w="19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135,000</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12,365</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10,894</w:t>
            </w:r>
          </w:p>
        </w:tc>
      </w:tr>
      <w:tr w:rsidR="007E1E1E" w:rsidTr="00B50E5D">
        <w:trPr>
          <w:trHeight w:val="255"/>
        </w:trPr>
        <w:tc>
          <w:tcPr>
            <w:tcW w:w="481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Available for payments</w:t>
            </w:r>
          </w:p>
        </w:tc>
        <w:tc>
          <w:tcPr>
            <w:tcW w:w="19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135,000</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12,365</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10,894</w:t>
            </w:r>
          </w:p>
        </w:tc>
      </w:tr>
      <w:tr w:rsidR="007E1E1E" w:rsidTr="00B50E5D">
        <w:trPr>
          <w:trHeight w:val="255"/>
        </w:trPr>
        <w:tc>
          <w:tcPr>
            <w:tcW w:w="481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Decreases</w:t>
            </w:r>
          </w:p>
        </w:tc>
        <w:tc>
          <w:tcPr>
            <w:tcW w:w="19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4816" w:type="dxa"/>
            <w:tcBorders>
              <w:top w:val="nil"/>
              <w:left w:val="single" w:sz="4" w:space="0" w:color="auto"/>
              <w:bottom w:val="single" w:sz="4" w:space="0" w:color="auto"/>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Departmental</w:t>
            </w:r>
          </w:p>
        </w:tc>
        <w:tc>
          <w:tcPr>
            <w:tcW w:w="19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w:t>
            </w:r>
          </w:p>
        </w:tc>
      </w:tr>
      <w:tr w:rsidR="007E1E1E" w:rsidTr="00B50E5D">
        <w:trPr>
          <w:trHeight w:val="255"/>
        </w:trPr>
        <w:tc>
          <w:tcPr>
            <w:tcW w:w="4816" w:type="dxa"/>
            <w:tcBorders>
              <w:top w:val="nil"/>
              <w:left w:val="single" w:sz="4" w:space="0" w:color="auto"/>
              <w:bottom w:val="single" w:sz="4" w:space="0" w:color="auto"/>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Transfer to the Official Public Account (</w:t>
            </w:r>
            <w:proofErr w:type="spellStart"/>
            <w:r>
              <w:rPr>
                <w:rFonts w:cs="Calibri"/>
                <w:szCs w:val="18"/>
              </w:rPr>
              <w:t>OPA</w:t>
            </w:r>
            <w:proofErr w:type="spellEnd"/>
            <w:r>
              <w:rPr>
                <w:rFonts w:cs="Calibri"/>
                <w:szCs w:val="18"/>
              </w:rPr>
              <w:t>)</w:t>
            </w:r>
          </w:p>
        </w:tc>
        <w:tc>
          <w:tcPr>
            <w:tcW w:w="19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4816" w:type="dxa"/>
            <w:tcBorders>
              <w:top w:val="nil"/>
              <w:left w:val="single" w:sz="4" w:space="0" w:color="auto"/>
              <w:bottom w:val="single" w:sz="4" w:space="0" w:color="auto"/>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Other Payments</w:t>
            </w:r>
          </w:p>
        </w:tc>
        <w:tc>
          <w:tcPr>
            <w:tcW w:w="19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481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Departmental</w:t>
            </w:r>
          </w:p>
        </w:tc>
        <w:tc>
          <w:tcPr>
            <w:tcW w:w="19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4816" w:type="dxa"/>
            <w:tcBorders>
              <w:top w:val="nil"/>
              <w:left w:val="single" w:sz="4" w:space="0" w:color="auto"/>
              <w:bottom w:val="single" w:sz="4" w:space="0" w:color="auto"/>
              <w:right w:val="nil"/>
            </w:tcBorders>
            <w:shd w:val="clear" w:color="000000" w:fill="D9D9D9"/>
            <w:vAlign w:val="bottom"/>
            <w:hideMark/>
          </w:tcPr>
          <w:p w:rsidR="007E1E1E" w:rsidRDefault="007E1E1E" w:rsidP="00B50E5D">
            <w:pPr>
              <w:rPr>
                <w:rFonts w:cs="Calibri"/>
                <w:b/>
                <w:bCs/>
                <w:szCs w:val="18"/>
              </w:rPr>
            </w:pPr>
            <w:r>
              <w:rPr>
                <w:rFonts w:cs="Calibri"/>
                <w:b/>
                <w:bCs/>
                <w:szCs w:val="18"/>
              </w:rPr>
              <w:t>Administered</w:t>
            </w:r>
          </w:p>
        </w:tc>
        <w:tc>
          <w:tcPr>
            <w:tcW w:w="1996" w:type="dxa"/>
            <w:tcBorders>
              <w:top w:val="nil"/>
              <w:left w:val="single" w:sz="4" w:space="0" w:color="auto"/>
              <w:bottom w:val="single" w:sz="4" w:space="0" w:color="auto"/>
              <w:right w:val="single" w:sz="4" w:space="0" w:color="auto"/>
            </w:tcBorders>
            <w:shd w:val="clear" w:color="000000" w:fill="D9D9D9"/>
            <w:noWrap/>
            <w:vAlign w:val="bottom"/>
            <w:hideMark/>
          </w:tcPr>
          <w:p w:rsidR="007E1E1E" w:rsidRDefault="007E1E1E" w:rsidP="00B50E5D">
            <w:pPr>
              <w:rPr>
                <w:rFonts w:cs="Calibri"/>
                <w:b/>
                <w:bCs/>
                <w:szCs w:val="18"/>
              </w:rPr>
            </w:pPr>
            <w:r>
              <w:rPr>
                <w:rFonts w:cs="Calibri"/>
                <w:b/>
                <w:bCs/>
                <w:szCs w:val="18"/>
              </w:rPr>
              <w:t> </w:t>
            </w:r>
          </w:p>
        </w:tc>
        <w:tc>
          <w:tcPr>
            <w:tcW w:w="19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rPr>
                <w:rFonts w:cs="Calibri"/>
                <w:b/>
                <w:bCs/>
                <w:szCs w:val="18"/>
              </w:rPr>
            </w:pPr>
            <w:r>
              <w:rPr>
                <w:rFonts w:cs="Calibri"/>
                <w:b/>
                <w:bCs/>
                <w:szCs w:val="18"/>
              </w:rPr>
              <w:t> </w:t>
            </w:r>
          </w:p>
        </w:tc>
        <w:tc>
          <w:tcPr>
            <w:tcW w:w="19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rPr>
                <w:rFonts w:cs="Calibri"/>
                <w:b/>
                <w:bCs/>
                <w:szCs w:val="18"/>
              </w:rPr>
            </w:pPr>
            <w:r>
              <w:rPr>
                <w:rFonts w:cs="Calibri"/>
                <w:b/>
                <w:bCs/>
                <w:szCs w:val="18"/>
              </w:rPr>
              <w:t> </w:t>
            </w:r>
          </w:p>
        </w:tc>
      </w:tr>
      <w:tr w:rsidR="007E1E1E" w:rsidTr="00B50E5D">
        <w:trPr>
          <w:trHeight w:val="255"/>
        </w:trPr>
        <w:tc>
          <w:tcPr>
            <w:tcW w:w="4816" w:type="dxa"/>
            <w:tcBorders>
              <w:top w:val="nil"/>
              <w:left w:val="single" w:sz="4" w:space="0" w:color="auto"/>
              <w:bottom w:val="single" w:sz="4" w:space="0" w:color="auto"/>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Payments made</w:t>
            </w:r>
          </w:p>
        </w:tc>
        <w:tc>
          <w:tcPr>
            <w:tcW w:w="1996" w:type="dxa"/>
            <w:tcBorders>
              <w:top w:val="nil"/>
              <w:left w:val="single" w:sz="4" w:space="0" w:color="auto"/>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Cs w:val="18"/>
              </w:rPr>
            </w:pPr>
            <w:r>
              <w:rPr>
                <w:rFonts w:cs="Calibri"/>
                <w:b/>
                <w:bCs/>
                <w:szCs w:val="18"/>
              </w:rPr>
              <w:t>(62,703)</w:t>
            </w:r>
          </w:p>
        </w:tc>
        <w:tc>
          <w:tcPr>
            <w:tcW w:w="19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(208)</w:t>
            </w:r>
          </w:p>
        </w:tc>
        <w:tc>
          <w:tcPr>
            <w:tcW w:w="19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Cs w:val="18"/>
              </w:rPr>
            </w:pPr>
            <w:r>
              <w:rPr>
                <w:rFonts w:cs="Calibri"/>
                <w:b/>
                <w:bCs/>
                <w:szCs w:val="18"/>
              </w:rPr>
              <w:t>(4,001)</w:t>
            </w:r>
          </w:p>
        </w:tc>
      </w:tr>
      <w:tr w:rsidR="007E1E1E" w:rsidTr="00B50E5D">
        <w:trPr>
          <w:trHeight w:val="255"/>
        </w:trPr>
        <w:tc>
          <w:tcPr>
            <w:tcW w:w="4816" w:type="dxa"/>
            <w:tcBorders>
              <w:top w:val="nil"/>
              <w:left w:val="single" w:sz="4" w:space="0" w:color="auto"/>
              <w:bottom w:val="single" w:sz="4" w:space="0" w:color="auto"/>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Transfer through restructuring</w:t>
            </w:r>
          </w:p>
        </w:tc>
        <w:tc>
          <w:tcPr>
            <w:tcW w:w="1996" w:type="dxa"/>
            <w:tcBorders>
              <w:top w:val="nil"/>
              <w:left w:val="single" w:sz="4" w:space="0" w:color="auto"/>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c>
          <w:tcPr>
            <w:tcW w:w="19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c>
          <w:tcPr>
            <w:tcW w:w="19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Cs w:val="18"/>
              </w:rPr>
            </w:pPr>
            <w:r>
              <w:rPr>
                <w:rFonts w:cs="Calibri"/>
                <w:b/>
                <w:bCs/>
                <w:szCs w:val="18"/>
              </w:rPr>
              <w:t>(305)</w:t>
            </w:r>
          </w:p>
        </w:tc>
      </w:tr>
      <w:tr w:rsidR="007E1E1E" w:rsidTr="00B50E5D">
        <w:trPr>
          <w:trHeight w:val="255"/>
        </w:trPr>
        <w:tc>
          <w:tcPr>
            <w:tcW w:w="4816" w:type="dxa"/>
            <w:tcBorders>
              <w:top w:val="nil"/>
              <w:left w:val="single" w:sz="4" w:space="0" w:color="auto"/>
              <w:bottom w:val="single" w:sz="4" w:space="0" w:color="auto"/>
              <w:right w:val="nil"/>
            </w:tcBorders>
            <w:shd w:val="clear" w:color="000000" w:fill="D9D9D9"/>
            <w:vAlign w:val="bottom"/>
            <w:hideMark/>
          </w:tcPr>
          <w:p w:rsidR="007E1E1E" w:rsidRDefault="007E1E1E" w:rsidP="00B50E5D">
            <w:pPr>
              <w:rPr>
                <w:rFonts w:cs="Calibri"/>
                <w:b/>
                <w:bCs/>
                <w:szCs w:val="18"/>
              </w:rPr>
            </w:pPr>
            <w:r>
              <w:rPr>
                <w:rFonts w:cs="Calibri"/>
                <w:b/>
                <w:bCs/>
                <w:szCs w:val="18"/>
              </w:rPr>
              <w:t>Total Administered</w:t>
            </w:r>
          </w:p>
        </w:tc>
        <w:tc>
          <w:tcPr>
            <w:tcW w:w="1996" w:type="dxa"/>
            <w:tcBorders>
              <w:top w:val="nil"/>
              <w:left w:val="single" w:sz="4" w:space="0" w:color="auto"/>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Cs w:val="18"/>
              </w:rPr>
            </w:pPr>
            <w:r>
              <w:rPr>
                <w:rFonts w:cs="Calibri"/>
                <w:b/>
                <w:bCs/>
                <w:szCs w:val="18"/>
              </w:rPr>
              <w:t>(62,703)</w:t>
            </w:r>
          </w:p>
        </w:tc>
        <w:tc>
          <w:tcPr>
            <w:tcW w:w="19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Cs w:val="18"/>
              </w:rPr>
            </w:pPr>
            <w:r>
              <w:rPr>
                <w:rFonts w:cs="Calibri"/>
                <w:b/>
                <w:bCs/>
                <w:szCs w:val="18"/>
              </w:rPr>
              <w:t>(208)</w:t>
            </w:r>
          </w:p>
        </w:tc>
        <w:tc>
          <w:tcPr>
            <w:tcW w:w="19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Cs w:val="18"/>
              </w:rPr>
            </w:pPr>
            <w:r>
              <w:rPr>
                <w:rFonts w:cs="Calibri"/>
                <w:b/>
                <w:bCs/>
                <w:szCs w:val="18"/>
              </w:rPr>
              <w:t>(4,306)</w:t>
            </w:r>
          </w:p>
        </w:tc>
      </w:tr>
      <w:tr w:rsidR="007E1E1E" w:rsidTr="00B50E5D">
        <w:trPr>
          <w:trHeight w:val="255"/>
        </w:trPr>
        <w:tc>
          <w:tcPr>
            <w:tcW w:w="481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decreases</w:t>
            </w:r>
          </w:p>
        </w:tc>
        <w:tc>
          <w:tcPr>
            <w:tcW w:w="19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(62,703)</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(208)</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(4,306)</w:t>
            </w:r>
          </w:p>
        </w:tc>
      </w:tr>
      <w:tr w:rsidR="007E1E1E" w:rsidTr="00B50E5D">
        <w:trPr>
          <w:trHeight w:val="255"/>
        </w:trPr>
        <w:tc>
          <w:tcPr>
            <w:tcW w:w="481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balance carried to the next period</w:t>
            </w:r>
          </w:p>
        </w:tc>
        <w:tc>
          <w:tcPr>
            <w:tcW w:w="19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72,297</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12,157</w:t>
            </w:r>
          </w:p>
        </w:tc>
        <w:tc>
          <w:tcPr>
            <w:tcW w:w="19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6,588</w:t>
            </w:r>
          </w:p>
        </w:tc>
      </w:tr>
    </w:tbl>
    <w:p w:rsidR="007E1E1E" w:rsidRDefault="007E1E1E" w:rsidP="007E1E1E">
      <w:r>
        <w:rPr>
          <w:b/>
        </w:rPr>
        <w:br w:type="page"/>
      </w:r>
    </w:p>
    <w:p w:rsidR="007E1E1E" w:rsidRDefault="007E1E1E" w:rsidP="007E1E1E">
      <w:pPr>
        <w:spacing w:line="240" w:lineRule="auto"/>
        <w:sectPr w:rsidR="007E1E1E">
          <w:pgSz w:w="16838" w:h="11906" w:orient="landscape"/>
          <w:pgMar w:top="1134" w:right="1134" w:bottom="1134" w:left="1134" w:header="958" w:footer="737" w:gutter="0"/>
          <w:cols w:space="720"/>
        </w:sectPr>
      </w:pPr>
      <w:bookmarkStart w:id="464" w:name="RANGE!D31:J56"/>
      <w:bookmarkEnd w:id="464"/>
    </w:p>
    <w:p w:rsidR="007E1E1E" w:rsidRDefault="007E1E1E" w:rsidP="007E1E1E"/>
    <w:tbl>
      <w:tblPr>
        <w:tblW w:w="9072" w:type="dxa"/>
        <w:tblLook w:val="04A0" w:firstRow="1" w:lastRow="0" w:firstColumn="1" w:lastColumn="0" w:noHBand="0" w:noVBand="1"/>
      </w:tblPr>
      <w:tblGrid>
        <w:gridCol w:w="9072"/>
      </w:tblGrid>
      <w:tr w:rsidR="007E1E1E" w:rsidTr="00B50E5D">
        <w:trPr>
          <w:trHeight w:val="255"/>
        </w:trPr>
        <w:tc>
          <w:tcPr>
            <w:tcW w:w="9072" w:type="dxa"/>
            <w:shd w:val="clear" w:color="auto" w:fill="FFFFFF"/>
            <w:vAlign w:val="bottom"/>
            <w:hideMark/>
          </w:tcPr>
          <w:p w:rsidR="007E1E1E" w:rsidRDefault="007E1E1E" w:rsidP="00B50E5D">
            <w:pPr>
              <w:spacing w:line="240" w:lineRule="auto"/>
              <w:rPr>
                <w:rFonts w:cs="Arial"/>
                <w:szCs w:val="18"/>
                <w:lang w:eastAsia="en-AU"/>
              </w:rPr>
            </w:pPr>
            <w:r>
              <w:rPr>
                <w:rFonts w:cs="Arial"/>
                <w:szCs w:val="18"/>
                <w:vertAlign w:val="superscript"/>
                <w:lang w:eastAsia="en-AU"/>
              </w:rPr>
              <w:t xml:space="preserve">1 </w:t>
            </w:r>
            <w:r w:rsidRPr="00975BAD">
              <w:rPr>
                <w:rFonts w:cs="Arial"/>
                <w:szCs w:val="18"/>
                <w:lang w:eastAsia="en-AU"/>
              </w:rPr>
              <w:t xml:space="preserve">Education Investment Fund </w:t>
            </w:r>
            <w:r>
              <w:rPr>
                <w:rFonts w:cs="Arial"/>
                <w:szCs w:val="18"/>
                <w:lang w:eastAsia="en-AU"/>
              </w:rPr>
              <w:t>–</w:t>
            </w:r>
            <w:r w:rsidRPr="00975BAD">
              <w:rPr>
                <w:rFonts w:cs="Arial"/>
                <w:szCs w:val="18"/>
                <w:lang w:eastAsia="en-AU"/>
              </w:rPr>
              <w:t xml:space="preserve"> Research Portfolio Spe</w:t>
            </w:r>
            <w:r>
              <w:rPr>
                <w:rFonts w:cs="Arial"/>
                <w:szCs w:val="18"/>
                <w:lang w:eastAsia="en-AU"/>
              </w:rPr>
              <w:t>cial Account</w:t>
            </w:r>
          </w:p>
          <w:p w:rsidR="007E1E1E" w:rsidRDefault="007E1E1E" w:rsidP="00B50E5D">
            <w:pPr>
              <w:spacing w:line="240" w:lineRule="auto"/>
              <w:rPr>
                <w:rFonts w:cs="Arial"/>
                <w:szCs w:val="18"/>
                <w:lang w:eastAsia="en-AU"/>
              </w:rPr>
            </w:pPr>
            <w:r>
              <w:rPr>
                <w:rFonts w:cs="Arial"/>
                <w:szCs w:val="18"/>
                <w:lang w:eastAsia="en-AU"/>
              </w:rPr>
              <w:t>Appropriation:</w:t>
            </w:r>
            <w:r>
              <w:rPr>
                <w:rFonts w:cs="Arial"/>
                <w:i/>
                <w:iCs/>
                <w:szCs w:val="18"/>
                <w:lang w:eastAsia="en-AU"/>
              </w:rPr>
              <w:t xml:space="preserve"> Financial Management and Accountability Act 1997; </w:t>
            </w:r>
            <w:r>
              <w:rPr>
                <w:rFonts w:cs="Arial"/>
                <w:iCs/>
                <w:szCs w:val="18"/>
                <w:lang w:eastAsia="en-AU"/>
              </w:rPr>
              <w:t>section 21</w:t>
            </w:r>
          </w:p>
        </w:tc>
      </w:tr>
      <w:tr w:rsidR="007E1E1E" w:rsidTr="00B50E5D">
        <w:trPr>
          <w:trHeight w:val="255"/>
        </w:trPr>
        <w:tc>
          <w:tcPr>
            <w:tcW w:w="9072" w:type="dxa"/>
            <w:shd w:val="clear" w:color="auto" w:fill="FFFFFF"/>
            <w:vAlign w:val="bottom"/>
            <w:hideMark/>
          </w:tcPr>
          <w:p w:rsidR="007E1E1E" w:rsidRDefault="007E1E1E" w:rsidP="00B50E5D">
            <w:pPr>
              <w:spacing w:line="240" w:lineRule="auto"/>
              <w:rPr>
                <w:rFonts w:cs="Arial"/>
                <w:szCs w:val="18"/>
                <w:lang w:eastAsia="en-AU"/>
              </w:rPr>
            </w:pPr>
            <w:r>
              <w:rPr>
                <w:rFonts w:cs="Arial"/>
                <w:szCs w:val="18"/>
                <w:lang w:eastAsia="en-AU"/>
              </w:rPr>
              <w:t>Establishing Instrument:</w:t>
            </w:r>
            <w:r>
              <w:rPr>
                <w:rFonts w:cs="Arial"/>
                <w:i/>
                <w:iCs/>
                <w:szCs w:val="18"/>
                <w:lang w:eastAsia="en-AU"/>
              </w:rPr>
              <w:t xml:space="preserve"> Nation-building Funds Act 2008 No. 154 of 2008</w:t>
            </w:r>
          </w:p>
        </w:tc>
      </w:tr>
      <w:tr w:rsidR="007E1E1E" w:rsidTr="00B50E5D">
        <w:trPr>
          <w:trHeight w:val="255"/>
        </w:trPr>
        <w:tc>
          <w:tcPr>
            <w:tcW w:w="9072" w:type="dxa"/>
            <w:shd w:val="clear" w:color="auto" w:fill="FFFFFF"/>
            <w:vAlign w:val="bottom"/>
            <w:hideMark/>
          </w:tcPr>
          <w:p w:rsidR="007E1E1E" w:rsidRDefault="007E1E1E" w:rsidP="00B50E5D">
            <w:pPr>
              <w:spacing w:line="240" w:lineRule="auto"/>
              <w:rPr>
                <w:rFonts w:cs="Arial"/>
                <w:iCs/>
                <w:szCs w:val="18"/>
                <w:lang w:eastAsia="en-AU"/>
              </w:rPr>
            </w:pPr>
            <w:r>
              <w:rPr>
                <w:rFonts w:cs="Arial"/>
                <w:iCs/>
                <w:szCs w:val="18"/>
                <w:lang w:eastAsia="en-AU"/>
              </w:rPr>
              <w:t>Purpose:  To make grants of financial assistance in relation to the creation and development of research infrastructure.</w:t>
            </w:r>
          </w:p>
        </w:tc>
      </w:tr>
    </w:tbl>
    <w:p w:rsidR="007E1E1E" w:rsidRDefault="007E1E1E" w:rsidP="007E1E1E"/>
    <w:tbl>
      <w:tblPr>
        <w:tblW w:w="9072" w:type="dxa"/>
        <w:tblLook w:val="04A0" w:firstRow="1" w:lastRow="0" w:firstColumn="1" w:lastColumn="0" w:noHBand="0" w:noVBand="1"/>
      </w:tblPr>
      <w:tblGrid>
        <w:gridCol w:w="9072"/>
      </w:tblGrid>
      <w:tr w:rsidR="007E1E1E" w:rsidTr="00B50E5D">
        <w:trPr>
          <w:trHeight w:val="255"/>
        </w:trPr>
        <w:tc>
          <w:tcPr>
            <w:tcW w:w="9072" w:type="dxa"/>
            <w:shd w:val="clear" w:color="auto" w:fill="FFFFFF"/>
            <w:vAlign w:val="bottom"/>
            <w:hideMark/>
          </w:tcPr>
          <w:p w:rsidR="007E1E1E" w:rsidRDefault="007E1E1E" w:rsidP="00B50E5D">
            <w:pPr>
              <w:spacing w:line="240" w:lineRule="auto"/>
              <w:rPr>
                <w:rFonts w:cs="Arial"/>
                <w:szCs w:val="18"/>
                <w:lang w:eastAsia="en-AU"/>
              </w:rPr>
            </w:pPr>
            <w:r>
              <w:rPr>
                <w:rFonts w:cs="Arial"/>
                <w:szCs w:val="18"/>
                <w:vertAlign w:val="superscript"/>
                <w:lang w:eastAsia="en-AU"/>
              </w:rPr>
              <w:t xml:space="preserve">2 </w:t>
            </w:r>
            <w:r w:rsidRPr="00975BAD">
              <w:rPr>
                <w:rFonts w:cs="Arial"/>
                <w:szCs w:val="18"/>
                <w:lang w:eastAsia="en-AU"/>
              </w:rPr>
              <w:t xml:space="preserve">Education Investment Fund </w:t>
            </w:r>
            <w:r>
              <w:rPr>
                <w:rFonts w:cs="Arial"/>
                <w:szCs w:val="18"/>
                <w:lang w:eastAsia="en-AU"/>
              </w:rPr>
              <w:t>–</w:t>
            </w:r>
            <w:r w:rsidRPr="00975BAD">
              <w:rPr>
                <w:rFonts w:cs="Arial"/>
                <w:szCs w:val="18"/>
                <w:lang w:eastAsia="en-AU"/>
              </w:rPr>
              <w:t xml:space="preserve"> Educ</w:t>
            </w:r>
            <w:r>
              <w:rPr>
                <w:rFonts w:cs="Arial"/>
                <w:szCs w:val="18"/>
                <w:lang w:eastAsia="en-AU"/>
              </w:rPr>
              <w:t>ation Portfolio Special Account</w:t>
            </w:r>
          </w:p>
          <w:p w:rsidR="007E1E1E" w:rsidRDefault="007E1E1E" w:rsidP="00B50E5D">
            <w:pPr>
              <w:spacing w:line="240" w:lineRule="auto"/>
              <w:rPr>
                <w:rFonts w:cs="Arial"/>
                <w:szCs w:val="18"/>
                <w:lang w:eastAsia="en-AU"/>
              </w:rPr>
            </w:pPr>
            <w:r>
              <w:rPr>
                <w:rFonts w:cs="Arial"/>
                <w:szCs w:val="18"/>
                <w:lang w:eastAsia="en-AU"/>
              </w:rPr>
              <w:t xml:space="preserve">Appropriation: </w:t>
            </w:r>
            <w:r>
              <w:rPr>
                <w:rFonts w:cs="Arial"/>
                <w:i/>
                <w:iCs/>
                <w:szCs w:val="18"/>
                <w:lang w:eastAsia="en-AU"/>
              </w:rPr>
              <w:t xml:space="preserve">Financial Management and Accountability Act 1997; </w:t>
            </w:r>
            <w:r>
              <w:rPr>
                <w:rFonts w:cs="Arial"/>
                <w:iCs/>
                <w:szCs w:val="18"/>
                <w:lang w:eastAsia="en-AU"/>
              </w:rPr>
              <w:t>section 21</w:t>
            </w:r>
          </w:p>
        </w:tc>
      </w:tr>
      <w:tr w:rsidR="007E1E1E" w:rsidTr="00B50E5D">
        <w:trPr>
          <w:trHeight w:val="255"/>
        </w:trPr>
        <w:tc>
          <w:tcPr>
            <w:tcW w:w="9072" w:type="dxa"/>
            <w:shd w:val="clear" w:color="auto" w:fill="FFFFFF"/>
            <w:vAlign w:val="bottom"/>
            <w:hideMark/>
          </w:tcPr>
          <w:p w:rsidR="007E1E1E" w:rsidRDefault="007E1E1E" w:rsidP="00B50E5D">
            <w:pPr>
              <w:spacing w:line="240" w:lineRule="auto"/>
              <w:rPr>
                <w:rFonts w:cs="Arial"/>
                <w:szCs w:val="18"/>
                <w:lang w:eastAsia="en-AU"/>
              </w:rPr>
            </w:pPr>
            <w:r>
              <w:rPr>
                <w:rFonts w:cs="Arial"/>
                <w:szCs w:val="18"/>
                <w:lang w:eastAsia="en-AU"/>
              </w:rPr>
              <w:t>Establishing Instrument:</w:t>
            </w:r>
            <w:r>
              <w:rPr>
                <w:rFonts w:cs="Arial"/>
                <w:i/>
                <w:iCs/>
                <w:szCs w:val="18"/>
                <w:lang w:eastAsia="en-AU"/>
              </w:rPr>
              <w:t xml:space="preserve"> Nation-building Funds Act 2008 No. 154 of </w:t>
            </w:r>
            <w:r>
              <w:rPr>
                <w:rFonts w:cs="Arial"/>
                <w:iCs/>
                <w:szCs w:val="18"/>
                <w:lang w:eastAsia="en-AU"/>
              </w:rPr>
              <w:t>2008</w:t>
            </w:r>
          </w:p>
        </w:tc>
      </w:tr>
      <w:tr w:rsidR="007E1E1E" w:rsidTr="00B50E5D">
        <w:trPr>
          <w:trHeight w:val="255"/>
        </w:trPr>
        <w:tc>
          <w:tcPr>
            <w:tcW w:w="9072" w:type="dxa"/>
            <w:shd w:val="clear" w:color="auto" w:fill="FFFFFF"/>
            <w:vAlign w:val="bottom"/>
            <w:hideMark/>
          </w:tcPr>
          <w:p w:rsidR="007E1E1E" w:rsidRDefault="007E1E1E" w:rsidP="00B50E5D">
            <w:pPr>
              <w:spacing w:line="240" w:lineRule="auto"/>
              <w:rPr>
                <w:rFonts w:cs="Arial"/>
                <w:iCs/>
                <w:szCs w:val="18"/>
                <w:lang w:eastAsia="en-AU"/>
              </w:rPr>
            </w:pPr>
            <w:r>
              <w:rPr>
                <w:rFonts w:cs="Arial"/>
                <w:iCs/>
                <w:szCs w:val="18"/>
                <w:lang w:eastAsia="en-AU"/>
              </w:rPr>
              <w:t xml:space="preserve">Purpose:  To make grants of financial assistance to eligible higher education institutions in relation to capital expenditure and research facilities. </w:t>
            </w:r>
          </w:p>
        </w:tc>
      </w:tr>
    </w:tbl>
    <w:p w:rsidR="007E1E1E" w:rsidRDefault="007E1E1E" w:rsidP="007E1E1E"/>
    <w:tbl>
      <w:tblPr>
        <w:tblW w:w="9072" w:type="dxa"/>
        <w:tblLook w:val="04A0" w:firstRow="1" w:lastRow="0" w:firstColumn="1" w:lastColumn="0" w:noHBand="0" w:noVBand="1"/>
      </w:tblPr>
      <w:tblGrid>
        <w:gridCol w:w="9072"/>
      </w:tblGrid>
      <w:tr w:rsidR="007E1E1E" w:rsidTr="00B50E5D">
        <w:trPr>
          <w:trHeight w:val="290"/>
        </w:trPr>
        <w:tc>
          <w:tcPr>
            <w:tcW w:w="9072" w:type="dxa"/>
            <w:shd w:val="clear" w:color="auto" w:fill="FFFFFF"/>
            <w:vAlign w:val="bottom"/>
            <w:hideMark/>
          </w:tcPr>
          <w:p w:rsidR="007E1E1E" w:rsidRDefault="007E1E1E" w:rsidP="00B50E5D">
            <w:pPr>
              <w:spacing w:line="240" w:lineRule="auto"/>
              <w:rPr>
                <w:rFonts w:cs="Arial"/>
                <w:szCs w:val="18"/>
                <w:lang w:eastAsia="en-AU"/>
              </w:rPr>
            </w:pPr>
            <w:r>
              <w:rPr>
                <w:rFonts w:cs="Arial"/>
                <w:szCs w:val="18"/>
                <w:vertAlign w:val="superscript"/>
                <w:lang w:eastAsia="en-AU"/>
              </w:rPr>
              <w:t xml:space="preserve">3 </w:t>
            </w:r>
            <w:r>
              <w:rPr>
                <w:rFonts w:cs="Arial"/>
                <w:szCs w:val="18"/>
                <w:lang w:eastAsia="en-AU"/>
              </w:rPr>
              <w:t>National Youth Affairs Research Scheme Special Account</w:t>
            </w:r>
          </w:p>
          <w:p w:rsidR="007E1E1E" w:rsidRDefault="007E1E1E" w:rsidP="00B50E5D">
            <w:pPr>
              <w:spacing w:line="240" w:lineRule="auto"/>
              <w:rPr>
                <w:rFonts w:cs="Arial"/>
                <w:szCs w:val="18"/>
                <w:lang w:eastAsia="en-AU"/>
              </w:rPr>
            </w:pPr>
            <w:r>
              <w:rPr>
                <w:rFonts w:cs="Arial"/>
                <w:szCs w:val="18"/>
                <w:vertAlign w:val="superscript"/>
                <w:lang w:eastAsia="en-AU"/>
              </w:rPr>
              <w:t xml:space="preserve"> </w:t>
            </w:r>
            <w:r>
              <w:rPr>
                <w:rFonts w:cs="Arial"/>
                <w:szCs w:val="18"/>
                <w:lang w:eastAsia="en-AU"/>
              </w:rPr>
              <w:t xml:space="preserve">Appropriation: </w:t>
            </w:r>
            <w:r>
              <w:rPr>
                <w:rFonts w:cs="Arial"/>
                <w:i/>
                <w:iCs/>
                <w:szCs w:val="18"/>
                <w:lang w:eastAsia="en-AU"/>
              </w:rPr>
              <w:t>Financial Management and Accountability Act 1997; section 20</w:t>
            </w:r>
          </w:p>
        </w:tc>
      </w:tr>
      <w:tr w:rsidR="007E1E1E" w:rsidTr="00B50E5D">
        <w:trPr>
          <w:trHeight w:val="255"/>
        </w:trPr>
        <w:tc>
          <w:tcPr>
            <w:tcW w:w="9072" w:type="dxa"/>
            <w:shd w:val="clear" w:color="auto" w:fill="FFFFFF"/>
            <w:vAlign w:val="bottom"/>
            <w:hideMark/>
          </w:tcPr>
          <w:p w:rsidR="007E1E1E" w:rsidRDefault="007E1E1E" w:rsidP="00B50E5D">
            <w:pPr>
              <w:spacing w:line="240" w:lineRule="auto"/>
              <w:rPr>
                <w:rFonts w:cs="Arial"/>
                <w:szCs w:val="18"/>
                <w:lang w:eastAsia="en-AU"/>
              </w:rPr>
            </w:pPr>
            <w:r>
              <w:rPr>
                <w:rFonts w:cs="Arial"/>
                <w:szCs w:val="18"/>
                <w:lang w:eastAsia="en-AU"/>
              </w:rPr>
              <w:t>Establishing Instrument:</w:t>
            </w:r>
            <w:r>
              <w:rPr>
                <w:rFonts w:cs="Arial"/>
                <w:iCs/>
                <w:szCs w:val="18"/>
                <w:lang w:eastAsia="en-AU"/>
              </w:rPr>
              <w:t xml:space="preserve"> </w:t>
            </w:r>
            <w:r>
              <w:rPr>
                <w:rFonts w:cs="Arial"/>
                <w:i/>
                <w:iCs/>
                <w:szCs w:val="18"/>
                <w:lang w:eastAsia="en-AU"/>
              </w:rPr>
              <w:t xml:space="preserve">Financial Management and Accountability Determination 2006/45 </w:t>
            </w:r>
            <w:r>
              <w:rPr>
                <w:rFonts w:cs="Arial"/>
                <w:iCs/>
                <w:szCs w:val="18"/>
                <w:lang w:eastAsia="en-AU"/>
              </w:rPr>
              <w:t>on 22 August 2006.</w:t>
            </w:r>
          </w:p>
        </w:tc>
      </w:tr>
      <w:tr w:rsidR="007E1E1E" w:rsidTr="00B50E5D">
        <w:trPr>
          <w:trHeight w:val="255"/>
        </w:trPr>
        <w:tc>
          <w:tcPr>
            <w:tcW w:w="9072" w:type="dxa"/>
            <w:shd w:val="clear" w:color="auto" w:fill="FFFFFF"/>
            <w:hideMark/>
          </w:tcPr>
          <w:p w:rsidR="007E1E1E" w:rsidRDefault="007E1E1E" w:rsidP="00B50E5D">
            <w:pPr>
              <w:spacing w:line="240" w:lineRule="auto"/>
              <w:rPr>
                <w:rFonts w:cs="Arial"/>
                <w:iCs/>
                <w:szCs w:val="18"/>
                <w:lang w:eastAsia="en-AU"/>
              </w:rPr>
            </w:pPr>
            <w:r>
              <w:rPr>
                <w:rFonts w:cs="Arial"/>
                <w:iCs/>
                <w:szCs w:val="18"/>
                <w:lang w:eastAsia="en-AU"/>
              </w:rPr>
              <w:t>Purpose: For the receipt of monies from state governments to meet expenditure in respect of the National Youth Affairs Research Scheme.</w:t>
            </w:r>
          </w:p>
        </w:tc>
      </w:tr>
    </w:tbl>
    <w:p w:rsidR="007E1E1E" w:rsidRDefault="007E1E1E" w:rsidP="007E1E1E"/>
    <w:tbl>
      <w:tblPr>
        <w:tblW w:w="9072" w:type="dxa"/>
        <w:tblLook w:val="04A0" w:firstRow="1" w:lastRow="0" w:firstColumn="1" w:lastColumn="0" w:noHBand="0" w:noVBand="1"/>
      </w:tblPr>
      <w:tblGrid>
        <w:gridCol w:w="9072"/>
      </w:tblGrid>
      <w:tr w:rsidR="007E1E1E" w:rsidTr="00B50E5D">
        <w:trPr>
          <w:trHeight w:val="255"/>
        </w:trPr>
        <w:tc>
          <w:tcPr>
            <w:tcW w:w="9072" w:type="dxa"/>
            <w:shd w:val="clear" w:color="auto" w:fill="FFFFFF"/>
            <w:vAlign w:val="bottom"/>
            <w:hideMark/>
          </w:tcPr>
          <w:p w:rsidR="007E1E1E" w:rsidRDefault="007E1E1E" w:rsidP="00B50E5D">
            <w:pPr>
              <w:spacing w:line="240" w:lineRule="auto"/>
              <w:rPr>
                <w:rFonts w:cs="Arial"/>
                <w:iCs/>
                <w:szCs w:val="18"/>
                <w:lang w:eastAsia="en-AU"/>
              </w:rPr>
            </w:pPr>
            <w:r>
              <w:rPr>
                <w:rFonts w:cs="Arial"/>
                <w:iCs/>
                <w:szCs w:val="18"/>
                <w:vertAlign w:val="superscript"/>
                <w:lang w:eastAsia="en-AU"/>
              </w:rPr>
              <w:t xml:space="preserve">4 </w:t>
            </w:r>
            <w:r>
              <w:rPr>
                <w:rFonts w:cs="Arial"/>
                <w:iCs/>
                <w:szCs w:val="18"/>
                <w:lang w:eastAsia="en-AU"/>
              </w:rPr>
              <w:t>Early Years Quality Fund Special Account</w:t>
            </w:r>
          </w:p>
          <w:p w:rsidR="007E1E1E" w:rsidRDefault="007E1E1E" w:rsidP="00B50E5D">
            <w:pPr>
              <w:spacing w:line="240" w:lineRule="auto"/>
              <w:rPr>
                <w:rFonts w:cs="Arial"/>
                <w:i/>
                <w:iCs/>
                <w:szCs w:val="18"/>
                <w:lang w:eastAsia="en-AU"/>
              </w:rPr>
            </w:pPr>
            <w:r>
              <w:rPr>
                <w:rFonts w:cs="Arial"/>
                <w:iCs/>
                <w:szCs w:val="18"/>
                <w:lang w:eastAsia="en-AU"/>
              </w:rPr>
              <w:t>Appropriation:</w:t>
            </w:r>
            <w:r>
              <w:rPr>
                <w:rFonts w:cs="Arial"/>
                <w:i/>
                <w:iCs/>
                <w:szCs w:val="18"/>
                <w:lang w:eastAsia="en-AU"/>
              </w:rPr>
              <w:t xml:space="preserve"> Financial Management and Accountability Act 1997; </w:t>
            </w:r>
            <w:r>
              <w:rPr>
                <w:rFonts w:cs="Arial"/>
                <w:iCs/>
                <w:szCs w:val="18"/>
                <w:lang w:eastAsia="en-AU"/>
              </w:rPr>
              <w:t>section 21</w:t>
            </w:r>
          </w:p>
        </w:tc>
      </w:tr>
      <w:tr w:rsidR="007E1E1E" w:rsidTr="00B50E5D">
        <w:trPr>
          <w:trHeight w:val="255"/>
        </w:trPr>
        <w:tc>
          <w:tcPr>
            <w:tcW w:w="9072" w:type="dxa"/>
            <w:shd w:val="clear" w:color="auto" w:fill="FFFFFF"/>
            <w:vAlign w:val="bottom"/>
            <w:hideMark/>
          </w:tcPr>
          <w:p w:rsidR="007E1E1E" w:rsidRDefault="007E1E1E" w:rsidP="00B50E5D">
            <w:pPr>
              <w:spacing w:line="240" w:lineRule="auto"/>
              <w:rPr>
                <w:rFonts w:cs="Arial"/>
                <w:i/>
                <w:iCs/>
                <w:szCs w:val="18"/>
                <w:lang w:eastAsia="en-AU"/>
              </w:rPr>
            </w:pPr>
            <w:r>
              <w:rPr>
                <w:rFonts w:cs="Arial"/>
                <w:iCs/>
                <w:szCs w:val="18"/>
                <w:lang w:eastAsia="en-AU"/>
              </w:rPr>
              <w:t>Establishing Instrument:</w:t>
            </w:r>
            <w:r>
              <w:rPr>
                <w:rFonts w:cs="Arial"/>
                <w:szCs w:val="18"/>
                <w:lang w:eastAsia="en-AU"/>
              </w:rPr>
              <w:t xml:space="preserve"> </w:t>
            </w:r>
            <w:r>
              <w:rPr>
                <w:rFonts w:cs="Arial"/>
                <w:i/>
                <w:iCs/>
                <w:szCs w:val="18"/>
                <w:lang w:eastAsia="en-AU"/>
              </w:rPr>
              <w:t xml:space="preserve"> Early Years Quality Fund Special Account Act 2013</w:t>
            </w:r>
          </w:p>
        </w:tc>
      </w:tr>
      <w:tr w:rsidR="007E1E1E" w:rsidTr="00B50E5D">
        <w:trPr>
          <w:trHeight w:val="255"/>
        </w:trPr>
        <w:tc>
          <w:tcPr>
            <w:tcW w:w="9072" w:type="dxa"/>
            <w:shd w:val="clear" w:color="auto" w:fill="FFFFFF"/>
            <w:vAlign w:val="bottom"/>
            <w:hideMark/>
          </w:tcPr>
          <w:p w:rsidR="007E1E1E" w:rsidRDefault="007E1E1E" w:rsidP="00B50E5D">
            <w:pPr>
              <w:spacing w:line="240" w:lineRule="auto"/>
              <w:rPr>
                <w:rFonts w:cs="Arial"/>
                <w:i/>
                <w:iCs/>
                <w:szCs w:val="18"/>
                <w:lang w:eastAsia="en-AU"/>
              </w:rPr>
            </w:pPr>
            <w:r>
              <w:rPr>
                <w:rFonts w:cs="Arial"/>
                <w:iCs/>
                <w:szCs w:val="18"/>
                <w:lang w:eastAsia="en-AU"/>
              </w:rPr>
              <w:t>Purpose</w:t>
            </w:r>
            <w:r>
              <w:rPr>
                <w:rFonts w:cs="Arial"/>
                <w:i/>
                <w:iCs/>
                <w:szCs w:val="18"/>
                <w:lang w:eastAsia="en-AU"/>
              </w:rPr>
              <w:t>:</w:t>
            </w:r>
            <w:r>
              <w:rPr>
                <w:rFonts w:cs="Arial"/>
                <w:szCs w:val="18"/>
                <w:lang w:eastAsia="en-AU"/>
              </w:rPr>
              <w:t xml:space="preserve">  For the administration of the Early Years Quality Fund (</w:t>
            </w:r>
            <w:proofErr w:type="spellStart"/>
            <w:r>
              <w:rPr>
                <w:rFonts w:cs="Arial"/>
                <w:szCs w:val="18"/>
                <w:lang w:eastAsia="en-AU"/>
              </w:rPr>
              <w:t>EYQF</w:t>
            </w:r>
            <w:proofErr w:type="spellEnd"/>
            <w:r>
              <w:rPr>
                <w:rFonts w:cs="Arial"/>
                <w:szCs w:val="18"/>
                <w:lang w:eastAsia="en-AU"/>
              </w:rPr>
              <w:t xml:space="preserve">). The </w:t>
            </w:r>
            <w:proofErr w:type="spellStart"/>
            <w:r>
              <w:rPr>
                <w:rFonts w:cs="Arial"/>
                <w:szCs w:val="18"/>
                <w:lang w:eastAsia="en-AU"/>
              </w:rPr>
              <w:t>EYQF</w:t>
            </w:r>
            <w:proofErr w:type="spellEnd"/>
            <w:r>
              <w:rPr>
                <w:rFonts w:cs="Arial"/>
                <w:szCs w:val="18"/>
                <w:lang w:eastAsia="en-AU"/>
              </w:rPr>
              <w:t xml:space="preserve"> will provide $300 million over two years to assist long day care services to offset the costs of employing higher qualified staff who are required as part of the National Quality Framework for Early Childhood Education and Care from 1 January 2014.</w:t>
            </w:r>
          </w:p>
        </w:tc>
      </w:tr>
    </w:tbl>
    <w:p w:rsidR="007E1E1E" w:rsidRDefault="007E1E1E" w:rsidP="007E1E1E"/>
    <w:tbl>
      <w:tblPr>
        <w:tblW w:w="9072" w:type="dxa"/>
        <w:tblLook w:val="04A0" w:firstRow="1" w:lastRow="0" w:firstColumn="1" w:lastColumn="0" w:noHBand="0" w:noVBand="1"/>
      </w:tblPr>
      <w:tblGrid>
        <w:gridCol w:w="9072"/>
      </w:tblGrid>
      <w:tr w:rsidR="007E1E1E" w:rsidTr="00B50E5D">
        <w:trPr>
          <w:trHeight w:val="255"/>
        </w:trPr>
        <w:tc>
          <w:tcPr>
            <w:tcW w:w="9072" w:type="dxa"/>
            <w:shd w:val="clear" w:color="auto" w:fill="FFFFFF"/>
            <w:vAlign w:val="bottom"/>
            <w:hideMark/>
          </w:tcPr>
          <w:p w:rsidR="007E1E1E" w:rsidRDefault="007E1E1E" w:rsidP="00B50E5D">
            <w:pPr>
              <w:spacing w:line="240" w:lineRule="auto"/>
              <w:rPr>
                <w:rFonts w:cs="Arial"/>
                <w:iCs/>
                <w:szCs w:val="18"/>
                <w:lang w:eastAsia="en-AU"/>
              </w:rPr>
            </w:pPr>
            <w:r>
              <w:rPr>
                <w:rFonts w:cs="Arial"/>
                <w:iCs/>
                <w:szCs w:val="18"/>
                <w:vertAlign w:val="superscript"/>
                <w:lang w:eastAsia="en-AU"/>
              </w:rPr>
              <w:t xml:space="preserve">5 </w:t>
            </w:r>
            <w:r>
              <w:rPr>
                <w:rFonts w:cs="Arial"/>
                <w:iCs/>
                <w:szCs w:val="18"/>
                <w:lang w:eastAsia="en-AU"/>
              </w:rPr>
              <w:t>Overseas Student Tuition Fund Special Account</w:t>
            </w:r>
          </w:p>
          <w:p w:rsidR="007E1E1E" w:rsidRPr="00470280" w:rsidRDefault="007E1E1E" w:rsidP="00B50E5D">
            <w:pPr>
              <w:spacing w:line="240" w:lineRule="auto"/>
              <w:rPr>
                <w:rFonts w:cs="Arial"/>
                <w:i/>
                <w:iCs/>
                <w:szCs w:val="18"/>
                <w:lang w:eastAsia="en-AU"/>
              </w:rPr>
            </w:pPr>
            <w:r>
              <w:rPr>
                <w:rFonts w:cs="Arial"/>
                <w:iCs/>
                <w:szCs w:val="18"/>
                <w:lang w:eastAsia="en-AU"/>
              </w:rPr>
              <w:t>Appropriation:</w:t>
            </w:r>
            <w:r>
              <w:rPr>
                <w:rFonts w:cs="Arial"/>
                <w:szCs w:val="18"/>
                <w:lang w:eastAsia="en-AU"/>
              </w:rPr>
              <w:t xml:space="preserve"> </w:t>
            </w:r>
            <w:r>
              <w:rPr>
                <w:rFonts w:cs="Arial"/>
                <w:i/>
                <w:szCs w:val="18"/>
                <w:lang w:eastAsia="en-AU"/>
              </w:rPr>
              <w:t>Financial Management and Accountability Act</w:t>
            </w:r>
            <w:r>
              <w:rPr>
                <w:rFonts w:cs="Arial"/>
                <w:szCs w:val="18"/>
                <w:lang w:eastAsia="en-AU"/>
              </w:rPr>
              <w:t>; section 21</w:t>
            </w:r>
          </w:p>
        </w:tc>
      </w:tr>
      <w:tr w:rsidR="007E1E1E" w:rsidTr="00B50E5D">
        <w:trPr>
          <w:trHeight w:val="255"/>
        </w:trPr>
        <w:tc>
          <w:tcPr>
            <w:tcW w:w="9072" w:type="dxa"/>
            <w:shd w:val="clear" w:color="auto" w:fill="FFFFFF"/>
            <w:vAlign w:val="bottom"/>
            <w:hideMark/>
          </w:tcPr>
          <w:p w:rsidR="007E1E1E" w:rsidRPr="00470280" w:rsidRDefault="007E1E1E" w:rsidP="00B50E5D">
            <w:pPr>
              <w:spacing w:line="240" w:lineRule="auto"/>
              <w:rPr>
                <w:rFonts w:cs="Arial"/>
                <w:iCs/>
                <w:szCs w:val="18"/>
                <w:lang w:eastAsia="en-AU"/>
              </w:rPr>
            </w:pPr>
            <w:r>
              <w:rPr>
                <w:rFonts w:cs="Arial"/>
                <w:iCs/>
                <w:szCs w:val="18"/>
                <w:lang w:eastAsia="en-AU"/>
              </w:rPr>
              <w:t xml:space="preserve">Establishing Instrument: </w:t>
            </w:r>
            <w:r w:rsidRPr="00470280">
              <w:rPr>
                <w:rFonts w:cs="Arial"/>
                <w:i/>
                <w:iCs/>
                <w:szCs w:val="18"/>
                <w:lang w:eastAsia="en-AU"/>
              </w:rPr>
              <w:t>Education</w:t>
            </w:r>
            <w:r>
              <w:rPr>
                <w:rFonts w:cs="Arial"/>
                <w:i/>
                <w:iCs/>
                <w:szCs w:val="18"/>
                <w:lang w:eastAsia="en-AU"/>
              </w:rPr>
              <w:t xml:space="preserve"> Services for Overseas Students Act 2000 Act No. 164 of 2000, </w:t>
            </w:r>
            <w:r>
              <w:rPr>
                <w:rFonts w:cs="Arial"/>
                <w:iCs/>
                <w:szCs w:val="18"/>
                <w:lang w:eastAsia="en-AU"/>
              </w:rPr>
              <w:t xml:space="preserve">taking into account amendments up </w:t>
            </w:r>
            <w:r>
              <w:rPr>
                <w:rFonts w:cs="Arial"/>
                <w:i/>
                <w:iCs/>
                <w:szCs w:val="18"/>
                <w:lang w:eastAsia="en-AU"/>
              </w:rPr>
              <w:t>Education Services for Overseas Students Legislation Amendment (Tuition Protection Services and Other Measures) Act 2012,</w:t>
            </w:r>
            <w:r>
              <w:rPr>
                <w:rFonts w:cs="Arial"/>
                <w:iCs/>
                <w:szCs w:val="18"/>
                <w:lang w:eastAsia="en-AU"/>
              </w:rPr>
              <w:t xml:space="preserve"> section </w:t>
            </w:r>
            <w:proofErr w:type="spellStart"/>
            <w:r>
              <w:rPr>
                <w:rFonts w:cs="Arial"/>
                <w:iCs/>
                <w:szCs w:val="18"/>
                <w:lang w:eastAsia="en-AU"/>
              </w:rPr>
              <w:t>52A</w:t>
            </w:r>
            <w:proofErr w:type="spellEnd"/>
          </w:p>
        </w:tc>
      </w:tr>
      <w:tr w:rsidR="007E1E1E" w:rsidTr="00B50E5D">
        <w:trPr>
          <w:trHeight w:val="255"/>
        </w:trPr>
        <w:tc>
          <w:tcPr>
            <w:tcW w:w="9072" w:type="dxa"/>
            <w:shd w:val="clear" w:color="auto" w:fill="FFFFFF"/>
            <w:vAlign w:val="bottom"/>
            <w:hideMark/>
          </w:tcPr>
          <w:p w:rsidR="007E1E1E" w:rsidRDefault="007E1E1E" w:rsidP="00B50E5D">
            <w:pPr>
              <w:spacing w:line="240" w:lineRule="auto"/>
              <w:rPr>
                <w:rFonts w:cs="Arial"/>
                <w:i/>
                <w:iCs/>
                <w:szCs w:val="18"/>
                <w:lang w:eastAsia="en-AU"/>
              </w:rPr>
            </w:pPr>
            <w:r>
              <w:rPr>
                <w:rFonts w:cs="Arial"/>
                <w:iCs/>
                <w:szCs w:val="18"/>
                <w:lang w:eastAsia="en-AU"/>
              </w:rPr>
              <w:t>Purpose</w:t>
            </w:r>
            <w:r>
              <w:rPr>
                <w:rFonts w:cs="Arial"/>
                <w:i/>
                <w:iCs/>
                <w:szCs w:val="18"/>
                <w:lang w:eastAsia="en-AU"/>
              </w:rPr>
              <w:t>:</w:t>
            </w:r>
            <w:r>
              <w:rPr>
                <w:rFonts w:cs="Arial"/>
                <w:szCs w:val="18"/>
                <w:lang w:eastAsia="en-AU"/>
              </w:rPr>
              <w:t xml:space="preserve">  For expenditure in connection with assisting international students whose education providers are unable to deliver their course of study in full.</w:t>
            </w:r>
          </w:p>
        </w:tc>
      </w:tr>
    </w:tbl>
    <w:p w:rsidR="007E1E1E" w:rsidRDefault="007E1E1E" w:rsidP="007E1E1E"/>
    <w:tbl>
      <w:tblPr>
        <w:tblW w:w="9072" w:type="dxa"/>
        <w:tblLook w:val="04A0" w:firstRow="1" w:lastRow="0" w:firstColumn="1" w:lastColumn="0" w:noHBand="0" w:noVBand="1"/>
      </w:tblPr>
      <w:tblGrid>
        <w:gridCol w:w="9072"/>
      </w:tblGrid>
      <w:tr w:rsidR="007E1E1E" w:rsidTr="00B50E5D">
        <w:trPr>
          <w:trHeight w:val="255"/>
        </w:trPr>
        <w:tc>
          <w:tcPr>
            <w:tcW w:w="9072" w:type="dxa"/>
            <w:shd w:val="clear" w:color="auto" w:fill="FFFFFF"/>
            <w:vAlign w:val="bottom"/>
            <w:hideMark/>
          </w:tcPr>
          <w:p w:rsidR="007E1E1E" w:rsidRPr="00975BAD" w:rsidRDefault="007E1E1E" w:rsidP="00B50E5D">
            <w:pPr>
              <w:spacing w:line="240" w:lineRule="auto"/>
              <w:rPr>
                <w:rFonts w:cs="Arial"/>
                <w:iCs/>
                <w:szCs w:val="18"/>
                <w:vertAlign w:val="superscript"/>
                <w:lang w:eastAsia="en-AU"/>
              </w:rPr>
            </w:pPr>
            <w:r>
              <w:rPr>
                <w:rFonts w:cs="Arial"/>
                <w:iCs/>
                <w:szCs w:val="18"/>
                <w:vertAlign w:val="superscript"/>
                <w:lang w:eastAsia="en-AU"/>
              </w:rPr>
              <w:t xml:space="preserve">6 </w:t>
            </w:r>
            <w:r>
              <w:rPr>
                <w:rFonts w:cs="Arial"/>
                <w:iCs/>
                <w:szCs w:val="18"/>
                <w:lang w:eastAsia="en-AU"/>
              </w:rPr>
              <w:t>Services for Other</w:t>
            </w:r>
            <w:r>
              <w:rPr>
                <w:rFonts w:cs="Arial"/>
                <w:iCs/>
                <w:szCs w:val="18"/>
                <w:vertAlign w:val="superscript"/>
                <w:lang w:eastAsia="en-AU"/>
              </w:rPr>
              <w:t xml:space="preserve"> </w:t>
            </w:r>
            <w:r>
              <w:rPr>
                <w:rFonts w:cs="Arial"/>
                <w:iCs/>
                <w:szCs w:val="18"/>
                <w:lang w:eastAsia="en-AU"/>
              </w:rPr>
              <w:t>Entities and Trust Moneys Special Account</w:t>
            </w:r>
          </w:p>
          <w:p w:rsidR="007E1E1E" w:rsidRDefault="007E1E1E" w:rsidP="00B50E5D">
            <w:pPr>
              <w:spacing w:line="240" w:lineRule="auto"/>
              <w:rPr>
                <w:rFonts w:cs="Arial"/>
                <w:i/>
                <w:iCs/>
                <w:szCs w:val="18"/>
                <w:lang w:eastAsia="en-AU"/>
              </w:rPr>
            </w:pPr>
            <w:r>
              <w:rPr>
                <w:rFonts w:cs="Arial"/>
                <w:iCs/>
                <w:szCs w:val="18"/>
                <w:lang w:eastAsia="en-AU"/>
              </w:rPr>
              <w:t>Appropriation:</w:t>
            </w:r>
            <w:r>
              <w:rPr>
                <w:rFonts w:cs="Arial"/>
                <w:szCs w:val="18"/>
                <w:lang w:eastAsia="en-AU"/>
              </w:rPr>
              <w:t xml:space="preserve"> </w:t>
            </w:r>
            <w:r>
              <w:rPr>
                <w:rFonts w:cs="Arial"/>
                <w:i/>
                <w:iCs/>
                <w:szCs w:val="18"/>
                <w:lang w:eastAsia="en-AU"/>
              </w:rPr>
              <w:t>Financial Management and Accountability Act 1997; section 20</w:t>
            </w:r>
          </w:p>
        </w:tc>
      </w:tr>
      <w:tr w:rsidR="007E1E1E" w:rsidTr="00B50E5D">
        <w:trPr>
          <w:trHeight w:val="255"/>
        </w:trPr>
        <w:tc>
          <w:tcPr>
            <w:tcW w:w="9072" w:type="dxa"/>
            <w:shd w:val="clear" w:color="auto" w:fill="FFFFFF"/>
            <w:vAlign w:val="bottom"/>
            <w:hideMark/>
          </w:tcPr>
          <w:p w:rsidR="007E1E1E" w:rsidRDefault="007E1E1E" w:rsidP="00B50E5D">
            <w:pPr>
              <w:spacing w:line="240" w:lineRule="auto"/>
              <w:rPr>
                <w:rFonts w:cs="Arial"/>
                <w:i/>
                <w:iCs/>
                <w:szCs w:val="18"/>
                <w:lang w:eastAsia="en-AU"/>
              </w:rPr>
            </w:pPr>
            <w:r>
              <w:rPr>
                <w:rFonts w:cs="Arial"/>
                <w:iCs/>
                <w:szCs w:val="18"/>
                <w:lang w:eastAsia="en-AU"/>
              </w:rPr>
              <w:t>Establishing Instrument:</w:t>
            </w:r>
            <w:r>
              <w:rPr>
                <w:rFonts w:cs="Arial"/>
                <w:szCs w:val="18"/>
                <w:lang w:eastAsia="en-AU"/>
              </w:rPr>
              <w:t xml:space="preserve"> </w:t>
            </w:r>
            <w:r>
              <w:rPr>
                <w:rFonts w:cs="Arial"/>
                <w:i/>
                <w:iCs/>
                <w:szCs w:val="18"/>
                <w:lang w:eastAsia="en-AU"/>
              </w:rPr>
              <w:t xml:space="preserve">Financial Management and Accountability Determination 2008/14 </w:t>
            </w:r>
            <w:r>
              <w:rPr>
                <w:rFonts w:cs="Arial"/>
                <w:iCs/>
                <w:szCs w:val="18"/>
                <w:lang w:eastAsia="en-AU"/>
              </w:rPr>
              <w:t>on 3 June 2008.</w:t>
            </w:r>
            <w:r>
              <w:rPr>
                <w:rFonts w:cs="Arial"/>
                <w:i/>
                <w:iCs/>
                <w:szCs w:val="18"/>
                <w:lang w:eastAsia="en-AU"/>
              </w:rPr>
              <w:t xml:space="preserve"> </w:t>
            </w:r>
          </w:p>
        </w:tc>
      </w:tr>
      <w:tr w:rsidR="007E1E1E" w:rsidTr="00B50E5D">
        <w:trPr>
          <w:trHeight w:val="255"/>
        </w:trPr>
        <w:tc>
          <w:tcPr>
            <w:tcW w:w="9072" w:type="dxa"/>
            <w:shd w:val="clear" w:color="auto" w:fill="FFFFFF"/>
            <w:vAlign w:val="bottom"/>
            <w:hideMark/>
          </w:tcPr>
          <w:p w:rsidR="007E1E1E" w:rsidRDefault="007E1E1E" w:rsidP="00B50E5D">
            <w:pPr>
              <w:spacing w:line="240" w:lineRule="auto"/>
              <w:rPr>
                <w:rFonts w:cs="Arial"/>
                <w:i/>
                <w:iCs/>
                <w:szCs w:val="18"/>
                <w:lang w:eastAsia="en-AU"/>
              </w:rPr>
            </w:pPr>
            <w:r>
              <w:rPr>
                <w:rFonts w:cs="Arial"/>
                <w:iCs/>
                <w:szCs w:val="18"/>
                <w:lang w:eastAsia="en-AU"/>
              </w:rPr>
              <w:t>Purpose</w:t>
            </w:r>
            <w:r>
              <w:rPr>
                <w:rFonts w:cs="Arial"/>
                <w:i/>
                <w:iCs/>
                <w:szCs w:val="18"/>
                <w:lang w:eastAsia="en-AU"/>
              </w:rPr>
              <w:t>:</w:t>
            </w:r>
            <w:r>
              <w:rPr>
                <w:rFonts w:cs="Arial"/>
                <w:szCs w:val="18"/>
                <w:lang w:eastAsia="en-AU"/>
              </w:rPr>
              <w:t xml:space="preserve">  To disburse amounts held on trust or otherwise for the benefit of a person other than the Commonwealth; in connection with services performed on behalf of other governments and bodies that are not </w:t>
            </w:r>
            <w:proofErr w:type="spellStart"/>
            <w:r>
              <w:rPr>
                <w:rFonts w:cs="Arial"/>
                <w:szCs w:val="18"/>
                <w:lang w:eastAsia="en-AU"/>
              </w:rPr>
              <w:t>FMA</w:t>
            </w:r>
            <w:proofErr w:type="spellEnd"/>
            <w:r>
              <w:rPr>
                <w:rFonts w:cs="Arial"/>
                <w:szCs w:val="18"/>
                <w:lang w:eastAsia="en-AU"/>
              </w:rPr>
              <w:t xml:space="preserve"> agencies; and to repay amounts where an Act or other law requires or permits the repayment of an amount received.</w:t>
            </w:r>
          </w:p>
        </w:tc>
      </w:tr>
    </w:tbl>
    <w:p w:rsidR="007E1E1E" w:rsidRDefault="007E1E1E" w:rsidP="007E1E1E">
      <w:pPr>
        <w:spacing w:line="240" w:lineRule="auto"/>
      </w:pPr>
      <w:r>
        <w:br w:type="page"/>
      </w:r>
    </w:p>
    <w:p w:rsidR="007E1E1E" w:rsidRDefault="007E1E1E" w:rsidP="007E1E1E"/>
    <w:p w:rsidR="007E1E1E" w:rsidRDefault="007E1E1E" w:rsidP="007E1E1E">
      <w:pPr>
        <w:pStyle w:val="NotesHeading-Level1"/>
      </w:pPr>
      <w:bookmarkStart w:id="465" w:name="RANGE!D19:J22"/>
      <w:bookmarkStart w:id="466" w:name="RANGE!D17:J20"/>
      <w:bookmarkStart w:id="467" w:name="RANGE!D17:J19"/>
      <w:bookmarkStart w:id="468" w:name="RANGE!D18:J20"/>
      <w:bookmarkStart w:id="469" w:name="RANGE!D36:J38"/>
      <w:bookmarkStart w:id="470" w:name="_Toc400713274"/>
      <w:bookmarkEnd w:id="465"/>
      <w:bookmarkEnd w:id="466"/>
      <w:bookmarkEnd w:id="467"/>
      <w:bookmarkEnd w:id="468"/>
      <w:bookmarkEnd w:id="469"/>
      <w:r>
        <w:t>Compensation and Debt Relief</w:t>
      </w:r>
      <w:bookmarkEnd w:id="470"/>
    </w:p>
    <w:tbl>
      <w:tblPr>
        <w:tblW w:w="9087" w:type="dxa"/>
        <w:tblInd w:w="80" w:type="dxa"/>
        <w:tblLayout w:type="fixed"/>
        <w:tblLook w:val="04A0" w:firstRow="1" w:lastRow="0" w:firstColumn="1" w:lastColumn="0" w:noHBand="0" w:noVBand="1"/>
      </w:tblPr>
      <w:tblGrid>
        <w:gridCol w:w="7879"/>
        <w:gridCol w:w="1208"/>
      </w:tblGrid>
      <w:tr w:rsidR="007E1E1E" w:rsidTr="00B50E5D">
        <w:trPr>
          <w:trHeight w:val="255"/>
        </w:trPr>
        <w:tc>
          <w:tcPr>
            <w:tcW w:w="67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bookmarkStart w:id="471" w:name="Note_CDRTABLE1" w:colFirst="0" w:colLast="0"/>
            <w:r>
              <w:rPr>
                <w:rFonts w:cs="Calibri"/>
                <w:szCs w:val="18"/>
              </w:rPr>
              <w:t> </w:t>
            </w:r>
          </w:p>
        </w:tc>
        <w:tc>
          <w:tcPr>
            <w:tcW w:w="103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2014</w:t>
            </w:r>
          </w:p>
        </w:tc>
      </w:tr>
      <w:bookmarkEnd w:id="471"/>
      <w:tr w:rsidR="007E1E1E" w:rsidTr="00B50E5D">
        <w:trPr>
          <w:trHeight w:val="255"/>
        </w:trPr>
        <w:tc>
          <w:tcPr>
            <w:tcW w:w="675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c>
          <w:tcPr>
            <w:tcW w:w="103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w:t>
            </w:r>
          </w:p>
        </w:tc>
      </w:tr>
      <w:tr w:rsidR="007E1E1E" w:rsidTr="00B50E5D">
        <w:trPr>
          <w:trHeight w:val="255"/>
        </w:trPr>
        <w:tc>
          <w:tcPr>
            <w:tcW w:w="6756" w:type="dxa"/>
            <w:tcBorders>
              <w:top w:val="nil"/>
              <w:left w:val="nil"/>
              <w:bottom w:val="nil"/>
              <w:right w:val="nil"/>
            </w:tcBorders>
            <w:shd w:val="clear" w:color="FFFFFF" w:fill="FFFFFF"/>
            <w:vAlign w:val="bottom"/>
            <w:hideMark/>
          </w:tcPr>
          <w:p w:rsidR="007E1E1E" w:rsidRDefault="007E1E1E" w:rsidP="00B50E5D">
            <w:pPr>
              <w:rPr>
                <w:rFonts w:cs="Calibri"/>
                <w:b/>
                <w:bCs/>
                <w:szCs w:val="18"/>
              </w:rPr>
            </w:pPr>
            <w:r>
              <w:rPr>
                <w:rFonts w:cs="Calibri"/>
                <w:b/>
                <w:bCs/>
                <w:szCs w:val="18"/>
              </w:rPr>
              <w:t>Departmental</w:t>
            </w:r>
          </w:p>
        </w:tc>
        <w:tc>
          <w:tcPr>
            <w:tcW w:w="103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r>
      <w:tr w:rsidR="007E1E1E" w:rsidTr="00B50E5D">
        <w:trPr>
          <w:trHeight w:val="255"/>
        </w:trPr>
        <w:tc>
          <w:tcPr>
            <w:tcW w:w="675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No  ‘Act of Grace payments' were expensed during the reporting period</w:t>
            </w:r>
          </w:p>
        </w:tc>
        <w:tc>
          <w:tcPr>
            <w:tcW w:w="1036"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67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03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r>
      <w:tr w:rsidR="007E1E1E" w:rsidTr="00B50E5D">
        <w:trPr>
          <w:trHeight w:val="720"/>
        </w:trPr>
        <w:tc>
          <w:tcPr>
            <w:tcW w:w="675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No waivers of amounts owing to the Australian Government were made pursuant to subsection 34(1) of the</w:t>
            </w:r>
            <w:r>
              <w:rPr>
                <w:rFonts w:cs="Calibri"/>
                <w:i/>
                <w:iCs/>
                <w:szCs w:val="18"/>
              </w:rPr>
              <w:t xml:space="preserve"> Financial Management and Accountability Act 1997</w:t>
            </w:r>
            <w:r>
              <w:rPr>
                <w:rFonts w:cs="Calibri"/>
                <w:szCs w:val="18"/>
              </w:rPr>
              <w:t>.</w:t>
            </w:r>
          </w:p>
        </w:tc>
        <w:tc>
          <w:tcPr>
            <w:tcW w:w="1036"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67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03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r>
      <w:tr w:rsidR="007E1E1E" w:rsidTr="00B50E5D">
        <w:trPr>
          <w:trHeight w:val="255"/>
        </w:trPr>
        <w:tc>
          <w:tcPr>
            <w:tcW w:w="675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No ex-gratia payments were provided for during the reporting period.</w:t>
            </w:r>
          </w:p>
        </w:tc>
        <w:tc>
          <w:tcPr>
            <w:tcW w:w="1036"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67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03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r>
      <w:tr w:rsidR="007E1E1E" w:rsidTr="00B50E5D">
        <w:trPr>
          <w:trHeight w:val="480"/>
        </w:trPr>
        <w:tc>
          <w:tcPr>
            <w:tcW w:w="675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No payment was provided under the Compensation for Detriment caused by Defective Administration (</w:t>
            </w:r>
            <w:proofErr w:type="spellStart"/>
            <w:r>
              <w:rPr>
                <w:rFonts w:cs="Calibri"/>
                <w:szCs w:val="18"/>
              </w:rPr>
              <w:t>CDDA</w:t>
            </w:r>
            <w:proofErr w:type="spellEnd"/>
            <w:r>
              <w:rPr>
                <w:rFonts w:cs="Calibri"/>
                <w:szCs w:val="18"/>
              </w:rPr>
              <w:t>) Scheme during the reporting period.</w:t>
            </w:r>
          </w:p>
        </w:tc>
        <w:tc>
          <w:tcPr>
            <w:tcW w:w="1036"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67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03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rPr>
            </w:pPr>
            <w:r>
              <w:rPr>
                <w:rFonts w:cs="Calibri"/>
                <w:b/>
                <w:bCs/>
                <w:szCs w:val="18"/>
              </w:rPr>
              <w:t> </w:t>
            </w:r>
          </w:p>
        </w:tc>
      </w:tr>
      <w:tr w:rsidR="007E1E1E" w:rsidTr="00B50E5D">
        <w:trPr>
          <w:trHeight w:val="720"/>
        </w:trPr>
        <w:tc>
          <w:tcPr>
            <w:tcW w:w="675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 xml:space="preserve">No payments were provided in special circumstances relating to APS employment pursuant to section 73 of the </w:t>
            </w:r>
            <w:r>
              <w:rPr>
                <w:rFonts w:cs="Calibri"/>
                <w:i/>
                <w:iCs/>
                <w:szCs w:val="18"/>
              </w:rPr>
              <w:t>Public Service Act 1999</w:t>
            </w:r>
            <w:r>
              <w:rPr>
                <w:rFonts w:cs="Calibri"/>
                <w:szCs w:val="18"/>
              </w:rPr>
              <w:t xml:space="preserve"> (PS Act) during the reporting period.</w:t>
            </w:r>
          </w:p>
        </w:tc>
        <w:tc>
          <w:tcPr>
            <w:tcW w:w="1036" w:type="dxa"/>
            <w:tcBorders>
              <w:top w:val="nil"/>
              <w:left w:val="nil"/>
              <w:bottom w:val="single" w:sz="4"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bl>
    <w:p w:rsidR="007E1E1E" w:rsidRDefault="007E1E1E" w:rsidP="007E1E1E"/>
    <w:p w:rsidR="007E1E1E" w:rsidRDefault="007E1E1E" w:rsidP="007E1E1E">
      <w:r>
        <w:rPr>
          <w:b/>
        </w:rPr>
        <w:br w:type="page"/>
      </w:r>
    </w:p>
    <w:tbl>
      <w:tblPr>
        <w:tblW w:w="9087" w:type="dxa"/>
        <w:tblInd w:w="80" w:type="dxa"/>
        <w:tblLayout w:type="fixed"/>
        <w:tblLook w:val="04A0" w:firstRow="1" w:lastRow="0" w:firstColumn="1" w:lastColumn="0" w:noHBand="0" w:noVBand="1"/>
      </w:tblPr>
      <w:tblGrid>
        <w:gridCol w:w="7595"/>
        <w:gridCol w:w="1492"/>
      </w:tblGrid>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pStyle w:val="AdminRowTextHeaderBoldGrey"/>
            </w:pPr>
            <w:bookmarkStart w:id="472" w:name="Note_ADRTABLE1" w:colFirst="0" w:colLast="0"/>
            <w:r>
              <w:lastRenderedPageBreak/>
              <w:t>Administered</w:t>
            </w:r>
          </w:p>
        </w:tc>
        <w:tc>
          <w:tcPr>
            <w:tcW w:w="1256" w:type="dxa"/>
            <w:tcBorders>
              <w:top w:val="nil"/>
              <w:left w:val="nil"/>
              <w:bottom w:val="single" w:sz="4" w:space="0" w:color="D9D9D9"/>
              <w:right w:val="nil"/>
            </w:tcBorders>
            <w:shd w:val="clear" w:color="000000" w:fill="D9D9D9"/>
            <w:noWrap/>
            <w:vAlign w:val="bottom"/>
            <w:hideMark/>
          </w:tcPr>
          <w:p w:rsidR="007E1E1E" w:rsidRPr="00E87367" w:rsidRDefault="007E1E1E" w:rsidP="00B50E5D">
            <w:pPr>
              <w:pStyle w:val="AdminPreviousYearHeaderGrey"/>
              <w:rPr>
                <w:b/>
              </w:rPr>
            </w:pPr>
            <w:r w:rsidRPr="00E87367">
              <w:rPr>
                <w:b/>
              </w:rPr>
              <w:t>2014</w:t>
            </w:r>
          </w:p>
        </w:tc>
      </w:tr>
      <w:bookmarkEnd w:id="472"/>
      <w:tr w:rsidR="007E1E1E" w:rsidTr="00B50E5D">
        <w:trPr>
          <w:trHeight w:val="255"/>
        </w:trPr>
        <w:tc>
          <w:tcPr>
            <w:tcW w:w="6396" w:type="dxa"/>
            <w:tcBorders>
              <w:top w:val="nil"/>
              <w:left w:val="nil"/>
              <w:bottom w:val="single" w:sz="4" w:space="0" w:color="D9D9D9"/>
              <w:right w:val="nil"/>
            </w:tcBorders>
            <w:shd w:val="clear" w:color="000000" w:fill="D9D9D9"/>
            <w:noWrap/>
            <w:vAlign w:val="bottom"/>
            <w:hideMark/>
          </w:tcPr>
          <w:p w:rsidR="007E1E1E" w:rsidRDefault="007E1E1E" w:rsidP="00B50E5D">
            <w:pPr>
              <w:pStyle w:val="AdminRowTextHeaderBoldGrey"/>
            </w:pPr>
            <w:r>
              <w:t> </w:t>
            </w:r>
          </w:p>
        </w:tc>
        <w:tc>
          <w:tcPr>
            <w:tcW w:w="1256" w:type="dxa"/>
            <w:tcBorders>
              <w:top w:val="nil"/>
              <w:left w:val="nil"/>
              <w:bottom w:val="single" w:sz="4" w:space="0" w:color="D9D9D9"/>
              <w:right w:val="nil"/>
            </w:tcBorders>
            <w:shd w:val="clear" w:color="000000" w:fill="D9D9D9"/>
            <w:vAlign w:val="bottom"/>
            <w:hideMark/>
          </w:tcPr>
          <w:p w:rsidR="007E1E1E" w:rsidRPr="00E87367" w:rsidRDefault="007E1E1E" w:rsidP="00B50E5D">
            <w:pPr>
              <w:pStyle w:val="AdminPreviousYearHeaderGrey"/>
              <w:rPr>
                <w:b/>
              </w:rPr>
            </w:pPr>
            <w:r w:rsidRPr="00E87367">
              <w:rPr>
                <w:b/>
              </w:rPr>
              <w:t>$'000</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pStyle w:val="AdminRowTextGrey"/>
            </w:pPr>
            <w:r>
              <w:t>1 ‘Act of Grace’ payments were expensed during the reporting period.</w:t>
            </w:r>
          </w:p>
        </w:tc>
        <w:tc>
          <w:tcPr>
            <w:tcW w:w="1256" w:type="dxa"/>
            <w:tcBorders>
              <w:top w:val="nil"/>
              <w:left w:val="nil"/>
              <w:bottom w:val="single" w:sz="4" w:space="0" w:color="auto"/>
              <w:right w:val="nil"/>
            </w:tcBorders>
            <w:shd w:val="clear" w:color="000000" w:fill="D9D9D9"/>
            <w:noWrap/>
            <w:vAlign w:val="bottom"/>
            <w:hideMark/>
          </w:tcPr>
          <w:p w:rsidR="007E1E1E" w:rsidRPr="00E87367" w:rsidRDefault="007E1E1E" w:rsidP="00B50E5D">
            <w:pPr>
              <w:pStyle w:val="AdminManualEntryCellUnbold"/>
              <w:rPr>
                <w:b/>
              </w:rPr>
            </w:pPr>
            <w:r w:rsidRPr="00E87367">
              <w:rPr>
                <w:b/>
              </w:rPr>
              <w:t xml:space="preserve">15 </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pStyle w:val="AdminRowTextGrey"/>
            </w:pPr>
            <w:r>
              <w:t> </w:t>
            </w:r>
          </w:p>
        </w:tc>
        <w:tc>
          <w:tcPr>
            <w:tcW w:w="1256" w:type="dxa"/>
            <w:tcBorders>
              <w:top w:val="nil"/>
              <w:left w:val="nil"/>
              <w:bottom w:val="single" w:sz="4" w:space="0" w:color="D9D9D9"/>
              <w:right w:val="nil"/>
            </w:tcBorders>
            <w:shd w:val="clear" w:color="000000" w:fill="D9D9D9"/>
            <w:noWrap/>
            <w:vAlign w:val="bottom"/>
            <w:hideMark/>
          </w:tcPr>
          <w:p w:rsidR="007E1E1E" w:rsidRPr="00E87367" w:rsidRDefault="007E1E1E" w:rsidP="00B50E5D">
            <w:pPr>
              <w:rPr>
                <w:rFonts w:ascii="Arial" w:hAnsi="Arial" w:cs="Arial"/>
                <w:b/>
                <w:sz w:val="16"/>
                <w:szCs w:val="16"/>
              </w:rPr>
            </w:pPr>
            <w:r w:rsidRPr="00E87367">
              <w:rPr>
                <w:rFonts w:ascii="Arial" w:hAnsi="Arial" w:cs="Arial"/>
                <w:b/>
                <w:sz w:val="16"/>
                <w:szCs w:val="16"/>
              </w:rPr>
              <w:t> </w:t>
            </w:r>
          </w:p>
        </w:tc>
      </w:tr>
      <w:tr w:rsidR="007E1E1E" w:rsidTr="00B50E5D">
        <w:trPr>
          <w:trHeight w:val="720"/>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pStyle w:val="AdminRowTextGrey"/>
            </w:pPr>
            <w:r>
              <w:t xml:space="preserve">4,780 waivers of amounts owing to the Australian Government were made pursuant to subsection 34(1) of the </w:t>
            </w:r>
            <w:r>
              <w:rPr>
                <w:i/>
                <w:iCs/>
              </w:rPr>
              <w:t>Financial Management and Accountability Act 1997</w:t>
            </w:r>
            <w:r>
              <w:t>.</w:t>
            </w:r>
          </w:p>
        </w:tc>
        <w:tc>
          <w:tcPr>
            <w:tcW w:w="1256" w:type="dxa"/>
            <w:tcBorders>
              <w:top w:val="nil"/>
              <w:left w:val="nil"/>
              <w:bottom w:val="single" w:sz="4" w:space="0" w:color="auto"/>
              <w:right w:val="nil"/>
            </w:tcBorders>
            <w:shd w:val="clear" w:color="000000" w:fill="D9D9D9"/>
            <w:noWrap/>
            <w:vAlign w:val="bottom"/>
            <w:hideMark/>
          </w:tcPr>
          <w:p w:rsidR="007E1E1E" w:rsidRPr="00E87367" w:rsidRDefault="007E1E1E" w:rsidP="00B50E5D">
            <w:pPr>
              <w:pStyle w:val="AdminManualEntryCellUnbold"/>
              <w:rPr>
                <w:b/>
              </w:rPr>
            </w:pPr>
            <w:r w:rsidRPr="00E87367">
              <w:rPr>
                <w:b/>
              </w:rPr>
              <w:t xml:space="preserve">156,294 </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pStyle w:val="AdminRowTextGrey"/>
            </w:pPr>
            <w:r>
              <w:t> </w:t>
            </w:r>
          </w:p>
        </w:tc>
        <w:tc>
          <w:tcPr>
            <w:tcW w:w="1256" w:type="dxa"/>
            <w:tcBorders>
              <w:top w:val="nil"/>
              <w:left w:val="nil"/>
              <w:bottom w:val="single" w:sz="4" w:space="0" w:color="D9D9D9"/>
              <w:right w:val="nil"/>
            </w:tcBorders>
            <w:shd w:val="clear" w:color="000000" w:fill="D9D9D9"/>
            <w:noWrap/>
            <w:vAlign w:val="bottom"/>
            <w:hideMark/>
          </w:tcPr>
          <w:p w:rsidR="007E1E1E" w:rsidRPr="00E87367" w:rsidRDefault="007E1E1E" w:rsidP="00B50E5D">
            <w:pPr>
              <w:rPr>
                <w:rFonts w:ascii="Arial" w:hAnsi="Arial" w:cs="Arial"/>
                <w:b/>
                <w:sz w:val="16"/>
                <w:szCs w:val="16"/>
              </w:rPr>
            </w:pPr>
            <w:r w:rsidRPr="00E87367">
              <w:rPr>
                <w:rFonts w:ascii="Arial" w:hAnsi="Arial" w:cs="Arial"/>
                <w:b/>
                <w:sz w:val="16"/>
                <w:szCs w:val="16"/>
              </w:rPr>
              <w:t> </w:t>
            </w:r>
          </w:p>
        </w:tc>
      </w:tr>
      <w:tr w:rsidR="007E1E1E" w:rsidTr="00B50E5D">
        <w:trPr>
          <w:trHeight w:val="720"/>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pStyle w:val="AdminRowTextGrey"/>
            </w:pPr>
            <w:r>
              <w:t xml:space="preserve">103,326 waivers of amounts owing to the Australian Government were made pursuant to the </w:t>
            </w:r>
            <w:r>
              <w:rPr>
                <w:i/>
                <w:iCs/>
              </w:rPr>
              <w:t>A New Tax System (Family Assistance) (Administration) Act 1999.</w:t>
            </w:r>
          </w:p>
        </w:tc>
        <w:tc>
          <w:tcPr>
            <w:tcW w:w="1256" w:type="dxa"/>
            <w:tcBorders>
              <w:top w:val="nil"/>
              <w:left w:val="nil"/>
              <w:bottom w:val="single" w:sz="4" w:space="0" w:color="auto"/>
              <w:right w:val="nil"/>
            </w:tcBorders>
            <w:shd w:val="clear" w:color="000000" w:fill="D9D9D9"/>
            <w:noWrap/>
            <w:vAlign w:val="bottom"/>
            <w:hideMark/>
          </w:tcPr>
          <w:p w:rsidR="007E1E1E" w:rsidRPr="00E87367" w:rsidRDefault="007E1E1E" w:rsidP="00B50E5D">
            <w:pPr>
              <w:pStyle w:val="AdminManualEntryCellUnbold"/>
              <w:rPr>
                <w:b/>
              </w:rPr>
            </w:pPr>
            <w:r w:rsidRPr="00E87367">
              <w:rPr>
                <w:b/>
              </w:rPr>
              <w:t xml:space="preserve">2,185 </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pStyle w:val="AdminRowTextGrey"/>
            </w:pPr>
            <w:r>
              <w:t> </w:t>
            </w:r>
          </w:p>
        </w:tc>
        <w:tc>
          <w:tcPr>
            <w:tcW w:w="1256" w:type="dxa"/>
            <w:tcBorders>
              <w:top w:val="nil"/>
              <w:left w:val="nil"/>
              <w:bottom w:val="single" w:sz="4" w:space="0" w:color="D9D9D9"/>
              <w:right w:val="nil"/>
            </w:tcBorders>
            <w:shd w:val="clear" w:color="000000" w:fill="D9D9D9"/>
            <w:noWrap/>
            <w:vAlign w:val="bottom"/>
            <w:hideMark/>
          </w:tcPr>
          <w:p w:rsidR="007E1E1E" w:rsidRPr="00E87367" w:rsidRDefault="007E1E1E" w:rsidP="00B50E5D">
            <w:pPr>
              <w:rPr>
                <w:rFonts w:ascii="Arial" w:hAnsi="Arial" w:cs="Arial"/>
                <w:b/>
                <w:sz w:val="16"/>
                <w:szCs w:val="16"/>
              </w:rPr>
            </w:pPr>
            <w:r w:rsidRPr="00E87367">
              <w:rPr>
                <w:rFonts w:ascii="Arial" w:hAnsi="Arial" w:cs="Arial"/>
                <w:b/>
                <w:sz w:val="16"/>
                <w:szCs w:val="16"/>
              </w:rPr>
              <w:t> </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pStyle w:val="AdminRowTextGrey"/>
            </w:pPr>
            <w:r>
              <w:t>No ex-gratia payments were provided for during the reporting period.</w:t>
            </w:r>
          </w:p>
        </w:tc>
        <w:tc>
          <w:tcPr>
            <w:tcW w:w="1256" w:type="dxa"/>
            <w:tcBorders>
              <w:top w:val="nil"/>
              <w:left w:val="nil"/>
              <w:bottom w:val="single" w:sz="4" w:space="0" w:color="auto"/>
              <w:right w:val="nil"/>
            </w:tcBorders>
            <w:shd w:val="clear" w:color="000000" w:fill="D9D9D9"/>
            <w:noWrap/>
            <w:vAlign w:val="bottom"/>
            <w:hideMark/>
          </w:tcPr>
          <w:p w:rsidR="007E1E1E" w:rsidRPr="00E87367" w:rsidRDefault="007E1E1E" w:rsidP="00B50E5D">
            <w:pPr>
              <w:pStyle w:val="AdminManualEntryCellUnbold"/>
              <w:rPr>
                <w:b/>
              </w:rPr>
            </w:pPr>
            <w:r w:rsidRPr="00E87367">
              <w:rPr>
                <w:b/>
              </w:rPr>
              <w:t xml:space="preserve"> -</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pStyle w:val="AdminRowTextGrey"/>
            </w:pPr>
            <w:r>
              <w:t> </w:t>
            </w:r>
          </w:p>
        </w:tc>
        <w:tc>
          <w:tcPr>
            <w:tcW w:w="1256" w:type="dxa"/>
            <w:tcBorders>
              <w:top w:val="nil"/>
              <w:left w:val="nil"/>
              <w:bottom w:val="single" w:sz="4" w:space="0" w:color="D9D9D9"/>
              <w:right w:val="nil"/>
            </w:tcBorders>
            <w:shd w:val="clear" w:color="000000" w:fill="D9D9D9"/>
            <w:noWrap/>
            <w:vAlign w:val="bottom"/>
            <w:hideMark/>
          </w:tcPr>
          <w:p w:rsidR="007E1E1E" w:rsidRPr="00E87367" w:rsidRDefault="007E1E1E" w:rsidP="00B50E5D">
            <w:pPr>
              <w:rPr>
                <w:rFonts w:ascii="Arial" w:hAnsi="Arial" w:cs="Arial"/>
                <w:b/>
                <w:sz w:val="16"/>
                <w:szCs w:val="16"/>
              </w:rPr>
            </w:pPr>
            <w:r w:rsidRPr="00E87367">
              <w:rPr>
                <w:rFonts w:ascii="Arial" w:hAnsi="Arial" w:cs="Arial"/>
                <w:b/>
                <w:sz w:val="16"/>
                <w:szCs w:val="16"/>
              </w:rPr>
              <w:t> </w:t>
            </w:r>
          </w:p>
        </w:tc>
      </w:tr>
      <w:tr w:rsidR="007E1E1E" w:rsidTr="00B50E5D">
        <w:trPr>
          <w:trHeight w:val="720"/>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pStyle w:val="AdminRowTextGrey"/>
            </w:pPr>
            <w:r>
              <w:t>No payments were provided under the Compensation for Detriment caused by Defective Administration (</w:t>
            </w:r>
            <w:proofErr w:type="spellStart"/>
            <w:r>
              <w:t>CDDA</w:t>
            </w:r>
            <w:proofErr w:type="spellEnd"/>
            <w:r>
              <w:t>) Scheme during the reporting period.</w:t>
            </w:r>
          </w:p>
        </w:tc>
        <w:tc>
          <w:tcPr>
            <w:tcW w:w="1256" w:type="dxa"/>
            <w:tcBorders>
              <w:top w:val="nil"/>
              <w:left w:val="nil"/>
              <w:bottom w:val="single" w:sz="4" w:space="0" w:color="auto"/>
              <w:right w:val="nil"/>
            </w:tcBorders>
            <w:shd w:val="clear" w:color="000000" w:fill="D9D9D9"/>
            <w:noWrap/>
            <w:vAlign w:val="bottom"/>
            <w:hideMark/>
          </w:tcPr>
          <w:p w:rsidR="007E1E1E" w:rsidRPr="00E87367" w:rsidRDefault="007E1E1E" w:rsidP="00B50E5D">
            <w:pPr>
              <w:pStyle w:val="AdminManualEntryCellUnbold"/>
              <w:rPr>
                <w:b/>
              </w:rPr>
            </w:pPr>
            <w:r w:rsidRPr="00E87367">
              <w:rPr>
                <w:b/>
              </w:rPr>
              <w:t xml:space="preserve"> -</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pStyle w:val="AdminRowTextGrey"/>
            </w:pPr>
            <w:r>
              <w:t> </w:t>
            </w:r>
          </w:p>
        </w:tc>
        <w:tc>
          <w:tcPr>
            <w:tcW w:w="1256" w:type="dxa"/>
            <w:tcBorders>
              <w:top w:val="nil"/>
              <w:left w:val="nil"/>
              <w:bottom w:val="single" w:sz="4" w:space="0" w:color="D9D9D9"/>
              <w:right w:val="nil"/>
            </w:tcBorders>
            <w:shd w:val="clear" w:color="000000" w:fill="D9D9D9"/>
            <w:noWrap/>
            <w:vAlign w:val="bottom"/>
            <w:hideMark/>
          </w:tcPr>
          <w:p w:rsidR="007E1E1E" w:rsidRPr="00E87367" w:rsidRDefault="007E1E1E" w:rsidP="00B50E5D">
            <w:pPr>
              <w:rPr>
                <w:rFonts w:ascii="Arial" w:hAnsi="Arial" w:cs="Arial"/>
                <w:b/>
                <w:sz w:val="16"/>
                <w:szCs w:val="16"/>
              </w:rPr>
            </w:pPr>
            <w:r w:rsidRPr="00E87367">
              <w:rPr>
                <w:rFonts w:ascii="Arial" w:hAnsi="Arial" w:cs="Arial"/>
                <w:b/>
                <w:sz w:val="16"/>
                <w:szCs w:val="16"/>
              </w:rPr>
              <w:t> </w:t>
            </w:r>
          </w:p>
        </w:tc>
      </w:tr>
      <w:tr w:rsidR="007E1E1E" w:rsidTr="00B50E5D">
        <w:trPr>
          <w:trHeight w:val="720"/>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pStyle w:val="AdminRowTextGrey"/>
            </w:pPr>
            <w:r>
              <w:t xml:space="preserve">No payments were provided in special circumstances relating to APS employment pursuant to section 73 of the </w:t>
            </w:r>
            <w:r>
              <w:rPr>
                <w:i/>
                <w:iCs/>
              </w:rPr>
              <w:t>Public Service Act 1999</w:t>
            </w:r>
            <w:r>
              <w:t xml:space="preserve"> during the reporting period.</w:t>
            </w:r>
          </w:p>
        </w:tc>
        <w:tc>
          <w:tcPr>
            <w:tcW w:w="1256" w:type="dxa"/>
            <w:tcBorders>
              <w:top w:val="nil"/>
              <w:left w:val="nil"/>
              <w:bottom w:val="single" w:sz="4" w:space="0" w:color="auto"/>
              <w:right w:val="nil"/>
            </w:tcBorders>
            <w:shd w:val="clear" w:color="000000" w:fill="D9D9D9"/>
            <w:noWrap/>
            <w:vAlign w:val="bottom"/>
            <w:hideMark/>
          </w:tcPr>
          <w:p w:rsidR="007E1E1E" w:rsidRPr="00E87367" w:rsidRDefault="007E1E1E" w:rsidP="00B50E5D">
            <w:pPr>
              <w:pStyle w:val="AdminManualEntryCellUnbold"/>
              <w:rPr>
                <w:b/>
              </w:rPr>
            </w:pPr>
            <w:r w:rsidRPr="00E87367">
              <w:rPr>
                <w:b/>
              </w:rPr>
              <w:t xml:space="preserve"> -</w:t>
            </w:r>
          </w:p>
        </w:tc>
      </w:tr>
      <w:tr w:rsidR="007E1E1E" w:rsidTr="00B50E5D">
        <w:trPr>
          <w:trHeight w:val="255"/>
        </w:trPr>
        <w:tc>
          <w:tcPr>
            <w:tcW w:w="6396" w:type="dxa"/>
            <w:tcBorders>
              <w:top w:val="nil"/>
              <w:left w:val="nil"/>
              <w:bottom w:val="single" w:sz="4" w:space="0" w:color="D9D9D9"/>
              <w:right w:val="nil"/>
            </w:tcBorders>
            <w:shd w:val="clear" w:color="000000" w:fill="D9D9D9"/>
            <w:vAlign w:val="bottom"/>
            <w:hideMark/>
          </w:tcPr>
          <w:p w:rsidR="007E1E1E" w:rsidRDefault="007E1E1E" w:rsidP="00B50E5D">
            <w:pPr>
              <w:pStyle w:val="AdminRowTextGrey"/>
            </w:pPr>
            <w:r>
              <w:t> </w:t>
            </w:r>
          </w:p>
        </w:tc>
        <w:tc>
          <w:tcPr>
            <w:tcW w:w="1256" w:type="dxa"/>
            <w:tcBorders>
              <w:top w:val="nil"/>
              <w:left w:val="nil"/>
              <w:bottom w:val="single" w:sz="4" w:space="0" w:color="D9D9D9"/>
              <w:right w:val="nil"/>
            </w:tcBorders>
            <w:shd w:val="clear" w:color="000000" w:fill="D9D9D9"/>
            <w:noWrap/>
            <w:vAlign w:val="bottom"/>
            <w:hideMark/>
          </w:tcPr>
          <w:p w:rsidR="007E1E1E" w:rsidRDefault="007E1E1E" w:rsidP="00B50E5D">
            <w:pPr>
              <w:rPr>
                <w:rFonts w:ascii="Arial" w:hAnsi="Arial" w:cs="Arial"/>
                <w:sz w:val="16"/>
                <w:szCs w:val="16"/>
              </w:rPr>
            </w:pPr>
            <w:r>
              <w:rPr>
                <w:rFonts w:ascii="Arial" w:hAnsi="Arial" w:cs="Arial"/>
                <w:sz w:val="16"/>
                <w:szCs w:val="16"/>
              </w:rPr>
              <w:t> </w:t>
            </w:r>
          </w:p>
        </w:tc>
      </w:tr>
      <w:tr w:rsidR="007E1E1E" w:rsidTr="00B50E5D">
        <w:trPr>
          <w:trHeight w:val="1935"/>
        </w:trPr>
        <w:tc>
          <w:tcPr>
            <w:tcW w:w="7652" w:type="dxa"/>
            <w:gridSpan w:val="2"/>
            <w:tcBorders>
              <w:top w:val="single" w:sz="4" w:space="0" w:color="D9D9D9"/>
              <w:left w:val="nil"/>
              <w:bottom w:val="single" w:sz="4" w:space="0" w:color="D9D9D9"/>
              <w:right w:val="nil"/>
            </w:tcBorders>
            <w:shd w:val="clear" w:color="000000" w:fill="D9D9D9"/>
            <w:vAlign w:val="bottom"/>
            <w:hideMark/>
          </w:tcPr>
          <w:p w:rsidR="007E1E1E" w:rsidRDefault="007E1E1E" w:rsidP="00B50E5D">
            <w:pPr>
              <w:pStyle w:val="AdminRowTextGrey"/>
            </w:pPr>
            <w:r>
              <w:t xml:space="preserve">The High Court in </w:t>
            </w:r>
            <w:proofErr w:type="gramStart"/>
            <w:r>
              <w:rPr>
                <w:i/>
                <w:iCs/>
              </w:rPr>
              <w:t>Williams</w:t>
            </w:r>
            <w:proofErr w:type="gramEnd"/>
            <w:r>
              <w:rPr>
                <w:i/>
                <w:iCs/>
              </w:rPr>
              <w:t xml:space="preserve"> v Commonwealth [2014] HCA 23 </w:t>
            </w:r>
            <w:r>
              <w:t xml:space="preserve">held that payments made under the National Schools Chaplaincy and Student Welfare programme were invalid on the grounds that they were not supported by a Commonwealth constitutional head of power. Consequently, the payments so made became debts owed to the Commonwealth.  However, the Minister for Finance, the Hon Mathias </w:t>
            </w:r>
            <w:proofErr w:type="spellStart"/>
            <w:r>
              <w:t>Cormann</w:t>
            </w:r>
            <w:proofErr w:type="spellEnd"/>
            <w:r>
              <w:t xml:space="preserve">, after considering all relevant matters waived those debts under </w:t>
            </w:r>
            <w:proofErr w:type="spellStart"/>
            <w:r>
              <w:t>s34</w:t>
            </w:r>
            <w:proofErr w:type="spellEnd"/>
            <w:r>
              <w:t xml:space="preserve">(1)(a) of the </w:t>
            </w:r>
            <w:r>
              <w:rPr>
                <w:i/>
                <w:iCs/>
              </w:rPr>
              <w:t>Financial Management and Accountability Act 1997 on 19 June 2014.</w:t>
            </w:r>
            <w:r>
              <w:t xml:space="preserve"> The amount waived was $156.121 million, this included $87.945 million spent by the former Department of Education, Employment and Workplace Relations.</w:t>
            </w:r>
          </w:p>
        </w:tc>
      </w:tr>
    </w:tbl>
    <w:p w:rsidR="007E1E1E" w:rsidRDefault="007E1E1E" w:rsidP="007E1E1E">
      <w:pPr>
        <w:spacing w:line="240" w:lineRule="auto"/>
        <w:sectPr w:rsidR="007E1E1E">
          <w:pgSz w:w="11906" w:h="16838"/>
          <w:pgMar w:top="1134" w:right="1134" w:bottom="1134" w:left="1134" w:header="958" w:footer="737" w:gutter="0"/>
          <w:cols w:space="720"/>
        </w:sectPr>
      </w:pPr>
    </w:p>
    <w:p w:rsidR="007E1E1E" w:rsidRDefault="007E1E1E" w:rsidP="007E1E1E">
      <w:pPr>
        <w:pStyle w:val="NotesHeading-Level1"/>
        <w:rPr>
          <w:rFonts w:cstheme="minorHAnsi"/>
        </w:rPr>
      </w:pPr>
      <w:bookmarkStart w:id="473" w:name="RANGE!D7:G29"/>
      <w:bookmarkStart w:id="474" w:name="_Toc400713275"/>
      <w:bookmarkEnd w:id="473"/>
      <w:r>
        <w:rPr>
          <w:rFonts w:cstheme="minorHAnsi"/>
        </w:rPr>
        <w:lastRenderedPageBreak/>
        <w:t>Reporting of Outcomes</w:t>
      </w:r>
      <w:bookmarkEnd w:id="474"/>
    </w:p>
    <w:p w:rsidR="007E1E1E" w:rsidRDefault="007E1E1E" w:rsidP="007E1E1E">
      <w:pPr>
        <w:pStyle w:val="ReferenceText"/>
      </w:pPr>
      <w:r>
        <w:t xml:space="preserve">The department has three outcomes and details of each outcome are provided in the front of the 2013–14 Annual Report.  The department uses a cost allocation model to determine the attribution of its shared items.     </w:t>
      </w:r>
    </w:p>
    <w:tbl>
      <w:tblPr>
        <w:tblW w:w="13991" w:type="dxa"/>
        <w:tblInd w:w="80" w:type="dxa"/>
        <w:tblLayout w:type="fixed"/>
        <w:tblLook w:val="04A0" w:firstRow="1" w:lastRow="0" w:firstColumn="1" w:lastColumn="0" w:noHBand="0" w:noVBand="1"/>
      </w:tblPr>
      <w:tblGrid>
        <w:gridCol w:w="5095"/>
        <w:gridCol w:w="1695"/>
        <w:gridCol w:w="1694"/>
        <w:gridCol w:w="1694"/>
        <w:gridCol w:w="2119"/>
        <w:gridCol w:w="1694"/>
      </w:tblGrid>
      <w:tr w:rsidR="007E1E1E" w:rsidTr="00B50E5D">
        <w:trPr>
          <w:trHeight w:val="255"/>
        </w:trPr>
        <w:tc>
          <w:tcPr>
            <w:tcW w:w="3596" w:type="dxa"/>
            <w:tcBorders>
              <w:top w:val="nil"/>
              <w:left w:val="nil"/>
              <w:bottom w:val="nil"/>
              <w:right w:val="nil"/>
            </w:tcBorders>
            <w:shd w:val="clear" w:color="FFFFFF" w:fill="FFFFFF"/>
            <w:noWrap/>
            <w:vAlign w:val="bottom"/>
            <w:hideMark/>
          </w:tcPr>
          <w:p w:rsidR="007E1E1E" w:rsidRDefault="007E1E1E" w:rsidP="00B50E5D">
            <w:pPr>
              <w:rPr>
                <w:rFonts w:cs="Calibri"/>
                <w:b/>
                <w:bCs/>
                <w:szCs w:val="18"/>
                <w:u w:val="single"/>
              </w:rPr>
            </w:pPr>
            <w:bookmarkStart w:id="475" w:name="Note_ROOTABLE1" w:colFirst="0" w:colLast="0"/>
            <w:r>
              <w:rPr>
                <w:rFonts w:cs="Calibri"/>
                <w:b/>
                <w:bCs/>
                <w:szCs w:val="18"/>
                <w:u w:val="single"/>
              </w:rPr>
              <w:t xml:space="preserve">Note </w:t>
            </w:r>
            <w:proofErr w:type="spellStart"/>
            <w:r>
              <w:rPr>
                <w:rFonts w:cs="Calibri"/>
                <w:b/>
                <w:bCs/>
                <w:szCs w:val="18"/>
                <w:u w:val="single"/>
              </w:rPr>
              <w:t>32A</w:t>
            </w:r>
            <w:proofErr w:type="spellEnd"/>
            <w:r>
              <w:rPr>
                <w:rFonts w:cs="Calibri"/>
                <w:b/>
                <w:bCs/>
                <w:szCs w:val="18"/>
                <w:u w:val="single"/>
              </w:rPr>
              <w:t>: Net cost of outcome delivery</w:t>
            </w:r>
          </w:p>
        </w:tc>
        <w:tc>
          <w:tcPr>
            <w:tcW w:w="11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4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bookmarkEnd w:id="475"/>
      <w:tr w:rsidR="007E1E1E" w:rsidTr="00B50E5D">
        <w:trPr>
          <w:trHeight w:val="255"/>
        </w:trPr>
        <w:tc>
          <w:tcPr>
            <w:tcW w:w="35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4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750"/>
        </w:trPr>
        <w:tc>
          <w:tcPr>
            <w:tcW w:w="3596" w:type="dxa"/>
            <w:tcBorders>
              <w:top w:val="single" w:sz="4" w:space="0" w:color="auto"/>
              <w:left w:val="single" w:sz="4" w:space="0" w:color="auto"/>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96" w:type="dxa"/>
            <w:tcBorders>
              <w:top w:val="single" w:sz="4" w:space="0" w:color="auto"/>
              <w:left w:val="single" w:sz="4" w:space="0" w:color="auto"/>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Outcome 1</w:t>
            </w:r>
          </w:p>
        </w:tc>
        <w:tc>
          <w:tcPr>
            <w:tcW w:w="1196" w:type="dxa"/>
            <w:tcBorders>
              <w:top w:val="single" w:sz="4" w:space="0" w:color="auto"/>
              <w:left w:val="single" w:sz="4" w:space="0" w:color="auto"/>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Outcome 2</w:t>
            </w:r>
          </w:p>
        </w:tc>
        <w:tc>
          <w:tcPr>
            <w:tcW w:w="1196"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7E1E1E" w:rsidRDefault="007E1E1E" w:rsidP="00B50E5D">
            <w:pPr>
              <w:jc w:val="center"/>
              <w:rPr>
                <w:rFonts w:cs="Calibri"/>
                <w:b/>
                <w:bCs/>
                <w:szCs w:val="18"/>
              </w:rPr>
            </w:pPr>
            <w:r>
              <w:rPr>
                <w:rFonts w:cs="Calibri"/>
                <w:b/>
                <w:bCs/>
                <w:szCs w:val="18"/>
              </w:rPr>
              <w:t>Outcome 3</w:t>
            </w:r>
          </w:p>
        </w:tc>
        <w:tc>
          <w:tcPr>
            <w:tcW w:w="1496" w:type="dxa"/>
            <w:tcBorders>
              <w:top w:val="single" w:sz="4" w:space="0" w:color="auto"/>
              <w:left w:val="nil"/>
              <w:bottom w:val="single" w:sz="4" w:space="0" w:color="auto"/>
              <w:right w:val="single" w:sz="4" w:space="0" w:color="auto"/>
            </w:tcBorders>
            <w:shd w:val="clear" w:color="FFFFFF" w:fill="FFFFFF"/>
            <w:vAlign w:val="bottom"/>
            <w:hideMark/>
          </w:tcPr>
          <w:p w:rsidR="007E1E1E" w:rsidRDefault="007E1E1E" w:rsidP="00B50E5D">
            <w:pPr>
              <w:jc w:val="center"/>
              <w:rPr>
                <w:rFonts w:cs="Calibri"/>
                <w:b/>
                <w:bCs/>
                <w:szCs w:val="18"/>
              </w:rPr>
            </w:pPr>
            <w:r>
              <w:rPr>
                <w:rFonts w:cs="Calibri"/>
                <w:b/>
                <w:bCs/>
                <w:szCs w:val="18"/>
              </w:rPr>
              <w:t>Payment to CAC Act Agency</w:t>
            </w:r>
          </w:p>
        </w:tc>
        <w:tc>
          <w:tcPr>
            <w:tcW w:w="1196" w:type="dxa"/>
            <w:tcBorders>
              <w:top w:val="single" w:sz="4" w:space="0" w:color="auto"/>
              <w:left w:val="nil"/>
              <w:bottom w:val="single" w:sz="4" w:space="0" w:color="auto"/>
              <w:right w:val="single" w:sz="4" w:space="0" w:color="auto"/>
            </w:tcBorders>
            <w:shd w:val="clear" w:color="FFFFFF" w:fill="FFFFFF"/>
            <w:vAlign w:val="bottom"/>
            <w:hideMark/>
          </w:tcPr>
          <w:p w:rsidR="007E1E1E" w:rsidRDefault="007E1E1E" w:rsidP="00B50E5D">
            <w:pPr>
              <w:jc w:val="center"/>
              <w:rPr>
                <w:rFonts w:cs="Calibri"/>
                <w:b/>
                <w:bCs/>
                <w:szCs w:val="18"/>
              </w:rPr>
            </w:pPr>
            <w:r>
              <w:rPr>
                <w:rFonts w:cs="Calibri"/>
                <w:b/>
                <w:bCs/>
                <w:szCs w:val="18"/>
              </w:rPr>
              <w:t xml:space="preserve">Not </w:t>
            </w:r>
            <w:proofErr w:type="spellStart"/>
            <w:r>
              <w:rPr>
                <w:rFonts w:cs="Calibri"/>
                <w:b/>
                <w:bCs/>
                <w:szCs w:val="18"/>
              </w:rPr>
              <w:t>attributed</w:t>
            </w:r>
            <w:r>
              <w:rPr>
                <w:rFonts w:cs="Calibri"/>
                <w:b/>
                <w:bCs/>
                <w:szCs w:val="18"/>
                <w:vertAlign w:val="superscript"/>
              </w:rPr>
              <w:t>1</w:t>
            </w:r>
            <w:proofErr w:type="spellEnd"/>
          </w:p>
        </w:tc>
      </w:tr>
      <w:tr w:rsidR="007E1E1E" w:rsidTr="00B50E5D">
        <w:trPr>
          <w:trHeight w:val="255"/>
        </w:trPr>
        <w:tc>
          <w:tcPr>
            <w:tcW w:w="3596" w:type="dxa"/>
            <w:tcBorders>
              <w:top w:val="nil"/>
              <w:left w:val="single" w:sz="4" w:space="0" w:color="auto"/>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96" w:type="dxa"/>
            <w:tcBorders>
              <w:top w:val="nil"/>
              <w:left w:val="single" w:sz="4" w:space="0" w:color="auto"/>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Cs w:val="18"/>
              </w:rPr>
            </w:pPr>
            <w:r>
              <w:rPr>
                <w:rFonts w:cs="Calibri"/>
                <w:b/>
                <w:bCs/>
                <w:szCs w:val="18"/>
              </w:rPr>
              <w:t>2014</w:t>
            </w:r>
          </w:p>
        </w:tc>
        <w:tc>
          <w:tcPr>
            <w:tcW w:w="119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Cs w:val="18"/>
              </w:rPr>
            </w:pPr>
            <w:r>
              <w:rPr>
                <w:rFonts w:cs="Calibri"/>
                <w:b/>
                <w:bCs/>
                <w:szCs w:val="18"/>
              </w:rPr>
              <w:t>2014</w:t>
            </w:r>
          </w:p>
        </w:tc>
        <w:tc>
          <w:tcPr>
            <w:tcW w:w="119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Cs w:val="18"/>
              </w:rPr>
            </w:pPr>
            <w:r>
              <w:rPr>
                <w:rFonts w:cs="Calibri"/>
                <w:b/>
                <w:bCs/>
                <w:szCs w:val="18"/>
              </w:rPr>
              <w:t>2014</w:t>
            </w:r>
          </w:p>
        </w:tc>
        <w:tc>
          <w:tcPr>
            <w:tcW w:w="149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Cs w:val="18"/>
              </w:rPr>
            </w:pPr>
            <w:r>
              <w:rPr>
                <w:rFonts w:cs="Calibri"/>
                <w:b/>
                <w:bCs/>
                <w:szCs w:val="18"/>
              </w:rPr>
              <w:t>2014</w:t>
            </w:r>
          </w:p>
        </w:tc>
        <w:tc>
          <w:tcPr>
            <w:tcW w:w="119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Cs w:val="18"/>
              </w:rPr>
            </w:pPr>
            <w:r>
              <w:rPr>
                <w:rFonts w:cs="Calibri"/>
                <w:b/>
                <w:bCs/>
                <w:szCs w:val="18"/>
              </w:rPr>
              <w:t>2014</w:t>
            </w:r>
          </w:p>
        </w:tc>
      </w:tr>
      <w:tr w:rsidR="007E1E1E" w:rsidTr="00B50E5D">
        <w:trPr>
          <w:trHeight w:val="255"/>
        </w:trPr>
        <w:tc>
          <w:tcPr>
            <w:tcW w:w="3596" w:type="dxa"/>
            <w:tcBorders>
              <w:top w:val="nil"/>
              <w:left w:val="single" w:sz="4" w:space="0" w:color="auto"/>
              <w:bottom w:val="single" w:sz="4" w:space="0" w:color="auto"/>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96" w:type="dxa"/>
            <w:tcBorders>
              <w:top w:val="nil"/>
              <w:left w:val="single" w:sz="4" w:space="0" w:color="auto"/>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19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19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49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c>
          <w:tcPr>
            <w:tcW w:w="119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55"/>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Departmental</w:t>
            </w:r>
          </w:p>
        </w:tc>
        <w:tc>
          <w:tcPr>
            <w:tcW w:w="11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4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3596" w:type="dxa"/>
            <w:tcBorders>
              <w:top w:val="nil"/>
              <w:left w:val="single" w:sz="4" w:space="0" w:color="auto"/>
              <w:bottom w:val="nil"/>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Expenses</w:t>
            </w:r>
          </w:p>
        </w:tc>
        <w:tc>
          <w:tcPr>
            <w:tcW w:w="11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62,212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102,149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80,693 </w:t>
            </w:r>
          </w:p>
        </w:tc>
        <w:tc>
          <w:tcPr>
            <w:tcW w:w="14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3596" w:type="dxa"/>
            <w:tcBorders>
              <w:top w:val="single" w:sz="4" w:space="0" w:color="auto"/>
              <w:left w:val="single" w:sz="4" w:space="0" w:color="auto"/>
              <w:bottom w:val="single" w:sz="4" w:space="0" w:color="auto"/>
              <w:right w:val="nil"/>
            </w:tcBorders>
            <w:shd w:val="clear" w:color="FFFFFF" w:fill="FFFFFF"/>
            <w:noWrap/>
            <w:vAlign w:val="bottom"/>
            <w:hideMark/>
          </w:tcPr>
          <w:p w:rsidR="007E1E1E" w:rsidRDefault="007E1E1E" w:rsidP="007E1E1E">
            <w:pPr>
              <w:ind w:firstLineChars="100" w:firstLine="180"/>
              <w:rPr>
                <w:rFonts w:cs="Calibri"/>
                <w:szCs w:val="18"/>
              </w:rPr>
            </w:pPr>
            <w:r>
              <w:rPr>
                <w:rFonts w:cs="Calibri"/>
                <w:szCs w:val="18"/>
              </w:rPr>
              <w:t>Own-source income</w:t>
            </w:r>
          </w:p>
        </w:tc>
        <w:tc>
          <w:tcPr>
            <w:tcW w:w="11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5,316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8,626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12,472 </w:t>
            </w:r>
          </w:p>
        </w:tc>
        <w:tc>
          <w:tcPr>
            <w:tcW w:w="14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3596" w:type="dxa"/>
            <w:tcBorders>
              <w:top w:val="nil"/>
              <w:left w:val="single" w:sz="4" w:space="0" w:color="auto"/>
              <w:bottom w:val="single" w:sz="4" w:space="0" w:color="auto"/>
              <w:right w:val="nil"/>
            </w:tcBorders>
            <w:shd w:val="clear" w:color="000000" w:fill="D9D9D9"/>
            <w:vAlign w:val="bottom"/>
            <w:hideMark/>
          </w:tcPr>
          <w:p w:rsidR="007E1E1E" w:rsidRDefault="007E1E1E" w:rsidP="00B50E5D">
            <w:pPr>
              <w:rPr>
                <w:rFonts w:cs="Calibri"/>
                <w:b/>
                <w:bCs/>
                <w:szCs w:val="18"/>
              </w:rPr>
            </w:pPr>
            <w:r>
              <w:rPr>
                <w:rFonts w:cs="Calibri"/>
                <w:b/>
                <w:bCs/>
                <w:szCs w:val="18"/>
              </w:rPr>
              <w:t>Administered</w:t>
            </w:r>
          </w:p>
        </w:tc>
        <w:tc>
          <w:tcPr>
            <w:tcW w:w="1196" w:type="dxa"/>
            <w:tcBorders>
              <w:top w:val="nil"/>
              <w:left w:val="single" w:sz="4" w:space="0" w:color="auto"/>
              <w:bottom w:val="single" w:sz="4" w:space="0" w:color="auto"/>
              <w:right w:val="single" w:sz="4" w:space="0" w:color="auto"/>
            </w:tcBorders>
            <w:shd w:val="clear" w:color="000000" w:fill="D9D9D9"/>
            <w:noWrap/>
            <w:vAlign w:val="bottom"/>
            <w:hideMark/>
          </w:tcPr>
          <w:p w:rsidR="007E1E1E" w:rsidRDefault="007E1E1E" w:rsidP="00B50E5D">
            <w:pPr>
              <w:rPr>
                <w:rFonts w:cs="Calibri"/>
                <w:szCs w:val="18"/>
              </w:rPr>
            </w:pPr>
            <w:r>
              <w:rPr>
                <w:rFonts w:cs="Calibri"/>
                <w:szCs w:val="18"/>
              </w:rPr>
              <w:t> </w:t>
            </w:r>
          </w:p>
        </w:tc>
        <w:tc>
          <w:tcPr>
            <w:tcW w:w="11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rPr>
                <w:rFonts w:cs="Calibri"/>
                <w:szCs w:val="18"/>
              </w:rPr>
            </w:pPr>
            <w:r>
              <w:rPr>
                <w:rFonts w:cs="Calibri"/>
                <w:szCs w:val="18"/>
              </w:rPr>
              <w:t> </w:t>
            </w:r>
          </w:p>
        </w:tc>
        <w:tc>
          <w:tcPr>
            <w:tcW w:w="11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rPr>
                <w:rFonts w:cs="Calibri"/>
                <w:szCs w:val="18"/>
              </w:rPr>
            </w:pPr>
            <w:r>
              <w:rPr>
                <w:rFonts w:cs="Calibri"/>
                <w:szCs w:val="18"/>
              </w:rPr>
              <w:t> </w:t>
            </w:r>
          </w:p>
        </w:tc>
        <w:tc>
          <w:tcPr>
            <w:tcW w:w="14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rPr>
                <w:rFonts w:cs="Calibri"/>
                <w:szCs w:val="18"/>
              </w:rPr>
            </w:pPr>
            <w:r>
              <w:rPr>
                <w:rFonts w:cs="Calibri"/>
                <w:szCs w:val="18"/>
              </w:rPr>
              <w:t> </w:t>
            </w:r>
          </w:p>
        </w:tc>
        <w:tc>
          <w:tcPr>
            <w:tcW w:w="11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rPr>
                <w:rFonts w:cs="Calibri"/>
                <w:szCs w:val="18"/>
              </w:rPr>
            </w:pPr>
            <w:r>
              <w:rPr>
                <w:rFonts w:cs="Calibri"/>
                <w:szCs w:val="18"/>
              </w:rPr>
              <w:t> </w:t>
            </w:r>
          </w:p>
        </w:tc>
      </w:tr>
      <w:tr w:rsidR="007E1E1E" w:rsidTr="00B50E5D">
        <w:trPr>
          <w:trHeight w:val="255"/>
        </w:trPr>
        <w:tc>
          <w:tcPr>
            <w:tcW w:w="3596" w:type="dxa"/>
            <w:tcBorders>
              <w:top w:val="nil"/>
              <w:left w:val="single" w:sz="4" w:space="0" w:color="auto"/>
              <w:bottom w:val="single" w:sz="4" w:space="0" w:color="auto"/>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Expenses</w:t>
            </w:r>
          </w:p>
        </w:tc>
        <w:tc>
          <w:tcPr>
            <w:tcW w:w="1196" w:type="dxa"/>
            <w:tcBorders>
              <w:top w:val="nil"/>
              <w:left w:val="single" w:sz="4" w:space="0" w:color="auto"/>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4,790,056 </w:t>
            </w:r>
          </w:p>
        </w:tc>
        <w:tc>
          <w:tcPr>
            <w:tcW w:w="11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9,461,185 </w:t>
            </w:r>
          </w:p>
        </w:tc>
        <w:tc>
          <w:tcPr>
            <w:tcW w:w="11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8,462,473 </w:t>
            </w:r>
          </w:p>
        </w:tc>
        <w:tc>
          <w:tcPr>
            <w:tcW w:w="14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5,360 </w:t>
            </w:r>
          </w:p>
        </w:tc>
        <w:tc>
          <w:tcPr>
            <w:tcW w:w="11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3596" w:type="dxa"/>
            <w:tcBorders>
              <w:top w:val="nil"/>
              <w:left w:val="single" w:sz="4" w:space="0" w:color="auto"/>
              <w:bottom w:val="single" w:sz="4" w:space="0" w:color="auto"/>
              <w:right w:val="nil"/>
            </w:tcBorders>
            <w:shd w:val="clear" w:color="000000" w:fill="D9D9D9"/>
            <w:noWrap/>
            <w:vAlign w:val="bottom"/>
            <w:hideMark/>
          </w:tcPr>
          <w:p w:rsidR="007E1E1E" w:rsidRDefault="007E1E1E" w:rsidP="007E1E1E">
            <w:pPr>
              <w:ind w:firstLineChars="100" w:firstLine="180"/>
              <w:rPr>
                <w:rFonts w:cs="Calibri"/>
                <w:szCs w:val="18"/>
              </w:rPr>
            </w:pPr>
            <w:r>
              <w:rPr>
                <w:rFonts w:cs="Calibri"/>
                <w:szCs w:val="18"/>
              </w:rPr>
              <w:t>Own-source income</w:t>
            </w:r>
          </w:p>
        </w:tc>
        <w:tc>
          <w:tcPr>
            <w:tcW w:w="1196" w:type="dxa"/>
            <w:tcBorders>
              <w:top w:val="nil"/>
              <w:left w:val="single" w:sz="4" w:space="0" w:color="auto"/>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11,325 </w:t>
            </w:r>
          </w:p>
        </w:tc>
        <w:tc>
          <w:tcPr>
            <w:tcW w:w="11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9,531 </w:t>
            </w:r>
          </w:p>
        </w:tc>
        <w:tc>
          <w:tcPr>
            <w:tcW w:w="11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881,146 </w:t>
            </w:r>
          </w:p>
        </w:tc>
        <w:tc>
          <w:tcPr>
            <w:tcW w:w="14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jc w:val="right"/>
              <w:rPr>
                <w:rFonts w:cs="Calibri"/>
                <w:b/>
                <w:bCs/>
                <w:szCs w:val="18"/>
              </w:rPr>
            </w:pPr>
            <w:r>
              <w:rPr>
                <w:rFonts w:cs="Calibri"/>
                <w:b/>
                <w:bCs/>
                <w:szCs w:val="18"/>
              </w:rPr>
              <w:t xml:space="preserve"> -</w:t>
            </w:r>
          </w:p>
        </w:tc>
      </w:tr>
      <w:tr w:rsidR="007E1E1E" w:rsidTr="00B50E5D">
        <w:trPr>
          <w:trHeight w:val="255"/>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rPr>
                <w:rFonts w:cs="Calibri"/>
                <w:b/>
                <w:bCs/>
                <w:szCs w:val="18"/>
              </w:rPr>
            </w:pPr>
            <w:r>
              <w:rPr>
                <w:rFonts w:cs="Calibri"/>
                <w:b/>
                <w:bCs/>
                <w:szCs w:val="18"/>
              </w:rPr>
              <w:t>Net cost/(contribution) of outcome delivery</w:t>
            </w:r>
          </w:p>
        </w:tc>
        <w:tc>
          <w:tcPr>
            <w:tcW w:w="11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4,835,627</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9,545,177</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7,649,548</w:t>
            </w:r>
          </w:p>
        </w:tc>
        <w:tc>
          <w:tcPr>
            <w:tcW w:w="14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5,360</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jc w:val="right"/>
              <w:rPr>
                <w:rFonts w:cs="Calibri"/>
                <w:b/>
                <w:bCs/>
                <w:szCs w:val="18"/>
              </w:rPr>
            </w:pPr>
            <w:r>
              <w:rPr>
                <w:rFonts w:cs="Calibri"/>
                <w:b/>
                <w:bCs/>
                <w:szCs w:val="18"/>
              </w:rPr>
              <w:t>-</w:t>
            </w:r>
          </w:p>
        </w:tc>
      </w:tr>
    </w:tbl>
    <w:p w:rsidR="007E1E1E" w:rsidRDefault="007E1E1E" w:rsidP="007E1E1E">
      <w:pPr>
        <w:pStyle w:val="AdminBlankGreyShade"/>
      </w:pPr>
      <w:bookmarkStart w:id="476" w:name="RANGE!D7:L29"/>
      <w:bookmarkStart w:id="477" w:name="RANGE!D6:L39"/>
      <w:bookmarkStart w:id="478" w:name="RANGE!D6:L40"/>
      <w:bookmarkStart w:id="479" w:name="RANGE!D6:L41"/>
      <w:bookmarkStart w:id="480" w:name="RANGE!D6:L32"/>
      <w:bookmarkStart w:id="481" w:name="RANGE!D6:L33"/>
      <w:bookmarkStart w:id="482" w:name="RANGE!D22:L32"/>
      <w:bookmarkStart w:id="483" w:name="RANGE!D37:L62"/>
      <w:bookmarkEnd w:id="476"/>
      <w:bookmarkEnd w:id="477"/>
      <w:bookmarkEnd w:id="478"/>
      <w:bookmarkEnd w:id="479"/>
      <w:bookmarkEnd w:id="480"/>
      <w:bookmarkEnd w:id="481"/>
      <w:bookmarkEnd w:id="482"/>
      <w:bookmarkEnd w:id="483"/>
      <w:r>
        <w:t xml:space="preserve">Outcomes 1 to 3 are described in Note 1.1. Net costs shown include intra-government costs that are eliminated in calculating the actual Budget Outcome. Refer to Appendix 2 of this annual report for the Agency resource statement and resources for outcomes.  </w:t>
      </w:r>
    </w:p>
    <w:p w:rsidR="007E1E1E" w:rsidRDefault="007E1E1E" w:rsidP="007E1E1E">
      <w:pPr>
        <w:pStyle w:val="AdminBlankGreyShade"/>
      </w:pPr>
      <w:r>
        <w:rPr>
          <w:vertAlign w:val="superscript"/>
        </w:rPr>
        <w:t>1</w:t>
      </w:r>
      <w:r>
        <w:t xml:space="preserve"> Some administered own-source income is not related to programs and outcomes.  They are included here so the total agrees to the schedule of comprehensive income.  </w:t>
      </w:r>
    </w:p>
    <w:p w:rsidR="007E1E1E" w:rsidRDefault="007E1E1E" w:rsidP="007E1E1E">
      <w:pPr>
        <w:spacing w:line="240" w:lineRule="auto"/>
      </w:pPr>
      <w:r>
        <w:br w:type="page"/>
      </w:r>
    </w:p>
    <w:tbl>
      <w:tblPr>
        <w:tblW w:w="13991" w:type="dxa"/>
        <w:tblInd w:w="80" w:type="dxa"/>
        <w:tblLayout w:type="fixed"/>
        <w:tblLook w:val="04A0" w:firstRow="1" w:lastRow="0" w:firstColumn="1" w:lastColumn="0" w:noHBand="0" w:noVBand="1"/>
      </w:tblPr>
      <w:tblGrid>
        <w:gridCol w:w="5095"/>
        <w:gridCol w:w="1695"/>
        <w:gridCol w:w="1694"/>
        <w:gridCol w:w="1694"/>
        <w:gridCol w:w="2119"/>
        <w:gridCol w:w="1694"/>
      </w:tblGrid>
      <w:tr w:rsidR="007E1E1E" w:rsidTr="00B50E5D">
        <w:trPr>
          <w:trHeight w:val="113"/>
        </w:trPr>
        <w:tc>
          <w:tcPr>
            <w:tcW w:w="9876" w:type="dxa"/>
            <w:gridSpan w:val="6"/>
            <w:tcBorders>
              <w:top w:val="nil"/>
              <w:left w:val="nil"/>
              <w:bottom w:val="nil"/>
              <w:right w:val="nil"/>
            </w:tcBorders>
            <w:shd w:val="clear" w:color="FFFFFF" w:fill="FFFFFF"/>
            <w:noWrap/>
            <w:vAlign w:val="bottom"/>
            <w:hideMark/>
          </w:tcPr>
          <w:p w:rsidR="007E1E1E" w:rsidRDefault="007E1E1E" w:rsidP="00B50E5D">
            <w:pPr>
              <w:spacing w:line="240" w:lineRule="auto"/>
              <w:rPr>
                <w:rFonts w:cs="Calibri"/>
                <w:b/>
                <w:bCs/>
                <w:szCs w:val="18"/>
                <w:u w:val="single"/>
              </w:rPr>
            </w:pPr>
            <w:bookmarkStart w:id="484" w:name="RANGE!D34:D106"/>
            <w:bookmarkStart w:id="485" w:name="Note_ROOTABLE2" w:colFirst="0" w:colLast="0"/>
            <w:r>
              <w:rPr>
                <w:rFonts w:cs="Calibri"/>
                <w:b/>
                <w:bCs/>
                <w:szCs w:val="18"/>
                <w:u w:val="single"/>
              </w:rPr>
              <w:lastRenderedPageBreak/>
              <w:t xml:space="preserve">Note </w:t>
            </w:r>
            <w:proofErr w:type="spellStart"/>
            <w:r>
              <w:rPr>
                <w:rFonts w:cs="Calibri"/>
                <w:b/>
                <w:bCs/>
                <w:szCs w:val="18"/>
                <w:u w:val="single"/>
              </w:rPr>
              <w:t>32B</w:t>
            </w:r>
            <w:proofErr w:type="spellEnd"/>
            <w:r>
              <w:rPr>
                <w:rFonts w:cs="Calibri"/>
                <w:b/>
                <w:bCs/>
                <w:szCs w:val="18"/>
                <w:u w:val="single"/>
              </w:rPr>
              <w:t>: Major classes of departmental expenses, income, assets and liabilities by outcome</w:t>
            </w:r>
            <w:bookmarkEnd w:id="484"/>
          </w:p>
        </w:tc>
      </w:tr>
      <w:bookmarkEnd w:id="485"/>
      <w:tr w:rsidR="007E1E1E" w:rsidTr="00B50E5D">
        <w:trPr>
          <w:trHeight w:val="113"/>
        </w:trPr>
        <w:tc>
          <w:tcPr>
            <w:tcW w:w="3596" w:type="dxa"/>
            <w:tcBorders>
              <w:top w:val="nil"/>
              <w:left w:val="nil"/>
              <w:bottom w:val="nil"/>
              <w:right w:val="nil"/>
            </w:tcBorders>
            <w:shd w:val="clear" w:color="FFFFFF" w:fill="FFFFFF"/>
            <w:noWrap/>
            <w:vAlign w:val="bottom"/>
            <w:hideMark/>
          </w:tcPr>
          <w:p w:rsidR="007E1E1E" w:rsidRDefault="007E1E1E" w:rsidP="00B50E5D">
            <w:pPr>
              <w:spacing w:line="240" w:lineRule="auto"/>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spacing w:line="240" w:lineRule="auto"/>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spacing w:line="240" w:lineRule="auto"/>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spacing w:line="240" w:lineRule="auto"/>
              <w:rPr>
                <w:rFonts w:cs="Calibri"/>
                <w:szCs w:val="18"/>
              </w:rPr>
            </w:pPr>
            <w:r>
              <w:rPr>
                <w:rFonts w:cs="Calibri"/>
                <w:szCs w:val="18"/>
              </w:rPr>
              <w:t> </w:t>
            </w:r>
          </w:p>
        </w:tc>
        <w:tc>
          <w:tcPr>
            <w:tcW w:w="1496" w:type="dxa"/>
            <w:tcBorders>
              <w:top w:val="nil"/>
              <w:left w:val="nil"/>
              <w:bottom w:val="nil"/>
              <w:right w:val="nil"/>
            </w:tcBorders>
            <w:shd w:val="clear" w:color="FFFFFF" w:fill="FFFFFF"/>
            <w:noWrap/>
            <w:vAlign w:val="bottom"/>
            <w:hideMark/>
          </w:tcPr>
          <w:p w:rsidR="007E1E1E" w:rsidRDefault="007E1E1E" w:rsidP="00B50E5D">
            <w:pPr>
              <w:spacing w:line="240" w:lineRule="auto"/>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7E1E1E" w:rsidRDefault="007E1E1E" w:rsidP="00B50E5D">
            <w:pPr>
              <w:spacing w:line="240" w:lineRule="auto"/>
              <w:rPr>
                <w:rFonts w:cs="Calibri"/>
                <w:szCs w:val="18"/>
              </w:rPr>
            </w:pPr>
            <w:r>
              <w:rPr>
                <w:rFonts w:cs="Calibri"/>
                <w:szCs w:val="18"/>
              </w:rPr>
              <w:t> </w:t>
            </w:r>
          </w:p>
        </w:tc>
      </w:tr>
      <w:tr w:rsidR="007E1E1E" w:rsidTr="00B50E5D">
        <w:trPr>
          <w:trHeight w:val="113"/>
        </w:trPr>
        <w:tc>
          <w:tcPr>
            <w:tcW w:w="3596" w:type="dxa"/>
            <w:tcBorders>
              <w:top w:val="single" w:sz="4" w:space="0" w:color="auto"/>
              <w:left w:val="single" w:sz="4" w:space="0" w:color="auto"/>
              <w:bottom w:val="nil"/>
              <w:right w:val="nil"/>
            </w:tcBorders>
            <w:shd w:val="clear" w:color="FFFFFF" w:fill="FFFFFF"/>
            <w:noWrap/>
            <w:hideMark/>
          </w:tcPr>
          <w:p w:rsidR="007E1E1E" w:rsidRDefault="007E1E1E" w:rsidP="00B50E5D">
            <w:pPr>
              <w:spacing w:line="240" w:lineRule="auto"/>
              <w:rPr>
                <w:rFonts w:cs="Calibri"/>
                <w:sz w:val="16"/>
                <w:szCs w:val="16"/>
              </w:rPr>
            </w:pPr>
            <w:r>
              <w:rPr>
                <w:rFonts w:cs="Calibri"/>
                <w:sz w:val="16"/>
                <w:szCs w:val="16"/>
              </w:rPr>
              <w:t> </w:t>
            </w:r>
          </w:p>
        </w:tc>
        <w:tc>
          <w:tcPr>
            <w:tcW w:w="1196" w:type="dxa"/>
            <w:tcBorders>
              <w:top w:val="single" w:sz="4" w:space="0" w:color="auto"/>
              <w:left w:val="single" w:sz="4" w:space="0" w:color="auto"/>
              <w:bottom w:val="single" w:sz="4" w:space="0" w:color="auto"/>
              <w:right w:val="nil"/>
            </w:tcBorders>
            <w:shd w:val="clear" w:color="FFFFFF" w:fill="FFFFFF"/>
            <w:hideMark/>
          </w:tcPr>
          <w:p w:rsidR="007E1E1E" w:rsidRDefault="007E1E1E" w:rsidP="00B50E5D">
            <w:pPr>
              <w:spacing w:line="240" w:lineRule="auto"/>
              <w:rPr>
                <w:rFonts w:cs="Calibri"/>
                <w:b/>
                <w:bCs/>
                <w:szCs w:val="18"/>
              </w:rPr>
            </w:pPr>
            <w:r>
              <w:rPr>
                <w:rFonts w:cs="Calibri"/>
                <w:b/>
                <w:bCs/>
                <w:szCs w:val="18"/>
              </w:rPr>
              <w:t>Outcome 1</w:t>
            </w:r>
          </w:p>
        </w:tc>
        <w:tc>
          <w:tcPr>
            <w:tcW w:w="1196" w:type="dxa"/>
            <w:tcBorders>
              <w:top w:val="single" w:sz="4" w:space="0" w:color="auto"/>
              <w:left w:val="single" w:sz="4" w:space="0" w:color="auto"/>
              <w:bottom w:val="single" w:sz="4" w:space="0" w:color="auto"/>
              <w:right w:val="nil"/>
            </w:tcBorders>
            <w:shd w:val="clear" w:color="FFFFFF" w:fill="FFFFFF"/>
            <w:hideMark/>
          </w:tcPr>
          <w:p w:rsidR="007E1E1E" w:rsidRDefault="007E1E1E" w:rsidP="00B50E5D">
            <w:pPr>
              <w:spacing w:line="240" w:lineRule="auto"/>
              <w:rPr>
                <w:rFonts w:cs="Calibri"/>
                <w:b/>
                <w:bCs/>
                <w:szCs w:val="18"/>
              </w:rPr>
            </w:pPr>
            <w:r>
              <w:rPr>
                <w:rFonts w:cs="Calibri"/>
                <w:b/>
                <w:bCs/>
                <w:szCs w:val="18"/>
              </w:rPr>
              <w:t>Outcome 2</w:t>
            </w:r>
          </w:p>
        </w:tc>
        <w:tc>
          <w:tcPr>
            <w:tcW w:w="1196" w:type="dxa"/>
            <w:tcBorders>
              <w:top w:val="single" w:sz="4" w:space="0" w:color="auto"/>
              <w:left w:val="single" w:sz="4" w:space="0" w:color="auto"/>
              <w:bottom w:val="single" w:sz="4" w:space="0" w:color="auto"/>
              <w:right w:val="single" w:sz="4" w:space="0" w:color="auto"/>
            </w:tcBorders>
            <w:shd w:val="clear" w:color="FFFFFF" w:fill="FFFFFF"/>
            <w:hideMark/>
          </w:tcPr>
          <w:p w:rsidR="007E1E1E" w:rsidRDefault="007E1E1E" w:rsidP="00B50E5D">
            <w:pPr>
              <w:spacing w:line="240" w:lineRule="auto"/>
              <w:jc w:val="center"/>
              <w:rPr>
                <w:rFonts w:cs="Calibri"/>
                <w:b/>
                <w:bCs/>
                <w:szCs w:val="18"/>
              </w:rPr>
            </w:pPr>
            <w:r>
              <w:rPr>
                <w:rFonts w:cs="Calibri"/>
                <w:b/>
                <w:bCs/>
                <w:szCs w:val="18"/>
              </w:rPr>
              <w:t>Outcome 3</w:t>
            </w:r>
          </w:p>
        </w:tc>
        <w:tc>
          <w:tcPr>
            <w:tcW w:w="1496" w:type="dxa"/>
            <w:tcBorders>
              <w:top w:val="single" w:sz="4" w:space="0" w:color="auto"/>
              <w:left w:val="nil"/>
              <w:bottom w:val="single" w:sz="4" w:space="0" w:color="auto"/>
              <w:right w:val="single" w:sz="4" w:space="0" w:color="auto"/>
            </w:tcBorders>
            <w:shd w:val="clear" w:color="FFFFFF" w:fill="FFFFFF"/>
            <w:hideMark/>
          </w:tcPr>
          <w:p w:rsidR="007E1E1E" w:rsidRDefault="007E1E1E" w:rsidP="00B50E5D">
            <w:pPr>
              <w:spacing w:line="240" w:lineRule="auto"/>
              <w:jc w:val="center"/>
              <w:rPr>
                <w:rFonts w:cs="Calibri"/>
                <w:b/>
                <w:bCs/>
                <w:szCs w:val="18"/>
              </w:rPr>
            </w:pPr>
            <w:r>
              <w:rPr>
                <w:rFonts w:cs="Calibri"/>
                <w:b/>
                <w:bCs/>
                <w:szCs w:val="18"/>
              </w:rPr>
              <w:t xml:space="preserve">Not </w:t>
            </w:r>
            <w:proofErr w:type="spellStart"/>
            <w:r>
              <w:rPr>
                <w:rFonts w:cs="Calibri"/>
                <w:b/>
                <w:bCs/>
                <w:szCs w:val="18"/>
              </w:rPr>
              <w:t>attributed</w:t>
            </w:r>
            <w:r>
              <w:rPr>
                <w:rFonts w:cs="Calibri"/>
                <w:b/>
                <w:bCs/>
                <w:szCs w:val="18"/>
                <w:vertAlign w:val="superscript"/>
              </w:rPr>
              <w:t>1</w:t>
            </w:r>
            <w:proofErr w:type="spellEnd"/>
          </w:p>
        </w:tc>
        <w:tc>
          <w:tcPr>
            <w:tcW w:w="1196" w:type="dxa"/>
            <w:tcBorders>
              <w:top w:val="single" w:sz="4" w:space="0" w:color="auto"/>
              <w:left w:val="nil"/>
              <w:bottom w:val="single" w:sz="4" w:space="0" w:color="auto"/>
              <w:right w:val="single" w:sz="4" w:space="0" w:color="auto"/>
            </w:tcBorders>
            <w:shd w:val="clear" w:color="FFFFFF" w:fill="FFFFFF"/>
            <w:hideMark/>
          </w:tcPr>
          <w:p w:rsidR="007E1E1E" w:rsidRDefault="007E1E1E" w:rsidP="00B50E5D">
            <w:pPr>
              <w:spacing w:line="240" w:lineRule="auto"/>
              <w:jc w:val="center"/>
              <w:rPr>
                <w:rFonts w:cs="Calibri"/>
                <w:b/>
                <w:bCs/>
                <w:szCs w:val="18"/>
              </w:rPr>
            </w:pPr>
            <w:r>
              <w:rPr>
                <w:rFonts w:cs="Calibri"/>
                <w:b/>
                <w:bCs/>
                <w:szCs w:val="18"/>
              </w:rPr>
              <w:t>Total</w:t>
            </w:r>
          </w:p>
        </w:tc>
      </w:tr>
      <w:tr w:rsidR="007E1E1E" w:rsidTr="00B50E5D">
        <w:trPr>
          <w:trHeight w:val="113"/>
        </w:trPr>
        <w:tc>
          <w:tcPr>
            <w:tcW w:w="3596" w:type="dxa"/>
            <w:tcBorders>
              <w:top w:val="nil"/>
              <w:left w:val="single" w:sz="4" w:space="0" w:color="auto"/>
              <w:bottom w:val="nil"/>
              <w:right w:val="nil"/>
            </w:tcBorders>
            <w:shd w:val="clear" w:color="FFFFFF" w:fill="FFFFFF"/>
            <w:noWrap/>
            <w:hideMark/>
          </w:tcPr>
          <w:p w:rsidR="007E1E1E" w:rsidRDefault="007E1E1E" w:rsidP="00B50E5D">
            <w:pPr>
              <w:spacing w:line="240" w:lineRule="auto"/>
              <w:rPr>
                <w:rFonts w:cs="Calibri"/>
                <w:sz w:val="16"/>
                <w:szCs w:val="16"/>
              </w:rPr>
            </w:pPr>
            <w:r>
              <w:rPr>
                <w:rFonts w:cs="Calibri"/>
                <w:sz w:val="16"/>
                <w:szCs w:val="16"/>
              </w:rPr>
              <w:t> </w:t>
            </w:r>
          </w:p>
        </w:tc>
        <w:tc>
          <w:tcPr>
            <w:tcW w:w="1196" w:type="dxa"/>
            <w:tcBorders>
              <w:top w:val="nil"/>
              <w:left w:val="single" w:sz="4" w:space="0" w:color="auto"/>
              <w:bottom w:val="single" w:sz="4" w:space="0" w:color="auto"/>
              <w:right w:val="single" w:sz="4" w:space="0" w:color="auto"/>
            </w:tcBorders>
            <w:shd w:val="clear" w:color="FFFFFF" w:fill="FFFFFF"/>
            <w:vAlign w:val="bottom"/>
            <w:hideMark/>
          </w:tcPr>
          <w:p w:rsidR="007E1E1E" w:rsidRDefault="007E1E1E" w:rsidP="00B50E5D">
            <w:pPr>
              <w:spacing w:line="240" w:lineRule="auto"/>
              <w:jc w:val="right"/>
              <w:rPr>
                <w:rFonts w:cs="Calibri"/>
                <w:b/>
                <w:bCs/>
                <w:szCs w:val="18"/>
              </w:rPr>
            </w:pPr>
            <w:r>
              <w:rPr>
                <w:rFonts w:cs="Calibri"/>
                <w:b/>
                <w:bCs/>
                <w:szCs w:val="18"/>
              </w:rPr>
              <w:t>2014</w:t>
            </w:r>
          </w:p>
        </w:tc>
        <w:tc>
          <w:tcPr>
            <w:tcW w:w="119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spacing w:line="240" w:lineRule="auto"/>
              <w:jc w:val="right"/>
              <w:rPr>
                <w:rFonts w:cs="Calibri"/>
                <w:b/>
                <w:bCs/>
                <w:szCs w:val="18"/>
              </w:rPr>
            </w:pPr>
            <w:r>
              <w:rPr>
                <w:rFonts w:cs="Calibri"/>
                <w:b/>
                <w:bCs/>
                <w:szCs w:val="18"/>
              </w:rPr>
              <w:t>2014</w:t>
            </w:r>
          </w:p>
        </w:tc>
        <w:tc>
          <w:tcPr>
            <w:tcW w:w="119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spacing w:line="240" w:lineRule="auto"/>
              <w:jc w:val="right"/>
              <w:rPr>
                <w:rFonts w:cs="Calibri"/>
                <w:b/>
                <w:bCs/>
                <w:szCs w:val="18"/>
              </w:rPr>
            </w:pPr>
            <w:r>
              <w:rPr>
                <w:rFonts w:cs="Calibri"/>
                <w:b/>
                <w:bCs/>
                <w:szCs w:val="18"/>
              </w:rPr>
              <w:t>2014</w:t>
            </w:r>
          </w:p>
        </w:tc>
        <w:tc>
          <w:tcPr>
            <w:tcW w:w="149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spacing w:line="240" w:lineRule="auto"/>
              <w:jc w:val="right"/>
              <w:rPr>
                <w:rFonts w:cs="Calibri"/>
                <w:b/>
                <w:bCs/>
                <w:szCs w:val="18"/>
              </w:rPr>
            </w:pPr>
            <w:r>
              <w:rPr>
                <w:rFonts w:cs="Calibri"/>
                <w:b/>
                <w:bCs/>
                <w:szCs w:val="18"/>
              </w:rPr>
              <w:t>2014</w:t>
            </w:r>
          </w:p>
        </w:tc>
        <w:tc>
          <w:tcPr>
            <w:tcW w:w="119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spacing w:line="240" w:lineRule="auto"/>
              <w:jc w:val="right"/>
              <w:rPr>
                <w:rFonts w:cs="Calibri"/>
                <w:b/>
                <w:bCs/>
                <w:szCs w:val="18"/>
              </w:rPr>
            </w:pPr>
            <w:r>
              <w:rPr>
                <w:rFonts w:cs="Calibri"/>
                <w:b/>
                <w:bCs/>
                <w:szCs w:val="18"/>
              </w:rPr>
              <w:t>2014</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noWrap/>
            <w:hideMark/>
          </w:tcPr>
          <w:p w:rsidR="007E1E1E" w:rsidRDefault="007E1E1E" w:rsidP="00B50E5D">
            <w:pPr>
              <w:spacing w:line="240" w:lineRule="auto"/>
              <w:rPr>
                <w:rFonts w:cs="Calibri"/>
                <w:sz w:val="16"/>
                <w:szCs w:val="16"/>
              </w:rPr>
            </w:pPr>
            <w:r>
              <w:rPr>
                <w:rFonts w:cs="Calibri"/>
                <w:sz w:val="16"/>
                <w:szCs w:val="16"/>
              </w:rPr>
              <w:t> </w:t>
            </w:r>
          </w:p>
        </w:tc>
        <w:tc>
          <w:tcPr>
            <w:tcW w:w="1196" w:type="dxa"/>
            <w:tcBorders>
              <w:top w:val="nil"/>
              <w:left w:val="single" w:sz="4" w:space="0" w:color="auto"/>
              <w:bottom w:val="single" w:sz="4" w:space="0" w:color="auto"/>
              <w:right w:val="single" w:sz="4" w:space="0" w:color="auto"/>
            </w:tcBorders>
            <w:shd w:val="clear" w:color="FFFFFF" w:fill="FFFFFF"/>
            <w:vAlign w:val="bottom"/>
            <w:hideMark/>
          </w:tcPr>
          <w:p w:rsidR="007E1E1E" w:rsidRDefault="007E1E1E" w:rsidP="00B50E5D">
            <w:pPr>
              <w:spacing w:line="240" w:lineRule="auto"/>
              <w:jc w:val="right"/>
              <w:rPr>
                <w:rFonts w:cs="Calibri"/>
                <w:b/>
                <w:bCs/>
                <w:szCs w:val="18"/>
              </w:rPr>
            </w:pPr>
            <w:r>
              <w:rPr>
                <w:rFonts w:cs="Calibri"/>
                <w:b/>
                <w:bCs/>
                <w:szCs w:val="18"/>
              </w:rPr>
              <w:t>$'000</w:t>
            </w:r>
          </w:p>
        </w:tc>
        <w:tc>
          <w:tcPr>
            <w:tcW w:w="119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spacing w:line="240" w:lineRule="auto"/>
              <w:jc w:val="right"/>
              <w:rPr>
                <w:rFonts w:cs="Calibri"/>
                <w:b/>
                <w:bCs/>
                <w:szCs w:val="18"/>
              </w:rPr>
            </w:pPr>
            <w:r>
              <w:rPr>
                <w:rFonts w:cs="Calibri"/>
                <w:b/>
                <w:bCs/>
                <w:szCs w:val="18"/>
              </w:rPr>
              <w:t>$'000</w:t>
            </w:r>
          </w:p>
        </w:tc>
        <w:tc>
          <w:tcPr>
            <w:tcW w:w="119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spacing w:line="240" w:lineRule="auto"/>
              <w:jc w:val="right"/>
              <w:rPr>
                <w:rFonts w:cs="Calibri"/>
                <w:b/>
                <w:bCs/>
                <w:szCs w:val="18"/>
              </w:rPr>
            </w:pPr>
            <w:r>
              <w:rPr>
                <w:rFonts w:cs="Calibri"/>
                <w:b/>
                <w:bCs/>
                <w:szCs w:val="18"/>
              </w:rPr>
              <w:t>$'000</w:t>
            </w:r>
          </w:p>
        </w:tc>
        <w:tc>
          <w:tcPr>
            <w:tcW w:w="149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spacing w:line="240" w:lineRule="auto"/>
              <w:jc w:val="right"/>
              <w:rPr>
                <w:rFonts w:cs="Calibri"/>
                <w:b/>
                <w:bCs/>
                <w:szCs w:val="18"/>
              </w:rPr>
            </w:pPr>
            <w:r>
              <w:rPr>
                <w:rFonts w:cs="Calibri"/>
                <w:b/>
                <w:bCs/>
                <w:szCs w:val="18"/>
              </w:rPr>
              <w:t>$'000</w:t>
            </w:r>
          </w:p>
        </w:tc>
        <w:tc>
          <w:tcPr>
            <w:tcW w:w="1196" w:type="dxa"/>
            <w:tcBorders>
              <w:top w:val="nil"/>
              <w:left w:val="nil"/>
              <w:bottom w:val="single" w:sz="4" w:space="0" w:color="auto"/>
              <w:right w:val="single" w:sz="4" w:space="0" w:color="auto"/>
            </w:tcBorders>
            <w:shd w:val="clear" w:color="FFFFFF" w:fill="FFFFFF"/>
            <w:vAlign w:val="bottom"/>
            <w:hideMark/>
          </w:tcPr>
          <w:p w:rsidR="007E1E1E" w:rsidRDefault="007E1E1E" w:rsidP="00B50E5D">
            <w:pPr>
              <w:spacing w:line="240" w:lineRule="auto"/>
              <w:jc w:val="right"/>
              <w:rPr>
                <w:rFonts w:cs="Calibri"/>
                <w:b/>
                <w:bCs/>
                <w:szCs w:val="18"/>
              </w:rPr>
            </w:pPr>
            <w:r>
              <w:rPr>
                <w:rFonts w:cs="Calibri"/>
                <w:b/>
                <w:bCs/>
                <w:szCs w:val="18"/>
              </w:rPr>
              <w:t>$'000</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b/>
                <w:bCs/>
                <w:szCs w:val="18"/>
              </w:rPr>
            </w:pPr>
            <w:r>
              <w:rPr>
                <w:rFonts w:cs="Calibri"/>
                <w:b/>
                <w:bCs/>
                <w:szCs w:val="18"/>
              </w:rPr>
              <w:t>Expenses</w:t>
            </w:r>
          </w:p>
        </w:tc>
        <w:tc>
          <w:tcPr>
            <w:tcW w:w="1196" w:type="dxa"/>
            <w:tcBorders>
              <w:top w:val="nil"/>
              <w:left w:val="single" w:sz="4" w:space="0" w:color="auto"/>
              <w:bottom w:val="single" w:sz="4" w:space="0" w:color="auto"/>
              <w:right w:val="single" w:sz="4" w:space="0" w:color="auto"/>
            </w:tcBorders>
            <w:shd w:val="clear" w:color="FFFFFF" w:fill="FFFFFF"/>
            <w:noWrap/>
            <w:hideMark/>
          </w:tcPr>
          <w:p w:rsidR="007E1E1E" w:rsidRDefault="007E1E1E" w:rsidP="00B50E5D">
            <w:pPr>
              <w:spacing w:line="240" w:lineRule="auto"/>
              <w:rPr>
                <w:rFonts w:cs="Calibri"/>
                <w:sz w:val="16"/>
                <w:szCs w:val="16"/>
              </w:rPr>
            </w:pPr>
            <w:r>
              <w:rPr>
                <w:rFonts w:cs="Calibri"/>
                <w:sz w:val="16"/>
                <w:szCs w:val="16"/>
              </w:rPr>
              <w:t> </w:t>
            </w:r>
          </w:p>
        </w:tc>
        <w:tc>
          <w:tcPr>
            <w:tcW w:w="11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rPr>
                <w:rFonts w:cs="Calibri"/>
                <w:sz w:val="16"/>
                <w:szCs w:val="16"/>
              </w:rPr>
            </w:pPr>
            <w:r>
              <w:rPr>
                <w:rFonts w:cs="Calibri"/>
                <w:sz w:val="16"/>
                <w:szCs w:val="16"/>
              </w:rPr>
              <w:t> </w:t>
            </w:r>
          </w:p>
        </w:tc>
        <w:tc>
          <w:tcPr>
            <w:tcW w:w="11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rPr>
                <w:rFonts w:cs="Calibri"/>
                <w:sz w:val="16"/>
                <w:szCs w:val="16"/>
              </w:rPr>
            </w:pPr>
            <w:r>
              <w:rPr>
                <w:rFonts w:cs="Calibri"/>
                <w:sz w:val="16"/>
                <w:szCs w:val="16"/>
              </w:rPr>
              <w:t> </w:t>
            </w:r>
          </w:p>
        </w:tc>
        <w:tc>
          <w:tcPr>
            <w:tcW w:w="14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rPr>
                <w:rFonts w:cs="Calibri"/>
                <w:sz w:val="16"/>
                <w:szCs w:val="16"/>
              </w:rPr>
            </w:pPr>
            <w:r>
              <w:rPr>
                <w:rFonts w:cs="Calibri"/>
                <w:sz w:val="16"/>
                <w:szCs w:val="16"/>
              </w:rPr>
              <w:t> </w:t>
            </w:r>
          </w:p>
        </w:tc>
        <w:tc>
          <w:tcPr>
            <w:tcW w:w="11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rPr>
                <w:rFonts w:cs="Calibri"/>
                <w:sz w:val="16"/>
                <w:szCs w:val="16"/>
              </w:rPr>
            </w:pPr>
            <w:r>
              <w:rPr>
                <w:rFonts w:cs="Calibri"/>
                <w:sz w:val="16"/>
                <w:szCs w:val="16"/>
              </w:rPr>
              <w:t> </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szCs w:val="18"/>
              </w:rPr>
            </w:pPr>
            <w:r>
              <w:rPr>
                <w:rFonts w:cs="Calibri"/>
                <w:szCs w:val="18"/>
              </w:rPr>
              <w:t>Employee benefits</w:t>
            </w:r>
          </w:p>
        </w:tc>
        <w:tc>
          <w:tcPr>
            <w:tcW w:w="11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38,228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62,777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53,617 </w:t>
            </w:r>
          </w:p>
        </w:tc>
        <w:tc>
          <w:tcPr>
            <w:tcW w:w="14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154,622 </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szCs w:val="18"/>
              </w:rPr>
            </w:pPr>
            <w:r>
              <w:rPr>
                <w:rFonts w:cs="Calibri"/>
                <w:szCs w:val="18"/>
              </w:rPr>
              <w:t>Suppliers</w:t>
            </w:r>
          </w:p>
        </w:tc>
        <w:tc>
          <w:tcPr>
            <w:tcW w:w="11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18,662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30,634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19,612 </w:t>
            </w:r>
          </w:p>
        </w:tc>
        <w:tc>
          <w:tcPr>
            <w:tcW w:w="14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68,908 </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szCs w:val="18"/>
              </w:rPr>
            </w:pPr>
            <w:r>
              <w:rPr>
                <w:rFonts w:cs="Calibri"/>
                <w:szCs w:val="18"/>
              </w:rPr>
              <w:t>Depreciation</w:t>
            </w:r>
          </w:p>
        </w:tc>
        <w:tc>
          <w:tcPr>
            <w:tcW w:w="11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5,021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8,245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7,042 </w:t>
            </w:r>
          </w:p>
        </w:tc>
        <w:tc>
          <w:tcPr>
            <w:tcW w:w="14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20,308 </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szCs w:val="18"/>
              </w:rPr>
            </w:pPr>
            <w:r>
              <w:rPr>
                <w:rFonts w:cs="Calibri"/>
                <w:szCs w:val="18"/>
              </w:rPr>
              <w:t>Other</w:t>
            </w:r>
          </w:p>
        </w:tc>
        <w:tc>
          <w:tcPr>
            <w:tcW w:w="11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301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493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422 </w:t>
            </w:r>
          </w:p>
        </w:tc>
        <w:tc>
          <w:tcPr>
            <w:tcW w:w="14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1,216 </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b/>
                <w:bCs/>
                <w:szCs w:val="18"/>
              </w:rPr>
            </w:pPr>
            <w:r>
              <w:rPr>
                <w:rFonts w:cs="Calibri"/>
                <w:b/>
                <w:bCs/>
                <w:szCs w:val="18"/>
              </w:rPr>
              <w:t>Total expenses</w:t>
            </w:r>
          </w:p>
        </w:tc>
        <w:tc>
          <w:tcPr>
            <w:tcW w:w="11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62,212</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102,149</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80,693</w:t>
            </w:r>
          </w:p>
        </w:tc>
        <w:tc>
          <w:tcPr>
            <w:tcW w:w="14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245,054</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b/>
                <w:bCs/>
                <w:szCs w:val="18"/>
              </w:rPr>
            </w:pPr>
            <w:r>
              <w:rPr>
                <w:rFonts w:cs="Calibri"/>
                <w:b/>
                <w:bCs/>
                <w:szCs w:val="18"/>
              </w:rPr>
              <w:t> </w:t>
            </w:r>
          </w:p>
        </w:tc>
        <w:tc>
          <w:tcPr>
            <w:tcW w:w="1196" w:type="dxa"/>
            <w:tcBorders>
              <w:top w:val="nil"/>
              <w:left w:val="single" w:sz="4" w:space="0" w:color="auto"/>
              <w:bottom w:val="single" w:sz="4" w:space="0" w:color="auto"/>
              <w:right w:val="single" w:sz="4" w:space="0" w:color="auto"/>
            </w:tcBorders>
            <w:shd w:val="clear" w:color="FFFFFF" w:fill="FFFFFF"/>
            <w:noWrap/>
            <w:hideMark/>
          </w:tcPr>
          <w:p w:rsidR="007E1E1E" w:rsidRDefault="007E1E1E" w:rsidP="00B50E5D">
            <w:pPr>
              <w:spacing w:line="240" w:lineRule="auto"/>
              <w:rPr>
                <w:rFonts w:cs="Calibri"/>
                <w:b/>
                <w:bCs/>
                <w:szCs w:val="18"/>
              </w:rPr>
            </w:pPr>
            <w:r>
              <w:rPr>
                <w:rFonts w:cs="Calibri"/>
                <w:b/>
                <w:bCs/>
                <w:szCs w:val="18"/>
              </w:rPr>
              <w:t> </w:t>
            </w:r>
          </w:p>
        </w:tc>
        <w:tc>
          <w:tcPr>
            <w:tcW w:w="11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rPr>
                <w:rFonts w:cs="Calibri"/>
                <w:b/>
                <w:bCs/>
                <w:szCs w:val="18"/>
              </w:rPr>
            </w:pPr>
            <w:r>
              <w:rPr>
                <w:rFonts w:cs="Calibri"/>
                <w:b/>
                <w:bCs/>
                <w:szCs w:val="18"/>
              </w:rPr>
              <w:t> </w:t>
            </w:r>
          </w:p>
        </w:tc>
        <w:tc>
          <w:tcPr>
            <w:tcW w:w="11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rPr>
                <w:rFonts w:cs="Calibri"/>
                <w:b/>
                <w:bCs/>
                <w:szCs w:val="18"/>
              </w:rPr>
            </w:pPr>
            <w:r>
              <w:rPr>
                <w:rFonts w:cs="Calibri"/>
                <w:b/>
                <w:bCs/>
                <w:szCs w:val="18"/>
              </w:rPr>
              <w:t> </w:t>
            </w:r>
          </w:p>
        </w:tc>
        <w:tc>
          <w:tcPr>
            <w:tcW w:w="14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rPr>
                <w:rFonts w:cs="Calibri"/>
                <w:b/>
                <w:bCs/>
                <w:szCs w:val="18"/>
              </w:rPr>
            </w:pPr>
            <w:r>
              <w:rPr>
                <w:rFonts w:cs="Calibri"/>
                <w:b/>
                <w:bCs/>
                <w:szCs w:val="18"/>
              </w:rPr>
              <w:t> </w:t>
            </w:r>
          </w:p>
        </w:tc>
        <w:tc>
          <w:tcPr>
            <w:tcW w:w="11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rPr>
                <w:rFonts w:cs="Calibri"/>
                <w:b/>
                <w:bCs/>
                <w:szCs w:val="18"/>
              </w:rPr>
            </w:pPr>
            <w:r>
              <w:rPr>
                <w:rFonts w:cs="Calibri"/>
                <w:b/>
                <w:bCs/>
                <w:szCs w:val="18"/>
              </w:rPr>
              <w:t> </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b/>
                <w:bCs/>
                <w:szCs w:val="18"/>
              </w:rPr>
            </w:pPr>
            <w:r>
              <w:rPr>
                <w:rFonts w:cs="Calibri"/>
                <w:b/>
                <w:bCs/>
                <w:szCs w:val="18"/>
              </w:rPr>
              <w:t>Own-Source Income</w:t>
            </w:r>
          </w:p>
        </w:tc>
        <w:tc>
          <w:tcPr>
            <w:tcW w:w="1196" w:type="dxa"/>
            <w:tcBorders>
              <w:top w:val="nil"/>
              <w:left w:val="single" w:sz="4" w:space="0" w:color="auto"/>
              <w:bottom w:val="single" w:sz="4" w:space="0" w:color="auto"/>
              <w:right w:val="single" w:sz="4" w:space="0" w:color="auto"/>
            </w:tcBorders>
            <w:shd w:val="clear" w:color="FFFFFF" w:fill="FFFFFF"/>
            <w:noWrap/>
            <w:hideMark/>
          </w:tcPr>
          <w:p w:rsidR="007E1E1E" w:rsidRDefault="007E1E1E" w:rsidP="00B50E5D">
            <w:pPr>
              <w:spacing w:line="240" w:lineRule="auto"/>
              <w:rPr>
                <w:rFonts w:cs="Calibri"/>
                <w:szCs w:val="18"/>
              </w:rPr>
            </w:pPr>
            <w:r>
              <w:rPr>
                <w:rFonts w:cs="Calibri"/>
                <w:szCs w:val="18"/>
              </w:rPr>
              <w:t> </w:t>
            </w:r>
          </w:p>
        </w:tc>
        <w:tc>
          <w:tcPr>
            <w:tcW w:w="11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rPr>
                <w:rFonts w:cs="Calibri"/>
                <w:szCs w:val="18"/>
              </w:rPr>
            </w:pPr>
            <w:r>
              <w:rPr>
                <w:rFonts w:cs="Calibri"/>
                <w:szCs w:val="18"/>
              </w:rPr>
              <w:t> </w:t>
            </w:r>
          </w:p>
        </w:tc>
        <w:tc>
          <w:tcPr>
            <w:tcW w:w="11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rPr>
                <w:rFonts w:cs="Calibri"/>
                <w:szCs w:val="18"/>
              </w:rPr>
            </w:pPr>
            <w:r>
              <w:rPr>
                <w:rFonts w:cs="Calibri"/>
                <w:szCs w:val="18"/>
              </w:rPr>
              <w:t> </w:t>
            </w:r>
          </w:p>
        </w:tc>
        <w:tc>
          <w:tcPr>
            <w:tcW w:w="14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rPr>
                <w:rFonts w:cs="Calibri"/>
                <w:szCs w:val="18"/>
              </w:rPr>
            </w:pPr>
            <w:r>
              <w:rPr>
                <w:rFonts w:cs="Calibri"/>
                <w:szCs w:val="18"/>
              </w:rPr>
              <w:t> </w:t>
            </w:r>
          </w:p>
        </w:tc>
        <w:tc>
          <w:tcPr>
            <w:tcW w:w="11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rPr>
                <w:rFonts w:cs="Calibri"/>
                <w:szCs w:val="18"/>
              </w:rPr>
            </w:pPr>
            <w:r>
              <w:rPr>
                <w:rFonts w:cs="Calibri"/>
                <w:szCs w:val="18"/>
              </w:rPr>
              <w:t> </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szCs w:val="18"/>
              </w:rPr>
            </w:pPr>
            <w:r>
              <w:rPr>
                <w:rFonts w:cs="Calibri"/>
                <w:szCs w:val="18"/>
              </w:rPr>
              <w:t>User charges</w:t>
            </w:r>
          </w:p>
        </w:tc>
        <w:tc>
          <w:tcPr>
            <w:tcW w:w="11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4,276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7,188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6,603 </w:t>
            </w:r>
          </w:p>
        </w:tc>
        <w:tc>
          <w:tcPr>
            <w:tcW w:w="14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18,067 </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szCs w:val="18"/>
              </w:rPr>
            </w:pPr>
            <w:r>
              <w:rPr>
                <w:rFonts w:cs="Calibri"/>
                <w:szCs w:val="18"/>
              </w:rPr>
              <w:t>Income from government</w:t>
            </w:r>
          </w:p>
        </w:tc>
        <w:tc>
          <w:tcPr>
            <w:tcW w:w="11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49,744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84,103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62,255 </w:t>
            </w:r>
          </w:p>
        </w:tc>
        <w:tc>
          <w:tcPr>
            <w:tcW w:w="14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196,102 </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szCs w:val="18"/>
              </w:rPr>
            </w:pPr>
            <w:r>
              <w:rPr>
                <w:rFonts w:cs="Calibri"/>
                <w:szCs w:val="18"/>
              </w:rPr>
              <w:t>Other</w:t>
            </w:r>
          </w:p>
        </w:tc>
        <w:tc>
          <w:tcPr>
            <w:tcW w:w="11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1,040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1,438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5,869 </w:t>
            </w:r>
          </w:p>
        </w:tc>
        <w:tc>
          <w:tcPr>
            <w:tcW w:w="14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8,347 </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b/>
                <w:bCs/>
                <w:szCs w:val="18"/>
              </w:rPr>
            </w:pPr>
            <w:r>
              <w:rPr>
                <w:rFonts w:cs="Calibri"/>
                <w:b/>
                <w:bCs/>
                <w:szCs w:val="18"/>
              </w:rPr>
              <w:t>Total own-source income</w:t>
            </w:r>
          </w:p>
        </w:tc>
        <w:tc>
          <w:tcPr>
            <w:tcW w:w="11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55,060</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92,729</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74,727</w:t>
            </w:r>
          </w:p>
        </w:tc>
        <w:tc>
          <w:tcPr>
            <w:tcW w:w="14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222,516</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b/>
                <w:bCs/>
                <w:szCs w:val="18"/>
              </w:rPr>
            </w:pPr>
            <w:r>
              <w:rPr>
                <w:rFonts w:cs="Calibri"/>
                <w:b/>
                <w:bCs/>
                <w:szCs w:val="18"/>
              </w:rPr>
              <w:t> </w:t>
            </w:r>
          </w:p>
        </w:tc>
        <w:tc>
          <w:tcPr>
            <w:tcW w:w="1196" w:type="dxa"/>
            <w:tcBorders>
              <w:top w:val="nil"/>
              <w:left w:val="single" w:sz="4" w:space="0" w:color="auto"/>
              <w:bottom w:val="single" w:sz="4" w:space="0" w:color="auto"/>
              <w:right w:val="single" w:sz="4" w:space="0" w:color="auto"/>
            </w:tcBorders>
            <w:shd w:val="clear" w:color="FFFFFF" w:fill="FFFFFF"/>
            <w:noWrap/>
            <w:hideMark/>
          </w:tcPr>
          <w:p w:rsidR="007E1E1E" w:rsidRDefault="007E1E1E" w:rsidP="00B50E5D">
            <w:pPr>
              <w:spacing w:line="240" w:lineRule="auto"/>
              <w:rPr>
                <w:rFonts w:cs="Calibri"/>
                <w:b/>
                <w:bCs/>
                <w:szCs w:val="18"/>
              </w:rPr>
            </w:pPr>
            <w:r>
              <w:rPr>
                <w:rFonts w:cs="Calibri"/>
                <w:b/>
                <w:bCs/>
                <w:szCs w:val="18"/>
              </w:rPr>
              <w:t> </w:t>
            </w:r>
          </w:p>
        </w:tc>
        <w:tc>
          <w:tcPr>
            <w:tcW w:w="11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rPr>
                <w:rFonts w:cs="Calibri"/>
                <w:b/>
                <w:bCs/>
                <w:szCs w:val="18"/>
              </w:rPr>
            </w:pPr>
            <w:r>
              <w:rPr>
                <w:rFonts w:cs="Calibri"/>
                <w:b/>
                <w:bCs/>
                <w:szCs w:val="18"/>
              </w:rPr>
              <w:t> </w:t>
            </w:r>
          </w:p>
        </w:tc>
        <w:tc>
          <w:tcPr>
            <w:tcW w:w="11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rPr>
                <w:rFonts w:cs="Calibri"/>
                <w:b/>
                <w:bCs/>
                <w:szCs w:val="18"/>
              </w:rPr>
            </w:pPr>
            <w:r>
              <w:rPr>
                <w:rFonts w:cs="Calibri"/>
                <w:b/>
                <w:bCs/>
                <w:szCs w:val="18"/>
              </w:rPr>
              <w:t> </w:t>
            </w:r>
          </w:p>
        </w:tc>
        <w:tc>
          <w:tcPr>
            <w:tcW w:w="14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rPr>
                <w:rFonts w:cs="Calibri"/>
                <w:b/>
                <w:bCs/>
                <w:szCs w:val="18"/>
              </w:rPr>
            </w:pPr>
            <w:r>
              <w:rPr>
                <w:rFonts w:cs="Calibri"/>
                <w:b/>
                <w:bCs/>
                <w:szCs w:val="18"/>
              </w:rPr>
              <w:t> </w:t>
            </w:r>
          </w:p>
        </w:tc>
        <w:tc>
          <w:tcPr>
            <w:tcW w:w="11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rPr>
                <w:rFonts w:cs="Calibri"/>
                <w:b/>
                <w:bCs/>
                <w:szCs w:val="18"/>
              </w:rPr>
            </w:pPr>
            <w:r>
              <w:rPr>
                <w:rFonts w:cs="Calibri"/>
                <w:b/>
                <w:bCs/>
                <w:szCs w:val="18"/>
              </w:rPr>
              <w:t> </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b/>
                <w:bCs/>
                <w:szCs w:val="18"/>
              </w:rPr>
            </w:pPr>
            <w:r>
              <w:rPr>
                <w:rFonts w:cs="Calibri"/>
                <w:b/>
                <w:bCs/>
                <w:szCs w:val="18"/>
              </w:rPr>
              <w:t>Assets</w:t>
            </w:r>
          </w:p>
        </w:tc>
        <w:tc>
          <w:tcPr>
            <w:tcW w:w="1196" w:type="dxa"/>
            <w:tcBorders>
              <w:top w:val="nil"/>
              <w:left w:val="single" w:sz="4" w:space="0" w:color="auto"/>
              <w:bottom w:val="single" w:sz="4" w:space="0" w:color="auto"/>
              <w:right w:val="single" w:sz="4" w:space="0" w:color="auto"/>
            </w:tcBorders>
            <w:shd w:val="clear" w:color="FFFFFF" w:fill="FFFFFF"/>
            <w:noWrap/>
            <w:hideMark/>
          </w:tcPr>
          <w:p w:rsidR="007E1E1E" w:rsidRDefault="007E1E1E" w:rsidP="00B50E5D">
            <w:pPr>
              <w:spacing w:line="240" w:lineRule="auto"/>
              <w:rPr>
                <w:rFonts w:cs="Calibri"/>
                <w:szCs w:val="18"/>
              </w:rPr>
            </w:pPr>
            <w:r>
              <w:rPr>
                <w:rFonts w:cs="Calibri"/>
                <w:szCs w:val="18"/>
              </w:rPr>
              <w:t> </w:t>
            </w:r>
          </w:p>
        </w:tc>
        <w:tc>
          <w:tcPr>
            <w:tcW w:w="11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rPr>
                <w:rFonts w:cs="Calibri"/>
                <w:szCs w:val="18"/>
              </w:rPr>
            </w:pPr>
            <w:r>
              <w:rPr>
                <w:rFonts w:cs="Calibri"/>
                <w:szCs w:val="18"/>
              </w:rPr>
              <w:t> </w:t>
            </w:r>
          </w:p>
        </w:tc>
        <w:tc>
          <w:tcPr>
            <w:tcW w:w="11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rPr>
                <w:rFonts w:cs="Calibri"/>
                <w:szCs w:val="18"/>
              </w:rPr>
            </w:pPr>
            <w:r>
              <w:rPr>
                <w:rFonts w:cs="Calibri"/>
                <w:szCs w:val="18"/>
              </w:rPr>
              <w:t> </w:t>
            </w:r>
          </w:p>
        </w:tc>
        <w:tc>
          <w:tcPr>
            <w:tcW w:w="14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rPr>
                <w:rFonts w:cs="Calibri"/>
                <w:szCs w:val="18"/>
              </w:rPr>
            </w:pPr>
            <w:r>
              <w:rPr>
                <w:rFonts w:cs="Calibri"/>
                <w:szCs w:val="18"/>
              </w:rPr>
              <w:t> </w:t>
            </w:r>
          </w:p>
        </w:tc>
        <w:tc>
          <w:tcPr>
            <w:tcW w:w="11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rPr>
                <w:rFonts w:cs="Calibri"/>
                <w:szCs w:val="18"/>
              </w:rPr>
            </w:pPr>
            <w:r>
              <w:rPr>
                <w:rFonts w:cs="Calibri"/>
                <w:szCs w:val="18"/>
              </w:rPr>
              <w:t> </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szCs w:val="18"/>
              </w:rPr>
            </w:pPr>
            <w:r>
              <w:rPr>
                <w:rFonts w:cs="Calibri"/>
                <w:szCs w:val="18"/>
              </w:rPr>
              <w:t>Cash and cash equivalents</w:t>
            </w:r>
          </w:p>
        </w:tc>
        <w:tc>
          <w:tcPr>
            <w:tcW w:w="11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4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8,429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8,429 </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szCs w:val="18"/>
              </w:rPr>
            </w:pPr>
            <w:r>
              <w:rPr>
                <w:rFonts w:cs="Calibri"/>
                <w:szCs w:val="18"/>
              </w:rPr>
              <w:t>Trade and other receivables</w:t>
            </w:r>
          </w:p>
        </w:tc>
        <w:tc>
          <w:tcPr>
            <w:tcW w:w="11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8,596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14,116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12,057 </w:t>
            </w:r>
          </w:p>
        </w:tc>
        <w:tc>
          <w:tcPr>
            <w:tcW w:w="14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34,769 </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szCs w:val="18"/>
              </w:rPr>
            </w:pPr>
            <w:r>
              <w:rPr>
                <w:rFonts w:cs="Calibri"/>
                <w:szCs w:val="18"/>
              </w:rPr>
              <w:t>Other financial assets</w:t>
            </w:r>
          </w:p>
        </w:tc>
        <w:tc>
          <w:tcPr>
            <w:tcW w:w="11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2,500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4,106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3,507 </w:t>
            </w:r>
          </w:p>
        </w:tc>
        <w:tc>
          <w:tcPr>
            <w:tcW w:w="14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10,113 </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szCs w:val="18"/>
              </w:rPr>
            </w:pPr>
            <w:r>
              <w:rPr>
                <w:rFonts w:cs="Calibri"/>
                <w:szCs w:val="18"/>
              </w:rPr>
              <w:t>Land and buildings</w:t>
            </w:r>
          </w:p>
        </w:tc>
        <w:tc>
          <w:tcPr>
            <w:tcW w:w="11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13,141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22,185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15,541 </w:t>
            </w:r>
          </w:p>
        </w:tc>
        <w:tc>
          <w:tcPr>
            <w:tcW w:w="14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50,867 </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szCs w:val="18"/>
              </w:rPr>
            </w:pPr>
            <w:r>
              <w:rPr>
                <w:rFonts w:cs="Calibri"/>
                <w:szCs w:val="18"/>
              </w:rPr>
              <w:t>Infrastructure, plant and equipment</w:t>
            </w:r>
          </w:p>
        </w:tc>
        <w:tc>
          <w:tcPr>
            <w:tcW w:w="11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2,966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5,007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3,481 </w:t>
            </w:r>
          </w:p>
        </w:tc>
        <w:tc>
          <w:tcPr>
            <w:tcW w:w="14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11,454 </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szCs w:val="18"/>
              </w:rPr>
            </w:pPr>
            <w:r>
              <w:rPr>
                <w:rFonts w:cs="Calibri"/>
                <w:szCs w:val="18"/>
              </w:rPr>
              <w:t>Intangibles</w:t>
            </w:r>
          </w:p>
        </w:tc>
        <w:tc>
          <w:tcPr>
            <w:tcW w:w="11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16,466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27,797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19,287 </w:t>
            </w:r>
          </w:p>
        </w:tc>
        <w:tc>
          <w:tcPr>
            <w:tcW w:w="14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63,550 </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szCs w:val="18"/>
              </w:rPr>
            </w:pPr>
            <w:r>
              <w:rPr>
                <w:rFonts w:cs="Calibri"/>
                <w:szCs w:val="18"/>
              </w:rPr>
              <w:t>Other non-financial assets</w:t>
            </w:r>
          </w:p>
        </w:tc>
        <w:tc>
          <w:tcPr>
            <w:tcW w:w="1196" w:type="dxa"/>
            <w:tcBorders>
              <w:top w:val="nil"/>
              <w:left w:val="single" w:sz="4" w:space="0" w:color="auto"/>
              <w:bottom w:val="single" w:sz="4" w:space="0" w:color="auto"/>
              <w:right w:val="single" w:sz="4" w:space="0" w:color="auto"/>
            </w:tcBorders>
            <w:shd w:val="clear" w:color="FFFFFF" w:fill="FFFFFF"/>
            <w:noWrap/>
            <w:hideMark/>
          </w:tcPr>
          <w:p w:rsidR="007E1E1E" w:rsidRDefault="007E1E1E" w:rsidP="00B50E5D">
            <w:pPr>
              <w:spacing w:line="240" w:lineRule="auto"/>
              <w:jc w:val="right"/>
              <w:rPr>
                <w:rFonts w:cs="Calibri"/>
                <w:b/>
                <w:bCs/>
                <w:szCs w:val="18"/>
              </w:rPr>
            </w:pPr>
            <w:r>
              <w:rPr>
                <w:rFonts w:cs="Calibri"/>
                <w:b/>
                <w:bCs/>
                <w:szCs w:val="18"/>
              </w:rPr>
              <w:t xml:space="preserve">2,126 </w:t>
            </w:r>
          </w:p>
        </w:tc>
        <w:tc>
          <w:tcPr>
            <w:tcW w:w="11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jc w:val="right"/>
              <w:rPr>
                <w:rFonts w:cs="Calibri"/>
                <w:b/>
                <w:bCs/>
                <w:szCs w:val="18"/>
              </w:rPr>
            </w:pPr>
            <w:r>
              <w:rPr>
                <w:rFonts w:cs="Calibri"/>
                <w:b/>
                <w:bCs/>
                <w:szCs w:val="18"/>
              </w:rPr>
              <w:t xml:space="preserve">3,491 </w:t>
            </w:r>
          </w:p>
        </w:tc>
        <w:tc>
          <w:tcPr>
            <w:tcW w:w="11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jc w:val="right"/>
              <w:rPr>
                <w:rFonts w:cs="Calibri"/>
                <w:b/>
                <w:bCs/>
                <w:szCs w:val="18"/>
              </w:rPr>
            </w:pPr>
            <w:r>
              <w:rPr>
                <w:rFonts w:cs="Calibri"/>
                <w:b/>
                <w:bCs/>
                <w:szCs w:val="18"/>
              </w:rPr>
              <w:t xml:space="preserve">2,982 </w:t>
            </w:r>
          </w:p>
        </w:tc>
        <w:tc>
          <w:tcPr>
            <w:tcW w:w="14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8,599 </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b/>
                <w:bCs/>
                <w:szCs w:val="18"/>
              </w:rPr>
            </w:pPr>
            <w:r>
              <w:rPr>
                <w:rFonts w:cs="Calibri"/>
                <w:b/>
                <w:bCs/>
                <w:szCs w:val="18"/>
              </w:rPr>
              <w:t>Total assets</w:t>
            </w:r>
          </w:p>
        </w:tc>
        <w:tc>
          <w:tcPr>
            <w:tcW w:w="11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45,795</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76,702</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56,855</w:t>
            </w:r>
          </w:p>
        </w:tc>
        <w:tc>
          <w:tcPr>
            <w:tcW w:w="14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8,429</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187,781</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b/>
                <w:bCs/>
                <w:szCs w:val="18"/>
              </w:rPr>
            </w:pPr>
            <w:r>
              <w:rPr>
                <w:rFonts w:cs="Calibri"/>
                <w:b/>
                <w:bCs/>
                <w:szCs w:val="18"/>
              </w:rPr>
              <w:t> </w:t>
            </w:r>
          </w:p>
        </w:tc>
        <w:tc>
          <w:tcPr>
            <w:tcW w:w="1196" w:type="dxa"/>
            <w:tcBorders>
              <w:top w:val="nil"/>
              <w:left w:val="single" w:sz="4" w:space="0" w:color="auto"/>
              <w:bottom w:val="single" w:sz="4" w:space="0" w:color="auto"/>
              <w:right w:val="single" w:sz="4" w:space="0" w:color="auto"/>
            </w:tcBorders>
            <w:shd w:val="clear" w:color="FFFFFF" w:fill="FFFFFF"/>
            <w:noWrap/>
            <w:hideMark/>
          </w:tcPr>
          <w:p w:rsidR="007E1E1E" w:rsidRDefault="007E1E1E" w:rsidP="00B50E5D">
            <w:pPr>
              <w:spacing w:line="240" w:lineRule="auto"/>
              <w:rPr>
                <w:rFonts w:cs="Calibri"/>
                <w:b/>
                <w:bCs/>
                <w:szCs w:val="18"/>
              </w:rPr>
            </w:pPr>
            <w:r>
              <w:rPr>
                <w:rFonts w:cs="Calibri"/>
                <w:b/>
                <w:bCs/>
                <w:szCs w:val="18"/>
              </w:rPr>
              <w:t> </w:t>
            </w:r>
          </w:p>
        </w:tc>
        <w:tc>
          <w:tcPr>
            <w:tcW w:w="11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rPr>
                <w:rFonts w:cs="Calibri"/>
                <w:b/>
                <w:bCs/>
                <w:szCs w:val="18"/>
              </w:rPr>
            </w:pPr>
            <w:r>
              <w:rPr>
                <w:rFonts w:cs="Calibri"/>
                <w:b/>
                <w:bCs/>
                <w:szCs w:val="18"/>
              </w:rPr>
              <w:t> </w:t>
            </w:r>
          </w:p>
        </w:tc>
        <w:tc>
          <w:tcPr>
            <w:tcW w:w="11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rPr>
                <w:rFonts w:cs="Calibri"/>
                <w:b/>
                <w:bCs/>
                <w:szCs w:val="18"/>
              </w:rPr>
            </w:pPr>
            <w:r>
              <w:rPr>
                <w:rFonts w:cs="Calibri"/>
                <w:b/>
                <w:bCs/>
                <w:szCs w:val="18"/>
              </w:rPr>
              <w:t> </w:t>
            </w:r>
          </w:p>
        </w:tc>
        <w:tc>
          <w:tcPr>
            <w:tcW w:w="14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rPr>
                <w:rFonts w:cs="Calibri"/>
                <w:b/>
                <w:bCs/>
                <w:szCs w:val="18"/>
              </w:rPr>
            </w:pPr>
            <w:r>
              <w:rPr>
                <w:rFonts w:cs="Calibri"/>
                <w:b/>
                <w:bCs/>
                <w:szCs w:val="18"/>
              </w:rPr>
              <w:t> </w:t>
            </w:r>
          </w:p>
        </w:tc>
        <w:tc>
          <w:tcPr>
            <w:tcW w:w="11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rPr>
                <w:rFonts w:cs="Calibri"/>
                <w:b/>
                <w:bCs/>
                <w:szCs w:val="18"/>
              </w:rPr>
            </w:pPr>
            <w:r>
              <w:rPr>
                <w:rFonts w:cs="Calibri"/>
                <w:b/>
                <w:bCs/>
                <w:szCs w:val="18"/>
              </w:rPr>
              <w:t> </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b/>
                <w:bCs/>
                <w:szCs w:val="18"/>
              </w:rPr>
            </w:pPr>
            <w:r>
              <w:rPr>
                <w:rFonts w:cs="Calibri"/>
                <w:b/>
                <w:bCs/>
                <w:szCs w:val="18"/>
              </w:rPr>
              <w:t>Liabilities</w:t>
            </w:r>
          </w:p>
        </w:tc>
        <w:tc>
          <w:tcPr>
            <w:tcW w:w="1196" w:type="dxa"/>
            <w:tcBorders>
              <w:top w:val="nil"/>
              <w:left w:val="single" w:sz="4" w:space="0" w:color="auto"/>
              <w:bottom w:val="single" w:sz="4" w:space="0" w:color="auto"/>
              <w:right w:val="single" w:sz="4" w:space="0" w:color="auto"/>
            </w:tcBorders>
            <w:shd w:val="clear" w:color="FFFFFF" w:fill="FFFFFF"/>
            <w:noWrap/>
            <w:hideMark/>
          </w:tcPr>
          <w:p w:rsidR="007E1E1E" w:rsidRDefault="007E1E1E" w:rsidP="00B50E5D">
            <w:pPr>
              <w:spacing w:line="240" w:lineRule="auto"/>
              <w:rPr>
                <w:rFonts w:cs="Calibri"/>
                <w:szCs w:val="18"/>
              </w:rPr>
            </w:pPr>
            <w:r>
              <w:rPr>
                <w:rFonts w:cs="Calibri"/>
                <w:szCs w:val="18"/>
              </w:rPr>
              <w:t> </w:t>
            </w:r>
          </w:p>
        </w:tc>
        <w:tc>
          <w:tcPr>
            <w:tcW w:w="11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rPr>
                <w:rFonts w:cs="Calibri"/>
                <w:szCs w:val="18"/>
              </w:rPr>
            </w:pPr>
            <w:r>
              <w:rPr>
                <w:rFonts w:cs="Calibri"/>
                <w:szCs w:val="18"/>
              </w:rPr>
              <w:t> </w:t>
            </w:r>
          </w:p>
        </w:tc>
        <w:tc>
          <w:tcPr>
            <w:tcW w:w="11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rPr>
                <w:rFonts w:cs="Calibri"/>
                <w:szCs w:val="18"/>
              </w:rPr>
            </w:pPr>
            <w:r>
              <w:rPr>
                <w:rFonts w:cs="Calibri"/>
                <w:szCs w:val="18"/>
              </w:rPr>
              <w:t> </w:t>
            </w:r>
          </w:p>
        </w:tc>
        <w:tc>
          <w:tcPr>
            <w:tcW w:w="14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rPr>
                <w:rFonts w:cs="Calibri"/>
                <w:szCs w:val="18"/>
              </w:rPr>
            </w:pPr>
            <w:r>
              <w:rPr>
                <w:rFonts w:cs="Calibri"/>
                <w:szCs w:val="18"/>
              </w:rPr>
              <w:t> </w:t>
            </w:r>
          </w:p>
        </w:tc>
        <w:tc>
          <w:tcPr>
            <w:tcW w:w="11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rPr>
                <w:rFonts w:cs="Calibri"/>
                <w:szCs w:val="18"/>
              </w:rPr>
            </w:pPr>
            <w:r>
              <w:rPr>
                <w:rFonts w:cs="Calibri"/>
                <w:szCs w:val="18"/>
              </w:rPr>
              <w:t> </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szCs w:val="18"/>
              </w:rPr>
            </w:pPr>
            <w:r>
              <w:rPr>
                <w:rFonts w:cs="Calibri"/>
                <w:szCs w:val="18"/>
              </w:rPr>
              <w:t>Suppliers</w:t>
            </w:r>
          </w:p>
        </w:tc>
        <w:tc>
          <w:tcPr>
            <w:tcW w:w="11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3,740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6,272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4,588 </w:t>
            </w:r>
          </w:p>
        </w:tc>
        <w:tc>
          <w:tcPr>
            <w:tcW w:w="14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14,600 </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szCs w:val="18"/>
              </w:rPr>
            </w:pPr>
            <w:r>
              <w:rPr>
                <w:rFonts w:cs="Calibri"/>
                <w:szCs w:val="18"/>
              </w:rPr>
              <w:t>Other payables</w:t>
            </w:r>
          </w:p>
        </w:tc>
        <w:tc>
          <w:tcPr>
            <w:tcW w:w="11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9,806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16,575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11,371 </w:t>
            </w:r>
          </w:p>
        </w:tc>
        <w:tc>
          <w:tcPr>
            <w:tcW w:w="14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37,752 </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szCs w:val="18"/>
              </w:rPr>
            </w:pPr>
            <w:r>
              <w:rPr>
                <w:rFonts w:cs="Calibri"/>
                <w:szCs w:val="18"/>
              </w:rPr>
              <w:t>Employee provisions</w:t>
            </w:r>
          </w:p>
        </w:tc>
        <w:tc>
          <w:tcPr>
            <w:tcW w:w="11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15,819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26,704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18,529 </w:t>
            </w:r>
          </w:p>
        </w:tc>
        <w:tc>
          <w:tcPr>
            <w:tcW w:w="14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61,052 </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szCs w:val="18"/>
              </w:rPr>
            </w:pPr>
            <w:r>
              <w:rPr>
                <w:rFonts w:cs="Calibri"/>
                <w:szCs w:val="18"/>
              </w:rPr>
              <w:t>Other provisions</w:t>
            </w:r>
          </w:p>
        </w:tc>
        <w:tc>
          <w:tcPr>
            <w:tcW w:w="1196" w:type="dxa"/>
            <w:tcBorders>
              <w:top w:val="nil"/>
              <w:left w:val="single" w:sz="4" w:space="0" w:color="auto"/>
              <w:bottom w:val="single" w:sz="4" w:space="0" w:color="auto"/>
              <w:right w:val="single" w:sz="4" w:space="0" w:color="auto"/>
            </w:tcBorders>
            <w:shd w:val="clear" w:color="FFFFFF" w:fill="FFFFFF"/>
            <w:noWrap/>
            <w:hideMark/>
          </w:tcPr>
          <w:p w:rsidR="007E1E1E" w:rsidRDefault="007E1E1E" w:rsidP="00B50E5D">
            <w:pPr>
              <w:spacing w:line="240" w:lineRule="auto"/>
              <w:jc w:val="right"/>
              <w:rPr>
                <w:rFonts w:cs="Calibri"/>
                <w:b/>
                <w:bCs/>
                <w:szCs w:val="18"/>
              </w:rPr>
            </w:pPr>
            <w:r>
              <w:rPr>
                <w:rFonts w:cs="Calibri"/>
                <w:b/>
                <w:bCs/>
                <w:szCs w:val="18"/>
              </w:rPr>
              <w:t xml:space="preserve">349 </w:t>
            </w:r>
          </w:p>
        </w:tc>
        <w:tc>
          <w:tcPr>
            <w:tcW w:w="11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jc w:val="right"/>
              <w:rPr>
                <w:rFonts w:cs="Calibri"/>
                <w:b/>
                <w:bCs/>
                <w:szCs w:val="18"/>
              </w:rPr>
            </w:pPr>
            <w:r>
              <w:rPr>
                <w:rFonts w:cs="Calibri"/>
                <w:b/>
                <w:bCs/>
                <w:szCs w:val="18"/>
              </w:rPr>
              <w:t xml:space="preserve">588 </w:t>
            </w:r>
          </w:p>
        </w:tc>
        <w:tc>
          <w:tcPr>
            <w:tcW w:w="11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jc w:val="right"/>
              <w:rPr>
                <w:rFonts w:cs="Calibri"/>
                <w:b/>
                <w:bCs/>
                <w:szCs w:val="18"/>
              </w:rPr>
            </w:pPr>
            <w:r>
              <w:rPr>
                <w:rFonts w:cs="Calibri"/>
                <w:b/>
                <w:bCs/>
                <w:szCs w:val="18"/>
              </w:rPr>
              <w:t xml:space="preserve">408 </w:t>
            </w:r>
          </w:p>
        </w:tc>
        <w:tc>
          <w:tcPr>
            <w:tcW w:w="1496" w:type="dxa"/>
            <w:tcBorders>
              <w:top w:val="nil"/>
              <w:left w:val="nil"/>
              <w:bottom w:val="single" w:sz="4" w:space="0" w:color="auto"/>
              <w:right w:val="single" w:sz="4" w:space="0" w:color="auto"/>
            </w:tcBorders>
            <w:shd w:val="clear" w:color="FFFFFF" w:fill="FFFFFF"/>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 xml:space="preserve">1,345 </w:t>
            </w:r>
          </w:p>
        </w:tc>
      </w:tr>
      <w:tr w:rsidR="007E1E1E" w:rsidTr="00B50E5D">
        <w:trPr>
          <w:trHeight w:val="113"/>
        </w:trPr>
        <w:tc>
          <w:tcPr>
            <w:tcW w:w="3596" w:type="dxa"/>
            <w:tcBorders>
              <w:top w:val="nil"/>
              <w:left w:val="single" w:sz="4" w:space="0" w:color="auto"/>
              <w:bottom w:val="single" w:sz="4" w:space="0" w:color="auto"/>
              <w:right w:val="nil"/>
            </w:tcBorders>
            <w:shd w:val="clear" w:color="FFFFFF" w:fill="FFFFFF"/>
            <w:vAlign w:val="bottom"/>
            <w:hideMark/>
          </w:tcPr>
          <w:p w:rsidR="007E1E1E" w:rsidRDefault="007E1E1E" w:rsidP="00B50E5D">
            <w:pPr>
              <w:spacing w:line="240" w:lineRule="auto"/>
              <w:rPr>
                <w:rFonts w:cs="Calibri"/>
                <w:b/>
                <w:bCs/>
                <w:szCs w:val="18"/>
              </w:rPr>
            </w:pPr>
            <w:r>
              <w:rPr>
                <w:rFonts w:cs="Calibri"/>
                <w:b/>
                <w:bCs/>
                <w:szCs w:val="18"/>
              </w:rPr>
              <w:t>Total liabilities</w:t>
            </w:r>
          </w:p>
        </w:tc>
        <w:tc>
          <w:tcPr>
            <w:tcW w:w="1196" w:type="dxa"/>
            <w:tcBorders>
              <w:top w:val="nil"/>
              <w:left w:val="single" w:sz="4" w:space="0" w:color="auto"/>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29,714</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50,139</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34,896</w:t>
            </w:r>
          </w:p>
        </w:tc>
        <w:tc>
          <w:tcPr>
            <w:tcW w:w="14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w:t>
            </w:r>
          </w:p>
        </w:tc>
        <w:tc>
          <w:tcPr>
            <w:tcW w:w="1196" w:type="dxa"/>
            <w:tcBorders>
              <w:top w:val="nil"/>
              <w:left w:val="nil"/>
              <w:bottom w:val="single" w:sz="4" w:space="0" w:color="auto"/>
              <w:right w:val="single" w:sz="4" w:space="0" w:color="auto"/>
            </w:tcBorders>
            <w:shd w:val="clear" w:color="FFFFFF" w:fill="FFFFFF"/>
            <w:noWrap/>
            <w:vAlign w:val="bottom"/>
            <w:hideMark/>
          </w:tcPr>
          <w:p w:rsidR="007E1E1E" w:rsidRDefault="007E1E1E" w:rsidP="00B50E5D">
            <w:pPr>
              <w:spacing w:line="240" w:lineRule="auto"/>
              <w:jc w:val="right"/>
              <w:rPr>
                <w:rFonts w:cs="Calibri"/>
                <w:b/>
                <w:bCs/>
                <w:szCs w:val="18"/>
              </w:rPr>
            </w:pPr>
            <w:r>
              <w:rPr>
                <w:rFonts w:cs="Calibri"/>
                <w:b/>
                <w:bCs/>
                <w:szCs w:val="18"/>
              </w:rPr>
              <w:t>114,749</w:t>
            </w:r>
          </w:p>
        </w:tc>
      </w:tr>
    </w:tbl>
    <w:p w:rsidR="007E1E1E" w:rsidRDefault="007E1E1E" w:rsidP="007E1E1E">
      <w:pPr>
        <w:pStyle w:val="AdminBlankGreyShade"/>
      </w:pPr>
      <w:bookmarkStart w:id="486" w:name="RANGE!D34:J106"/>
      <w:bookmarkStart w:id="487" w:name="RANGE!D34:J105"/>
      <w:bookmarkStart w:id="488" w:name="RANGE!D34:L105"/>
      <w:bookmarkStart w:id="489" w:name="RANGE!D34:L101"/>
      <w:bookmarkStart w:id="490" w:name="RANGE!D34:L104"/>
      <w:bookmarkStart w:id="491" w:name="RANGE!D34:L103"/>
      <w:bookmarkStart w:id="492" w:name="RANGE!D34:L102"/>
      <w:bookmarkStart w:id="493" w:name="RANGE!D44:L76"/>
      <w:bookmarkStart w:id="494" w:name="RANGE!D33:L101"/>
      <w:bookmarkStart w:id="495" w:name="RANGE!D33:L102"/>
      <w:bookmarkStart w:id="496" w:name="RANGE!D33:L103"/>
      <w:bookmarkEnd w:id="486"/>
      <w:bookmarkEnd w:id="487"/>
      <w:bookmarkEnd w:id="488"/>
      <w:bookmarkEnd w:id="489"/>
      <w:bookmarkEnd w:id="490"/>
      <w:bookmarkEnd w:id="491"/>
      <w:bookmarkEnd w:id="492"/>
      <w:bookmarkEnd w:id="493"/>
      <w:bookmarkEnd w:id="494"/>
      <w:bookmarkEnd w:id="495"/>
      <w:bookmarkEnd w:id="496"/>
      <w:r>
        <w:t xml:space="preserve">Outcomes 1 to 3 are described in Note 1.1. Net costs shown include intra-government costs that are eliminated in calculating the actual Budget Outcome. Refer to Appendix 2 of this annual report for the Agency resource statement and resources for outcomes.  </w:t>
      </w:r>
    </w:p>
    <w:p w:rsidR="007E1E1E" w:rsidRDefault="007E1E1E" w:rsidP="007E1E1E">
      <w:pPr>
        <w:pStyle w:val="AdminBlankGreyShade"/>
      </w:pPr>
      <w:proofErr w:type="gramStart"/>
      <w:r w:rsidRPr="00073531">
        <w:rPr>
          <w:vertAlign w:val="superscript"/>
        </w:rPr>
        <w:t>1</w:t>
      </w:r>
      <w:r>
        <w:t xml:space="preserve"> Assets and liabilities that could not be reliably attributed to outcomes.</w:t>
      </w:r>
      <w:proofErr w:type="gramEnd"/>
    </w:p>
    <w:p w:rsidR="007E1E1E" w:rsidRPr="006508A4" w:rsidRDefault="007E1E1E" w:rsidP="007E1E1E">
      <w:pPr>
        <w:pStyle w:val="12line"/>
        <w:rPr>
          <w:lang w:eastAsia="en-AU"/>
        </w:rPr>
      </w:pPr>
    </w:p>
    <w:tbl>
      <w:tblPr>
        <w:tblW w:w="13991" w:type="dxa"/>
        <w:tblInd w:w="80" w:type="dxa"/>
        <w:tblLayout w:type="fixed"/>
        <w:tblLook w:val="04A0" w:firstRow="1" w:lastRow="0" w:firstColumn="1" w:lastColumn="0" w:noHBand="0" w:noVBand="1"/>
      </w:tblPr>
      <w:tblGrid>
        <w:gridCol w:w="5085"/>
        <w:gridCol w:w="1485"/>
        <w:gridCol w:w="1485"/>
        <w:gridCol w:w="1484"/>
        <w:gridCol w:w="1484"/>
        <w:gridCol w:w="1484"/>
        <w:gridCol w:w="1484"/>
      </w:tblGrid>
      <w:tr w:rsidR="007E1E1E" w:rsidTr="00B50E5D">
        <w:trPr>
          <w:trHeight w:val="113"/>
        </w:trPr>
        <w:tc>
          <w:tcPr>
            <w:tcW w:w="11272" w:type="dxa"/>
            <w:gridSpan w:val="7"/>
            <w:tcBorders>
              <w:top w:val="nil"/>
              <w:left w:val="nil"/>
              <w:bottom w:val="nil"/>
              <w:right w:val="nil"/>
            </w:tcBorders>
            <w:shd w:val="clear" w:color="auto" w:fill="auto"/>
            <w:noWrap/>
            <w:vAlign w:val="bottom"/>
            <w:hideMark/>
          </w:tcPr>
          <w:p w:rsidR="007E1E1E" w:rsidRDefault="007E1E1E" w:rsidP="00B50E5D">
            <w:pPr>
              <w:spacing w:line="240" w:lineRule="auto"/>
              <w:rPr>
                <w:rFonts w:cs="Calibri"/>
                <w:b/>
                <w:bCs/>
                <w:szCs w:val="18"/>
                <w:u w:val="single"/>
              </w:rPr>
            </w:pPr>
            <w:bookmarkStart w:id="497" w:name="RANGE!D7:K38"/>
            <w:bookmarkStart w:id="498" w:name="Note_AMCTABLE1" w:colFirst="0" w:colLast="0"/>
            <w:r>
              <w:rPr>
                <w:rFonts w:cs="Calibri"/>
                <w:b/>
                <w:bCs/>
                <w:szCs w:val="18"/>
                <w:u w:val="single"/>
              </w:rPr>
              <w:lastRenderedPageBreak/>
              <w:t xml:space="preserve">Note </w:t>
            </w:r>
            <w:proofErr w:type="spellStart"/>
            <w:r>
              <w:rPr>
                <w:rFonts w:cs="Calibri"/>
                <w:b/>
                <w:bCs/>
                <w:szCs w:val="18"/>
                <w:u w:val="single"/>
              </w:rPr>
              <w:t>32C</w:t>
            </w:r>
            <w:proofErr w:type="spellEnd"/>
            <w:r>
              <w:rPr>
                <w:rFonts w:cs="Calibri"/>
                <w:b/>
                <w:bCs/>
                <w:szCs w:val="18"/>
                <w:u w:val="single"/>
              </w:rPr>
              <w:t>: Major classes of administered expenses, income, assets, and liabilities by outcomes</w:t>
            </w:r>
            <w:bookmarkEnd w:id="497"/>
          </w:p>
        </w:tc>
      </w:tr>
      <w:tr w:rsidR="007E1E1E" w:rsidTr="00B50E5D">
        <w:trPr>
          <w:trHeight w:val="113"/>
        </w:trPr>
        <w:tc>
          <w:tcPr>
            <w:tcW w:w="4096" w:type="dxa"/>
            <w:tcBorders>
              <w:top w:val="single" w:sz="4" w:space="0" w:color="auto"/>
              <w:left w:val="single" w:sz="4" w:space="0" w:color="auto"/>
              <w:bottom w:val="single" w:sz="4" w:space="0" w:color="D9D9D9"/>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bookmarkStart w:id="499" w:name="RANGE!D8:D38"/>
            <w:bookmarkEnd w:id="498"/>
            <w:r>
              <w:rPr>
                <w:rFonts w:ascii="Arial" w:hAnsi="Arial" w:cs="Arial"/>
                <w:sz w:val="16"/>
                <w:szCs w:val="16"/>
              </w:rPr>
              <w:t> </w:t>
            </w:r>
            <w:bookmarkEnd w:id="499"/>
          </w:p>
        </w:tc>
        <w:tc>
          <w:tcPr>
            <w:tcW w:w="1196" w:type="dxa"/>
            <w:tcBorders>
              <w:top w:val="single" w:sz="4" w:space="0" w:color="auto"/>
              <w:left w:val="nil"/>
              <w:bottom w:val="single" w:sz="4" w:space="0" w:color="auto"/>
              <w:right w:val="nil"/>
            </w:tcBorders>
            <w:shd w:val="clear" w:color="000000" w:fill="D9D9D9"/>
            <w:vAlign w:val="bottom"/>
            <w:hideMark/>
          </w:tcPr>
          <w:p w:rsidR="007E1E1E" w:rsidRDefault="007E1E1E" w:rsidP="00B50E5D">
            <w:pPr>
              <w:spacing w:line="240" w:lineRule="auto"/>
              <w:rPr>
                <w:rFonts w:cs="Calibri"/>
                <w:b/>
                <w:bCs/>
                <w:szCs w:val="18"/>
              </w:rPr>
            </w:pPr>
            <w:r>
              <w:rPr>
                <w:rFonts w:cs="Calibri"/>
                <w:b/>
                <w:bCs/>
                <w:szCs w:val="18"/>
              </w:rPr>
              <w:t>Outcome 1</w:t>
            </w:r>
          </w:p>
        </w:tc>
        <w:tc>
          <w:tcPr>
            <w:tcW w:w="1196" w:type="dxa"/>
            <w:tcBorders>
              <w:top w:val="single" w:sz="4" w:space="0" w:color="auto"/>
              <w:left w:val="single" w:sz="4" w:space="0" w:color="auto"/>
              <w:bottom w:val="single" w:sz="4" w:space="0" w:color="auto"/>
              <w:right w:val="nil"/>
            </w:tcBorders>
            <w:shd w:val="clear" w:color="000000" w:fill="D9D9D9"/>
            <w:vAlign w:val="bottom"/>
            <w:hideMark/>
          </w:tcPr>
          <w:p w:rsidR="007E1E1E" w:rsidRDefault="007E1E1E" w:rsidP="00B50E5D">
            <w:pPr>
              <w:spacing w:line="240" w:lineRule="auto"/>
              <w:rPr>
                <w:rFonts w:cs="Calibri"/>
                <w:b/>
                <w:bCs/>
                <w:szCs w:val="18"/>
              </w:rPr>
            </w:pPr>
            <w:r>
              <w:rPr>
                <w:rFonts w:cs="Calibri"/>
                <w:b/>
                <w:bCs/>
                <w:szCs w:val="18"/>
              </w:rPr>
              <w:t>Outcome 2</w:t>
            </w:r>
          </w:p>
        </w:tc>
        <w:tc>
          <w:tcPr>
            <w:tcW w:w="1196"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7E1E1E" w:rsidRDefault="007E1E1E" w:rsidP="00B50E5D">
            <w:pPr>
              <w:spacing w:line="240" w:lineRule="auto"/>
              <w:jc w:val="center"/>
              <w:rPr>
                <w:rFonts w:cs="Calibri"/>
                <w:b/>
                <w:bCs/>
                <w:szCs w:val="18"/>
              </w:rPr>
            </w:pPr>
            <w:r>
              <w:rPr>
                <w:rFonts w:cs="Calibri"/>
                <w:b/>
                <w:bCs/>
                <w:szCs w:val="18"/>
              </w:rPr>
              <w:t>Outcome 3</w:t>
            </w:r>
          </w:p>
        </w:tc>
        <w:tc>
          <w:tcPr>
            <w:tcW w:w="1196" w:type="dxa"/>
            <w:tcBorders>
              <w:top w:val="single" w:sz="4" w:space="0" w:color="auto"/>
              <w:left w:val="nil"/>
              <w:bottom w:val="single" w:sz="4" w:space="0" w:color="auto"/>
              <w:right w:val="nil"/>
            </w:tcBorders>
            <w:shd w:val="clear" w:color="000000" w:fill="D9D9D9"/>
            <w:vAlign w:val="bottom"/>
            <w:hideMark/>
          </w:tcPr>
          <w:p w:rsidR="007E1E1E" w:rsidRDefault="007E1E1E" w:rsidP="00B50E5D">
            <w:pPr>
              <w:spacing w:line="240" w:lineRule="auto"/>
              <w:jc w:val="center"/>
              <w:rPr>
                <w:rFonts w:cs="Calibri"/>
                <w:b/>
                <w:bCs/>
                <w:szCs w:val="18"/>
              </w:rPr>
            </w:pPr>
            <w:r>
              <w:rPr>
                <w:rFonts w:cs="Calibri"/>
                <w:b/>
                <w:bCs/>
                <w:szCs w:val="18"/>
              </w:rPr>
              <w:t>Payment to CAC Act Agency</w:t>
            </w:r>
          </w:p>
        </w:tc>
        <w:tc>
          <w:tcPr>
            <w:tcW w:w="1196" w:type="dxa"/>
            <w:tcBorders>
              <w:top w:val="single" w:sz="4" w:space="0" w:color="auto"/>
              <w:left w:val="single" w:sz="4" w:space="0" w:color="auto"/>
              <w:bottom w:val="single" w:sz="4" w:space="0" w:color="auto"/>
              <w:right w:val="nil"/>
            </w:tcBorders>
            <w:shd w:val="clear" w:color="000000" w:fill="D9D9D9"/>
            <w:vAlign w:val="bottom"/>
            <w:hideMark/>
          </w:tcPr>
          <w:p w:rsidR="007E1E1E" w:rsidRDefault="007E1E1E" w:rsidP="00B50E5D">
            <w:pPr>
              <w:spacing w:line="240" w:lineRule="auto"/>
              <w:jc w:val="center"/>
              <w:rPr>
                <w:rFonts w:cs="Calibri"/>
                <w:b/>
                <w:bCs/>
                <w:szCs w:val="18"/>
              </w:rPr>
            </w:pPr>
            <w:r>
              <w:rPr>
                <w:rFonts w:cs="Calibri"/>
                <w:b/>
                <w:bCs/>
                <w:szCs w:val="18"/>
              </w:rPr>
              <w:t xml:space="preserve">Not </w:t>
            </w:r>
            <w:proofErr w:type="spellStart"/>
            <w:r>
              <w:rPr>
                <w:rFonts w:cs="Calibri"/>
                <w:b/>
                <w:bCs/>
                <w:szCs w:val="18"/>
              </w:rPr>
              <w:t>attributed</w:t>
            </w:r>
            <w:r>
              <w:rPr>
                <w:rFonts w:cs="Calibri"/>
                <w:b/>
                <w:bCs/>
                <w:szCs w:val="18"/>
                <w:vertAlign w:val="superscript"/>
              </w:rPr>
              <w:t>1</w:t>
            </w:r>
            <w:proofErr w:type="spellEnd"/>
          </w:p>
        </w:tc>
        <w:tc>
          <w:tcPr>
            <w:tcW w:w="1196"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7E1E1E" w:rsidRDefault="007E1E1E" w:rsidP="00B50E5D">
            <w:pPr>
              <w:spacing w:line="240" w:lineRule="auto"/>
              <w:jc w:val="center"/>
              <w:rPr>
                <w:rFonts w:cs="Calibri"/>
                <w:b/>
                <w:bCs/>
                <w:szCs w:val="18"/>
              </w:rPr>
            </w:pPr>
            <w:r>
              <w:rPr>
                <w:rFonts w:cs="Calibri"/>
                <w:b/>
                <w:bCs/>
                <w:szCs w:val="18"/>
              </w:rPr>
              <w:t>Total</w:t>
            </w:r>
          </w:p>
        </w:tc>
      </w:tr>
      <w:tr w:rsidR="007E1E1E" w:rsidTr="00B50E5D">
        <w:trPr>
          <w:trHeight w:val="113"/>
        </w:trPr>
        <w:tc>
          <w:tcPr>
            <w:tcW w:w="4096" w:type="dxa"/>
            <w:tcBorders>
              <w:top w:val="nil"/>
              <w:left w:val="single" w:sz="4" w:space="0" w:color="auto"/>
              <w:bottom w:val="single" w:sz="4" w:space="0" w:color="D9D9D9"/>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hideMark/>
          </w:tcPr>
          <w:p w:rsidR="007E1E1E" w:rsidRDefault="007E1E1E" w:rsidP="00B50E5D">
            <w:pPr>
              <w:spacing w:line="240" w:lineRule="auto"/>
              <w:jc w:val="right"/>
              <w:rPr>
                <w:rFonts w:cs="Calibri"/>
                <w:b/>
                <w:bCs/>
                <w:szCs w:val="18"/>
              </w:rPr>
            </w:pPr>
            <w:r>
              <w:rPr>
                <w:rFonts w:cs="Calibri"/>
                <w:b/>
                <w:bCs/>
                <w:szCs w:val="18"/>
              </w:rPr>
              <w:t>2014</w:t>
            </w:r>
          </w:p>
        </w:tc>
        <w:tc>
          <w:tcPr>
            <w:tcW w:w="1196" w:type="dxa"/>
            <w:tcBorders>
              <w:top w:val="nil"/>
              <w:left w:val="nil"/>
              <w:bottom w:val="single" w:sz="4" w:space="0" w:color="auto"/>
              <w:right w:val="single" w:sz="4" w:space="0" w:color="auto"/>
            </w:tcBorders>
            <w:shd w:val="clear" w:color="000000" w:fill="D9D9D9"/>
            <w:hideMark/>
          </w:tcPr>
          <w:p w:rsidR="007E1E1E" w:rsidRDefault="007E1E1E" w:rsidP="00B50E5D">
            <w:pPr>
              <w:spacing w:line="240" w:lineRule="auto"/>
              <w:jc w:val="right"/>
              <w:rPr>
                <w:rFonts w:cs="Calibri"/>
                <w:b/>
                <w:bCs/>
                <w:szCs w:val="18"/>
              </w:rPr>
            </w:pPr>
            <w:r>
              <w:rPr>
                <w:rFonts w:cs="Calibri"/>
                <w:b/>
                <w:bCs/>
                <w:szCs w:val="18"/>
              </w:rPr>
              <w:t>2014</w:t>
            </w:r>
          </w:p>
        </w:tc>
        <w:tc>
          <w:tcPr>
            <w:tcW w:w="1196" w:type="dxa"/>
            <w:tcBorders>
              <w:top w:val="nil"/>
              <w:left w:val="nil"/>
              <w:bottom w:val="single" w:sz="4" w:space="0" w:color="auto"/>
              <w:right w:val="single" w:sz="4" w:space="0" w:color="auto"/>
            </w:tcBorders>
            <w:shd w:val="clear" w:color="000000" w:fill="D9D9D9"/>
            <w:hideMark/>
          </w:tcPr>
          <w:p w:rsidR="007E1E1E" w:rsidRDefault="007E1E1E" w:rsidP="00B50E5D">
            <w:pPr>
              <w:spacing w:line="240" w:lineRule="auto"/>
              <w:jc w:val="right"/>
              <w:rPr>
                <w:rFonts w:cs="Calibri"/>
                <w:b/>
                <w:bCs/>
                <w:szCs w:val="18"/>
              </w:rPr>
            </w:pPr>
            <w:r>
              <w:rPr>
                <w:rFonts w:cs="Calibri"/>
                <w:b/>
                <w:bCs/>
                <w:szCs w:val="18"/>
              </w:rPr>
              <w:t>2014</w:t>
            </w:r>
          </w:p>
        </w:tc>
        <w:tc>
          <w:tcPr>
            <w:tcW w:w="1196" w:type="dxa"/>
            <w:tcBorders>
              <w:top w:val="nil"/>
              <w:left w:val="nil"/>
              <w:bottom w:val="single" w:sz="4" w:space="0" w:color="auto"/>
              <w:right w:val="single" w:sz="4" w:space="0" w:color="auto"/>
            </w:tcBorders>
            <w:shd w:val="clear" w:color="000000" w:fill="D9D9D9"/>
            <w:hideMark/>
          </w:tcPr>
          <w:p w:rsidR="007E1E1E" w:rsidRDefault="007E1E1E" w:rsidP="00B50E5D">
            <w:pPr>
              <w:spacing w:line="240" w:lineRule="auto"/>
              <w:jc w:val="right"/>
              <w:rPr>
                <w:rFonts w:cs="Calibri"/>
                <w:b/>
                <w:bCs/>
                <w:szCs w:val="18"/>
              </w:rPr>
            </w:pPr>
            <w:r>
              <w:rPr>
                <w:rFonts w:cs="Calibri"/>
                <w:b/>
                <w:bCs/>
                <w:szCs w:val="18"/>
              </w:rPr>
              <w:t>2014</w:t>
            </w:r>
          </w:p>
        </w:tc>
        <w:tc>
          <w:tcPr>
            <w:tcW w:w="1196" w:type="dxa"/>
            <w:tcBorders>
              <w:top w:val="nil"/>
              <w:left w:val="nil"/>
              <w:bottom w:val="single" w:sz="4" w:space="0" w:color="auto"/>
              <w:right w:val="single" w:sz="4" w:space="0" w:color="auto"/>
            </w:tcBorders>
            <w:shd w:val="clear" w:color="000000" w:fill="D9D9D9"/>
            <w:hideMark/>
          </w:tcPr>
          <w:p w:rsidR="007E1E1E" w:rsidRDefault="007E1E1E" w:rsidP="00B50E5D">
            <w:pPr>
              <w:spacing w:line="240" w:lineRule="auto"/>
              <w:jc w:val="right"/>
              <w:rPr>
                <w:rFonts w:cs="Calibri"/>
                <w:b/>
                <w:bCs/>
                <w:szCs w:val="18"/>
              </w:rPr>
            </w:pPr>
            <w:r>
              <w:rPr>
                <w:rFonts w:cs="Calibri"/>
                <w:b/>
                <w:bCs/>
                <w:szCs w:val="18"/>
              </w:rPr>
              <w:t>2014</w:t>
            </w:r>
          </w:p>
        </w:tc>
        <w:tc>
          <w:tcPr>
            <w:tcW w:w="1196" w:type="dxa"/>
            <w:tcBorders>
              <w:top w:val="nil"/>
              <w:left w:val="nil"/>
              <w:bottom w:val="single" w:sz="4" w:space="0" w:color="auto"/>
              <w:right w:val="single" w:sz="4" w:space="0" w:color="auto"/>
            </w:tcBorders>
            <w:shd w:val="clear" w:color="000000" w:fill="D9D9D9"/>
            <w:hideMark/>
          </w:tcPr>
          <w:p w:rsidR="007E1E1E" w:rsidRDefault="007E1E1E" w:rsidP="00B50E5D">
            <w:pPr>
              <w:spacing w:line="240" w:lineRule="auto"/>
              <w:jc w:val="right"/>
              <w:rPr>
                <w:rFonts w:cs="Calibri"/>
                <w:b/>
                <w:bCs/>
                <w:szCs w:val="18"/>
              </w:rPr>
            </w:pPr>
            <w:r>
              <w:rPr>
                <w:rFonts w:cs="Calibri"/>
                <w:b/>
                <w:bCs/>
                <w:szCs w:val="18"/>
              </w:rPr>
              <w:t>2014</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hideMark/>
          </w:tcPr>
          <w:p w:rsidR="007E1E1E" w:rsidRDefault="007E1E1E" w:rsidP="00B50E5D">
            <w:pPr>
              <w:spacing w:line="240" w:lineRule="auto"/>
              <w:jc w:val="right"/>
              <w:rPr>
                <w:rFonts w:cs="Calibri"/>
                <w:b/>
                <w:bCs/>
                <w:szCs w:val="18"/>
              </w:rPr>
            </w:pPr>
            <w:r>
              <w:rPr>
                <w:rFonts w:cs="Calibri"/>
                <w:b/>
                <w:bCs/>
                <w:szCs w:val="18"/>
              </w:rPr>
              <w:t>$'000</w:t>
            </w:r>
          </w:p>
        </w:tc>
        <w:tc>
          <w:tcPr>
            <w:tcW w:w="1196" w:type="dxa"/>
            <w:tcBorders>
              <w:top w:val="nil"/>
              <w:left w:val="nil"/>
              <w:bottom w:val="single" w:sz="4" w:space="0" w:color="auto"/>
              <w:right w:val="single" w:sz="4" w:space="0" w:color="auto"/>
            </w:tcBorders>
            <w:shd w:val="clear" w:color="000000" w:fill="D9D9D9"/>
            <w:hideMark/>
          </w:tcPr>
          <w:p w:rsidR="007E1E1E" w:rsidRDefault="007E1E1E" w:rsidP="00B50E5D">
            <w:pPr>
              <w:spacing w:line="240" w:lineRule="auto"/>
              <w:jc w:val="right"/>
              <w:rPr>
                <w:rFonts w:cs="Calibri"/>
                <w:b/>
                <w:bCs/>
                <w:szCs w:val="18"/>
              </w:rPr>
            </w:pPr>
            <w:r>
              <w:rPr>
                <w:rFonts w:cs="Calibri"/>
                <w:b/>
                <w:bCs/>
                <w:szCs w:val="18"/>
              </w:rPr>
              <w:t>$'000</w:t>
            </w:r>
          </w:p>
        </w:tc>
        <w:tc>
          <w:tcPr>
            <w:tcW w:w="1196" w:type="dxa"/>
            <w:tcBorders>
              <w:top w:val="nil"/>
              <w:left w:val="nil"/>
              <w:bottom w:val="single" w:sz="4" w:space="0" w:color="auto"/>
              <w:right w:val="single" w:sz="4" w:space="0" w:color="auto"/>
            </w:tcBorders>
            <w:shd w:val="clear" w:color="000000" w:fill="D9D9D9"/>
            <w:hideMark/>
          </w:tcPr>
          <w:p w:rsidR="007E1E1E" w:rsidRDefault="007E1E1E" w:rsidP="00B50E5D">
            <w:pPr>
              <w:spacing w:line="240" w:lineRule="auto"/>
              <w:jc w:val="right"/>
              <w:rPr>
                <w:rFonts w:cs="Calibri"/>
                <w:b/>
                <w:bCs/>
                <w:szCs w:val="18"/>
              </w:rPr>
            </w:pPr>
            <w:r>
              <w:rPr>
                <w:rFonts w:cs="Calibri"/>
                <w:b/>
                <w:bCs/>
                <w:szCs w:val="18"/>
              </w:rPr>
              <w:t>$'000</w:t>
            </w:r>
          </w:p>
        </w:tc>
        <w:tc>
          <w:tcPr>
            <w:tcW w:w="1196" w:type="dxa"/>
            <w:tcBorders>
              <w:top w:val="nil"/>
              <w:left w:val="nil"/>
              <w:bottom w:val="single" w:sz="4" w:space="0" w:color="auto"/>
              <w:right w:val="single" w:sz="4" w:space="0" w:color="auto"/>
            </w:tcBorders>
            <w:shd w:val="clear" w:color="000000" w:fill="D9D9D9"/>
            <w:hideMark/>
          </w:tcPr>
          <w:p w:rsidR="007E1E1E" w:rsidRDefault="007E1E1E" w:rsidP="00B50E5D">
            <w:pPr>
              <w:spacing w:line="240" w:lineRule="auto"/>
              <w:jc w:val="right"/>
              <w:rPr>
                <w:rFonts w:cs="Calibri"/>
                <w:b/>
                <w:bCs/>
                <w:szCs w:val="18"/>
              </w:rPr>
            </w:pPr>
            <w:r>
              <w:rPr>
                <w:rFonts w:cs="Calibri"/>
                <w:b/>
                <w:bCs/>
                <w:szCs w:val="18"/>
              </w:rPr>
              <w:t>$'000</w:t>
            </w:r>
          </w:p>
        </w:tc>
        <w:tc>
          <w:tcPr>
            <w:tcW w:w="1196" w:type="dxa"/>
            <w:tcBorders>
              <w:top w:val="nil"/>
              <w:left w:val="nil"/>
              <w:bottom w:val="single" w:sz="4" w:space="0" w:color="auto"/>
              <w:right w:val="single" w:sz="4" w:space="0" w:color="auto"/>
            </w:tcBorders>
            <w:shd w:val="clear" w:color="000000" w:fill="D9D9D9"/>
            <w:hideMark/>
          </w:tcPr>
          <w:p w:rsidR="007E1E1E" w:rsidRDefault="007E1E1E" w:rsidP="00B50E5D">
            <w:pPr>
              <w:spacing w:line="240" w:lineRule="auto"/>
              <w:jc w:val="right"/>
              <w:rPr>
                <w:rFonts w:cs="Calibri"/>
                <w:b/>
                <w:bCs/>
                <w:szCs w:val="18"/>
              </w:rPr>
            </w:pPr>
            <w:r>
              <w:rPr>
                <w:rFonts w:cs="Calibri"/>
                <w:b/>
                <w:bCs/>
                <w:szCs w:val="18"/>
              </w:rPr>
              <w:t>$'000</w:t>
            </w:r>
          </w:p>
        </w:tc>
        <w:tc>
          <w:tcPr>
            <w:tcW w:w="1196" w:type="dxa"/>
            <w:tcBorders>
              <w:top w:val="nil"/>
              <w:left w:val="nil"/>
              <w:bottom w:val="single" w:sz="4" w:space="0" w:color="auto"/>
              <w:right w:val="single" w:sz="4" w:space="0" w:color="auto"/>
            </w:tcBorders>
            <w:shd w:val="clear" w:color="000000" w:fill="D9D9D9"/>
            <w:hideMark/>
          </w:tcPr>
          <w:p w:rsidR="007E1E1E" w:rsidRDefault="007E1E1E" w:rsidP="00B50E5D">
            <w:pPr>
              <w:spacing w:line="240" w:lineRule="auto"/>
              <w:jc w:val="right"/>
              <w:rPr>
                <w:rFonts w:cs="Calibri"/>
                <w:b/>
                <w:bCs/>
                <w:szCs w:val="18"/>
              </w:rPr>
            </w:pPr>
            <w:r>
              <w:rPr>
                <w:rFonts w:cs="Calibri"/>
                <w:b/>
                <w:bCs/>
                <w:szCs w:val="18"/>
              </w:rPr>
              <w:t>$'000</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hideMark/>
          </w:tcPr>
          <w:p w:rsidR="007E1E1E" w:rsidRDefault="007E1E1E" w:rsidP="00B50E5D">
            <w:pPr>
              <w:spacing w:line="240" w:lineRule="auto"/>
              <w:rPr>
                <w:rFonts w:cs="Calibri"/>
                <w:b/>
                <w:bCs/>
                <w:szCs w:val="18"/>
              </w:rPr>
            </w:pPr>
            <w:r>
              <w:rPr>
                <w:rFonts w:cs="Calibri"/>
                <w:b/>
                <w:bCs/>
                <w:szCs w:val="18"/>
              </w:rPr>
              <w:t>Expenses</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noWrap/>
            <w:hideMark/>
          </w:tcPr>
          <w:p w:rsidR="007E1E1E" w:rsidRDefault="007E1E1E" w:rsidP="00B50E5D">
            <w:pPr>
              <w:spacing w:line="240" w:lineRule="auto"/>
              <w:rPr>
                <w:rFonts w:cs="Calibri"/>
                <w:szCs w:val="18"/>
              </w:rPr>
            </w:pPr>
            <w:r>
              <w:rPr>
                <w:rFonts w:cs="Calibri"/>
                <w:szCs w:val="18"/>
              </w:rPr>
              <w:t>Personal benefits</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4,414,117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1,040 </w:t>
            </w:r>
          </w:p>
        </w:tc>
        <w:tc>
          <w:tcPr>
            <w:tcW w:w="11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spacing w:line="240" w:lineRule="auto"/>
              <w:jc w:val="right"/>
              <w:rPr>
                <w:rFonts w:cs="Calibri"/>
                <w:b/>
                <w:bCs/>
                <w:szCs w:val="18"/>
              </w:rPr>
            </w:pPr>
            <w:r>
              <w:rPr>
                <w:rFonts w:cs="Calibri"/>
                <w:b/>
                <w:bCs/>
                <w:szCs w:val="18"/>
              </w:rPr>
              <w:t xml:space="preserve">51,651 </w:t>
            </w:r>
          </w:p>
        </w:tc>
        <w:tc>
          <w:tcPr>
            <w:tcW w:w="1196" w:type="dxa"/>
            <w:tcBorders>
              <w:top w:val="nil"/>
              <w:left w:val="nil"/>
              <w:bottom w:val="single" w:sz="4" w:space="0" w:color="auto"/>
              <w:right w:val="single" w:sz="4" w:space="0" w:color="auto"/>
            </w:tcBorders>
            <w:shd w:val="clear" w:color="000000" w:fill="D9D9D9"/>
            <w:noWrap/>
            <w:vAlign w:val="bottom"/>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4,466,808</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noWrap/>
            <w:hideMark/>
          </w:tcPr>
          <w:p w:rsidR="007E1E1E" w:rsidRDefault="007E1E1E" w:rsidP="00B50E5D">
            <w:pPr>
              <w:spacing w:line="240" w:lineRule="auto"/>
              <w:rPr>
                <w:rFonts w:cs="Calibri"/>
                <w:szCs w:val="18"/>
              </w:rPr>
            </w:pPr>
            <w:r>
              <w:rPr>
                <w:rFonts w:cs="Calibri"/>
                <w:szCs w:val="18"/>
              </w:rPr>
              <w:t>Grants</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332,604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9,335,885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6,895,740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16,564,229</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noWrap/>
            <w:hideMark/>
          </w:tcPr>
          <w:p w:rsidR="007E1E1E" w:rsidRDefault="007E1E1E" w:rsidP="00B50E5D">
            <w:pPr>
              <w:spacing w:line="240" w:lineRule="auto"/>
              <w:rPr>
                <w:rFonts w:cs="Calibri"/>
                <w:szCs w:val="18"/>
              </w:rPr>
            </w:pPr>
            <w:r>
              <w:rPr>
                <w:rFonts w:cs="Calibri"/>
                <w:szCs w:val="18"/>
              </w:rPr>
              <w:t>Suppliers</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40,957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123,352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4,298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168,607</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noWrap/>
            <w:hideMark/>
          </w:tcPr>
          <w:p w:rsidR="007E1E1E" w:rsidRDefault="007E1E1E" w:rsidP="00B50E5D">
            <w:pPr>
              <w:spacing w:line="240" w:lineRule="auto"/>
              <w:rPr>
                <w:rFonts w:cs="Calibri"/>
                <w:szCs w:val="18"/>
              </w:rPr>
            </w:pPr>
            <w:r>
              <w:rPr>
                <w:rFonts w:cs="Calibri"/>
                <w:szCs w:val="18"/>
              </w:rPr>
              <w:t>Other</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2,378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908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1,510,784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5,360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1,519,430</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hideMark/>
          </w:tcPr>
          <w:p w:rsidR="007E1E1E" w:rsidRDefault="007E1E1E" w:rsidP="00B50E5D">
            <w:pPr>
              <w:spacing w:line="240" w:lineRule="auto"/>
              <w:rPr>
                <w:rFonts w:cs="Calibri"/>
                <w:b/>
                <w:bCs/>
                <w:i/>
                <w:iCs/>
                <w:szCs w:val="18"/>
              </w:rPr>
            </w:pPr>
            <w:r>
              <w:rPr>
                <w:rFonts w:cs="Calibri"/>
                <w:b/>
                <w:bCs/>
                <w:i/>
                <w:iCs/>
                <w:szCs w:val="18"/>
              </w:rPr>
              <w:t>Total expenses</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4,790,056</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9,461,185</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8,462,473</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5,360</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22,719,074</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hideMark/>
          </w:tcPr>
          <w:p w:rsidR="007E1E1E" w:rsidRDefault="007E1E1E" w:rsidP="00B50E5D">
            <w:pPr>
              <w:spacing w:line="240" w:lineRule="auto"/>
              <w:rPr>
                <w:rFonts w:cs="Calibri"/>
                <w:b/>
                <w:bCs/>
                <w:szCs w:val="18"/>
              </w:rPr>
            </w:pPr>
            <w:r>
              <w:rPr>
                <w:rFonts w:cs="Calibri"/>
                <w:b/>
                <w:bCs/>
                <w:szCs w:val="18"/>
              </w:rPr>
              <w:t>Income</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noWrap/>
            <w:hideMark/>
          </w:tcPr>
          <w:p w:rsidR="007E1E1E" w:rsidRDefault="007E1E1E" w:rsidP="00B50E5D">
            <w:pPr>
              <w:spacing w:line="240" w:lineRule="auto"/>
              <w:rPr>
                <w:rFonts w:cs="Calibri"/>
                <w:szCs w:val="18"/>
              </w:rPr>
            </w:pPr>
            <w:r>
              <w:rPr>
                <w:rFonts w:cs="Calibri"/>
                <w:szCs w:val="18"/>
              </w:rPr>
              <w:t>Interest</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380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506,460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506,840</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noWrap/>
            <w:hideMark/>
          </w:tcPr>
          <w:p w:rsidR="007E1E1E" w:rsidRDefault="007E1E1E" w:rsidP="00B50E5D">
            <w:pPr>
              <w:spacing w:line="240" w:lineRule="auto"/>
              <w:rPr>
                <w:rFonts w:cs="Calibri"/>
                <w:szCs w:val="18"/>
              </w:rPr>
            </w:pPr>
            <w:r>
              <w:rPr>
                <w:rFonts w:cs="Calibri"/>
                <w:szCs w:val="18"/>
              </w:rPr>
              <w:t>Non taxation revenue - Other</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2,239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8,905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278,466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289,610</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noWrap/>
            <w:hideMark/>
          </w:tcPr>
          <w:p w:rsidR="007E1E1E" w:rsidRDefault="007E1E1E" w:rsidP="00B50E5D">
            <w:pPr>
              <w:spacing w:line="240" w:lineRule="auto"/>
              <w:rPr>
                <w:rFonts w:cs="Calibri"/>
                <w:szCs w:val="18"/>
              </w:rPr>
            </w:pPr>
            <w:r>
              <w:rPr>
                <w:rFonts w:cs="Calibri"/>
                <w:szCs w:val="18"/>
              </w:rPr>
              <w:t>Gains</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8,706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626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96,220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105,552</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hideMark/>
          </w:tcPr>
          <w:p w:rsidR="007E1E1E" w:rsidRDefault="007E1E1E" w:rsidP="00B50E5D">
            <w:pPr>
              <w:spacing w:line="240" w:lineRule="auto"/>
              <w:rPr>
                <w:rFonts w:cs="Calibri"/>
                <w:b/>
                <w:bCs/>
                <w:i/>
                <w:iCs/>
                <w:szCs w:val="18"/>
              </w:rPr>
            </w:pPr>
            <w:r>
              <w:rPr>
                <w:rFonts w:cs="Calibri"/>
                <w:b/>
                <w:bCs/>
                <w:i/>
                <w:iCs/>
                <w:szCs w:val="18"/>
              </w:rPr>
              <w:t>Total income</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11,325</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9,531</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881,146</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902,002</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hideMark/>
          </w:tcPr>
          <w:p w:rsidR="007E1E1E" w:rsidRDefault="007E1E1E" w:rsidP="00B50E5D">
            <w:pPr>
              <w:spacing w:line="240" w:lineRule="auto"/>
              <w:rPr>
                <w:rFonts w:cs="Calibri"/>
                <w:b/>
                <w:bCs/>
                <w:szCs w:val="18"/>
              </w:rPr>
            </w:pPr>
            <w:r>
              <w:rPr>
                <w:rFonts w:cs="Calibri"/>
                <w:b/>
                <w:bCs/>
                <w:szCs w:val="18"/>
              </w:rPr>
              <w:t>Assets</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noWrap/>
            <w:hideMark/>
          </w:tcPr>
          <w:p w:rsidR="007E1E1E" w:rsidRDefault="007E1E1E" w:rsidP="00B50E5D">
            <w:pPr>
              <w:spacing w:line="240" w:lineRule="auto"/>
              <w:rPr>
                <w:rFonts w:cs="Calibri"/>
                <w:szCs w:val="18"/>
              </w:rPr>
            </w:pPr>
            <w:r>
              <w:rPr>
                <w:rFonts w:cs="Calibri"/>
                <w:szCs w:val="18"/>
              </w:rPr>
              <w:t>Cash and cash equivalents</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63,205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4,766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23,322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91,293</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noWrap/>
            <w:hideMark/>
          </w:tcPr>
          <w:p w:rsidR="007E1E1E" w:rsidRDefault="007E1E1E" w:rsidP="00B50E5D">
            <w:pPr>
              <w:spacing w:line="240" w:lineRule="auto"/>
              <w:rPr>
                <w:rFonts w:cs="Calibri"/>
                <w:szCs w:val="18"/>
              </w:rPr>
            </w:pPr>
            <w:r>
              <w:rPr>
                <w:rFonts w:cs="Calibri"/>
                <w:szCs w:val="18"/>
              </w:rPr>
              <w:t>Receivables</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356,288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7,960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25,595,879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25,960,127</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noWrap/>
            <w:hideMark/>
          </w:tcPr>
          <w:p w:rsidR="007E1E1E" w:rsidRDefault="007E1E1E" w:rsidP="00B50E5D">
            <w:pPr>
              <w:spacing w:line="240" w:lineRule="auto"/>
              <w:rPr>
                <w:rFonts w:cs="Calibri"/>
                <w:szCs w:val="18"/>
              </w:rPr>
            </w:pPr>
            <w:r>
              <w:rPr>
                <w:rFonts w:cs="Calibri"/>
                <w:szCs w:val="18"/>
              </w:rPr>
              <w:t>Investments</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8,124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2,140,902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2,149,026</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noWrap/>
            <w:hideMark/>
          </w:tcPr>
          <w:p w:rsidR="007E1E1E" w:rsidRDefault="007E1E1E" w:rsidP="00B50E5D">
            <w:pPr>
              <w:spacing w:line="240" w:lineRule="auto"/>
              <w:rPr>
                <w:rFonts w:cs="Calibri"/>
                <w:szCs w:val="18"/>
              </w:rPr>
            </w:pPr>
            <w:r>
              <w:rPr>
                <w:rFonts w:cs="Calibri"/>
                <w:szCs w:val="18"/>
              </w:rPr>
              <w:t>Other non-financial assets</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523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523</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hideMark/>
          </w:tcPr>
          <w:p w:rsidR="007E1E1E" w:rsidRDefault="007E1E1E" w:rsidP="00B50E5D">
            <w:pPr>
              <w:spacing w:line="240" w:lineRule="auto"/>
              <w:rPr>
                <w:rFonts w:cs="Calibri"/>
                <w:b/>
                <w:bCs/>
                <w:i/>
                <w:iCs/>
                <w:szCs w:val="18"/>
              </w:rPr>
            </w:pPr>
            <w:r>
              <w:rPr>
                <w:rFonts w:cs="Calibri"/>
                <w:b/>
                <w:bCs/>
                <w:i/>
                <w:iCs/>
                <w:szCs w:val="18"/>
              </w:rPr>
              <w:t>Total assets</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419,493</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21,373</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27,760,103</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28,200,969</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hideMark/>
          </w:tcPr>
          <w:p w:rsidR="007E1E1E" w:rsidRDefault="007E1E1E" w:rsidP="00B50E5D">
            <w:pPr>
              <w:spacing w:line="240" w:lineRule="auto"/>
              <w:rPr>
                <w:rFonts w:cs="Calibri"/>
                <w:b/>
                <w:bCs/>
                <w:szCs w:val="18"/>
              </w:rPr>
            </w:pPr>
            <w:r>
              <w:rPr>
                <w:rFonts w:cs="Calibri"/>
                <w:b/>
                <w:bCs/>
                <w:szCs w:val="18"/>
              </w:rPr>
              <w:t>Liabilities</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rPr>
                <w:rFonts w:ascii="Arial" w:hAnsi="Arial" w:cs="Arial"/>
                <w:sz w:val="16"/>
                <w:szCs w:val="16"/>
              </w:rPr>
            </w:pPr>
            <w:r>
              <w:rPr>
                <w:rFonts w:ascii="Arial" w:hAnsi="Arial" w:cs="Arial"/>
                <w:sz w:val="16"/>
                <w:szCs w:val="16"/>
              </w:rPr>
              <w:t> </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noWrap/>
            <w:hideMark/>
          </w:tcPr>
          <w:p w:rsidR="007E1E1E" w:rsidRDefault="007E1E1E" w:rsidP="00B50E5D">
            <w:pPr>
              <w:spacing w:line="240" w:lineRule="auto"/>
              <w:rPr>
                <w:rFonts w:cs="Calibri"/>
                <w:szCs w:val="18"/>
              </w:rPr>
            </w:pPr>
            <w:r>
              <w:rPr>
                <w:rFonts w:cs="Calibri"/>
                <w:szCs w:val="18"/>
              </w:rPr>
              <w:t>Suppliers</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2,689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15,252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18,943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36,884</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noWrap/>
            <w:hideMark/>
          </w:tcPr>
          <w:p w:rsidR="007E1E1E" w:rsidRDefault="007E1E1E" w:rsidP="00B50E5D">
            <w:pPr>
              <w:spacing w:line="240" w:lineRule="auto"/>
              <w:rPr>
                <w:rFonts w:cs="Calibri"/>
                <w:szCs w:val="18"/>
              </w:rPr>
            </w:pPr>
            <w:r>
              <w:rPr>
                <w:rFonts w:cs="Calibri"/>
                <w:szCs w:val="18"/>
              </w:rPr>
              <w:t>Personal benefits</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120,937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120,937</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noWrap/>
            <w:hideMark/>
          </w:tcPr>
          <w:p w:rsidR="007E1E1E" w:rsidRDefault="007E1E1E" w:rsidP="00B50E5D">
            <w:pPr>
              <w:spacing w:line="240" w:lineRule="auto"/>
              <w:rPr>
                <w:rFonts w:cs="Calibri"/>
                <w:szCs w:val="18"/>
              </w:rPr>
            </w:pPr>
            <w:r>
              <w:rPr>
                <w:rFonts w:cs="Calibri"/>
                <w:szCs w:val="18"/>
              </w:rPr>
              <w:t>Grants</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9,480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12,795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2,159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24,434</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noWrap/>
            <w:hideMark/>
          </w:tcPr>
          <w:p w:rsidR="007E1E1E" w:rsidRDefault="007E1E1E" w:rsidP="00B50E5D">
            <w:pPr>
              <w:spacing w:line="240" w:lineRule="auto"/>
              <w:rPr>
                <w:rFonts w:cs="Calibri"/>
                <w:szCs w:val="18"/>
              </w:rPr>
            </w:pPr>
            <w:r>
              <w:rPr>
                <w:rFonts w:cs="Calibri"/>
                <w:szCs w:val="18"/>
              </w:rPr>
              <w:t>Other payables</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2,592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4,499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1,601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8,692</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noWrap/>
            <w:hideMark/>
          </w:tcPr>
          <w:p w:rsidR="007E1E1E" w:rsidRDefault="007E1E1E" w:rsidP="00B50E5D">
            <w:pPr>
              <w:spacing w:line="240" w:lineRule="auto"/>
              <w:rPr>
                <w:rFonts w:cs="Calibri"/>
                <w:szCs w:val="18"/>
              </w:rPr>
            </w:pPr>
            <w:r>
              <w:rPr>
                <w:rFonts w:cs="Calibri"/>
                <w:szCs w:val="18"/>
              </w:rPr>
              <w:t>Provision for personal benefits</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801,010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801,010</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noWrap/>
            <w:hideMark/>
          </w:tcPr>
          <w:p w:rsidR="007E1E1E" w:rsidRDefault="007E1E1E" w:rsidP="00B50E5D">
            <w:pPr>
              <w:spacing w:line="240" w:lineRule="auto"/>
              <w:rPr>
                <w:rFonts w:cs="Calibri"/>
                <w:szCs w:val="18"/>
              </w:rPr>
            </w:pPr>
            <w:r>
              <w:rPr>
                <w:rFonts w:cs="Calibri"/>
                <w:szCs w:val="18"/>
              </w:rPr>
              <w:t>Provision for grants</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6,867,769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 xml:space="preserve"> -</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6,867,769</w:t>
            </w:r>
          </w:p>
        </w:tc>
      </w:tr>
      <w:tr w:rsidR="007E1E1E" w:rsidTr="00B50E5D">
        <w:trPr>
          <w:trHeight w:val="113"/>
        </w:trPr>
        <w:tc>
          <w:tcPr>
            <w:tcW w:w="4096" w:type="dxa"/>
            <w:tcBorders>
              <w:top w:val="nil"/>
              <w:left w:val="single" w:sz="4" w:space="0" w:color="auto"/>
              <w:bottom w:val="single" w:sz="4" w:space="0" w:color="auto"/>
              <w:right w:val="single" w:sz="4" w:space="0" w:color="auto"/>
            </w:tcBorders>
            <w:shd w:val="clear" w:color="000000" w:fill="D9D9D9"/>
            <w:hideMark/>
          </w:tcPr>
          <w:p w:rsidR="007E1E1E" w:rsidRDefault="007E1E1E" w:rsidP="00B50E5D">
            <w:pPr>
              <w:spacing w:line="240" w:lineRule="auto"/>
              <w:rPr>
                <w:rFonts w:cs="Calibri"/>
                <w:b/>
                <w:bCs/>
                <w:i/>
                <w:iCs/>
                <w:szCs w:val="18"/>
              </w:rPr>
            </w:pPr>
            <w:r>
              <w:rPr>
                <w:rFonts w:cs="Calibri"/>
                <w:b/>
                <w:bCs/>
                <w:i/>
                <w:iCs/>
                <w:szCs w:val="18"/>
              </w:rPr>
              <w:t>Total liabilities</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936,708</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32,546</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6,890,472</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w:t>
            </w:r>
          </w:p>
        </w:tc>
        <w:tc>
          <w:tcPr>
            <w:tcW w:w="1196" w:type="dxa"/>
            <w:tcBorders>
              <w:top w:val="nil"/>
              <w:left w:val="nil"/>
              <w:bottom w:val="single" w:sz="4" w:space="0" w:color="auto"/>
              <w:right w:val="single" w:sz="4" w:space="0" w:color="auto"/>
            </w:tcBorders>
            <w:shd w:val="clear" w:color="000000" w:fill="D9D9D9"/>
            <w:noWrap/>
            <w:hideMark/>
          </w:tcPr>
          <w:p w:rsidR="007E1E1E" w:rsidRDefault="007E1E1E" w:rsidP="00B50E5D">
            <w:pPr>
              <w:spacing w:line="240" w:lineRule="auto"/>
              <w:jc w:val="right"/>
              <w:rPr>
                <w:rFonts w:cs="Calibri"/>
                <w:b/>
                <w:bCs/>
                <w:szCs w:val="18"/>
              </w:rPr>
            </w:pPr>
            <w:r>
              <w:rPr>
                <w:rFonts w:cs="Calibri"/>
                <w:b/>
                <w:bCs/>
                <w:szCs w:val="18"/>
              </w:rPr>
              <w:t>7,859,726</w:t>
            </w:r>
          </w:p>
        </w:tc>
      </w:tr>
    </w:tbl>
    <w:p w:rsidR="007E1E1E" w:rsidRDefault="007E1E1E" w:rsidP="007E1E1E">
      <w:pPr>
        <w:pStyle w:val="AdminBlankGreyShade"/>
      </w:pPr>
      <w:bookmarkStart w:id="500" w:name="RANGE!D45:L77"/>
      <w:bookmarkStart w:id="501" w:name="RANGE!D46:L79"/>
      <w:bookmarkEnd w:id="500"/>
      <w:bookmarkEnd w:id="501"/>
      <w:r>
        <w:t xml:space="preserve">Outcomes 1 to 3 are described in Note 1.1. Net costs shown include intra-government costs that are eliminated in calculating the actual Budget Outcome. Refer to Appendix 2 of this annual report for the Agency resource statement and resources for outcomes.  </w:t>
      </w:r>
    </w:p>
    <w:p w:rsidR="007E1E1E" w:rsidRDefault="007E1E1E" w:rsidP="007E1E1E">
      <w:pPr>
        <w:pStyle w:val="AdminBlankGreyShade"/>
      </w:pPr>
      <w:proofErr w:type="gramStart"/>
      <w:r w:rsidRPr="00073531">
        <w:rPr>
          <w:vertAlign w:val="superscript"/>
        </w:rPr>
        <w:t>1</w:t>
      </w:r>
      <w:r>
        <w:t xml:space="preserve"> Assets, liabilities and income that could not be reliably attributed to outcomes.</w:t>
      </w:r>
      <w:proofErr w:type="gramEnd"/>
    </w:p>
    <w:p w:rsidR="007E1E1E" w:rsidRDefault="007E1E1E" w:rsidP="007E1E1E">
      <w:pPr>
        <w:pStyle w:val="AdminBlankGreyShade"/>
        <w:sectPr w:rsidR="007E1E1E" w:rsidSect="00D56CB6">
          <w:pgSz w:w="16838" w:h="11906" w:orient="landscape"/>
          <w:pgMar w:top="1134" w:right="1134" w:bottom="964" w:left="1134" w:header="958" w:footer="737" w:gutter="0"/>
          <w:cols w:space="720"/>
          <w:docGrid w:linePitch="245"/>
        </w:sectPr>
      </w:pPr>
    </w:p>
    <w:tbl>
      <w:tblPr>
        <w:tblW w:w="9090" w:type="dxa"/>
        <w:tblLayout w:type="fixed"/>
        <w:tblLook w:val="04A0" w:firstRow="1" w:lastRow="0" w:firstColumn="1" w:lastColumn="0" w:noHBand="0" w:noVBand="1"/>
      </w:tblPr>
      <w:tblGrid>
        <w:gridCol w:w="6388"/>
        <w:gridCol w:w="1213"/>
        <w:gridCol w:w="276"/>
        <w:gridCol w:w="1213"/>
      </w:tblGrid>
      <w:tr w:rsidR="007E1E1E" w:rsidTr="00B50E5D">
        <w:trPr>
          <w:trHeight w:val="255"/>
          <w:hidden/>
        </w:trPr>
        <w:tc>
          <w:tcPr>
            <w:tcW w:w="6388" w:type="dxa"/>
            <w:shd w:val="clear" w:color="auto" w:fill="D9D9D9"/>
            <w:noWrap/>
            <w:hideMark/>
          </w:tcPr>
          <w:p w:rsidR="007E1E1E" w:rsidRDefault="007E1E1E" w:rsidP="00B50E5D">
            <w:pPr>
              <w:rPr>
                <w:rFonts w:cs="Calibri"/>
                <w:b/>
                <w:bCs/>
                <w:vanish/>
                <w:szCs w:val="18"/>
                <w:u w:val="single"/>
              </w:rPr>
            </w:pPr>
            <w:bookmarkStart w:id="502" w:name="RANGE!D22:G28"/>
            <w:bookmarkStart w:id="503" w:name="RANGE!D21:G31"/>
            <w:bookmarkStart w:id="504" w:name="RANGE!D21:G29"/>
            <w:bookmarkStart w:id="505" w:name="RANGE!D21:G27"/>
            <w:bookmarkStart w:id="506" w:name="RANGE!D22:D29"/>
            <w:bookmarkStart w:id="507" w:name="RANGE!D22:G29"/>
            <w:bookmarkStart w:id="508" w:name="RANGE!D22:D28"/>
            <w:bookmarkEnd w:id="502"/>
            <w:bookmarkEnd w:id="503"/>
            <w:bookmarkEnd w:id="504"/>
            <w:bookmarkEnd w:id="505"/>
            <w:bookmarkEnd w:id="506"/>
            <w:bookmarkEnd w:id="507"/>
            <w:r>
              <w:rPr>
                <w:rFonts w:cs="Calibri"/>
                <w:b/>
                <w:bCs/>
                <w:vanish/>
                <w:szCs w:val="18"/>
                <w:u w:val="single"/>
              </w:rPr>
              <w:lastRenderedPageBreak/>
              <w:t>Note 30B: Administered receipts subject to cost recovery policy</w:t>
            </w:r>
            <w:bookmarkEnd w:id="508"/>
          </w:p>
        </w:tc>
        <w:tc>
          <w:tcPr>
            <w:tcW w:w="1213" w:type="dxa"/>
            <w:tcBorders>
              <w:top w:val="nil"/>
              <w:left w:val="nil"/>
              <w:bottom w:val="single" w:sz="4" w:space="0" w:color="D9D9D9"/>
              <w:right w:val="nil"/>
            </w:tcBorders>
            <w:shd w:val="clear" w:color="auto" w:fill="D9D9D9"/>
            <w:noWrap/>
            <w:vAlign w:val="bottom"/>
            <w:hideMark/>
          </w:tcPr>
          <w:p w:rsidR="007E1E1E" w:rsidRDefault="007E1E1E" w:rsidP="00B50E5D">
            <w:pPr>
              <w:rPr>
                <w:rFonts w:ascii="Arial" w:hAnsi="Arial" w:cs="Arial"/>
                <w:vanish/>
                <w:sz w:val="16"/>
                <w:szCs w:val="16"/>
              </w:rPr>
            </w:pPr>
            <w:r>
              <w:rPr>
                <w:rFonts w:ascii="Arial" w:hAnsi="Arial" w:cs="Arial"/>
                <w:vanish/>
                <w:sz w:val="16"/>
                <w:szCs w:val="16"/>
              </w:rPr>
              <w:t> </w:t>
            </w:r>
          </w:p>
        </w:tc>
        <w:tc>
          <w:tcPr>
            <w:tcW w:w="276" w:type="dxa"/>
            <w:tcBorders>
              <w:top w:val="nil"/>
              <w:left w:val="nil"/>
              <w:bottom w:val="single" w:sz="4" w:space="0" w:color="D9D9D9"/>
              <w:right w:val="nil"/>
            </w:tcBorders>
            <w:shd w:val="clear" w:color="auto" w:fill="D9D9D9"/>
            <w:noWrap/>
            <w:vAlign w:val="bottom"/>
            <w:hideMark/>
          </w:tcPr>
          <w:p w:rsidR="007E1E1E" w:rsidRDefault="007E1E1E" w:rsidP="00B50E5D">
            <w:pPr>
              <w:rPr>
                <w:rFonts w:ascii="Arial" w:hAnsi="Arial" w:cs="Arial"/>
                <w:vanish/>
                <w:sz w:val="16"/>
                <w:szCs w:val="16"/>
              </w:rPr>
            </w:pPr>
            <w:r>
              <w:rPr>
                <w:rFonts w:ascii="Arial" w:hAnsi="Arial" w:cs="Arial"/>
                <w:vanish/>
                <w:sz w:val="16"/>
                <w:szCs w:val="16"/>
              </w:rPr>
              <w:t> </w:t>
            </w:r>
          </w:p>
        </w:tc>
        <w:tc>
          <w:tcPr>
            <w:tcW w:w="1213" w:type="dxa"/>
            <w:tcBorders>
              <w:top w:val="nil"/>
              <w:left w:val="nil"/>
              <w:bottom w:val="single" w:sz="4" w:space="0" w:color="D9D9D9"/>
              <w:right w:val="nil"/>
            </w:tcBorders>
            <w:shd w:val="clear" w:color="auto" w:fill="D9D9D9"/>
            <w:noWrap/>
            <w:vAlign w:val="bottom"/>
            <w:hideMark/>
          </w:tcPr>
          <w:p w:rsidR="007E1E1E" w:rsidRDefault="007E1E1E" w:rsidP="00B50E5D">
            <w:pPr>
              <w:rPr>
                <w:rFonts w:ascii="Arial" w:hAnsi="Arial" w:cs="Arial"/>
                <w:vanish/>
                <w:sz w:val="16"/>
                <w:szCs w:val="16"/>
              </w:rPr>
            </w:pPr>
            <w:r>
              <w:rPr>
                <w:rFonts w:ascii="Arial" w:hAnsi="Arial" w:cs="Arial"/>
                <w:vanish/>
                <w:sz w:val="16"/>
                <w:szCs w:val="16"/>
              </w:rPr>
              <w:t> </w:t>
            </w:r>
          </w:p>
        </w:tc>
      </w:tr>
      <w:tr w:rsidR="007E1E1E" w:rsidTr="00B50E5D">
        <w:trPr>
          <w:trHeight w:val="255"/>
          <w:hidden/>
        </w:trPr>
        <w:tc>
          <w:tcPr>
            <w:tcW w:w="6388" w:type="dxa"/>
            <w:tcBorders>
              <w:top w:val="nil"/>
              <w:left w:val="nil"/>
              <w:bottom w:val="single" w:sz="4" w:space="0" w:color="D9D9D9"/>
              <w:right w:val="nil"/>
            </w:tcBorders>
            <w:shd w:val="clear" w:color="auto" w:fill="D9D9D9"/>
            <w:vAlign w:val="bottom"/>
            <w:hideMark/>
          </w:tcPr>
          <w:p w:rsidR="007E1E1E" w:rsidRDefault="007E1E1E" w:rsidP="00B50E5D">
            <w:pPr>
              <w:rPr>
                <w:rFonts w:cs="Calibri"/>
                <w:vanish/>
                <w:szCs w:val="18"/>
              </w:rPr>
            </w:pPr>
            <w:r>
              <w:rPr>
                <w:rFonts w:cs="Calibri"/>
                <w:vanish/>
                <w:szCs w:val="18"/>
              </w:rPr>
              <w:t>Other cost recovery arrangements</w:t>
            </w:r>
          </w:p>
        </w:tc>
        <w:tc>
          <w:tcPr>
            <w:tcW w:w="1213" w:type="dxa"/>
            <w:shd w:val="clear" w:color="auto" w:fill="D9D9D9"/>
            <w:noWrap/>
            <w:vAlign w:val="bottom"/>
            <w:hideMark/>
          </w:tcPr>
          <w:p w:rsidR="007E1E1E" w:rsidRDefault="007E1E1E" w:rsidP="00B50E5D">
            <w:pPr>
              <w:jc w:val="right"/>
              <w:rPr>
                <w:rFonts w:cs="Calibri"/>
                <w:b/>
                <w:bCs/>
                <w:vanish/>
                <w:szCs w:val="18"/>
              </w:rPr>
            </w:pPr>
            <w:r>
              <w:rPr>
                <w:rFonts w:cs="Calibri"/>
                <w:b/>
                <w:bCs/>
                <w:vanish/>
                <w:szCs w:val="18"/>
              </w:rPr>
              <w:t> </w:t>
            </w:r>
          </w:p>
        </w:tc>
        <w:tc>
          <w:tcPr>
            <w:tcW w:w="276" w:type="dxa"/>
            <w:tcBorders>
              <w:top w:val="nil"/>
              <w:left w:val="nil"/>
              <w:bottom w:val="single" w:sz="4" w:space="0" w:color="D9D9D9"/>
              <w:right w:val="nil"/>
            </w:tcBorders>
            <w:shd w:val="clear" w:color="auto" w:fill="D9D9D9"/>
            <w:noWrap/>
            <w:vAlign w:val="bottom"/>
            <w:hideMark/>
          </w:tcPr>
          <w:p w:rsidR="007E1E1E" w:rsidRDefault="007E1E1E" w:rsidP="00B50E5D">
            <w:pPr>
              <w:rPr>
                <w:rFonts w:ascii="Arial" w:hAnsi="Arial" w:cs="Arial"/>
                <w:vanish/>
                <w:sz w:val="16"/>
                <w:szCs w:val="16"/>
              </w:rPr>
            </w:pPr>
            <w:r>
              <w:rPr>
                <w:rFonts w:ascii="Arial" w:hAnsi="Arial" w:cs="Arial"/>
                <w:vanish/>
                <w:sz w:val="16"/>
                <w:szCs w:val="16"/>
              </w:rPr>
              <w:t> </w:t>
            </w:r>
          </w:p>
        </w:tc>
        <w:tc>
          <w:tcPr>
            <w:tcW w:w="1213" w:type="dxa"/>
            <w:shd w:val="clear" w:color="auto" w:fill="D9D9D9"/>
            <w:noWrap/>
            <w:vAlign w:val="bottom"/>
            <w:hideMark/>
          </w:tcPr>
          <w:p w:rsidR="007E1E1E" w:rsidRDefault="007E1E1E" w:rsidP="00B50E5D">
            <w:pPr>
              <w:jc w:val="right"/>
              <w:rPr>
                <w:rFonts w:cs="Calibri"/>
                <w:vanish/>
                <w:szCs w:val="18"/>
              </w:rPr>
            </w:pPr>
            <w:r>
              <w:rPr>
                <w:rFonts w:cs="Calibri"/>
                <w:vanish/>
                <w:szCs w:val="18"/>
              </w:rPr>
              <w:t> </w:t>
            </w:r>
          </w:p>
        </w:tc>
      </w:tr>
      <w:tr w:rsidR="007E1E1E" w:rsidTr="00B50E5D">
        <w:trPr>
          <w:trHeight w:val="300"/>
          <w:hidden/>
        </w:trPr>
        <w:tc>
          <w:tcPr>
            <w:tcW w:w="6388" w:type="dxa"/>
            <w:tcBorders>
              <w:top w:val="nil"/>
              <w:left w:val="nil"/>
              <w:bottom w:val="single" w:sz="4" w:space="0" w:color="D9D9D9"/>
              <w:right w:val="nil"/>
            </w:tcBorders>
            <w:shd w:val="clear" w:color="auto" w:fill="D9D9D9"/>
            <w:noWrap/>
            <w:vAlign w:val="bottom"/>
            <w:hideMark/>
          </w:tcPr>
          <w:p w:rsidR="007E1E1E" w:rsidRDefault="007E1E1E" w:rsidP="007E1E1E">
            <w:pPr>
              <w:ind w:firstLineChars="100" w:firstLine="180"/>
              <w:rPr>
                <w:rFonts w:cs="Calibri"/>
                <w:vanish/>
                <w:szCs w:val="18"/>
              </w:rPr>
            </w:pPr>
            <w:r>
              <w:rPr>
                <w:rFonts w:cs="Calibri"/>
                <w:vanish/>
                <w:szCs w:val="18"/>
              </w:rPr>
              <w:t>Trade Recognitions Australia</w:t>
            </w:r>
            <w:r>
              <w:rPr>
                <w:rFonts w:cs="Calibri"/>
                <w:vanish/>
                <w:sz w:val="20"/>
                <w:vertAlign w:val="superscript"/>
              </w:rPr>
              <w:t>1</w:t>
            </w:r>
          </w:p>
        </w:tc>
        <w:tc>
          <w:tcPr>
            <w:tcW w:w="1213" w:type="dxa"/>
            <w:shd w:val="clear" w:color="auto" w:fill="D9D9D9"/>
            <w:noWrap/>
            <w:vAlign w:val="bottom"/>
            <w:hideMark/>
          </w:tcPr>
          <w:p w:rsidR="007E1E1E" w:rsidRDefault="007E1E1E" w:rsidP="00B50E5D">
            <w:pPr>
              <w:jc w:val="right"/>
              <w:rPr>
                <w:rFonts w:cs="Calibri"/>
                <w:b/>
                <w:bCs/>
                <w:vanish/>
                <w:szCs w:val="18"/>
              </w:rPr>
            </w:pPr>
            <w:r>
              <w:rPr>
                <w:rFonts w:cs="Calibri"/>
                <w:b/>
                <w:bCs/>
                <w:vanish/>
                <w:szCs w:val="18"/>
              </w:rPr>
              <w:t xml:space="preserve"> -</w:t>
            </w:r>
          </w:p>
        </w:tc>
        <w:tc>
          <w:tcPr>
            <w:tcW w:w="276" w:type="dxa"/>
            <w:tcBorders>
              <w:top w:val="nil"/>
              <w:left w:val="nil"/>
              <w:bottom w:val="single" w:sz="4" w:space="0" w:color="D9D9D9"/>
              <w:right w:val="nil"/>
            </w:tcBorders>
            <w:shd w:val="clear" w:color="auto" w:fill="D9D9D9"/>
            <w:noWrap/>
            <w:vAlign w:val="bottom"/>
            <w:hideMark/>
          </w:tcPr>
          <w:p w:rsidR="007E1E1E" w:rsidRDefault="007E1E1E" w:rsidP="00B50E5D">
            <w:pPr>
              <w:rPr>
                <w:rFonts w:ascii="Arial" w:hAnsi="Arial" w:cs="Arial"/>
                <w:vanish/>
                <w:sz w:val="16"/>
                <w:szCs w:val="16"/>
              </w:rPr>
            </w:pPr>
            <w:r>
              <w:rPr>
                <w:rFonts w:ascii="Arial" w:hAnsi="Arial" w:cs="Arial"/>
                <w:vanish/>
                <w:sz w:val="16"/>
                <w:szCs w:val="16"/>
              </w:rPr>
              <w:t> </w:t>
            </w:r>
          </w:p>
        </w:tc>
        <w:tc>
          <w:tcPr>
            <w:tcW w:w="1213" w:type="dxa"/>
            <w:shd w:val="clear" w:color="auto" w:fill="D9D9D9"/>
            <w:noWrap/>
            <w:vAlign w:val="bottom"/>
            <w:hideMark/>
          </w:tcPr>
          <w:p w:rsidR="007E1E1E" w:rsidRDefault="007E1E1E" w:rsidP="00B50E5D">
            <w:pPr>
              <w:jc w:val="right"/>
              <w:rPr>
                <w:rFonts w:cs="Calibri"/>
                <w:vanish/>
                <w:szCs w:val="18"/>
              </w:rPr>
            </w:pPr>
            <w:r>
              <w:rPr>
                <w:rFonts w:cs="Calibri"/>
                <w:vanish/>
                <w:szCs w:val="18"/>
              </w:rPr>
              <w:t xml:space="preserve">934 </w:t>
            </w:r>
          </w:p>
        </w:tc>
      </w:tr>
      <w:tr w:rsidR="007E1E1E" w:rsidTr="00B50E5D">
        <w:trPr>
          <w:trHeight w:val="270"/>
          <w:hidden/>
        </w:trPr>
        <w:tc>
          <w:tcPr>
            <w:tcW w:w="6388" w:type="dxa"/>
            <w:tcBorders>
              <w:top w:val="single" w:sz="4" w:space="0" w:color="D9D9D9"/>
              <w:left w:val="nil"/>
              <w:bottom w:val="single" w:sz="24" w:space="0" w:color="D8D8D8"/>
              <w:right w:val="nil"/>
            </w:tcBorders>
            <w:shd w:val="clear" w:color="auto" w:fill="D9D9D9"/>
            <w:vAlign w:val="bottom"/>
            <w:hideMark/>
          </w:tcPr>
          <w:p w:rsidR="007E1E1E" w:rsidRDefault="007E1E1E" w:rsidP="00B50E5D">
            <w:pPr>
              <w:rPr>
                <w:rFonts w:cs="Calibri"/>
                <w:b/>
                <w:bCs/>
                <w:i/>
                <w:iCs/>
                <w:vanish/>
                <w:szCs w:val="18"/>
              </w:rPr>
            </w:pPr>
            <w:r>
              <w:rPr>
                <w:rFonts w:cs="Calibri"/>
                <w:b/>
                <w:bCs/>
                <w:i/>
                <w:iCs/>
                <w:vanish/>
                <w:szCs w:val="18"/>
              </w:rPr>
              <w:t>Total receipts subject to cost recovery policy</w:t>
            </w:r>
          </w:p>
        </w:tc>
        <w:tc>
          <w:tcPr>
            <w:tcW w:w="1213" w:type="dxa"/>
            <w:tcBorders>
              <w:top w:val="single" w:sz="4" w:space="0" w:color="auto"/>
              <w:left w:val="nil"/>
              <w:bottom w:val="double" w:sz="6" w:space="0" w:color="auto"/>
              <w:right w:val="nil"/>
            </w:tcBorders>
            <w:shd w:val="clear" w:color="auto" w:fill="D9D9D9"/>
            <w:noWrap/>
            <w:vAlign w:val="bottom"/>
            <w:hideMark/>
          </w:tcPr>
          <w:p w:rsidR="007E1E1E" w:rsidRDefault="007E1E1E" w:rsidP="00B50E5D">
            <w:pPr>
              <w:jc w:val="right"/>
              <w:rPr>
                <w:rFonts w:cs="Calibri"/>
                <w:b/>
                <w:bCs/>
                <w:vanish/>
                <w:szCs w:val="18"/>
              </w:rPr>
            </w:pPr>
            <w:r>
              <w:rPr>
                <w:rFonts w:cs="Calibri"/>
                <w:b/>
                <w:bCs/>
                <w:vanish/>
                <w:szCs w:val="18"/>
              </w:rPr>
              <w:t>-</w:t>
            </w:r>
          </w:p>
        </w:tc>
        <w:tc>
          <w:tcPr>
            <w:tcW w:w="276" w:type="dxa"/>
            <w:tcBorders>
              <w:top w:val="single" w:sz="4" w:space="0" w:color="D9D9D9"/>
              <w:left w:val="nil"/>
              <w:bottom w:val="single" w:sz="24" w:space="0" w:color="D8D8D8"/>
              <w:right w:val="nil"/>
            </w:tcBorders>
            <w:shd w:val="clear" w:color="auto" w:fill="D9D9D9"/>
            <w:noWrap/>
            <w:vAlign w:val="bottom"/>
            <w:hideMark/>
          </w:tcPr>
          <w:p w:rsidR="007E1E1E" w:rsidRDefault="007E1E1E" w:rsidP="00B50E5D">
            <w:pPr>
              <w:rPr>
                <w:rFonts w:ascii="Arial" w:hAnsi="Arial" w:cs="Arial"/>
                <w:vanish/>
                <w:sz w:val="16"/>
                <w:szCs w:val="16"/>
              </w:rPr>
            </w:pPr>
            <w:r>
              <w:rPr>
                <w:rFonts w:ascii="Arial" w:hAnsi="Arial" w:cs="Arial"/>
                <w:vanish/>
                <w:sz w:val="16"/>
                <w:szCs w:val="16"/>
              </w:rPr>
              <w:t> </w:t>
            </w:r>
          </w:p>
        </w:tc>
        <w:tc>
          <w:tcPr>
            <w:tcW w:w="1213" w:type="dxa"/>
            <w:tcBorders>
              <w:top w:val="single" w:sz="4" w:space="0" w:color="auto"/>
              <w:left w:val="nil"/>
              <w:bottom w:val="double" w:sz="6" w:space="0" w:color="auto"/>
              <w:right w:val="nil"/>
            </w:tcBorders>
            <w:shd w:val="clear" w:color="auto" w:fill="D9D9D9"/>
            <w:noWrap/>
            <w:vAlign w:val="bottom"/>
            <w:hideMark/>
          </w:tcPr>
          <w:p w:rsidR="007E1E1E" w:rsidRDefault="007E1E1E" w:rsidP="00B50E5D">
            <w:pPr>
              <w:jc w:val="right"/>
              <w:rPr>
                <w:rFonts w:cs="Calibri"/>
                <w:vanish/>
                <w:szCs w:val="18"/>
              </w:rPr>
            </w:pPr>
            <w:r>
              <w:rPr>
                <w:rFonts w:cs="Calibri"/>
                <w:vanish/>
                <w:szCs w:val="18"/>
              </w:rPr>
              <w:t>934</w:t>
            </w:r>
          </w:p>
        </w:tc>
      </w:tr>
    </w:tbl>
    <w:p w:rsidR="007E1E1E" w:rsidRDefault="007E1E1E" w:rsidP="007E1E1E">
      <w:pPr>
        <w:spacing w:line="240" w:lineRule="auto"/>
        <w:rPr>
          <w:rFonts w:cs="Calibri"/>
          <w:b/>
          <w:bCs/>
          <w:szCs w:val="18"/>
          <w:u w:val="single"/>
        </w:rPr>
      </w:pPr>
    </w:p>
    <w:p w:rsidR="007E1E1E" w:rsidRDefault="007E1E1E" w:rsidP="007E1E1E">
      <w:pPr>
        <w:spacing w:line="240" w:lineRule="auto"/>
        <w:rPr>
          <w:rFonts w:cs="Calibri"/>
          <w:b/>
          <w:bCs/>
          <w:szCs w:val="18"/>
          <w:u w:val="single"/>
        </w:rPr>
      </w:pPr>
    </w:p>
    <w:p w:rsidR="007E1E1E" w:rsidRDefault="007E1E1E" w:rsidP="007E1E1E">
      <w:pPr>
        <w:spacing w:line="240" w:lineRule="auto"/>
        <w:rPr>
          <w:rFonts w:cs="Calibri"/>
          <w:b/>
          <w:bCs/>
          <w:szCs w:val="18"/>
          <w:u w:val="single"/>
        </w:rPr>
      </w:pPr>
    </w:p>
    <w:p w:rsidR="007E1E1E" w:rsidRDefault="007E1E1E" w:rsidP="007E1E1E">
      <w:pPr>
        <w:pStyle w:val="NotesHeading-Level1"/>
      </w:pPr>
      <w:bookmarkStart w:id="509" w:name="_Toc393867825"/>
      <w:bookmarkStart w:id="510" w:name="_Toc400713276"/>
      <w:r>
        <w:t>Cost Recovery</w:t>
      </w:r>
      <w:bookmarkEnd w:id="509"/>
      <w:r>
        <w:t xml:space="preserve"> Summary</w:t>
      </w:r>
      <w:bookmarkEnd w:id="510"/>
    </w:p>
    <w:tbl>
      <w:tblPr>
        <w:tblW w:w="9087" w:type="dxa"/>
        <w:tblInd w:w="80" w:type="dxa"/>
        <w:tblLayout w:type="fixed"/>
        <w:tblLook w:val="04A0" w:firstRow="1" w:lastRow="0" w:firstColumn="1" w:lastColumn="0" w:noHBand="0" w:noVBand="1"/>
      </w:tblPr>
      <w:tblGrid>
        <w:gridCol w:w="7879"/>
        <w:gridCol w:w="1208"/>
      </w:tblGrid>
      <w:tr w:rsidR="007E1E1E" w:rsidTr="00B50E5D">
        <w:trPr>
          <w:trHeight w:val="240"/>
        </w:trPr>
        <w:tc>
          <w:tcPr>
            <w:tcW w:w="7879" w:type="dxa"/>
            <w:tcBorders>
              <w:top w:val="nil"/>
              <w:left w:val="nil"/>
              <w:bottom w:val="nil"/>
              <w:right w:val="nil"/>
            </w:tcBorders>
            <w:shd w:val="clear" w:color="FFFFFF" w:fill="FFFFFF"/>
            <w:noWrap/>
            <w:vAlign w:val="bottom"/>
            <w:hideMark/>
          </w:tcPr>
          <w:p w:rsidR="007E1E1E" w:rsidRDefault="007E1E1E" w:rsidP="00B50E5D">
            <w:pPr>
              <w:rPr>
                <w:rFonts w:cs="Calibri"/>
                <w:sz w:val="16"/>
                <w:szCs w:val="16"/>
              </w:rPr>
            </w:pPr>
            <w:bookmarkStart w:id="511" w:name="Note_DCNTABLE1" w:colFirst="0" w:colLast="0"/>
            <w:r>
              <w:rPr>
                <w:rFonts w:cs="Calibri"/>
                <w:sz w:val="16"/>
                <w:szCs w:val="16"/>
              </w:rPr>
              <w:t> </w:t>
            </w:r>
          </w:p>
        </w:tc>
        <w:tc>
          <w:tcPr>
            <w:tcW w:w="1208"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2014</w:t>
            </w:r>
          </w:p>
        </w:tc>
      </w:tr>
      <w:bookmarkEnd w:id="511"/>
      <w:tr w:rsidR="007E1E1E" w:rsidTr="00B50E5D">
        <w:trPr>
          <w:trHeight w:val="240"/>
        </w:trPr>
        <w:tc>
          <w:tcPr>
            <w:tcW w:w="7879" w:type="dxa"/>
            <w:tcBorders>
              <w:top w:val="nil"/>
              <w:left w:val="nil"/>
              <w:bottom w:val="nil"/>
              <w:right w:val="nil"/>
            </w:tcBorders>
            <w:shd w:val="clear" w:color="FFFFFF" w:fill="FFFFFF"/>
            <w:noWrap/>
            <w:vAlign w:val="bottom"/>
            <w:hideMark/>
          </w:tcPr>
          <w:p w:rsidR="007E1E1E" w:rsidRDefault="007E1E1E" w:rsidP="00B50E5D">
            <w:pPr>
              <w:rPr>
                <w:rFonts w:cs="Calibri"/>
                <w:sz w:val="16"/>
                <w:szCs w:val="16"/>
              </w:rPr>
            </w:pPr>
            <w:r>
              <w:rPr>
                <w:rFonts w:cs="Calibri"/>
                <w:sz w:val="16"/>
                <w:szCs w:val="16"/>
              </w:rPr>
              <w:t> </w:t>
            </w:r>
          </w:p>
        </w:tc>
        <w:tc>
          <w:tcPr>
            <w:tcW w:w="1208"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225"/>
        </w:trPr>
        <w:tc>
          <w:tcPr>
            <w:tcW w:w="7879" w:type="dxa"/>
            <w:tcBorders>
              <w:top w:val="nil"/>
              <w:left w:val="nil"/>
              <w:bottom w:val="nil"/>
              <w:right w:val="nil"/>
            </w:tcBorders>
            <w:shd w:val="clear" w:color="FFFFFF" w:fill="FFFFFF"/>
            <w:noWrap/>
            <w:vAlign w:val="bottom"/>
            <w:hideMark/>
          </w:tcPr>
          <w:p w:rsidR="007E1E1E" w:rsidRDefault="007E1E1E" w:rsidP="00B50E5D">
            <w:pPr>
              <w:rPr>
                <w:rFonts w:cs="Calibri"/>
                <w:sz w:val="16"/>
                <w:szCs w:val="16"/>
              </w:rPr>
            </w:pPr>
            <w:r>
              <w:rPr>
                <w:rFonts w:cs="Calibri"/>
                <w:sz w:val="16"/>
                <w:szCs w:val="16"/>
              </w:rPr>
              <w:t> </w:t>
            </w:r>
          </w:p>
        </w:tc>
        <w:tc>
          <w:tcPr>
            <w:tcW w:w="1208" w:type="dxa"/>
            <w:tcBorders>
              <w:top w:val="nil"/>
              <w:left w:val="nil"/>
              <w:bottom w:val="nil"/>
              <w:right w:val="nil"/>
            </w:tcBorders>
            <w:shd w:val="clear" w:color="FFFFFF" w:fill="FFFFFF"/>
            <w:noWrap/>
            <w:vAlign w:val="bottom"/>
            <w:hideMark/>
          </w:tcPr>
          <w:p w:rsidR="007E1E1E" w:rsidRDefault="007E1E1E" w:rsidP="00B50E5D">
            <w:pPr>
              <w:rPr>
                <w:rFonts w:cs="Calibri"/>
                <w:sz w:val="16"/>
                <w:szCs w:val="16"/>
              </w:rPr>
            </w:pPr>
            <w:r>
              <w:rPr>
                <w:rFonts w:cs="Calibri"/>
                <w:sz w:val="16"/>
                <w:szCs w:val="16"/>
              </w:rPr>
              <w:t> </w:t>
            </w:r>
          </w:p>
        </w:tc>
      </w:tr>
      <w:tr w:rsidR="007E1E1E" w:rsidTr="00B50E5D">
        <w:trPr>
          <w:trHeight w:val="240"/>
        </w:trPr>
        <w:tc>
          <w:tcPr>
            <w:tcW w:w="7879" w:type="dxa"/>
            <w:tcBorders>
              <w:top w:val="nil"/>
              <w:left w:val="nil"/>
              <w:bottom w:val="nil"/>
              <w:right w:val="nil"/>
            </w:tcBorders>
            <w:shd w:val="clear" w:color="auto" w:fill="auto"/>
            <w:noWrap/>
            <w:vAlign w:val="bottom"/>
            <w:hideMark/>
          </w:tcPr>
          <w:p w:rsidR="007E1E1E" w:rsidRDefault="007E1E1E" w:rsidP="00B50E5D">
            <w:pPr>
              <w:rPr>
                <w:rFonts w:cs="Calibri"/>
                <w:b/>
                <w:bCs/>
                <w:color w:val="000000"/>
                <w:szCs w:val="18"/>
              </w:rPr>
            </w:pPr>
            <w:r>
              <w:rPr>
                <w:rFonts w:cs="Calibri"/>
                <w:b/>
                <w:bCs/>
                <w:color w:val="000000"/>
                <w:szCs w:val="18"/>
              </w:rPr>
              <w:t>Amounts applied</w:t>
            </w:r>
          </w:p>
        </w:tc>
        <w:tc>
          <w:tcPr>
            <w:tcW w:w="1208" w:type="dxa"/>
            <w:tcBorders>
              <w:top w:val="nil"/>
              <w:left w:val="nil"/>
              <w:bottom w:val="nil"/>
              <w:right w:val="nil"/>
            </w:tcBorders>
            <w:shd w:val="clear" w:color="auto" w:fill="auto"/>
            <w:noWrap/>
            <w:vAlign w:val="bottom"/>
            <w:hideMark/>
          </w:tcPr>
          <w:p w:rsidR="007E1E1E" w:rsidRDefault="007E1E1E" w:rsidP="00B50E5D">
            <w:pPr>
              <w:rPr>
                <w:rFonts w:cs="Calibri"/>
                <w:b/>
                <w:bCs/>
                <w:color w:val="000000"/>
                <w:szCs w:val="18"/>
              </w:rPr>
            </w:pPr>
          </w:p>
        </w:tc>
      </w:tr>
      <w:tr w:rsidR="007E1E1E" w:rsidTr="00B50E5D">
        <w:trPr>
          <w:trHeight w:val="255"/>
        </w:trPr>
        <w:tc>
          <w:tcPr>
            <w:tcW w:w="7879" w:type="dxa"/>
            <w:tcBorders>
              <w:top w:val="nil"/>
              <w:left w:val="nil"/>
              <w:bottom w:val="nil"/>
              <w:right w:val="nil"/>
            </w:tcBorders>
            <w:shd w:val="clear" w:color="auto" w:fill="auto"/>
            <w:noWrap/>
            <w:vAlign w:val="bottom"/>
            <w:hideMark/>
          </w:tcPr>
          <w:p w:rsidR="007E1E1E" w:rsidRDefault="007E1E1E" w:rsidP="007E1E1E">
            <w:pPr>
              <w:ind w:firstLineChars="100" w:firstLine="180"/>
              <w:rPr>
                <w:rFonts w:cs="Calibri"/>
                <w:color w:val="000000"/>
                <w:szCs w:val="18"/>
              </w:rPr>
            </w:pPr>
            <w:r>
              <w:rPr>
                <w:rFonts w:cs="Calibri"/>
                <w:color w:val="000000"/>
                <w:szCs w:val="18"/>
              </w:rPr>
              <w:t>Departmental</w:t>
            </w:r>
          </w:p>
        </w:tc>
        <w:tc>
          <w:tcPr>
            <w:tcW w:w="1208" w:type="dxa"/>
            <w:tcBorders>
              <w:top w:val="nil"/>
              <w:left w:val="nil"/>
              <w:bottom w:val="nil"/>
              <w:right w:val="nil"/>
            </w:tcBorders>
            <w:shd w:val="clear" w:color="auto" w:fill="auto"/>
            <w:noWrap/>
            <w:vAlign w:val="bottom"/>
            <w:hideMark/>
          </w:tcPr>
          <w:p w:rsidR="007E1E1E" w:rsidRDefault="007E1E1E" w:rsidP="00B50E5D">
            <w:pPr>
              <w:rPr>
                <w:rFonts w:cs="Calibri"/>
                <w:b/>
                <w:bCs/>
                <w:color w:val="000000"/>
                <w:szCs w:val="18"/>
              </w:rPr>
            </w:pPr>
          </w:p>
        </w:tc>
      </w:tr>
      <w:tr w:rsidR="007E1E1E" w:rsidTr="00B50E5D">
        <w:trPr>
          <w:trHeight w:val="255"/>
        </w:trPr>
        <w:tc>
          <w:tcPr>
            <w:tcW w:w="7879" w:type="dxa"/>
            <w:tcBorders>
              <w:top w:val="nil"/>
              <w:left w:val="nil"/>
              <w:bottom w:val="nil"/>
              <w:right w:val="nil"/>
            </w:tcBorders>
            <w:shd w:val="clear" w:color="auto" w:fill="auto"/>
            <w:noWrap/>
            <w:vAlign w:val="bottom"/>
            <w:hideMark/>
          </w:tcPr>
          <w:p w:rsidR="007E1E1E" w:rsidRDefault="007E1E1E" w:rsidP="007E1E1E">
            <w:pPr>
              <w:ind w:firstLineChars="200" w:firstLine="360"/>
              <w:rPr>
                <w:rFonts w:cs="Calibri"/>
                <w:color w:val="000000"/>
                <w:szCs w:val="18"/>
              </w:rPr>
            </w:pPr>
            <w:r>
              <w:rPr>
                <w:rFonts w:cs="Calibri"/>
                <w:color w:val="000000"/>
                <w:szCs w:val="18"/>
              </w:rPr>
              <w:t>Annual appropriations</w:t>
            </w:r>
          </w:p>
        </w:tc>
        <w:tc>
          <w:tcPr>
            <w:tcW w:w="1208" w:type="dxa"/>
            <w:tcBorders>
              <w:top w:val="nil"/>
              <w:left w:val="nil"/>
              <w:bottom w:val="nil"/>
              <w:right w:val="nil"/>
            </w:tcBorders>
            <w:shd w:val="clear" w:color="auto" w:fill="auto"/>
            <w:noWrap/>
            <w:vAlign w:val="bottom"/>
            <w:hideMark/>
          </w:tcPr>
          <w:p w:rsidR="007E1E1E" w:rsidRDefault="007E1E1E" w:rsidP="00B50E5D">
            <w:pPr>
              <w:jc w:val="right"/>
              <w:rPr>
                <w:rFonts w:cs="Calibri"/>
                <w:b/>
                <w:bCs/>
                <w:color w:val="000000"/>
                <w:szCs w:val="18"/>
              </w:rPr>
            </w:pPr>
            <w:r>
              <w:rPr>
                <w:rFonts w:cs="Calibri"/>
                <w:b/>
                <w:bCs/>
                <w:color w:val="000000"/>
                <w:szCs w:val="18"/>
              </w:rPr>
              <w:t xml:space="preserve">           1,191 </w:t>
            </w:r>
          </w:p>
        </w:tc>
      </w:tr>
      <w:tr w:rsidR="007E1E1E" w:rsidTr="00B50E5D">
        <w:trPr>
          <w:trHeight w:val="255"/>
        </w:trPr>
        <w:tc>
          <w:tcPr>
            <w:tcW w:w="7879" w:type="dxa"/>
            <w:tcBorders>
              <w:top w:val="nil"/>
              <w:left w:val="nil"/>
              <w:bottom w:val="nil"/>
              <w:right w:val="nil"/>
            </w:tcBorders>
            <w:shd w:val="clear" w:color="auto" w:fill="auto"/>
            <w:noWrap/>
            <w:vAlign w:val="bottom"/>
            <w:hideMark/>
          </w:tcPr>
          <w:p w:rsidR="007E1E1E" w:rsidRDefault="007E1E1E" w:rsidP="00B50E5D">
            <w:pPr>
              <w:rPr>
                <w:rFonts w:cs="Calibri"/>
                <w:b/>
                <w:bCs/>
                <w:color w:val="000000"/>
                <w:szCs w:val="18"/>
              </w:rPr>
            </w:pPr>
            <w:r>
              <w:rPr>
                <w:rFonts w:cs="Calibri"/>
                <w:b/>
                <w:bCs/>
                <w:color w:val="000000"/>
                <w:szCs w:val="18"/>
              </w:rPr>
              <w:t xml:space="preserve">Total amounts applied </w:t>
            </w:r>
          </w:p>
        </w:tc>
        <w:tc>
          <w:tcPr>
            <w:tcW w:w="1208" w:type="dxa"/>
            <w:tcBorders>
              <w:top w:val="single" w:sz="4" w:space="0" w:color="auto"/>
              <w:left w:val="nil"/>
              <w:bottom w:val="single" w:sz="4" w:space="0" w:color="auto"/>
              <w:right w:val="nil"/>
            </w:tcBorders>
            <w:shd w:val="clear" w:color="auto" w:fill="auto"/>
            <w:noWrap/>
            <w:vAlign w:val="bottom"/>
            <w:hideMark/>
          </w:tcPr>
          <w:p w:rsidR="007E1E1E" w:rsidRDefault="007E1E1E" w:rsidP="00B50E5D">
            <w:pPr>
              <w:jc w:val="right"/>
              <w:rPr>
                <w:rFonts w:cs="Calibri"/>
                <w:b/>
                <w:bCs/>
                <w:color w:val="000000"/>
                <w:szCs w:val="18"/>
              </w:rPr>
            </w:pPr>
            <w:r>
              <w:rPr>
                <w:rFonts w:cs="Calibri"/>
                <w:b/>
                <w:bCs/>
                <w:color w:val="000000"/>
                <w:szCs w:val="18"/>
              </w:rPr>
              <w:t xml:space="preserve">           1,191 </w:t>
            </w:r>
          </w:p>
        </w:tc>
      </w:tr>
      <w:tr w:rsidR="007E1E1E" w:rsidTr="00B50E5D">
        <w:trPr>
          <w:trHeight w:val="255"/>
        </w:trPr>
        <w:tc>
          <w:tcPr>
            <w:tcW w:w="7879" w:type="dxa"/>
            <w:tcBorders>
              <w:top w:val="nil"/>
              <w:left w:val="nil"/>
              <w:bottom w:val="nil"/>
              <w:right w:val="nil"/>
            </w:tcBorders>
            <w:shd w:val="clear" w:color="auto" w:fill="auto"/>
            <w:noWrap/>
            <w:vAlign w:val="bottom"/>
            <w:hideMark/>
          </w:tcPr>
          <w:p w:rsidR="007E1E1E" w:rsidRDefault="007E1E1E" w:rsidP="00B50E5D">
            <w:pPr>
              <w:rPr>
                <w:rFonts w:cs="Calibri"/>
                <w:color w:val="000000"/>
                <w:szCs w:val="18"/>
              </w:rPr>
            </w:pPr>
          </w:p>
        </w:tc>
        <w:tc>
          <w:tcPr>
            <w:tcW w:w="1208" w:type="dxa"/>
            <w:tcBorders>
              <w:top w:val="nil"/>
              <w:left w:val="nil"/>
              <w:bottom w:val="nil"/>
              <w:right w:val="nil"/>
            </w:tcBorders>
            <w:shd w:val="clear" w:color="auto" w:fill="auto"/>
            <w:noWrap/>
            <w:vAlign w:val="bottom"/>
            <w:hideMark/>
          </w:tcPr>
          <w:p w:rsidR="007E1E1E" w:rsidRDefault="007E1E1E" w:rsidP="00B50E5D">
            <w:pPr>
              <w:jc w:val="right"/>
              <w:rPr>
                <w:rFonts w:cs="Calibri"/>
                <w:b/>
                <w:bCs/>
                <w:color w:val="000000"/>
                <w:szCs w:val="18"/>
              </w:rPr>
            </w:pPr>
          </w:p>
        </w:tc>
      </w:tr>
      <w:tr w:rsidR="007E1E1E" w:rsidTr="00B50E5D">
        <w:trPr>
          <w:trHeight w:val="255"/>
        </w:trPr>
        <w:tc>
          <w:tcPr>
            <w:tcW w:w="7879" w:type="dxa"/>
            <w:tcBorders>
              <w:top w:val="nil"/>
              <w:left w:val="nil"/>
              <w:bottom w:val="nil"/>
              <w:right w:val="nil"/>
            </w:tcBorders>
            <w:shd w:val="clear" w:color="auto" w:fill="auto"/>
            <w:noWrap/>
            <w:vAlign w:val="bottom"/>
            <w:hideMark/>
          </w:tcPr>
          <w:p w:rsidR="007E1E1E" w:rsidRDefault="007E1E1E" w:rsidP="00B50E5D">
            <w:pPr>
              <w:rPr>
                <w:rFonts w:cs="Calibri"/>
                <w:b/>
                <w:bCs/>
                <w:color w:val="000000"/>
                <w:szCs w:val="18"/>
              </w:rPr>
            </w:pPr>
            <w:r>
              <w:rPr>
                <w:rFonts w:cs="Calibri"/>
                <w:b/>
                <w:bCs/>
                <w:color w:val="000000"/>
                <w:szCs w:val="18"/>
              </w:rPr>
              <w:t>Expenses</w:t>
            </w:r>
          </w:p>
        </w:tc>
        <w:tc>
          <w:tcPr>
            <w:tcW w:w="1208" w:type="dxa"/>
            <w:tcBorders>
              <w:top w:val="nil"/>
              <w:left w:val="nil"/>
              <w:bottom w:val="nil"/>
              <w:right w:val="nil"/>
            </w:tcBorders>
            <w:shd w:val="clear" w:color="auto" w:fill="auto"/>
            <w:noWrap/>
            <w:vAlign w:val="bottom"/>
            <w:hideMark/>
          </w:tcPr>
          <w:p w:rsidR="007E1E1E" w:rsidRDefault="007E1E1E" w:rsidP="00B50E5D">
            <w:pPr>
              <w:jc w:val="right"/>
              <w:rPr>
                <w:rFonts w:cs="Calibri"/>
                <w:b/>
                <w:bCs/>
                <w:color w:val="000000"/>
                <w:szCs w:val="18"/>
              </w:rPr>
            </w:pPr>
          </w:p>
        </w:tc>
      </w:tr>
      <w:tr w:rsidR="007E1E1E" w:rsidTr="00B50E5D">
        <w:trPr>
          <w:trHeight w:val="255"/>
        </w:trPr>
        <w:tc>
          <w:tcPr>
            <w:tcW w:w="7879" w:type="dxa"/>
            <w:tcBorders>
              <w:top w:val="nil"/>
              <w:left w:val="nil"/>
              <w:bottom w:val="nil"/>
              <w:right w:val="nil"/>
            </w:tcBorders>
            <w:shd w:val="clear" w:color="auto" w:fill="auto"/>
            <w:noWrap/>
            <w:vAlign w:val="bottom"/>
            <w:hideMark/>
          </w:tcPr>
          <w:p w:rsidR="007E1E1E" w:rsidRDefault="007E1E1E" w:rsidP="00B50E5D">
            <w:pPr>
              <w:rPr>
                <w:rFonts w:cs="Calibri"/>
                <w:color w:val="000000"/>
                <w:szCs w:val="18"/>
              </w:rPr>
            </w:pPr>
            <w:r>
              <w:rPr>
                <w:rFonts w:cs="Calibri"/>
                <w:color w:val="000000"/>
                <w:szCs w:val="18"/>
              </w:rPr>
              <w:t xml:space="preserve">    Departmental</w:t>
            </w:r>
          </w:p>
        </w:tc>
        <w:tc>
          <w:tcPr>
            <w:tcW w:w="1208" w:type="dxa"/>
            <w:tcBorders>
              <w:top w:val="nil"/>
              <w:left w:val="nil"/>
              <w:bottom w:val="single" w:sz="4" w:space="0" w:color="auto"/>
              <w:right w:val="nil"/>
            </w:tcBorders>
            <w:shd w:val="clear" w:color="auto" w:fill="auto"/>
            <w:noWrap/>
            <w:vAlign w:val="bottom"/>
            <w:hideMark/>
          </w:tcPr>
          <w:p w:rsidR="007E1E1E" w:rsidRDefault="007E1E1E" w:rsidP="00B50E5D">
            <w:pPr>
              <w:jc w:val="right"/>
              <w:rPr>
                <w:rFonts w:cs="Calibri"/>
                <w:b/>
                <w:bCs/>
                <w:color w:val="000000"/>
                <w:szCs w:val="18"/>
              </w:rPr>
            </w:pPr>
            <w:r>
              <w:rPr>
                <w:rFonts w:cs="Calibri"/>
                <w:b/>
                <w:bCs/>
                <w:color w:val="000000"/>
                <w:szCs w:val="18"/>
              </w:rPr>
              <w:t xml:space="preserve">           1,191 </w:t>
            </w:r>
          </w:p>
        </w:tc>
      </w:tr>
      <w:tr w:rsidR="007E1E1E" w:rsidTr="00B50E5D">
        <w:trPr>
          <w:trHeight w:val="255"/>
        </w:trPr>
        <w:tc>
          <w:tcPr>
            <w:tcW w:w="7879" w:type="dxa"/>
            <w:tcBorders>
              <w:top w:val="nil"/>
              <w:left w:val="nil"/>
              <w:bottom w:val="nil"/>
              <w:right w:val="nil"/>
            </w:tcBorders>
            <w:shd w:val="clear" w:color="auto" w:fill="auto"/>
            <w:noWrap/>
            <w:vAlign w:val="bottom"/>
          </w:tcPr>
          <w:p w:rsidR="007E1E1E" w:rsidRDefault="007E1E1E" w:rsidP="00B50E5D">
            <w:pPr>
              <w:rPr>
                <w:rFonts w:cs="Calibri"/>
                <w:color w:val="000000"/>
                <w:szCs w:val="18"/>
              </w:rPr>
            </w:pPr>
            <w:r>
              <w:rPr>
                <w:rFonts w:cs="Calibri"/>
                <w:b/>
                <w:bCs/>
                <w:color w:val="000000"/>
                <w:szCs w:val="18"/>
              </w:rPr>
              <w:t>Total expenses</w:t>
            </w:r>
          </w:p>
        </w:tc>
        <w:tc>
          <w:tcPr>
            <w:tcW w:w="1208" w:type="dxa"/>
            <w:tcBorders>
              <w:top w:val="single" w:sz="4" w:space="0" w:color="auto"/>
              <w:left w:val="nil"/>
              <w:bottom w:val="single" w:sz="4" w:space="0" w:color="auto"/>
              <w:right w:val="nil"/>
            </w:tcBorders>
            <w:shd w:val="clear" w:color="auto" w:fill="auto"/>
            <w:noWrap/>
            <w:vAlign w:val="bottom"/>
          </w:tcPr>
          <w:p w:rsidR="007E1E1E" w:rsidRDefault="007E1E1E" w:rsidP="00B50E5D">
            <w:pPr>
              <w:jc w:val="right"/>
              <w:rPr>
                <w:rFonts w:cs="Calibri"/>
                <w:b/>
                <w:bCs/>
                <w:color w:val="000000"/>
                <w:szCs w:val="18"/>
              </w:rPr>
            </w:pPr>
            <w:r>
              <w:rPr>
                <w:rFonts w:cs="Calibri"/>
                <w:b/>
                <w:bCs/>
                <w:color w:val="000000"/>
                <w:szCs w:val="18"/>
              </w:rPr>
              <w:t xml:space="preserve">           1,191 </w:t>
            </w:r>
          </w:p>
        </w:tc>
      </w:tr>
      <w:tr w:rsidR="007E1E1E" w:rsidTr="00B50E5D">
        <w:trPr>
          <w:trHeight w:val="255"/>
        </w:trPr>
        <w:tc>
          <w:tcPr>
            <w:tcW w:w="7879" w:type="dxa"/>
            <w:tcBorders>
              <w:top w:val="nil"/>
              <w:left w:val="nil"/>
              <w:bottom w:val="nil"/>
              <w:right w:val="nil"/>
            </w:tcBorders>
            <w:shd w:val="clear" w:color="auto" w:fill="auto"/>
            <w:noWrap/>
            <w:vAlign w:val="bottom"/>
          </w:tcPr>
          <w:p w:rsidR="007E1E1E" w:rsidRDefault="007E1E1E" w:rsidP="00B50E5D">
            <w:pPr>
              <w:rPr>
                <w:rFonts w:cs="Calibri"/>
                <w:b/>
                <w:bCs/>
                <w:color w:val="000000"/>
                <w:szCs w:val="18"/>
              </w:rPr>
            </w:pPr>
          </w:p>
        </w:tc>
        <w:tc>
          <w:tcPr>
            <w:tcW w:w="1208" w:type="dxa"/>
            <w:tcBorders>
              <w:top w:val="single" w:sz="4" w:space="0" w:color="auto"/>
              <w:left w:val="nil"/>
              <w:right w:val="nil"/>
            </w:tcBorders>
            <w:shd w:val="clear" w:color="auto" w:fill="auto"/>
            <w:noWrap/>
            <w:vAlign w:val="bottom"/>
          </w:tcPr>
          <w:p w:rsidR="007E1E1E" w:rsidRDefault="007E1E1E" w:rsidP="00B50E5D">
            <w:pPr>
              <w:jc w:val="right"/>
              <w:rPr>
                <w:rFonts w:cs="Calibri"/>
                <w:b/>
                <w:bCs/>
                <w:color w:val="000000"/>
                <w:szCs w:val="18"/>
              </w:rPr>
            </w:pPr>
          </w:p>
        </w:tc>
      </w:tr>
      <w:tr w:rsidR="007E1E1E" w:rsidRPr="00E82012" w:rsidTr="00B50E5D">
        <w:trPr>
          <w:trHeight w:val="255"/>
        </w:trPr>
        <w:tc>
          <w:tcPr>
            <w:tcW w:w="7879" w:type="dxa"/>
            <w:tcBorders>
              <w:top w:val="nil"/>
              <w:left w:val="nil"/>
              <w:bottom w:val="nil"/>
              <w:right w:val="nil"/>
            </w:tcBorders>
            <w:shd w:val="clear" w:color="auto" w:fill="BFBFBF" w:themeFill="background1" w:themeFillShade="BF"/>
            <w:noWrap/>
            <w:vAlign w:val="bottom"/>
          </w:tcPr>
          <w:p w:rsidR="007E1E1E" w:rsidRPr="00E82012" w:rsidRDefault="007E1E1E" w:rsidP="00B50E5D">
            <w:pPr>
              <w:spacing w:line="240" w:lineRule="auto"/>
              <w:rPr>
                <w:rFonts w:cs="Calibri"/>
                <w:b/>
                <w:szCs w:val="18"/>
              </w:rPr>
            </w:pPr>
            <w:r w:rsidRPr="00E82012">
              <w:rPr>
                <w:rFonts w:cs="Calibri"/>
                <w:b/>
                <w:szCs w:val="18"/>
              </w:rPr>
              <w:t>Revenue</w:t>
            </w:r>
          </w:p>
        </w:tc>
        <w:tc>
          <w:tcPr>
            <w:tcW w:w="1208" w:type="dxa"/>
            <w:tcBorders>
              <w:left w:val="nil"/>
              <w:right w:val="nil"/>
            </w:tcBorders>
            <w:shd w:val="clear" w:color="auto" w:fill="BFBFBF" w:themeFill="background1" w:themeFillShade="BF"/>
            <w:noWrap/>
            <w:vAlign w:val="bottom"/>
          </w:tcPr>
          <w:p w:rsidR="007E1E1E" w:rsidRPr="00E82012" w:rsidRDefault="007E1E1E" w:rsidP="00B50E5D">
            <w:pPr>
              <w:spacing w:line="240" w:lineRule="auto"/>
              <w:jc w:val="right"/>
              <w:rPr>
                <w:rFonts w:cs="Calibri"/>
                <w:b/>
                <w:szCs w:val="18"/>
              </w:rPr>
            </w:pPr>
            <w:r w:rsidRPr="00E82012">
              <w:rPr>
                <w:rFonts w:cs="Calibri"/>
                <w:b/>
                <w:szCs w:val="18"/>
              </w:rPr>
              <w:t> </w:t>
            </w:r>
          </w:p>
        </w:tc>
      </w:tr>
      <w:tr w:rsidR="007E1E1E" w:rsidRPr="00E82012" w:rsidTr="00B50E5D">
        <w:trPr>
          <w:trHeight w:val="255"/>
        </w:trPr>
        <w:tc>
          <w:tcPr>
            <w:tcW w:w="7879" w:type="dxa"/>
            <w:tcBorders>
              <w:top w:val="nil"/>
              <w:left w:val="nil"/>
              <w:bottom w:val="nil"/>
              <w:right w:val="nil"/>
            </w:tcBorders>
            <w:shd w:val="clear" w:color="auto" w:fill="BFBFBF" w:themeFill="background1" w:themeFillShade="BF"/>
            <w:noWrap/>
            <w:vAlign w:val="bottom"/>
          </w:tcPr>
          <w:p w:rsidR="007E1E1E" w:rsidRPr="00E82012" w:rsidRDefault="007E1E1E" w:rsidP="00B50E5D">
            <w:pPr>
              <w:spacing w:line="240" w:lineRule="auto"/>
              <w:rPr>
                <w:rFonts w:cs="Calibri"/>
                <w:szCs w:val="18"/>
              </w:rPr>
            </w:pPr>
            <w:r>
              <w:rPr>
                <w:rFonts w:cs="Calibri"/>
                <w:szCs w:val="18"/>
              </w:rPr>
              <w:t xml:space="preserve">    </w:t>
            </w:r>
            <w:r w:rsidRPr="00E82012">
              <w:rPr>
                <w:rFonts w:cs="Calibri"/>
                <w:szCs w:val="18"/>
              </w:rPr>
              <w:t>Administered</w:t>
            </w:r>
          </w:p>
        </w:tc>
        <w:tc>
          <w:tcPr>
            <w:tcW w:w="1208" w:type="dxa"/>
            <w:tcBorders>
              <w:left w:val="nil"/>
              <w:bottom w:val="single" w:sz="4" w:space="0" w:color="auto"/>
              <w:right w:val="nil"/>
            </w:tcBorders>
            <w:shd w:val="clear" w:color="auto" w:fill="BFBFBF" w:themeFill="background1" w:themeFillShade="BF"/>
            <w:noWrap/>
            <w:vAlign w:val="bottom"/>
          </w:tcPr>
          <w:p w:rsidR="007E1E1E" w:rsidRPr="00E82012" w:rsidRDefault="007E1E1E" w:rsidP="00B50E5D">
            <w:pPr>
              <w:spacing w:line="240" w:lineRule="auto"/>
              <w:jc w:val="right"/>
              <w:rPr>
                <w:rFonts w:cs="Calibri"/>
                <w:b/>
                <w:szCs w:val="18"/>
              </w:rPr>
            </w:pPr>
            <w:r w:rsidRPr="00E82012">
              <w:rPr>
                <w:rFonts w:cs="Calibri"/>
                <w:b/>
                <w:szCs w:val="18"/>
              </w:rPr>
              <w:t xml:space="preserve">           6,224 </w:t>
            </w:r>
          </w:p>
        </w:tc>
      </w:tr>
      <w:tr w:rsidR="007E1E1E" w:rsidRPr="00E82012" w:rsidTr="00B50E5D">
        <w:trPr>
          <w:trHeight w:val="255"/>
        </w:trPr>
        <w:tc>
          <w:tcPr>
            <w:tcW w:w="7879" w:type="dxa"/>
            <w:tcBorders>
              <w:top w:val="nil"/>
              <w:left w:val="nil"/>
              <w:bottom w:val="nil"/>
              <w:right w:val="nil"/>
            </w:tcBorders>
            <w:shd w:val="clear" w:color="auto" w:fill="BFBFBF" w:themeFill="background1" w:themeFillShade="BF"/>
            <w:noWrap/>
            <w:vAlign w:val="bottom"/>
          </w:tcPr>
          <w:p w:rsidR="007E1E1E" w:rsidRPr="00E82012" w:rsidRDefault="007E1E1E" w:rsidP="00B50E5D">
            <w:pPr>
              <w:spacing w:line="240" w:lineRule="auto"/>
              <w:rPr>
                <w:rFonts w:cs="Calibri"/>
                <w:b/>
                <w:szCs w:val="18"/>
              </w:rPr>
            </w:pPr>
            <w:r w:rsidRPr="00E82012">
              <w:rPr>
                <w:rFonts w:cs="Calibri"/>
                <w:b/>
                <w:szCs w:val="18"/>
              </w:rPr>
              <w:t xml:space="preserve">Total revenue </w:t>
            </w:r>
          </w:p>
        </w:tc>
        <w:tc>
          <w:tcPr>
            <w:tcW w:w="1208" w:type="dxa"/>
            <w:tcBorders>
              <w:top w:val="single" w:sz="4" w:space="0" w:color="auto"/>
              <w:left w:val="nil"/>
              <w:bottom w:val="single" w:sz="4" w:space="0" w:color="auto"/>
              <w:right w:val="nil"/>
            </w:tcBorders>
            <w:shd w:val="clear" w:color="auto" w:fill="BFBFBF" w:themeFill="background1" w:themeFillShade="BF"/>
            <w:noWrap/>
            <w:vAlign w:val="bottom"/>
          </w:tcPr>
          <w:p w:rsidR="007E1E1E" w:rsidRPr="00E82012" w:rsidRDefault="007E1E1E" w:rsidP="00B50E5D">
            <w:pPr>
              <w:spacing w:line="240" w:lineRule="auto"/>
              <w:jc w:val="right"/>
              <w:rPr>
                <w:rFonts w:cs="Calibri"/>
                <w:b/>
                <w:szCs w:val="18"/>
              </w:rPr>
            </w:pPr>
            <w:r w:rsidRPr="00E82012">
              <w:rPr>
                <w:rFonts w:cs="Calibri"/>
                <w:b/>
                <w:szCs w:val="18"/>
              </w:rPr>
              <w:t xml:space="preserve">           6,224 </w:t>
            </w:r>
          </w:p>
        </w:tc>
      </w:tr>
      <w:tr w:rsidR="007E1E1E" w:rsidRPr="00E82012" w:rsidTr="00B50E5D">
        <w:trPr>
          <w:trHeight w:val="255"/>
        </w:trPr>
        <w:tc>
          <w:tcPr>
            <w:tcW w:w="7879" w:type="dxa"/>
            <w:tcBorders>
              <w:top w:val="nil"/>
              <w:left w:val="nil"/>
              <w:bottom w:val="nil"/>
              <w:right w:val="nil"/>
            </w:tcBorders>
            <w:shd w:val="clear" w:color="auto" w:fill="BFBFBF" w:themeFill="background1" w:themeFillShade="BF"/>
            <w:noWrap/>
            <w:vAlign w:val="bottom"/>
          </w:tcPr>
          <w:p w:rsidR="007E1E1E" w:rsidRPr="00E82012" w:rsidRDefault="007E1E1E" w:rsidP="00B50E5D">
            <w:pPr>
              <w:spacing w:line="240" w:lineRule="auto"/>
              <w:rPr>
                <w:rFonts w:cs="Calibri"/>
                <w:szCs w:val="18"/>
              </w:rPr>
            </w:pPr>
            <w:r w:rsidRPr="00E82012">
              <w:rPr>
                <w:rFonts w:cs="Calibri"/>
                <w:szCs w:val="18"/>
              </w:rPr>
              <w:t> </w:t>
            </w:r>
          </w:p>
        </w:tc>
        <w:tc>
          <w:tcPr>
            <w:tcW w:w="1208" w:type="dxa"/>
            <w:tcBorders>
              <w:top w:val="single" w:sz="4" w:space="0" w:color="auto"/>
              <w:left w:val="nil"/>
              <w:right w:val="nil"/>
            </w:tcBorders>
            <w:shd w:val="clear" w:color="auto" w:fill="BFBFBF" w:themeFill="background1" w:themeFillShade="BF"/>
            <w:noWrap/>
            <w:vAlign w:val="bottom"/>
          </w:tcPr>
          <w:p w:rsidR="007E1E1E" w:rsidRPr="00E82012" w:rsidRDefault="007E1E1E" w:rsidP="00B50E5D">
            <w:pPr>
              <w:spacing w:line="240" w:lineRule="auto"/>
              <w:jc w:val="right"/>
              <w:rPr>
                <w:rFonts w:cs="Calibri"/>
                <w:b/>
                <w:szCs w:val="18"/>
              </w:rPr>
            </w:pPr>
            <w:r w:rsidRPr="00E82012">
              <w:rPr>
                <w:rFonts w:cs="Calibri"/>
                <w:b/>
                <w:szCs w:val="18"/>
              </w:rPr>
              <w:t> </w:t>
            </w:r>
          </w:p>
        </w:tc>
      </w:tr>
      <w:tr w:rsidR="007E1E1E" w:rsidRPr="00E82012" w:rsidTr="00B50E5D">
        <w:trPr>
          <w:trHeight w:val="255"/>
        </w:trPr>
        <w:tc>
          <w:tcPr>
            <w:tcW w:w="7879" w:type="dxa"/>
            <w:tcBorders>
              <w:top w:val="nil"/>
              <w:left w:val="nil"/>
              <w:bottom w:val="nil"/>
              <w:right w:val="nil"/>
            </w:tcBorders>
            <w:shd w:val="clear" w:color="auto" w:fill="BFBFBF" w:themeFill="background1" w:themeFillShade="BF"/>
            <w:noWrap/>
            <w:vAlign w:val="bottom"/>
          </w:tcPr>
          <w:p w:rsidR="007E1E1E" w:rsidRPr="00E82012" w:rsidRDefault="007E1E1E" w:rsidP="00B50E5D">
            <w:pPr>
              <w:spacing w:line="240" w:lineRule="auto"/>
              <w:rPr>
                <w:rFonts w:cs="Calibri"/>
                <w:b/>
                <w:szCs w:val="18"/>
              </w:rPr>
            </w:pPr>
            <w:r w:rsidRPr="00E82012">
              <w:rPr>
                <w:rFonts w:cs="Calibri"/>
                <w:b/>
                <w:szCs w:val="18"/>
              </w:rPr>
              <w:t>Receivables</w:t>
            </w:r>
          </w:p>
        </w:tc>
        <w:tc>
          <w:tcPr>
            <w:tcW w:w="1208" w:type="dxa"/>
            <w:tcBorders>
              <w:left w:val="nil"/>
              <w:right w:val="nil"/>
            </w:tcBorders>
            <w:shd w:val="clear" w:color="auto" w:fill="BFBFBF" w:themeFill="background1" w:themeFillShade="BF"/>
            <w:noWrap/>
            <w:vAlign w:val="bottom"/>
          </w:tcPr>
          <w:p w:rsidR="007E1E1E" w:rsidRPr="00E82012" w:rsidRDefault="007E1E1E" w:rsidP="00B50E5D">
            <w:pPr>
              <w:spacing w:line="240" w:lineRule="auto"/>
              <w:jc w:val="right"/>
              <w:rPr>
                <w:rFonts w:cs="Calibri"/>
                <w:b/>
                <w:szCs w:val="18"/>
              </w:rPr>
            </w:pPr>
            <w:r w:rsidRPr="00E82012">
              <w:rPr>
                <w:rFonts w:cs="Calibri"/>
                <w:b/>
                <w:szCs w:val="18"/>
              </w:rPr>
              <w:t> </w:t>
            </w:r>
          </w:p>
        </w:tc>
      </w:tr>
      <w:tr w:rsidR="007E1E1E" w:rsidRPr="00E82012" w:rsidTr="00B50E5D">
        <w:trPr>
          <w:trHeight w:val="255"/>
        </w:trPr>
        <w:tc>
          <w:tcPr>
            <w:tcW w:w="7879" w:type="dxa"/>
            <w:tcBorders>
              <w:top w:val="nil"/>
              <w:left w:val="nil"/>
              <w:bottom w:val="nil"/>
              <w:right w:val="nil"/>
            </w:tcBorders>
            <w:shd w:val="clear" w:color="auto" w:fill="BFBFBF" w:themeFill="background1" w:themeFillShade="BF"/>
            <w:noWrap/>
            <w:vAlign w:val="bottom"/>
          </w:tcPr>
          <w:p w:rsidR="007E1E1E" w:rsidRPr="00E82012" w:rsidRDefault="007E1E1E" w:rsidP="00B50E5D">
            <w:pPr>
              <w:spacing w:line="240" w:lineRule="auto"/>
              <w:rPr>
                <w:rFonts w:cs="Calibri"/>
                <w:szCs w:val="18"/>
              </w:rPr>
            </w:pPr>
            <w:r w:rsidRPr="00E82012">
              <w:rPr>
                <w:rFonts w:cs="Calibri"/>
                <w:szCs w:val="18"/>
              </w:rPr>
              <w:t>Not overdue</w:t>
            </w:r>
          </w:p>
        </w:tc>
        <w:tc>
          <w:tcPr>
            <w:tcW w:w="1208" w:type="dxa"/>
            <w:tcBorders>
              <w:left w:val="nil"/>
              <w:right w:val="nil"/>
            </w:tcBorders>
            <w:shd w:val="clear" w:color="auto" w:fill="BFBFBF" w:themeFill="background1" w:themeFillShade="BF"/>
            <w:noWrap/>
            <w:vAlign w:val="bottom"/>
          </w:tcPr>
          <w:p w:rsidR="007E1E1E" w:rsidRPr="00E82012" w:rsidRDefault="007E1E1E" w:rsidP="00B50E5D">
            <w:pPr>
              <w:spacing w:line="240" w:lineRule="auto"/>
              <w:jc w:val="right"/>
              <w:rPr>
                <w:rFonts w:cs="Calibri"/>
                <w:b/>
                <w:szCs w:val="18"/>
              </w:rPr>
            </w:pPr>
            <w:r w:rsidRPr="00E82012">
              <w:rPr>
                <w:rFonts w:cs="Calibri"/>
                <w:b/>
                <w:szCs w:val="18"/>
              </w:rPr>
              <w:t xml:space="preserve">                15 </w:t>
            </w:r>
          </w:p>
        </w:tc>
      </w:tr>
      <w:tr w:rsidR="007E1E1E" w:rsidRPr="00E82012" w:rsidTr="00B50E5D">
        <w:trPr>
          <w:trHeight w:val="255"/>
        </w:trPr>
        <w:tc>
          <w:tcPr>
            <w:tcW w:w="7879" w:type="dxa"/>
            <w:tcBorders>
              <w:top w:val="nil"/>
              <w:left w:val="nil"/>
              <w:bottom w:val="nil"/>
              <w:right w:val="nil"/>
            </w:tcBorders>
            <w:shd w:val="clear" w:color="auto" w:fill="BFBFBF" w:themeFill="background1" w:themeFillShade="BF"/>
            <w:noWrap/>
            <w:vAlign w:val="bottom"/>
          </w:tcPr>
          <w:p w:rsidR="007E1E1E" w:rsidRPr="00E82012" w:rsidRDefault="007E1E1E" w:rsidP="00B50E5D">
            <w:pPr>
              <w:spacing w:line="240" w:lineRule="auto"/>
              <w:rPr>
                <w:rFonts w:cs="Calibri"/>
                <w:szCs w:val="18"/>
              </w:rPr>
            </w:pPr>
            <w:r w:rsidRPr="00E82012">
              <w:rPr>
                <w:rFonts w:cs="Calibri"/>
                <w:szCs w:val="18"/>
              </w:rPr>
              <w:t>Overdue by</w:t>
            </w:r>
          </w:p>
        </w:tc>
        <w:tc>
          <w:tcPr>
            <w:tcW w:w="1208" w:type="dxa"/>
            <w:tcBorders>
              <w:left w:val="nil"/>
              <w:right w:val="nil"/>
            </w:tcBorders>
            <w:shd w:val="clear" w:color="auto" w:fill="BFBFBF" w:themeFill="background1" w:themeFillShade="BF"/>
            <w:noWrap/>
            <w:vAlign w:val="bottom"/>
          </w:tcPr>
          <w:p w:rsidR="007E1E1E" w:rsidRPr="00E82012" w:rsidRDefault="007E1E1E" w:rsidP="00B50E5D">
            <w:pPr>
              <w:spacing w:line="240" w:lineRule="auto"/>
              <w:jc w:val="right"/>
              <w:rPr>
                <w:rFonts w:cs="Calibri"/>
                <w:b/>
                <w:szCs w:val="18"/>
              </w:rPr>
            </w:pPr>
            <w:r w:rsidRPr="00E82012">
              <w:rPr>
                <w:rFonts w:cs="Calibri"/>
                <w:b/>
                <w:szCs w:val="18"/>
              </w:rPr>
              <w:t> </w:t>
            </w:r>
          </w:p>
        </w:tc>
      </w:tr>
      <w:tr w:rsidR="007E1E1E" w:rsidRPr="00E82012" w:rsidTr="00B50E5D">
        <w:trPr>
          <w:trHeight w:val="255"/>
        </w:trPr>
        <w:tc>
          <w:tcPr>
            <w:tcW w:w="7879" w:type="dxa"/>
            <w:tcBorders>
              <w:top w:val="nil"/>
              <w:left w:val="nil"/>
              <w:bottom w:val="nil"/>
              <w:right w:val="nil"/>
            </w:tcBorders>
            <w:shd w:val="clear" w:color="auto" w:fill="BFBFBF" w:themeFill="background1" w:themeFillShade="BF"/>
            <w:noWrap/>
            <w:vAlign w:val="bottom"/>
          </w:tcPr>
          <w:p w:rsidR="007E1E1E" w:rsidRPr="00E82012" w:rsidRDefault="007E1E1E" w:rsidP="00B50E5D">
            <w:pPr>
              <w:spacing w:line="240" w:lineRule="auto"/>
              <w:rPr>
                <w:rFonts w:cs="Calibri"/>
                <w:szCs w:val="18"/>
              </w:rPr>
            </w:pPr>
            <w:r w:rsidRPr="00E82012">
              <w:rPr>
                <w:rFonts w:cs="Calibri"/>
                <w:szCs w:val="18"/>
              </w:rPr>
              <w:t xml:space="preserve">     0 to 30 days</w:t>
            </w:r>
          </w:p>
        </w:tc>
        <w:tc>
          <w:tcPr>
            <w:tcW w:w="1208" w:type="dxa"/>
            <w:tcBorders>
              <w:left w:val="nil"/>
              <w:right w:val="nil"/>
            </w:tcBorders>
            <w:shd w:val="clear" w:color="auto" w:fill="BFBFBF" w:themeFill="background1" w:themeFillShade="BF"/>
            <w:noWrap/>
            <w:vAlign w:val="bottom"/>
          </w:tcPr>
          <w:p w:rsidR="007E1E1E" w:rsidRPr="00E82012" w:rsidRDefault="007E1E1E" w:rsidP="00B50E5D">
            <w:pPr>
              <w:spacing w:line="240" w:lineRule="auto"/>
              <w:jc w:val="right"/>
              <w:rPr>
                <w:rFonts w:cs="Calibri"/>
                <w:b/>
                <w:szCs w:val="18"/>
              </w:rPr>
            </w:pPr>
            <w:r w:rsidRPr="00E82012">
              <w:rPr>
                <w:rFonts w:cs="Calibri"/>
                <w:b/>
                <w:szCs w:val="18"/>
              </w:rPr>
              <w:t xml:space="preserve">                  8 </w:t>
            </w:r>
          </w:p>
        </w:tc>
      </w:tr>
      <w:tr w:rsidR="007E1E1E" w:rsidRPr="00E82012" w:rsidTr="00B50E5D">
        <w:trPr>
          <w:trHeight w:val="255"/>
        </w:trPr>
        <w:tc>
          <w:tcPr>
            <w:tcW w:w="7879" w:type="dxa"/>
            <w:tcBorders>
              <w:top w:val="nil"/>
              <w:left w:val="nil"/>
              <w:bottom w:val="nil"/>
              <w:right w:val="nil"/>
            </w:tcBorders>
            <w:shd w:val="clear" w:color="auto" w:fill="BFBFBF" w:themeFill="background1" w:themeFillShade="BF"/>
            <w:noWrap/>
            <w:vAlign w:val="bottom"/>
          </w:tcPr>
          <w:p w:rsidR="007E1E1E" w:rsidRPr="00E82012" w:rsidRDefault="007E1E1E" w:rsidP="00B50E5D">
            <w:pPr>
              <w:spacing w:line="240" w:lineRule="auto"/>
              <w:rPr>
                <w:rFonts w:cs="Calibri"/>
                <w:szCs w:val="18"/>
              </w:rPr>
            </w:pPr>
            <w:r w:rsidRPr="00E82012">
              <w:rPr>
                <w:rFonts w:cs="Calibri"/>
                <w:szCs w:val="18"/>
              </w:rPr>
              <w:t xml:space="preserve">     31 to 60 days</w:t>
            </w:r>
          </w:p>
        </w:tc>
        <w:tc>
          <w:tcPr>
            <w:tcW w:w="1208" w:type="dxa"/>
            <w:tcBorders>
              <w:left w:val="nil"/>
              <w:right w:val="nil"/>
            </w:tcBorders>
            <w:shd w:val="clear" w:color="auto" w:fill="BFBFBF" w:themeFill="background1" w:themeFillShade="BF"/>
            <w:noWrap/>
            <w:vAlign w:val="bottom"/>
          </w:tcPr>
          <w:p w:rsidR="007E1E1E" w:rsidRPr="00E82012" w:rsidRDefault="007E1E1E" w:rsidP="00B50E5D">
            <w:pPr>
              <w:spacing w:line="240" w:lineRule="auto"/>
              <w:jc w:val="right"/>
              <w:rPr>
                <w:rFonts w:cs="Calibri"/>
                <w:b/>
                <w:szCs w:val="18"/>
              </w:rPr>
            </w:pPr>
            <w:r w:rsidRPr="00E82012">
              <w:rPr>
                <w:rFonts w:cs="Calibri"/>
                <w:b/>
                <w:szCs w:val="18"/>
              </w:rPr>
              <w:t xml:space="preserve">                -   </w:t>
            </w:r>
          </w:p>
        </w:tc>
      </w:tr>
      <w:tr w:rsidR="007E1E1E" w:rsidRPr="00E82012" w:rsidTr="00B50E5D">
        <w:trPr>
          <w:trHeight w:val="255"/>
        </w:trPr>
        <w:tc>
          <w:tcPr>
            <w:tcW w:w="7879" w:type="dxa"/>
            <w:tcBorders>
              <w:top w:val="nil"/>
              <w:left w:val="nil"/>
              <w:bottom w:val="nil"/>
              <w:right w:val="nil"/>
            </w:tcBorders>
            <w:shd w:val="clear" w:color="auto" w:fill="BFBFBF" w:themeFill="background1" w:themeFillShade="BF"/>
            <w:noWrap/>
            <w:vAlign w:val="bottom"/>
          </w:tcPr>
          <w:p w:rsidR="007E1E1E" w:rsidRPr="00E82012" w:rsidRDefault="007E1E1E" w:rsidP="00B50E5D">
            <w:pPr>
              <w:spacing w:line="240" w:lineRule="auto"/>
              <w:rPr>
                <w:rFonts w:cs="Calibri"/>
                <w:szCs w:val="18"/>
              </w:rPr>
            </w:pPr>
            <w:r w:rsidRPr="00E82012">
              <w:rPr>
                <w:rFonts w:cs="Calibri"/>
                <w:szCs w:val="18"/>
              </w:rPr>
              <w:t xml:space="preserve">     61 to 90 days</w:t>
            </w:r>
          </w:p>
        </w:tc>
        <w:tc>
          <w:tcPr>
            <w:tcW w:w="1208" w:type="dxa"/>
            <w:tcBorders>
              <w:left w:val="nil"/>
              <w:right w:val="nil"/>
            </w:tcBorders>
            <w:shd w:val="clear" w:color="auto" w:fill="BFBFBF" w:themeFill="background1" w:themeFillShade="BF"/>
            <w:noWrap/>
            <w:vAlign w:val="bottom"/>
          </w:tcPr>
          <w:p w:rsidR="007E1E1E" w:rsidRPr="00E82012" w:rsidRDefault="007E1E1E" w:rsidP="00B50E5D">
            <w:pPr>
              <w:spacing w:line="240" w:lineRule="auto"/>
              <w:jc w:val="right"/>
              <w:rPr>
                <w:rFonts w:cs="Calibri"/>
                <w:b/>
                <w:szCs w:val="18"/>
              </w:rPr>
            </w:pPr>
            <w:r w:rsidRPr="00E82012">
              <w:rPr>
                <w:rFonts w:cs="Calibri"/>
                <w:b/>
                <w:szCs w:val="18"/>
              </w:rPr>
              <w:t xml:space="preserve">                -   </w:t>
            </w:r>
          </w:p>
        </w:tc>
      </w:tr>
      <w:tr w:rsidR="007E1E1E" w:rsidRPr="00E82012" w:rsidTr="00B50E5D">
        <w:trPr>
          <w:trHeight w:val="255"/>
        </w:trPr>
        <w:tc>
          <w:tcPr>
            <w:tcW w:w="7879" w:type="dxa"/>
            <w:tcBorders>
              <w:top w:val="nil"/>
              <w:left w:val="nil"/>
              <w:bottom w:val="nil"/>
              <w:right w:val="nil"/>
            </w:tcBorders>
            <w:shd w:val="clear" w:color="auto" w:fill="BFBFBF" w:themeFill="background1" w:themeFillShade="BF"/>
            <w:noWrap/>
            <w:vAlign w:val="bottom"/>
          </w:tcPr>
          <w:p w:rsidR="007E1E1E" w:rsidRPr="00E82012" w:rsidRDefault="007E1E1E" w:rsidP="00B50E5D">
            <w:pPr>
              <w:spacing w:line="240" w:lineRule="auto"/>
              <w:rPr>
                <w:rFonts w:cs="Calibri"/>
                <w:szCs w:val="18"/>
              </w:rPr>
            </w:pPr>
            <w:r w:rsidRPr="00E82012">
              <w:rPr>
                <w:rFonts w:cs="Calibri"/>
                <w:szCs w:val="18"/>
              </w:rPr>
              <w:t xml:space="preserve">     More than 90 days</w:t>
            </w:r>
          </w:p>
        </w:tc>
        <w:tc>
          <w:tcPr>
            <w:tcW w:w="1208" w:type="dxa"/>
            <w:tcBorders>
              <w:left w:val="nil"/>
              <w:bottom w:val="single" w:sz="4" w:space="0" w:color="auto"/>
              <w:right w:val="nil"/>
            </w:tcBorders>
            <w:shd w:val="clear" w:color="auto" w:fill="BFBFBF" w:themeFill="background1" w:themeFillShade="BF"/>
            <w:noWrap/>
            <w:vAlign w:val="bottom"/>
          </w:tcPr>
          <w:p w:rsidR="007E1E1E" w:rsidRPr="00E82012" w:rsidRDefault="007E1E1E" w:rsidP="00B50E5D">
            <w:pPr>
              <w:spacing w:line="240" w:lineRule="auto"/>
              <w:jc w:val="right"/>
              <w:rPr>
                <w:rFonts w:cs="Calibri"/>
                <w:b/>
                <w:szCs w:val="18"/>
              </w:rPr>
            </w:pPr>
            <w:r w:rsidRPr="00E82012">
              <w:rPr>
                <w:rFonts w:cs="Calibri"/>
                <w:b/>
                <w:szCs w:val="18"/>
              </w:rPr>
              <w:t xml:space="preserve">                58 </w:t>
            </w:r>
          </w:p>
        </w:tc>
      </w:tr>
      <w:tr w:rsidR="007E1E1E" w:rsidRPr="00E82012" w:rsidTr="00B50E5D">
        <w:trPr>
          <w:trHeight w:val="255"/>
        </w:trPr>
        <w:tc>
          <w:tcPr>
            <w:tcW w:w="7879" w:type="dxa"/>
            <w:tcBorders>
              <w:top w:val="nil"/>
              <w:left w:val="nil"/>
              <w:bottom w:val="nil"/>
              <w:right w:val="nil"/>
            </w:tcBorders>
            <w:shd w:val="clear" w:color="auto" w:fill="BFBFBF" w:themeFill="background1" w:themeFillShade="BF"/>
            <w:noWrap/>
            <w:vAlign w:val="bottom"/>
          </w:tcPr>
          <w:p w:rsidR="007E1E1E" w:rsidRPr="00E82012" w:rsidRDefault="007E1E1E" w:rsidP="00B50E5D">
            <w:pPr>
              <w:spacing w:line="240" w:lineRule="auto"/>
              <w:rPr>
                <w:rFonts w:cs="Calibri"/>
                <w:b/>
                <w:szCs w:val="18"/>
              </w:rPr>
            </w:pPr>
            <w:r w:rsidRPr="00E82012">
              <w:rPr>
                <w:rFonts w:cs="Calibri"/>
                <w:b/>
                <w:szCs w:val="18"/>
              </w:rPr>
              <w:t>Total receivables</w:t>
            </w:r>
          </w:p>
        </w:tc>
        <w:tc>
          <w:tcPr>
            <w:tcW w:w="1208" w:type="dxa"/>
            <w:tcBorders>
              <w:top w:val="single" w:sz="4" w:space="0" w:color="auto"/>
              <w:left w:val="nil"/>
              <w:bottom w:val="single" w:sz="4" w:space="0" w:color="auto"/>
              <w:right w:val="nil"/>
            </w:tcBorders>
            <w:shd w:val="clear" w:color="auto" w:fill="BFBFBF" w:themeFill="background1" w:themeFillShade="BF"/>
            <w:noWrap/>
            <w:vAlign w:val="bottom"/>
          </w:tcPr>
          <w:p w:rsidR="007E1E1E" w:rsidRPr="00E82012" w:rsidRDefault="007E1E1E" w:rsidP="00B50E5D">
            <w:pPr>
              <w:spacing w:line="240" w:lineRule="auto"/>
              <w:jc w:val="right"/>
              <w:rPr>
                <w:rFonts w:cs="Calibri"/>
                <w:b/>
                <w:szCs w:val="18"/>
              </w:rPr>
            </w:pPr>
            <w:r w:rsidRPr="00E82012">
              <w:rPr>
                <w:rFonts w:cs="Calibri"/>
                <w:b/>
                <w:szCs w:val="18"/>
              </w:rPr>
              <w:t xml:space="preserve">                80 </w:t>
            </w:r>
          </w:p>
        </w:tc>
      </w:tr>
    </w:tbl>
    <w:p w:rsidR="007E1E1E" w:rsidRPr="00181836" w:rsidRDefault="007E1E1E" w:rsidP="007E1E1E">
      <w:pPr>
        <w:rPr>
          <w:b/>
        </w:rPr>
      </w:pPr>
      <w:r>
        <w:rPr>
          <w:b/>
        </w:rPr>
        <w:tab/>
      </w:r>
    </w:p>
    <w:p w:rsidR="007E1E1E" w:rsidRDefault="007E1E1E" w:rsidP="007E1E1E">
      <w:pPr>
        <w:spacing w:line="240" w:lineRule="auto"/>
      </w:pPr>
      <w:r w:rsidRPr="00FA007B">
        <w:t>Cost recovered activities:</w:t>
      </w:r>
    </w:p>
    <w:p w:rsidR="007E1E1E" w:rsidRDefault="007E1E1E" w:rsidP="007E1E1E">
      <w:pPr>
        <w:spacing w:line="240" w:lineRule="auto"/>
      </w:pPr>
    </w:p>
    <w:p w:rsidR="007E1E1E" w:rsidRPr="008C5B68" w:rsidRDefault="007E1E1E" w:rsidP="007E1E1E">
      <w:pPr>
        <w:spacing w:line="240" w:lineRule="auto"/>
        <w:rPr>
          <w:szCs w:val="18"/>
        </w:rPr>
      </w:pPr>
      <w:r w:rsidRPr="008C5B68">
        <w:rPr>
          <w:szCs w:val="18"/>
        </w:rPr>
        <w:t xml:space="preserve">The Commonwealth recovers the costs of administering its functions under the </w:t>
      </w:r>
      <w:r w:rsidRPr="008C5B68">
        <w:rPr>
          <w:i/>
          <w:szCs w:val="18"/>
        </w:rPr>
        <w:t>Education Services for Overseas Students Act 2000</w:t>
      </w:r>
      <w:r w:rsidRPr="008C5B68">
        <w:rPr>
          <w:szCs w:val="18"/>
        </w:rPr>
        <w:t xml:space="preserve"> (the </w:t>
      </w:r>
      <w:proofErr w:type="spellStart"/>
      <w:r w:rsidRPr="008C5B68">
        <w:rPr>
          <w:szCs w:val="18"/>
        </w:rPr>
        <w:t>ESOS</w:t>
      </w:r>
      <w:proofErr w:type="spellEnd"/>
      <w:r w:rsidRPr="008C5B68">
        <w:rPr>
          <w:szCs w:val="18"/>
        </w:rPr>
        <w:t xml:space="preserve"> Act) and the National Code of Practice for Providers of Education and Training to Overseas Students (National Code) through compulsory registration fees charged to all providers wishing to be registered on the Commonwealth Register of Institutions and Courses for Overseas Students (</w:t>
      </w:r>
      <w:proofErr w:type="spellStart"/>
      <w:r w:rsidRPr="008C5B68">
        <w:rPr>
          <w:szCs w:val="18"/>
        </w:rPr>
        <w:t>CRICOS</w:t>
      </w:r>
      <w:proofErr w:type="spellEnd"/>
      <w:r w:rsidRPr="008C5B68">
        <w:rPr>
          <w:szCs w:val="18"/>
        </w:rPr>
        <w:t xml:space="preserve">), which allows them to offer courses to overseas students.  </w:t>
      </w:r>
    </w:p>
    <w:p w:rsidR="007E1E1E" w:rsidRPr="008C5B68" w:rsidRDefault="007E1E1E" w:rsidP="007E1E1E">
      <w:pPr>
        <w:spacing w:line="240" w:lineRule="auto"/>
        <w:rPr>
          <w:szCs w:val="18"/>
        </w:rPr>
      </w:pPr>
    </w:p>
    <w:p w:rsidR="007E1E1E" w:rsidRPr="008C5B68" w:rsidRDefault="007E1E1E" w:rsidP="007E1E1E">
      <w:pPr>
        <w:spacing w:line="240" w:lineRule="auto"/>
        <w:rPr>
          <w:szCs w:val="18"/>
        </w:rPr>
      </w:pPr>
      <w:r w:rsidRPr="008C5B68">
        <w:rPr>
          <w:szCs w:val="18"/>
        </w:rPr>
        <w:t>The following entities are involved in the delivery of these activities:  Department of Education, Australian Skills Quality Authority and the Tertiary Education Quality and Standards Agency. The Commonwealth also recovers the cost of administering the functions of the Overseas Students Ombudsma</w:t>
      </w:r>
      <w:r>
        <w:rPr>
          <w:szCs w:val="18"/>
        </w:rPr>
        <w:t>n under the Ombudsman Act 1976.</w:t>
      </w:r>
      <w:r w:rsidRPr="008C5B68">
        <w:rPr>
          <w:szCs w:val="18"/>
        </w:rPr>
        <w:t xml:space="preserve"> This function transferred from the Department of Industry as part of the Administrative Arrangement Orders of the 18 September 2013.</w:t>
      </w:r>
    </w:p>
    <w:p w:rsidR="007E1E1E" w:rsidRPr="008C5B68" w:rsidRDefault="007E1E1E" w:rsidP="007E1E1E">
      <w:pPr>
        <w:spacing w:line="240" w:lineRule="auto"/>
        <w:rPr>
          <w:szCs w:val="18"/>
        </w:rPr>
      </w:pPr>
    </w:p>
    <w:p w:rsidR="007E1E1E" w:rsidRPr="008C5B68" w:rsidRDefault="007E1E1E" w:rsidP="007E1E1E">
      <w:pPr>
        <w:spacing w:line="240" w:lineRule="auto"/>
        <w:rPr>
          <w:szCs w:val="18"/>
        </w:rPr>
      </w:pPr>
      <w:r w:rsidRPr="008C5B68">
        <w:rPr>
          <w:szCs w:val="18"/>
        </w:rPr>
        <w:t>Documentation (Cost Recovery Impact Statement) for the above activity is available at www.education.gov.au.</w:t>
      </w:r>
    </w:p>
    <w:p w:rsidR="007E1E1E" w:rsidRDefault="007E1E1E" w:rsidP="007E1E1E"/>
    <w:p w:rsidR="007E1E1E" w:rsidRDefault="007E1E1E" w:rsidP="007E1E1E"/>
    <w:p w:rsidR="007E1E1E" w:rsidRDefault="007E1E1E" w:rsidP="007E1E1E"/>
    <w:p w:rsidR="007E1E1E" w:rsidRDefault="007E1E1E" w:rsidP="007E1E1E"/>
    <w:p w:rsidR="007E1E1E" w:rsidRDefault="007E1E1E" w:rsidP="007E1E1E"/>
    <w:p w:rsidR="007E1E1E" w:rsidRDefault="007E1E1E" w:rsidP="007E1E1E"/>
    <w:p w:rsidR="007E1E1E" w:rsidRDefault="007E1E1E" w:rsidP="007E1E1E"/>
    <w:p w:rsidR="007E1E1E" w:rsidRDefault="007E1E1E" w:rsidP="007E1E1E"/>
    <w:p w:rsidR="007E1E1E" w:rsidRDefault="007E1E1E" w:rsidP="007E1E1E"/>
    <w:p w:rsidR="007E1E1E" w:rsidRDefault="007E1E1E" w:rsidP="007E1E1E"/>
    <w:p w:rsidR="007E1E1E" w:rsidRDefault="007E1E1E" w:rsidP="007E1E1E"/>
    <w:p w:rsidR="007E1E1E" w:rsidRDefault="007E1E1E" w:rsidP="007E1E1E"/>
    <w:p w:rsidR="007E1E1E" w:rsidRDefault="007E1E1E" w:rsidP="007E1E1E">
      <w:pPr>
        <w:pStyle w:val="NotesHeading-Level1"/>
        <w:rPr>
          <w:rFonts w:cstheme="minorHAnsi"/>
        </w:rPr>
      </w:pPr>
      <w:bookmarkStart w:id="512" w:name="_Toc400713277"/>
      <w:r>
        <w:rPr>
          <w:rFonts w:cstheme="minorHAnsi"/>
        </w:rPr>
        <w:lastRenderedPageBreak/>
        <w:t>Net Cash Appropriation Arrangements</w:t>
      </w:r>
      <w:bookmarkEnd w:id="512"/>
    </w:p>
    <w:tbl>
      <w:tblPr>
        <w:tblW w:w="9087" w:type="dxa"/>
        <w:tblInd w:w="80" w:type="dxa"/>
        <w:tblLayout w:type="fixed"/>
        <w:tblLook w:val="04A0" w:firstRow="1" w:lastRow="0" w:firstColumn="1" w:lastColumn="0" w:noHBand="0" w:noVBand="1"/>
      </w:tblPr>
      <w:tblGrid>
        <w:gridCol w:w="7863"/>
        <w:gridCol w:w="1224"/>
      </w:tblGrid>
      <w:tr w:rsidR="007E1E1E" w:rsidTr="00B50E5D">
        <w:trPr>
          <w:trHeight w:val="240"/>
        </w:trPr>
        <w:tc>
          <w:tcPr>
            <w:tcW w:w="6656" w:type="dxa"/>
            <w:tcBorders>
              <w:top w:val="nil"/>
              <w:left w:val="nil"/>
              <w:bottom w:val="nil"/>
              <w:right w:val="nil"/>
            </w:tcBorders>
            <w:shd w:val="clear" w:color="FFFFFF" w:fill="FFFFFF"/>
            <w:noWrap/>
            <w:vAlign w:val="bottom"/>
            <w:hideMark/>
          </w:tcPr>
          <w:p w:rsidR="007E1E1E" w:rsidRDefault="007E1E1E" w:rsidP="00B50E5D">
            <w:pPr>
              <w:rPr>
                <w:rFonts w:ascii="Arial" w:hAnsi="Arial" w:cs="Arial"/>
                <w:szCs w:val="18"/>
              </w:rPr>
            </w:pPr>
            <w:bookmarkStart w:id="513" w:name="Note_NCATABLE1" w:colFirst="0" w:colLast="0"/>
            <w:r>
              <w:rPr>
                <w:rFonts w:ascii="Arial" w:hAnsi="Arial" w:cs="Arial"/>
                <w:szCs w:val="18"/>
              </w:rPr>
              <w:t> </w:t>
            </w:r>
          </w:p>
        </w:tc>
        <w:tc>
          <w:tcPr>
            <w:tcW w:w="103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2014</w:t>
            </w:r>
          </w:p>
        </w:tc>
      </w:tr>
      <w:bookmarkEnd w:id="513"/>
      <w:tr w:rsidR="007E1E1E" w:rsidTr="00B50E5D">
        <w:trPr>
          <w:trHeight w:val="240"/>
        </w:trPr>
        <w:tc>
          <w:tcPr>
            <w:tcW w:w="6656" w:type="dxa"/>
            <w:tcBorders>
              <w:top w:val="nil"/>
              <w:left w:val="nil"/>
              <w:bottom w:val="nil"/>
              <w:right w:val="nil"/>
            </w:tcBorders>
            <w:shd w:val="clear" w:color="FFFFFF" w:fill="FFFFFF"/>
            <w:noWrap/>
            <w:vAlign w:val="bottom"/>
            <w:hideMark/>
          </w:tcPr>
          <w:p w:rsidR="007E1E1E" w:rsidRDefault="007E1E1E" w:rsidP="00B50E5D">
            <w:pPr>
              <w:rPr>
                <w:rFonts w:cs="Calibri"/>
                <w:szCs w:val="18"/>
              </w:rPr>
            </w:pPr>
            <w:r>
              <w:rPr>
                <w:rFonts w:cs="Calibri"/>
                <w:szCs w:val="18"/>
              </w:rPr>
              <w:t> </w:t>
            </w:r>
          </w:p>
        </w:tc>
        <w:tc>
          <w:tcPr>
            <w:tcW w:w="1036" w:type="dxa"/>
            <w:tcBorders>
              <w:top w:val="nil"/>
              <w:left w:val="nil"/>
              <w:bottom w:val="nil"/>
              <w:right w:val="nil"/>
            </w:tcBorders>
            <w:shd w:val="clear" w:color="FFFFFF" w:fill="FFFFFF"/>
            <w:vAlign w:val="bottom"/>
            <w:hideMark/>
          </w:tcPr>
          <w:p w:rsidR="007E1E1E" w:rsidRDefault="007E1E1E" w:rsidP="00B50E5D">
            <w:pPr>
              <w:jc w:val="right"/>
              <w:rPr>
                <w:rFonts w:cs="Calibri"/>
                <w:b/>
                <w:bCs/>
                <w:szCs w:val="18"/>
              </w:rPr>
            </w:pPr>
            <w:r>
              <w:rPr>
                <w:rFonts w:cs="Calibri"/>
                <w:b/>
                <w:bCs/>
                <w:szCs w:val="18"/>
              </w:rPr>
              <w:t>$'000</w:t>
            </w:r>
          </w:p>
        </w:tc>
      </w:tr>
      <w:tr w:rsidR="007E1E1E" w:rsidTr="00B50E5D">
        <w:trPr>
          <w:trHeight w:val="510"/>
        </w:trPr>
        <w:tc>
          <w:tcPr>
            <w:tcW w:w="665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 xml:space="preserve">Total comprehensive income (loss) less depreciation/amortisation expenses previously funded through revenue </w:t>
            </w:r>
            <w:proofErr w:type="spellStart"/>
            <w:r>
              <w:rPr>
                <w:rFonts w:cs="Calibri"/>
                <w:b/>
                <w:bCs/>
                <w:i/>
                <w:iCs/>
                <w:szCs w:val="18"/>
              </w:rPr>
              <w:t>appropriations</w:t>
            </w:r>
            <w:r>
              <w:rPr>
                <w:rFonts w:ascii="Arial" w:hAnsi="Arial" w:cs="Arial"/>
                <w:b/>
                <w:bCs/>
                <w:szCs w:val="18"/>
                <w:vertAlign w:val="superscript"/>
              </w:rPr>
              <w:t>1</w:t>
            </w:r>
            <w:proofErr w:type="spellEnd"/>
          </w:p>
        </w:tc>
        <w:tc>
          <w:tcPr>
            <w:tcW w:w="10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(1,797)</w:t>
            </w:r>
          </w:p>
        </w:tc>
      </w:tr>
      <w:tr w:rsidR="007E1E1E" w:rsidTr="00B50E5D">
        <w:trPr>
          <w:trHeight w:val="480"/>
        </w:trPr>
        <w:tc>
          <w:tcPr>
            <w:tcW w:w="6656" w:type="dxa"/>
            <w:tcBorders>
              <w:top w:val="nil"/>
              <w:left w:val="nil"/>
              <w:bottom w:val="nil"/>
              <w:right w:val="nil"/>
            </w:tcBorders>
            <w:shd w:val="clear" w:color="FFFFFF" w:fill="FFFFFF"/>
            <w:vAlign w:val="bottom"/>
            <w:hideMark/>
          </w:tcPr>
          <w:p w:rsidR="007E1E1E" w:rsidRDefault="007E1E1E" w:rsidP="00B50E5D">
            <w:pPr>
              <w:rPr>
                <w:rFonts w:cs="Calibri"/>
                <w:szCs w:val="18"/>
              </w:rPr>
            </w:pPr>
            <w:r>
              <w:rPr>
                <w:rFonts w:cs="Calibri"/>
                <w:szCs w:val="18"/>
              </w:rPr>
              <w:t>Plus: depreciation/amortisation expenses previously funded through revenue appropriation</w:t>
            </w:r>
          </w:p>
        </w:tc>
        <w:tc>
          <w:tcPr>
            <w:tcW w:w="1036" w:type="dxa"/>
            <w:tcBorders>
              <w:top w:val="nil"/>
              <w:left w:val="nil"/>
              <w:bottom w:val="nil"/>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(20,308)</w:t>
            </w:r>
          </w:p>
        </w:tc>
      </w:tr>
      <w:tr w:rsidR="007E1E1E" w:rsidTr="00B50E5D">
        <w:trPr>
          <w:trHeight w:val="270"/>
        </w:trPr>
        <w:tc>
          <w:tcPr>
            <w:tcW w:w="6656" w:type="dxa"/>
            <w:tcBorders>
              <w:top w:val="nil"/>
              <w:left w:val="nil"/>
              <w:bottom w:val="nil"/>
              <w:right w:val="nil"/>
            </w:tcBorders>
            <w:shd w:val="clear" w:color="FFFFFF" w:fill="FFFFFF"/>
            <w:vAlign w:val="bottom"/>
            <w:hideMark/>
          </w:tcPr>
          <w:p w:rsidR="007E1E1E" w:rsidRDefault="007E1E1E" w:rsidP="00B50E5D">
            <w:pPr>
              <w:rPr>
                <w:rFonts w:cs="Calibri"/>
                <w:b/>
                <w:bCs/>
                <w:i/>
                <w:iCs/>
                <w:szCs w:val="18"/>
              </w:rPr>
            </w:pPr>
            <w:r>
              <w:rPr>
                <w:rFonts w:cs="Calibri"/>
                <w:b/>
                <w:bCs/>
                <w:i/>
                <w:iCs/>
                <w:szCs w:val="18"/>
              </w:rPr>
              <w:t>Total comprehensive income (loss) - as per the Statement of Comprehensive Income</w:t>
            </w:r>
          </w:p>
        </w:tc>
        <w:tc>
          <w:tcPr>
            <w:tcW w:w="1036" w:type="dxa"/>
            <w:tcBorders>
              <w:top w:val="single" w:sz="4" w:space="0" w:color="auto"/>
              <w:left w:val="nil"/>
              <w:bottom w:val="double" w:sz="6" w:space="0" w:color="auto"/>
              <w:right w:val="nil"/>
            </w:tcBorders>
            <w:shd w:val="clear" w:color="FFFFFF" w:fill="FFFFFF"/>
            <w:noWrap/>
            <w:vAlign w:val="bottom"/>
            <w:hideMark/>
          </w:tcPr>
          <w:p w:rsidR="007E1E1E" w:rsidRDefault="007E1E1E" w:rsidP="00B50E5D">
            <w:pPr>
              <w:jc w:val="right"/>
              <w:rPr>
                <w:rFonts w:cs="Calibri"/>
                <w:b/>
                <w:bCs/>
                <w:szCs w:val="18"/>
              </w:rPr>
            </w:pPr>
            <w:r>
              <w:rPr>
                <w:rFonts w:cs="Calibri"/>
                <w:b/>
                <w:bCs/>
                <w:szCs w:val="18"/>
              </w:rPr>
              <w:t>(22,105)</w:t>
            </w:r>
          </w:p>
        </w:tc>
      </w:tr>
    </w:tbl>
    <w:p w:rsidR="007E1E1E" w:rsidRDefault="007E1E1E" w:rsidP="007E1E1E">
      <w:bookmarkStart w:id="514" w:name="RANGE!D7:D11"/>
      <w:bookmarkStart w:id="515" w:name="RANGE!D6:D11"/>
      <w:bookmarkEnd w:id="514"/>
      <w:bookmarkEnd w:id="515"/>
    </w:p>
    <w:p w:rsidR="007E1E1E" w:rsidRDefault="007E1E1E" w:rsidP="007E1E1E">
      <w:pPr>
        <w:pStyle w:val="AdminBlankGreyShade"/>
      </w:pPr>
      <w:r w:rsidRPr="00073531">
        <w:rPr>
          <w:vertAlign w:val="superscript"/>
        </w:rPr>
        <w:t>1</w:t>
      </w:r>
      <w:r>
        <w:t xml:space="preserve"> From 2010–11, the Government introduced net cash appropriation arrangements, where revenue appropriations for depreciation/amortisation expenses ceased. Entities now receive a separate capital budget provided through equity appropriations. Capital budgets are to be appropriated in the period when cash payment for capital expenditure is required.</w:t>
      </w:r>
    </w:p>
    <w:p w:rsidR="007E1E1E" w:rsidRDefault="007E1E1E" w:rsidP="007E1E1E">
      <w:pPr>
        <w:spacing w:line="240" w:lineRule="auto"/>
        <w:rPr>
          <w:rFonts w:asciiTheme="minorHAnsi" w:hAnsiTheme="minorHAnsi" w:cs="Arial"/>
          <w:szCs w:val="18"/>
          <w:lang w:eastAsia="en-AU"/>
        </w:rPr>
      </w:pPr>
    </w:p>
    <w:p w:rsidR="007E1E1E" w:rsidRDefault="007E1E1E" w:rsidP="007E1E1E">
      <w:pPr>
        <w:pStyle w:val="NotesHeading-Level1"/>
        <w:rPr>
          <w:rFonts w:cstheme="minorHAnsi"/>
        </w:rPr>
      </w:pPr>
      <w:bookmarkStart w:id="516" w:name="_Toc400707085"/>
      <w:bookmarkStart w:id="517" w:name="_Toc400713278"/>
      <w:r w:rsidRPr="00121C5F">
        <w:rPr>
          <w:rFonts w:cstheme="minorHAnsi"/>
        </w:rPr>
        <w:t>Compliance with Statutory Conditions for Payments from the Consolidated Revenue Fund</w:t>
      </w:r>
      <w:bookmarkEnd w:id="516"/>
      <w:bookmarkEnd w:id="517"/>
    </w:p>
    <w:p w:rsidR="007E1E1E" w:rsidRDefault="007E1E1E" w:rsidP="007E1E1E">
      <w:pPr>
        <w:pStyle w:val="NotesHeading-Level1"/>
        <w:numPr>
          <w:ilvl w:val="0"/>
          <w:numId w:val="0"/>
        </w:numPr>
        <w:rPr>
          <w:rFonts w:cstheme="minorHAnsi"/>
        </w:rPr>
      </w:pPr>
    </w:p>
    <w:p w:rsidR="007E1E1E" w:rsidRDefault="007E1E1E" w:rsidP="007E1E1E">
      <w:pPr>
        <w:spacing w:line="240" w:lineRule="auto"/>
        <w:rPr>
          <w:szCs w:val="18"/>
        </w:rPr>
      </w:pPr>
      <w:r w:rsidRPr="00121C5F">
        <w:rPr>
          <w:szCs w:val="18"/>
        </w:rPr>
        <w:t>Section 83 of the Constitution provides that no amount may be paid out of the Consolidated Revenue Fund except under an appropriation made by law.  The Department of Finance</w:t>
      </w:r>
      <w:r>
        <w:rPr>
          <w:szCs w:val="18"/>
        </w:rPr>
        <w:t xml:space="preserve"> (Finance)</w:t>
      </w:r>
      <w:r w:rsidRPr="00121C5F">
        <w:rPr>
          <w:szCs w:val="18"/>
        </w:rPr>
        <w:t xml:space="preserve"> provided </w:t>
      </w:r>
      <w:r>
        <w:rPr>
          <w:szCs w:val="18"/>
        </w:rPr>
        <w:t>guidance</w:t>
      </w:r>
      <w:r w:rsidRPr="00121C5F">
        <w:rPr>
          <w:szCs w:val="18"/>
        </w:rPr>
        <w:t xml:space="preserve"> to all agencies in 2011 regarding the need for risk assessments in relation to compliance with statutory conditions on payments and special appropriation</w:t>
      </w:r>
      <w:r>
        <w:rPr>
          <w:szCs w:val="18"/>
        </w:rPr>
        <w:t xml:space="preserve">s, including special accounts. </w:t>
      </w:r>
      <w:r w:rsidRPr="00121C5F">
        <w:rPr>
          <w:szCs w:val="18"/>
        </w:rPr>
        <w:t xml:space="preserve">During 2012-13 additional legal advice was received </w:t>
      </w:r>
      <w:r>
        <w:rPr>
          <w:szCs w:val="18"/>
        </w:rPr>
        <w:t xml:space="preserve">from Finance </w:t>
      </w:r>
      <w:r w:rsidRPr="00121C5F">
        <w:rPr>
          <w:szCs w:val="18"/>
        </w:rPr>
        <w:t>that indicated there could be breaches of s</w:t>
      </w:r>
      <w:r>
        <w:rPr>
          <w:szCs w:val="18"/>
        </w:rPr>
        <w:t xml:space="preserve">ection </w:t>
      </w:r>
      <w:r w:rsidRPr="00121C5F">
        <w:rPr>
          <w:szCs w:val="18"/>
        </w:rPr>
        <w:t xml:space="preserve">83 under certain circumstances with overpayments for long service leave, goods and services (GST) and payments under determinations of the Remuneration Tribunal.  </w:t>
      </w:r>
    </w:p>
    <w:p w:rsidR="007E1E1E" w:rsidRDefault="007E1E1E" w:rsidP="007E1E1E">
      <w:pPr>
        <w:spacing w:line="240" w:lineRule="auto"/>
        <w:rPr>
          <w:szCs w:val="18"/>
        </w:rPr>
      </w:pPr>
    </w:p>
    <w:p w:rsidR="007E1E1E" w:rsidRDefault="007E1E1E" w:rsidP="007E1E1E">
      <w:pPr>
        <w:spacing w:line="240" w:lineRule="auto"/>
        <w:rPr>
          <w:szCs w:val="18"/>
        </w:rPr>
      </w:pPr>
      <w:r>
        <w:rPr>
          <w:szCs w:val="18"/>
        </w:rPr>
        <w:t xml:space="preserve">The department monitors its level of compliance with section 83 of the Constitution across all legislation for which it is administratively responsible.  The department used the assessment process identified in Finance’s guidance paper to determine the risk of potential section 83 breaches.  </w:t>
      </w:r>
    </w:p>
    <w:p w:rsidR="007E1E1E" w:rsidRDefault="007E1E1E" w:rsidP="007E1E1E">
      <w:pPr>
        <w:spacing w:line="240" w:lineRule="auto"/>
        <w:rPr>
          <w:szCs w:val="18"/>
        </w:rPr>
      </w:pPr>
    </w:p>
    <w:p w:rsidR="007E1E1E" w:rsidRDefault="007E1E1E" w:rsidP="007E1E1E">
      <w:pPr>
        <w:spacing w:line="240" w:lineRule="auto"/>
        <w:rPr>
          <w:szCs w:val="18"/>
        </w:rPr>
      </w:pPr>
      <w:r>
        <w:rPr>
          <w:szCs w:val="18"/>
        </w:rPr>
        <w:t>The department identified 10 appropriations involving statutory conditions for payment, comprising:</w:t>
      </w:r>
    </w:p>
    <w:p w:rsidR="007E1E1E" w:rsidRDefault="007E1E1E" w:rsidP="007E1E1E">
      <w:pPr>
        <w:pStyle w:val="ListParagraph"/>
        <w:numPr>
          <w:ilvl w:val="0"/>
          <w:numId w:val="31"/>
        </w:numPr>
        <w:spacing w:line="240" w:lineRule="auto"/>
        <w:rPr>
          <w:szCs w:val="18"/>
        </w:rPr>
      </w:pPr>
      <w:r>
        <w:rPr>
          <w:szCs w:val="18"/>
        </w:rPr>
        <w:t>four special appropriations and</w:t>
      </w:r>
    </w:p>
    <w:p w:rsidR="007E1E1E" w:rsidRPr="00A915FE" w:rsidRDefault="007E1E1E" w:rsidP="007E1E1E">
      <w:pPr>
        <w:pStyle w:val="ListParagraph"/>
        <w:numPr>
          <w:ilvl w:val="0"/>
          <w:numId w:val="31"/>
        </w:numPr>
        <w:spacing w:line="240" w:lineRule="auto"/>
        <w:rPr>
          <w:szCs w:val="18"/>
        </w:rPr>
      </w:pPr>
      <w:r>
        <w:rPr>
          <w:szCs w:val="18"/>
        </w:rPr>
        <w:t>six special accounts</w:t>
      </w:r>
    </w:p>
    <w:p w:rsidR="007E1E1E" w:rsidRDefault="007E1E1E" w:rsidP="007E1E1E">
      <w:pPr>
        <w:spacing w:line="240" w:lineRule="auto"/>
        <w:rPr>
          <w:szCs w:val="18"/>
        </w:rPr>
      </w:pPr>
    </w:p>
    <w:p w:rsidR="007E1E1E" w:rsidRDefault="007E1E1E" w:rsidP="007E1E1E">
      <w:pPr>
        <w:spacing w:line="240" w:lineRule="auto"/>
        <w:rPr>
          <w:szCs w:val="18"/>
        </w:rPr>
      </w:pPr>
      <w:r>
        <w:rPr>
          <w:szCs w:val="18"/>
        </w:rPr>
        <w:t xml:space="preserve">The work conducted during the 2013–14 financial year identified one payment of $125,200 that was considered a potential breach of the </w:t>
      </w:r>
      <w:r>
        <w:rPr>
          <w:i/>
          <w:szCs w:val="18"/>
        </w:rPr>
        <w:t>Schools Assistance Act 2008</w:t>
      </w:r>
      <w:r>
        <w:rPr>
          <w:szCs w:val="18"/>
        </w:rPr>
        <w:t>.  Included in the amount is an overpayment of $3,407 that is subject to legal advice about recovery options.  The programme area will continue to monitor its compliance with section 83 of the Constitution to reduce the risk of over payment.  Internal control processes will be reviewed.</w:t>
      </w:r>
    </w:p>
    <w:p w:rsidR="007E1E1E" w:rsidRDefault="007E1E1E" w:rsidP="007E1E1E">
      <w:pPr>
        <w:spacing w:line="240" w:lineRule="auto"/>
        <w:rPr>
          <w:szCs w:val="18"/>
        </w:rPr>
      </w:pPr>
    </w:p>
    <w:p w:rsidR="007E1E1E" w:rsidRPr="00A915FE" w:rsidRDefault="007E1E1E" w:rsidP="007E1E1E">
      <w:pPr>
        <w:spacing w:line="240" w:lineRule="auto"/>
        <w:rPr>
          <w:szCs w:val="18"/>
        </w:rPr>
      </w:pPr>
      <w:r>
        <w:rPr>
          <w:szCs w:val="18"/>
        </w:rPr>
        <w:t>The department will continue to monitor its level of compliance with section 83 of the Constitution across all legislation for which it is administratively responsible, and were possible legislative amendments and system changes will continue to be progressed.</w:t>
      </w:r>
    </w:p>
    <w:p w:rsidR="007E1E1E" w:rsidRPr="00121C5F" w:rsidRDefault="007E1E1E" w:rsidP="007E1E1E">
      <w:pPr>
        <w:spacing w:line="240" w:lineRule="auto"/>
        <w:rPr>
          <w:szCs w:val="18"/>
        </w:rPr>
      </w:pPr>
    </w:p>
    <w:p w:rsidR="007E1E1E" w:rsidRDefault="007E1E1E" w:rsidP="007E1E1E">
      <w:pPr>
        <w:spacing w:line="240" w:lineRule="auto"/>
        <w:rPr>
          <w:rFonts w:asciiTheme="minorHAnsi" w:hAnsiTheme="minorHAnsi" w:cs="Arial"/>
          <w:szCs w:val="18"/>
          <w:lang w:eastAsia="en-AU"/>
        </w:rPr>
      </w:pPr>
    </w:p>
    <w:p w:rsidR="00D903FD" w:rsidRPr="009A4A46" w:rsidRDefault="00D903FD" w:rsidP="009A4A46"/>
    <w:sectPr w:rsidR="00D903FD" w:rsidRPr="009A4A46" w:rsidSect="005F1B77">
      <w:headerReference w:type="default" r:id="rId14"/>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306A1">
      <w:pPr>
        <w:spacing w:line="240" w:lineRule="auto"/>
      </w:pPr>
      <w:r>
        <w:separator/>
      </w:r>
    </w:p>
  </w:endnote>
  <w:endnote w:type="continuationSeparator" w:id="0">
    <w:p w:rsidR="00000000" w:rsidRDefault="00A306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6A1" w:rsidRDefault="00A306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632147"/>
      <w:docPartObj>
        <w:docPartGallery w:val="Page Numbers (Bottom of Page)"/>
        <w:docPartUnique/>
      </w:docPartObj>
    </w:sdtPr>
    <w:sdtEndPr/>
    <w:sdtContent>
      <w:p w:rsidR="003D2CE2" w:rsidRDefault="007E1E1E">
        <w:pPr>
          <w:pStyle w:val="Footer"/>
          <w:jc w:val="right"/>
        </w:pPr>
        <w:r>
          <w:rPr>
            <w:rFonts w:asciiTheme="minorHAnsi" w:hAnsiTheme="minorHAnsi" w:cstheme="minorHAnsi"/>
          </w:rPr>
          <w:fldChar w:fldCharType="begin"/>
        </w:r>
        <w:r>
          <w:rPr>
            <w:rFonts w:asciiTheme="minorHAnsi" w:hAnsiTheme="minorHAnsi" w:cstheme="minorHAnsi"/>
          </w:rPr>
          <w:instrText xml:space="preserve"> PAGE  \* Arabic  \* MERGEFORMAT </w:instrText>
        </w:r>
        <w:r>
          <w:rPr>
            <w:rFonts w:asciiTheme="minorHAnsi" w:hAnsiTheme="minorHAnsi" w:cstheme="minorHAnsi"/>
          </w:rPr>
          <w:fldChar w:fldCharType="separate"/>
        </w:r>
        <w:r w:rsidR="00A306A1">
          <w:rPr>
            <w:rFonts w:asciiTheme="minorHAnsi" w:hAnsiTheme="minorHAnsi" w:cstheme="minorHAnsi"/>
            <w:noProof/>
          </w:rPr>
          <w:t>79</w:t>
        </w:r>
        <w:r>
          <w:rPr>
            <w:rFonts w:asciiTheme="minorHAnsi" w:hAnsiTheme="minorHAnsi" w:cstheme="minorHAnsi"/>
          </w:rPr>
          <w:fldChar w:fldCharType="end"/>
        </w:r>
      </w:p>
    </w:sdtContent>
  </w:sdt>
  <w:p w:rsidR="003D2CE2" w:rsidRDefault="00A306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6A1" w:rsidRDefault="00A306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306A1">
      <w:pPr>
        <w:spacing w:line="240" w:lineRule="auto"/>
      </w:pPr>
      <w:r>
        <w:separator/>
      </w:r>
    </w:p>
  </w:footnote>
  <w:footnote w:type="continuationSeparator" w:id="0">
    <w:p w:rsidR="00000000" w:rsidRDefault="00A306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6A1" w:rsidRDefault="00A306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CE2" w:rsidRDefault="007E1E1E">
    <w:pPr>
      <w:rPr>
        <w:rFonts w:asciiTheme="minorHAnsi" w:hAnsiTheme="minorHAnsi" w:cstheme="minorHAnsi"/>
        <w:b/>
        <w:sz w:val="24"/>
        <w:szCs w:val="24"/>
      </w:rPr>
    </w:pPr>
    <w:r w:rsidRPr="00903300">
      <w:rPr>
        <w:rFonts w:asciiTheme="minorHAnsi" w:hAnsiTheme="minorHAnsi" w:cstheme="minorHAnsi"/>
        <w:b/>
        <w:sz w:val="24"/>
        <w:szCs w:val="24"/>
      </w:rPr>
      <w:t>Department of Education</w:t>
    </w:r>
  </w:p>
  <w:p w:rsidR="003D2CE2" w:rsidRDefault="007E1E1E">
    <w:pPr>
      <w:rPr>
        <w:rFonts w:asciiTheme="minorHAnsi" w:hAnsiTheme="minorHAnsi" w:cstheme="minorHAnsi"/>
        <w:b/>
        <w:sz w:val="24"/>
        <w:szCs w:val="24"/>
      </w:rPr>
    </w:pPr>
    <w:r>
      <w:rPr>
        <w:rFonts w:asciiTheme="minorHAnsi" w:hAnsiTheme="minorHAnsi" w:cstheme="minorHAnsi"/>
        <w:b/>
        <w:sz w:val="24"/>
        <w:szCs w:val="24"/>
      </w:rPr>
      <w:t>NOTES TO AND FOR</w:t>
    </w:r>
    <w:r w:rsidRPr="00A306A1">
      <w:rPr>
        <w:rFonts w:asciiTheme="minorHAnsi" w:hAnsiTheme="minorHAnsi" w:cstheme="minorHAnsi"/>
        <w:sz w:val="24"/>
        <w:szCs w:val="24"/>
      </w:rPr>
      <w:t>M</w:t>
    </w:r>
    <w:r>
      <w:rPr>
        <w:rFonts w:asciiTheme="minorHAnsi" w:hAnsiTheme="minorHAnsi" w:cstheme="minorHAnsi"/>
        <w:b/>
        <w:sz w:val="24"/>
        <w:szCs w:val="24"/>
      </w:rPr>
      <w:t>ING PART OF THE FINANCIAL STATEMENTS</w:t>
    </w:r>
  </w:p>
  <w:p w:rsidR="003D2CE2" w:rsidRDefault="00A306A1">
    <w:pPr>
      <w:rPr>
        <w:rFonts w:ascii="Arial" w:hAnsi="Arial" w:cs="Arial"/>
        <w:b/>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6A1" w:rsidRDefault="00A306A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CE2" w:rsidRDefault="007E1E1E">
    <w:pPr>
      <w:rPr>
        <w:rFonts w:asciiTheme="minorHAnsi" w:hAnsiTheme="minorHAnsi" w:cstheme="minorHAnsi"/>
        <w:b/>
        <w:sz w:val="24"/>
        <w:szCs w:val="24"/>
      </w:rPr>
    </w:pPr>
    <w:r w:rsidRPr="00903300">
      <w:rPr>
        <w:rFonts w:asciiTheme="minorHAnsi" w:hAnsiTheme="minorHAnsi" w:cstheme="minorHAnsi"/>
        <w:b/>
        <w:sz w:val="24"/>
        <w:szCs w:val="24"/>
      </w:rPr>
      <w:t>Department of Education</w:t>
    </w:r>
  </w:p>
  <w:p w:rsidR="003D2CE2" w:rsidRDefault="007E1E1E">
    <w:pPr>
      <w:rPr>
        <w:rFonts w:asciiTheme="minorHAnsi" w:hAnsiTheme="minorHAnsi" w:cstheme="minorHAnsi"/>
        <w:b/>
        <w:sz w:val="24"/>
        <w:szCs w:val="24"/>
      </w:rPr>
    </w:pPr>
    <w:r>
      <w:rPr>
        <w:rFonts w:asciiTheme="minorHAnsi" w:hAnsiTheme="minorHAnsi" w:cstheme="minorHAnsi"/>
        <w:b/>
        <w:sz w:val="24"/>
        <w:szCs w:val="24"/>
      </w:rPr>
      <w:t>NOTES TO AND FORMI</w:t>
    </w:r>
    <w:bookmarkStart w:id="518" w:name="_GoBack"/>
    <w:bookmarkEnd w:id="518"/>
    <w:r>
      <w:rPr>
        <w:rFonts w:asciiTheme="minorHAnsi" w:hAnsiTheme="minorHAnsi" w:cstheme="minorHAnsi"/>
        <w:b/>
        <w:sz w:val="24"/>
        <w:szCs w:val="24"/>
      </w:rPr>
      <w:t>NG PART OF THE FINANCIAL STATEMENTS</w:t>
    </w:r>
  </w:p>
  <w:p w:rsidR="003D2CE2" w:rsidRDefault="00A306A1">
    <w:pPr>
      <w:pBdr>
        <w:bottom w:val="single" w:sz="4" w:space="1" w:color="auto"/>
      </w:pBdr>
      <w:rPr>
        <w:rFonts w:ascii="Arial" w:hAnsi="Arial" w:cs="Arial"/>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7C1A10"/>
    <w:lvl w:ilvl="0">
      <w:start w:val="1"/>
      <w:numFmt w:val="decimal"/>
      <w:lvlText w:val="%1."/>
      <w:lvlJc w:val="left"/>
      <w:pPr>
        <w:tabs>
          <w:tab w:val="num" w:pos="1492"/>
        </w:tabs>
        <w:ind w:left="1492" w:hanging="360"/>
      </w:pPr>
    </w:lvl>
  </w:abstractNum>
  <w:abstractNum w:abstractNumId="1">
    <w:nsid w:val="FFFFFF7D"/>
    <w:multiLevelType w:val="singleLevel"/>
    <w:tmpl w:val="766C9A8A"/>
    <w:lvl w:ilvl="0">
      <w:start w:val="1"/>
      <w:numFmt w:val="decimal"/>
      <w:lvlText w:val="%1."/>
      <w:lvlJc w:val="left"/>
      <w:pPr>
        <w:tabs>
          <w:tab w:val="num" w:pos="1209"/>
        </w:tabs>
        <w:ind w:left="1209" w:hanging="360"/>
      </w:pPr>
    </w:lvl>
  </w:abstractNum>
  <w:abstractNum w:abstractNumId="2">
    <w:nsid w:val="FFFFFF7E"/>
    <w:multiLevelType w:val="singleLevel"/>
    <w:tmpl w:val="9F225E1C"/>
    <w:lvl w:ilvl="0">
      <w:start w:val="1"/>
      <w:numFmt w:val="decimal"/>
      <w:lvlText w:val="%1."/>
      <w:lvlJc w:val="left"/>
      <w:pPr>
        <w:tabs>
          <w:tab w:val="num" w:pos="926"/>
        </w:tabs>
        <w:ind w:left="926" w:hanging="360"/>
      </w:pPr>
    </w:lvl>
  </w:abstractNum>
  <w:abstractNum w:abstractNumId="3">
    <w:nsid w:val="FFFFFF7F"/>
    <w:multiLevelType w:val="singleLevel"/>
    <w:tmpl w:val="4C3E7BE0"/>
    <w:lvl w:ilvl="0">
      <w:start w:val="1"/>
      <w:numFmt w:val="decimal"/>
      <w:lvlText w:val="%1."/>
      <w:lvlJc w:val="left"/>
      <w:pPr>
        <w:tabs>
          <w:tab w:val="num" w:pos="643"/>
        </w:tabs>
        <w:ind w:left="643" w:hanging="360"/>
      </w:pPr>
    </w:lvl>
  </w:abstractNum>
  <w:abstractNum w:abstractNumId="4">
    <w:nsid w:val="FFFFFF80"/>
    <w:multiLevelType w:val="singleLevel"/>
    <w:tmpl w:val="05B2BA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8C016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4D2252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03639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3D8BFF8"/>
    <w:lvl w:ilvl="0">
      <w:start w:val="1"/>
      <w:numFmt w:val="decimal"/>
      <w:pStyle w:val="ListNumber"/>
      <w:lvlText w:val="%1."/>
      <w:lvlJc w:val="left"/>
      <w:pPr>
        <w:tabs>
          <w:tab w:val="num" w:pos="360"/>
        </w:tabs>
        <w:ind w:left="360" w:hanging="360"/>
      </w:pPr>
    </w:lvl>
  </w:abstractNum>
  <w:abstractNum w:abstractNumId="9">
    <w:nsid w:val="FFFFFF89"/>
    <w:multiLevelType w:val="singleLevel"/>
    <w:tmpl w:val="233035C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AF4F85"/>
    <w:multiLevelType w:val="multilevel"/>
    <w:tmpl w:val="4A2C09A0"/>
    <w:styleLink w:val="CurrentList2"/>
    <w:lvl w:ilvl="0">
      <w:start w:val="2"/>
      <w:numFmt w:val="decimal"/>
      <w:lvlText w:val="Note %1: "/>
      <w:lvlJc w:val="left"/>
      <w:pPr>
        <w:tabs>
          <w:tab w:val="num" w:pos="1352"/>
        </w:tabs>
        <w:ind w:left="1352" w:hanging="99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upperLetter"/>
      <w:lvlText w:val="Note %1%2: "/>
      <w:lvlJc w:val="left"/>
      <w:pPr>
        <w:tabs>
          <w:tab w:val="num" w:pos="1532"/>
        </w:tabs>
        <w:ind w:left="1532" w:hanging="992"/>
      </w:pPr>
      <w:rPr>
        <w:rFonts w:ascii="Times New Roman" w:hAnsi="Times New Roman" w:cs="Times New Roman" w:hint="default"/>
        <w:b/>
        <w:i w:val="0"/>
        <w:strike w:val="0"/>
        <w:dstrike w:val="0"/>
        <w:color w:val="auto"/>
        <w:sz w:val="20"/>
        <w:szCs w:val="20"/>
        <w:u w:val="none"/>
        <w:effect w:val="none"/>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19C24BFF"/>
    <w:multiLevelType w:val="multilevel"/>
    <w:tmpl w:val="0546908E"/>
    <w:lvl w:ilvl="0">
      <w:start w:val="1"/>
      <w:numFmt w:val="decimal"/>
      <w:lvlText w:val="Note %1:"/>
      <w:lvlJc w:val="left"/>
      <w:pPr>
        <w:tabs>
          <w:tab w:val="num" w:pos="851"/>
        </w:tabs>
        <w:ind w:left="851" w:hanging="851"/>
      </w:pPr>
      <w:rPr>
        <w:rFonts w:ascii="Times New Roman" w:hAnsi="Times New Roman" w:cs="Times New Roman" w:hint="default"/>
        <w:b/>
        <w:i w:val="0"/>
        <w:strike w:val="0"/>
        <w:dstrike w:val="0"/>
        <w:color w:val="auto"/>
        <w:sz w:val="24"/>
        <w:szCs w:val="24"/>
        <w:u w:val="none"/>
        <w:effect w:val="none"/>
      </w:rPr>
    </w:lvl>
    <w:lvl w:ilvl="1">
      <w:start w:val="1"/>
      <w:numFmt w:val="decimal"/>
      <w:lvlText w:val="%1.%2"/>
      <w:lvlJc w:val="left"/>
      <w:pPr>
        <w:tabs>
          <w:tab w:val="num" w:pos="851"/>
        </w:tabs>
        <w:ind w:left="851" w:hanging="851"/>
      </w:pPr>
      <w:rPr>
        <w:rFonts w:asciiTheme="minorHAnsi" w:hAnsiTheme="minorHAnsi" w:cstheme="minorHAnsi" w:hint="default"/>
        <w:b/>
        <w:i w:val="0"/>
        <w:strike w:val="0"/>
        <w:dstrike w:val="0"/>
        <w:color w:val="auto"/>
        <w:sz w:val="18"/>
        <w:szCs w:val="18"/>
        <w:u w:val="none"/>
        <w:effect w:val="none"/>
      </w:rPr>
    </w:lvl>
    <w:lvl w:ilvl="2">
      <w:start w:val="1"/>
      <w:numFmt w:val="lowerLetter"/>
      <w:lvlText w:val="(%3)"/>
      <w:lvlJc w:val="left"/>
      <w:pPr>
        <w:tabs>
          <w:tab w:val="num" w:pos="851"/>
        </w:tabs>
        <w:ind w:left="851" w:hanging="851"/>
      </w:pPr>
      <w:rPr>
        <w:rFonts w:ascii="Times New Roman" w:hAnsi="Times New Roman" w:cs="Times New Roman" w:hint="default"/>
        <w:b/>
        <w:i w:val="0"/>
        <w:sz w:val="20"/>
      </w:rPr>
    </w:lvl>
    <w:lvl w:ilvl="3">
      <w:start w:val="1"/>
      <w:numFmt w:val="lowerRoman"/>
      <w:lvlText w:val="(%4)"/>
      <w:lvlJc w:val="left"/>
      <w:pPr>
        <w:tabs>
          <w:tab w:val="num" w:pos="851"/>
        </w:tabs>
        <w:ind w:left="851" w:hanging="851"/>
      </w:pPr>
      <w:rPr>
        <w:rFonts w:ascii="Arial" w:hAnsi="Arial" w:cs="Times New Roman" w:hint="default"/>
        <w:b w:val="0"/>
        <w:i w:val="0"/>
        <w:sz w:val="20"/>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2">
    <w:nsid w:val="1CD95887"/>
    <w:multiLevelType w:val="multilevel"/>
    <w:tmpl w:val="4A2C09A0"/>
    <w:styleLink w:val="Style2"/>
    <w:lvl w:ilvl="0">
      <w:start w:val="1"/>
      <w:numFmt w:val="decimal"/>
      <w:lvlText w:val="Note %1: "/>
      <w:lvlJc w:val="left"/>
      <w:pPr>
        <w:tabs>
          <w:tab w:val="num" w:pos="992"/>
        </w:tabs>
        <w:ind w:left="992" w:hanging="99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upperLetter"/>
      <w:lvlText w:val="Note %1%2: "/>
      <w:lvlJc w:val="left"/>
      <w:pPr>
        <w:tabs>
          <w:tab w:val="num" w:pos="1532"/>
        </w:tabs>
        <w:ind w:left="1532" w:hanging="992"/>
      </w:pPr>
      <w:rPr>
        <w:rFonts w:ascii="Times New Roman" w:hAnsi="Times New Roman" w:cs="Times New Roman" w:hint="default"/>
        <w:b/>
        <w:i w:val="0"/>
        <w:strike w:val="0"/>
        <w:dstrike w:val="0"/>
        <w:color w:val="auto"/>
        <w:sz w:val="20"/>
        <w:szCs w:val="20"/>
        <w:u w:val="none"/>
        <w:effect w:val="none"/>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5834BA6"/>
    <w:multiLevelType w:val="multilevel"/>
    <w:tmpl w:val="FA9CBE68"/>
    <w:styleLink w:val="NumberedList"/>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6997AF8"/>
    <w:multiLevelType w:val="hybridMultilevel"/>
    <w:tmpl w:val="87AA1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F5F5E1B"/>
    <w:multiLevelType w:val="multilevel"/>
    <w:tmpl w:val="BFE67ED4"/>
    <w:styleLink w:val="Unordered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435E3B80"/>
    <w:multiLevelType w:val="hybridMultilevel"/>
    <w:tmpl w:val="C3B21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85F6A5F"/>
    <w:multiLevelType w:val="multilevel"/>
    <w:tmpl w:val="4A2C09A0"/>
    <w:styleLink w:val="CurrentList1"/>
    <w:lvl w:ilvl="0">
      <w:start w:val="1"/>
      <w:numFmt w:val="decimal"/>
      <w:lvlText w:val="Note %1: "/>
      <w:lvlJc w:val="left"/>
      <w:pPr>
        <w:tabs>
          <w:tab w:val="num" w:pos="992"/>
        </w:tabs>
        <w:ind w:left="992" w:hanging="99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upperLetter"/>
      <w:lvlText w:val="Note %1%2: "/>
      <w:lvlJc w:val="left"/>
      <w:pPr>
        <w:tabs>
          <w:tab w:val="num" w:pos="1532"/>
        </w:tabs>
        <w:ind w:left="1532" w:hanging="992"/>
      </w:pPr>
      <w:rPr>
        <w:rFonts w:ascii="Times New Roman" w:hAnsi="Times New Roman" w:cs="Times New Roman" w:hint="default"/>
        <w:b/>
        <w:i w:val="0"/>
        <w:strike w:val="0"/>
        <w:dstrike w:val="0"/>
        <w:color w:val="auto"/>
        <w:sz w:val="20"/>
        <w:szCs w:val="20"/>
        <w:u w:val="none"/>
        <w:effect w:val="none"/>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60670E23"/>
    <w:multiLevelType w:val="singleLevel"/>
    <w:tmpl w:val="FC8C2572"/>
    <w:lvl w:ilvl="0">
      <w:start w:val="1"/>
      <w:numFmt w:val="bullet"/>
      <w:lvlText w:val=""/>
      <w:lvlJc w:val="left"/>
      <w:pPr>
        <w:tabs>
          <w:tab w:val="num" w:pos="360"/>
        </w:tabs>
        <w:ind w:left="357" w:hanging="357"/>
      </w:pPr>
      <w:rPr>
        <w:rFonts w:ascii="Symbol" w:hAnsi="Symbol" w:hint="default"/>
      </w:rPr>
    </w:lvl>
  </w:abstractNum>
  <w:abstractNum w:abstractNumId="19">
    <w:nsid w:val="68E60982"/>
    <w:multiLevelType w:val="hybridMultilevel"/>
    <w:tmpl w:val="FA7E53DE"/>
    <w:lvl w:ilvl="0" w:tplc="0C090001">
      <w:start w:val="1"/>
      <w:numFmt w:val="bullet"/>
      <w:lvlText w:val=""/>
      <w:lvlJc w:val="left"/>
      <w:pPr>
        <w:ind w:left="1571"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nsid w:val="6A38338E"/>
    <w:multiLevelType w:val="singleLevel"/>
    <w:tmpl w:val="2922866A"/>
    <w:lvl w:ilvl="0">
      <w:start w:val="1"/>
      <w:numFmt w:val="bullet"/>
      <w:pStyle w:val="NotesHeading-Level1GreyShade"/>
      <w:lvlText w:val=""/>
      <w:lvlJc w:val="left"/>
      <w:pPr>
        <w:tabs>
          <w:tab w:val="num" w:pos="360"/>
        </w:tabs>
        <w:ind w:left="360" w:hanging="360"/>
      </w:pPr>
      <w:rPr>
        <w:rFonts w:ascii="Symbol" w:hAnsi="Symbol" w:cs="Times New Roman" w:hint="default"/>
      </w:rPr>
    </w:lvl>
  </w:abstractNum>
  <w:abstractNum w:abstractNumId="21">
    <w:nsid w:val="72E921FA"/>
    <w:multiLevelType w:val="multilevel"/>
    <w:tmpl w:val="C3BED586"/>
    <w:lvl w:ilvl="0">
      <w:start w:val="1"/>
      <w:numFmt w:val="decimal"/>
      <w:pStyle w:val="NotesHeading-Level1"/>
      <w:lvlText w:val="Note %1: "/>
      <w:lvlJc w:val="left"/>
      <w:pPr>
        <w:tabs>
          <w:tab w:val="num" w:pos="851"/>
        </w:tabs>
        <w:ind w:left="1134" w:hanging="1134"/>
      </w:pPr>
      <w:rPr>
        <w:rFonts w:asciiTheme="minorHAnsi" w:hAnsiTheme="minorHAnsi" w:cstheme="minorHAnsi" w:hint="default"/>
        <w:b/>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rPr>
    </w:lvl>
    <w:lvl w:ilvl="1">
      <w:start w:val="1"/>
      <w:numFmt w:val="upperLetter"/>
      <w:pStyle w:val="NotesHeading-Level2"/>
      <w:lvlText w:val="Note %1%2: "/>
      <w:lvlJc w:val="left"/>
      <w:pPr>
        <w:tabs>
          <w:tab w:val="num" w:pos="851"/>
        </w:tabs>
        <w:ind w:left="1532" w:hanging="1532"/>
      </w:pPr>
      <w:rPr>
        <w:rFonts w:ascii="Times New Roman" w:hAnsi="Times New Roman" w:cs="Times New Roman" w:hint="default"/>
        <w:b/>
        <w:i w:val="0"/>
        <w:color w:val="auto"/>
        <w:sz w:val="20"/>
        <w:szCs w:val="20"/>
        <w:u w:val="single"/>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heme="minorHAnsi" w:eastAsia="Times New Roman" w:hAnsiTheme="minorHAnsi" w:cstheme="minorHAnsi"/>
        <w:vertAlign w:val="superscript"/>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735C7398"/>
    <w:multiLevelType w:val="hybridMultilevel"/>
    <w:tmpl w:val="9ED4C658"/>
    <w:lvl w:ilvl="0" w:tplc="2C6EFD44">
      <w:start w:val="1"/>
      <w:numFmt w:val="bullet"/>
      <w:lvlText w:val="-"/>
      <w:lvlJc w:val="left"/>
      <w:pPr>
        <w:ind w:left="720" w:hanging="360"/>
      </w:pPr>
      <w:rPr>
        <w:rFonts w:ascii="Calibri" w:eastAsia="Times New Roman" w:hAnsi="Calibri" w:cs="Calibri"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3">
    <w:nsid w:val="742C17D0"/>
    <w:multiLevelType w:val="hybridMultilevel"/>
    <w:tmpl w:val="7BA85834"/>
    <w:lvl w:ilvl="0" w:tplc="0C090001">
      <w:start w:val="1"/>
      <w:numFmt w:val="bullet"/>
      <w:lvlText w:val=""/>
      <w:lvlJc w:val="left"/>
      <w:pPr>
        <w:ind w:left="1571"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nsid w:val="7E000E71"/>
    <w:multiLevelType w:val="hybridMultilevel"/>
    <w:tmpl w:val="6DFA9400"/>
    <w:lvl w:ilvl="0" w:tplc="0C090001">
      <w:start w:val="1"/>
      <w:numFmt w:val="bullet"/>
      <w:lvlText w:val=""/>
      <w:lvlJc w:val="left"/>
      <w:pPr>
        <w:ind w:left="4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13"/>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1"/>
  </w:num>
  <w:num w:numId="14">
    <w:abstractNumId w:val="20"/>
  </w:num>
  <w:num w:numId="15">
    <w:abstractNumId w:val="11"/>
  </w:num>
  <w:num w:numId="16">
    <w:abstractNumId w:val="18"/>
  </w:num>
  <w:num w:numId="17">
    <w:abstractNumId w:val="22"/>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2"/>
  </w:num>
  <w:num w:numId="27">
    <w:abstractNumId w:val="17"/>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E1E"/>
    <w:rsid w:val="0031168A"/>
    <w:rsid w:val="00360FD2"/>
    <w:rsid w:val="003B0752"/>
    <w:rsid w:val="005536B7"/>
    <w:rsid w:val="005D722B"/>
    <w:rsid w:val="00693307"/>
    <w:rsid w:val="006A5448"/>
    <w:rsid w:val="006E3E34"/>
    <w:rsid w:val="006E7816"/>
    <w:rsid w:val="00701C19"/>
    <w:rsid w:val="007E1E1E"/>
    <w:rsid w:val="00842D43"/>
    <w:rsid w:val="009A4A46"/>
    <w:rsid w:val="00A306A1"/>
    <w:rsid w:val="00AC2B43"/>
    <w:rsid w:val="00AC5468"/>
    <w:rsid w:val="00B903D7"/>
    <w:rsid w:val="00D3003F"/>
    <w:rsid w:val="00D903FD"/>
    <w:rsid w:val="00F160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table of figures" w:uiPriority="0"/>
    <w:lsdException w:name="annotation reference" w:uiPriority="0"/>
    <w:lsdException w:name="endnote reference" w:uiPriority="0"/>
    <w:lsdException w:name="endnote text" w:uiPriority="0"/>
    <w:lsdException w:name="macro" w:uiPriority="0"/>
    <w:lsdException w:name="List Bullet" w:qFormat="1"/>
    <w:lsdException w:name="List Number" w:qFormat="1"/>
    <w:lsdException w:name="Title" w:semiHidden="0" w:uiPriority="10" w:unhideWhenUsed="0" w:qFormat="1"/>
    <w:lsdException w:name="Signature" w:uiPriority="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E1E1E"/>
    <w:pPr>
      <w:spacing w:after="0" w:line="260" w:lineRule="atLeast"/>
    </w:pPr>
    <w:rPr>
      <w:rFonts w:ascii="Calibri" w:eastAsia="Times New Roman" w:hAnsi="Calibri" w:cs="Times New Roman"/>
      <w:sz w:val="18"/>
      <w:szCs w:val="20"/>
    </w:rPr>
  </w:style>
  <w:style w:type="paragraph" w:styleId="Heading1">
    <w:name w:val="heading 1"/>
    <w:aliases w:val="Heading 1 do not use,Section heading 1,Front Page Title,1.,Para 1,Para 11"/>
    <w:basedOn w:val="Normal"/>
    <w:next w:val="Normal"/>
    <w:link w:val="Heading1Char"/>
    <w:qFormat/>
    <w:rsid w:val="005536B7"/>
    <w:pPr>
      <w:spacing w:before="480" w:after="120"/>
      <w:contextualSpacing/>
      <w:outlineLvl w:val="0"/>
    </w:pPr>
    <w:rPr>
      <w:rFonts w:eastAsiaTheme="majorEastAsia" w:cstheme="majorBidi"/>
      <w:b/>
      <w:bCs/>
      <w:sz w:val="28"/>
      <w:szCs w:val="28"/>
    </w:rPr>
  </w:style>
  <w:style w:type="paragraph" w:styleId="Heading2">
    <w:name w:val="heading 2"/>
    <w:aliases w:val="Heading 2 do not use,Front Page List of Sections"/>
    <w:basedOn w:val="Normal"/>
    <w:next w:val="Normal"/>
    <w:link w:val="Heading2Char"/>
    <w:qFormat/>
    <w:rsid w:val="007E1E1E"/>
    <w:pPr>
      <w:keepNext/>
      <w:spacing w:before="240" w:after="60"/>
      <w:outlineLvl w:val="1"/>
    </w:pPr>
    <w:rPr>
      <w:rFonts w:ascii="Arial" w:eastAsiaTheme="minorEastAsia" w:hAnsi="Arial" w:cs="Arial"/>
      <w:i/>
      <w:iCs/>
      <w:sz w:val="28"/>
      <w:szCs w:val="28"/>
    </w:rPr>
  </w:style>
  <w:style w:type="paragraph" w:styleId="Heading3">
    <w:name w:val="heading 3"/>
    <w:aliases w:val="Heading 3 do not use"/>
    <w:basedOn w:val="Normal"/>
    <w:next w:val="Normal"/>
    <w:link w:val="Heading3Char"/>
    <w:qFormat/>
    <w:rsid w:val="007E1E1E"/>
    <w:pPr>
      <w:keepNext/>
      <w:spacing w:before="240" w:after="60"/>
      <w:outlineLvl w:val="2"/>
    </w:pPr>
    <w:rPr>
      <w:rFonts w:ascii="Arial" w:eastAsiaTheme="minorEastAsia" w:hAnsi="Arial" w:cs="Arial"/>
      <w:sz w:val="26"/>
      <w:szCs w:val="26"/>
    </w:rPr>
  </w:style>
  <w:style w:type="paragraph" w:styleId="Heading4">
    <w:name w:val="heading 4"/>
    <w:basedOn w:val="Normal"/>
    <w:link w:val="Heading4Char"/>
    <w:qFormat/>
    <w:rsid w:val="007E1E1E"/>
    <w:pPr>
      <w:spacing w:before="130" w:after="130"/>
      <w:outlineLvl w:val="3"/>
    </w:pPr>
    <w:rPr>
      <w:rFonts w:eastAsiaTheme="minorEastAsia"/>
    </w:rPr>
  </w:style>
  <w:style w:type="paragraph" w:styleId="Heading5">
    <w:name w:val="heading 5"/>
    <w:basedOn w:val="Normal"/>
    <w:next w:val="Normal"/>
    <w:link w:val="Heading5Char"/>
    <w:qFormat/>
    <w:rsid w:val="007E1E1E"/>
    <w:pPr>
      <w:outlineLvl w:val="4"/>
    </w:pPr>
    <w:rPr>
      <w:rFonts w:eastAsiaTheme="minorEastAsia"/>
    </w:rPr>
  </w:style>
  <w:style w:type="paragraph" w:styleId="Heading6">
    <w:name w:val="heading 6"/>
    <w:basedOn w:val="Normal"/>
    <w:next w:val="Normal"/>
    <w:link w:val="Heading6Char"/>
    <w:qFormat/>
    <w:rsid w:val="007E1E1E"/>
    <w:pPr>
      <w:outlineLvl w:val="5"/>
    </w:pPr>
    <w:rPr>
      <w:rFonts w:eastAsiaTheme="minorEastAsia"/>
    </w:rPr>
  </w:style>
  <w:style w:type="paragraph" w:styleId="Heading7">
    <w:name w:val="heading 7"/>
    <w:aliases w:val="Section Sub-Heading 4"/>
    <w:basedOn w:val="Normal"/>
    <w:next w:val="Normal"/>
    <w:link w:val="Heading7Char"/>
    <w:qFormat/>
    <w:rsid w:val="007E1E1E"/>
    <w:pPr>
      <w:outlineLvl w:val="6"/>
    </w:pPr>
  </w:style>
  <w:style w:type="paragraph" w:styleId="Heading8">
    <w:name w:val="heading 8"/>
    <w:basedOn w:val="Normal"/>
    <w:next w:val="Normal"/>
    <w:link w:val="Heading8Char"/>
    <w:qFormat/>
    <w:rsid w:val="007E1E1E"/>
    <w:pPr>
      <w:outlineLvl w:val="7"/>
    </w:pPr>
  </w:style>
  <w:style w:type="paragraph" w:styleId="Heading9">
    <w:name w:val="heading 9"/>
    <w:basedOn w:val="Normal"/>
    <w:next w:val="Normal"/>
    <w:link w:val="Heading9Char"/>
    <w:qFormat/>
    <w:rsid w:val="007E1E1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List">
    <w:name w:val="Numbered List"/>
    <w:uiPriority w:val="99"/>
    <w:rsid w:val="00F160D2"/>
    <w:pPr>
      <w:numPr>
        <w:numId w:val="1"/>
      </w:numPr>
    </w:pPr>
  </w:style>
  <w:style w:type="numbering" w:customStyle="1" w:styleId="UnorderedList">
    <w:name w:val="Unordered List"/>
    <w:uiPriority w:val="99"/>
    <w:rsid w:val="00F160D2"/>
    <w:pPr>
      <w:numPr>
        <w:numId w:val="2"/>
      </w:numPr>
    </w:pPr>
  </w:style>
  <w:style w:type="paragraph" w:customStyle="1" w:styleId="BlockQuote">
    <w:name w:val="Block Quote"/>
    <w:basedOn w:val="Quote"/>
    <w:rsid w:val="006E3E34"/>
    <w:pPr>
      <w:spacing w:before="120" w:after="120" w:line="240" w:lineRule="auto"/>
      <w:ind w:left="567" w:right="567"/>
      <w:contextualSpacing/>
    </w:pPr>
    <w:rPr>
      <w:i w:val="0"/>
      <w:noProof/>
      <w:color w:val="auto"/>
      <w:sz w:val="20"/>
    </w:rPr>
  </w:style>
  <w:style w:type="paragraph" w:styleId="Quote">
    <w:name w:val="Quote"/>
    <w:basedOn w:val="Normal"/>
    <w:next w:val="Normal"/>
    <w:link w:val="QuoteChar"/>
    <w:uiPriority w:val="29"/>
    <w:qFormat/>
    <w:rsid w:val="006E3E34"/>
    <w:rPr>
      <w:i/>
      <w:iCs/>
      <w:color w:val="000000" w:themeColor="text1"/>
    </w:rPr>
  </w:style>
  <w:style w:type="character" w:customStyle="1" w:styleId="QuoteChar">
    <w:name w:val="Quote Char"/>
    <w:basedOn w:val="DefaultParagraphFont"/>
    <w:link w:val="Quote"/>
    <w:uiPriority w:val="29"/>
    <w:rsid w:val="006E3E34"/>
    <w:rPr>
      <w:i/>
      <w:iCs/>
      <w:color w:val="000000" w:themeColor="text1"/>
    </w:rPr>
  </w:style>
  <w:style w:type="paragraph" w:styleId="ListNumber">
    <w:name w:val="List Number"/>
    <w:basedOn w:val="Normal"/>
    <w:uiPriority w:val="99"/>
    <w:unhideWhenUsed/>
    <w:qFormat/>
    <w:rsid w:val="009A4A46"/>
    <w:pPr>
      <w:numPr>
        <w:numId w:val="8"/>
      </w:numPr>
      <w:contextualSpacing/>
    </w:pPr>
  </w:style>
  <w:style w:type="paragraph" w:styleId="ListBullet">
    <w:name w:val="List Bullet"/>
    <w:basedOn w:val="Normal"/>
    <w:uiPriority w:val="99"/>
    <w:unhideWhenUsed/>
    <w:qFormat/>
    <w:rsid w:val="009A4A46"/>
    <w:pPr>
      <w:numPr>
        <w:numId w:val="3"/>
      </w:numPr>
      <w:contextualSpacing/>
    </w:pPr>
  </w:style>
  <w:style w:type="paragraph" w:styleId="NoSpacing">
    <w:name w:val="No Spacing"/>
    <w:basedOn w:val="Normal"/>
    <w:uiPriority w:val="1"/>
    <w:rsid w:val="006E3E34"/>
    <w:pPr>
      <w:spacing w:line="240" w:lineRule="auto"/>
    </w:pPr>
  </w:style>
  <w:style w:type="paragraph" w:customStyle="1" w:styleId="Security">
    <w:name w:val="Security"/>
    <w:basedOn w:val="Normal"/>
    <w:link w:val="SecurityChar"/>
    <w:rsid w:val="005536B7"/>
    <w:pPr>
      <w:contextualSpacing/>
      <w:jc w:val="center"/>
    </w:pPr>
    <w:rPr>
      <w:rFonts w:eastAsiaTheme="minorHAnsi"/>
      <w:b/>
      <w:noProof/>
      <w:sz w:val="32"/>
      <w:szCs w:val="32"/>
    </w:rPr>
  </w:style>
  <w:style w:type="character" w:customStyle="1" w:styleId="SecurityChar">
    <w:name w:val="Security Char"/>
    <w:basedOn w:val="DefaultParagraphFont"/>
    <w:link w:val="Security"/>
    <w:rsid w:val="005536B7"/>
    <w:rPr>
      <w:b/>
      <w:noProof/>
      <w:sz w:val="32"/>
      <w:szCs w:val="32"/>
    </w:rPr>
  </w:style>
  <w:style w:type="character" w:customStyle="1" w:styleId="Heading1Char">
    <w:name w:val="Heading 1 Char"/>
    <w:aliases w:val="Heading 1 do not use Char,Section heading 1 Char,Front Page Title Char,1. Char,Para 1 Char,Para 11 Char"/>
    <w:basedOn w:val="DefaultParagraphFont"/>
    <w:link w:val="Heading1"/>
    <w:rsid w:val="005536B7"/>
    <w:rPr>
      <w:rFonts w:eastAsiaTheme="majorEastAsia" w:cstheme="majorBidi"/>
      <w:b/>
      <w:bCs/>
      <w:sz w:val="28"/>
      <w:szCs w:val="28"/>
    </w:rPr>
  </w:style>
  <w:style w:type="character" w:customStyle="1" w:styleId="DeleteText">
    <w:name w:val="Delete Text"/>
    <w:basedOn w:val="DefaultParagraphFont"/>
    <w:uiPriority w:val="1"/>
    <w:rsid w:val="005536B7"/>
    <w:rPr>
      <w:rFonts w:eastAsiaTheme="minorHAnsi"/>
      <w:i/>
      <w:color w:val="0070C0"/>
      <w:sz w:val="20"/>
      <w:szCs w:val="20"/>
    </w:rPr>
  </w:style>
  <w:style w:type="paragraph" w:styleId="ListParagraph">
    <w:name w:val="List Paragraph"/>
    <w:basedOn w:val="Normal"/>
    <w:uiPriority w:val="34"/>
    <w:qFormat/>
    <w:rsid w:val="005536B7"/>
    <w:pPr>
      <w:ind w:left="720"/>
      <w:contextualSpacing/>
    </w:pPr>
  </w:style>
  <w:style w:type="paragraph" w:styleId="Title">
    <w:name w:val="Title"/>
    <w:basedOn w:val="Normal"/>
    <w:next w:val="Normal"/>
    <w:link w:val="TitleChar"/>
    <w:uiPriority w:val="10"/>
    <w:rsid w:val="005536B7"/>
    <w:pP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5536B7"/>
    <w:rPr>
      <w:rFonts w:eastAsiaTheme="majorEastAsia" w:cstheme="majorBidi"/>
      <w:spacing w:val="5"/>
      <w:sz w:val="52"/>
      <w:szCs w:val="52"/>
    </w:rPr>
  </w:style>
  <w:style w:type="character" w:styleId="Strong">
    <w:name w:val="Strong"/>
    <w:uiPriority w:val="22"/>
    <w:rsid w:val="005536B7"/>
    <w:rPr>
      <w:b/>
      <w:bCs/>
    </w:rPr>
  </w:style>
  <w:style w:type="character" w:customStyle="1" w:styleId="Heading2Char">
    <w:name w:val="Heading 2 Char"/>
    <w:aliases w:val="Heading 2 do not use Char,Front Page List of Sections Char"/>
    <w:basedOn w:val="DefaultParagraphFont"/>
    <w:link w:val="Heading2"/>
    <w:rsid w:val="007E1E1E"/>
    <w:rPr>
      <w:rFonts w:ascii="Arial" w:eastAsiaTheme="minorEastAsia" w:hAnsi="Arial" w:cs="Arial"/>
      <w:i/>
      <w:iCs/>
      <w:sz w:val="28"/>
      <w:szCs w:val="28"/>
    </w:rPr>
  </w:style>
  <w:style w:type="character" w:customStyle="1" w:styleId="Heading3Char">
    <w:name w:val="Heading 3 Char"/>
    <w:aliases w:val="Heading 3 do not use Char"/>
    <w:basedOn w:val="DefaultParagraphFont"/>
    <w:link w:val="Heading3"/>
    <w:rsid w:val="007E1E1E"/>
    <w:rPr>
      <w:rFonts w:ascii="Arial" w:eastAsiaTheme="minorEastAsia" w:hAnsi="Arial" w:cs="Arial"/>
      <w:sz w:val="26"/>
      <w:szCs w:val="26"/>
    </w:rPr>
  </w:style>
  <w:style w:type="character" w:customStyle="1" w:styleId="Heading4Char">
    <w:name w:val="Heading 4 Char"/>
    <w:basedOn w:val="DefaultParagraphFont"/>
    <w:link w:val="Heading4"/>
    <w:rsid w:val="007E1E1E"/>
    <w:rPr>
      <w:rFonts w:ascii="Calibri" w:eastAsiaTheme="minorEastAsia" w:hAnsi="Calibri" w:cs="Times New Roman"/>
      <w:sz w:val="18"/>
      <w:szCs w:val="20"/>
    </w:rPr>
  </w:style>
  <w:style w:type="character" w:customStyle="1" w:styleId="Heading5Char">
    <w:name w:val="Heading 5 Char"/>
    <w:basedOn w:val="DefaultParagraphFont"/>
    <w:link w:val="Heading5"/>
    <w:rsid w:val="007E1E1E"/>
    <w:rPr>
      <w:rFonts w:ascii="Calibri" w:eastAsiaTheme="minorEastAsia" w:hAnsi="Calibri" w:cs="Times New Roman"/>
      <w:sz w:val="18"/>
      <w:szCs w:val="20"/>
    </w:rPr>
  </w:style>
  <w:style w:type="character" w:customStyle="1" w:styleId="Heading6Char">
    <w:name w:val="Heading 6 Char"/>
    <w:basedOn w:val="DefaultParagraphFont"/>
    <w:link w:val="Heading6"/>
    <w:rsid w:val="007E1E1E"/>
    <w:rPr>
      <w:rFonts w:ascii="Calibri" w:eastAsiaTheme="minorEastAsia" w:hAnsi="Calibri" w:cs="Times New Roman"/>
      <w:sz w:val="18"/>
      <w:szCs w:val="20"/>
    </w:rPr>
  </w:style>
  <w:style w:type="character" w:customStyle="1" w:styleId="Heading7Char">
    <w:name w:val="Heading 7 Char"/>
    <w:aliases w:val="Section Sub-Heading 4 Char"/>
    <w:basedOn w:val="DefaultParagraphFont"/>
    <w:link w:val="Heading7"/>
    <w:rsid w:val="007E1E1E"/>
    <w:rPr>
      <w:rFonts w:ascii="Calibri" w:eastAsia="Times New Roman" w:hAnsi="Calibri" w:cs="Times New Roman"/>
      <w:sz w:val="18"/>
      <w:szCs w:val="20"/>
    </w:rPr>
  </w:style>
  <w:style w:type="character" w:customStyle="1" w:styleId="Heading8Char">
    <w:name w:val="Heading 8 Char"/>
    <w:basedOn w:val="DefaultParagraphFont"/>
    <w:link w:val="Heading8"/>
    <w:rsid w:val="007E1E1E"/>
    <w:rPr>
      <w:rFonts w:ascii="Calibri" w:eastAsia="Times New Roman" w:hAnsi="Calibri" w:cs="Times New Roman"/>
      <w:sz w:val="18"/>
      <w:szCs w:val="20"/>
    </w:rPr>
  </w:style>
  <w:style w:type="character" w:customStyle="1" w:styleId="Heading9Char">
    <w:name w:val="Heading 9 Char"/>
    <w:basedOn w:val="DefaultParagraphFont"/>
    <w:link w:val="Heading9"/>
    <w:rsid w:val="007E1E1E"/>
    <w:rPr>
      <w:rFonts w:ascii="Calibri" w:eastAsia="Times New Roman" w:hAnsi="Calibri" w:cs="Times New Roman"/>
      <w:sz w:val="18"/>
      <w:szCs w:val="20"/>
    </w:rPr>
  </w:style>
  <w:style w:type="character" w:styleId="Hyperlink">
    <w:name w:val="Hyperlink"/>
    <w:basedOn w:val="DefaultParagraphFont"/>
    <w:uiPriority w:val="99"/>
    <w:rsid w:val="007E1E1E"/>
    <w:rPr>
      <w:color w:val="0000FF" w:themeColor="hyperlink"/>
      <w:u w:val="single"/>
    </w:rPr>
  </w:style>
  <w:style w:type="character" w:styleId="FollowedHyperlink">
    <w:name w:val="FollowedHyperlink"/>
    <w:basedOn w:val="DefaultParagraphFont"/>
    <w:uiPriority w:val="99"/>
    <w:rsid w:val="007E1E1E"/>
    <w:rPr>
      <w:color w:val="800080" w:themeColor="followedHyperlink"/>
      <w:u w:val="single"/>
    </w:rPr>
  </w:style>
  <w:style w:type="paragraph" w:styleId="TOC1">
    <w:name w:val="toc 1"/>
    <w:basedOn w:val="Normal"/>
    <w:next w:val="Normal"/>
    <w:autoRedefine/>
    <w:uiPriority w:val="39"/>
    <w:rsid w:val="007E1E1E"/>
    <w:pPr>
      <w:tabs>
        <w:tab w:val="left" w:pos="1134"/>
        <w:tab w:val="right" w:leader="dot" w:pos="9628"/>
      </w:tabs>
      <w:spacing w:after="100"/>
    </w:pPr>
    <w:rPr>
      <w:rFonts w:ascii="Arial" w:hAnsi="Arial"/>
      <w:sz w:val="20"/>
    </w:rPr>
  </w:style>
  <w:style w:type="paragraph" w:styleId="TOC2">
    <w:name w:val="toc 2"/>
    <w:basedOn w:val="Normal"/>
    <w:next w:val="Normal"/>
    <w:autoRedefine/>
    <w:semiHidden/>
    <w:rsid w:val="007E1E1E"/>
    <w:pPr>
      <w:spacing w:before="120"/>
      <w:ind w:left="220"/>
    </w:pPr>
    <w:rPr>
      <w:i/>
      <w:iCs/>
      <w:sz w:val="20"/>
    </w:rPr>
  </w:style>
  <w:style w:type="paragraph" w:styleId="TOC3">
    <w:name w:val="toc 3"/>
    <w:basedOn w:val="Normal"/>
    <w:next w:val="Normal"/>
    <w:autoRedefine/>
    <w:uiPriority w:val="39"/>
    <w:rsid w:val="007E1E1E"/>
    <w:pPr>
      <w:ind w:left="440"/>
    </w:pPr>
    <w:rPr>
      <w:sz w:val="20"/>
    </w:rPr>
  </w:style>
  <w:style w:type="paragraph" w:styleId="TOC4">
    <w:name w:val="toc 4"/>
    <w:basedOn w:val="Normal"/>
    <w:next w:val="Normal"/>
    <w:autoRedefine/>
    <w:semiHidden/>
    <w:rsid w:val="007E1E1E"/>
    <w:pPr>
      <w:ind w:left="660"/>
    </w:pPr>
    <w:rPr>
      <w:sz w:val="20"/>
    </w:rPr>
  </w:style>
  <w:style w:type="paragraph" w:styleId="TOC5">
    <w:name w:val="toc 5"/>
    <w:basedOn w:val="Normal"/>
    <w:next w:val="Normal"/>
    <w:autoRedefine/>
    <w:semiHidden/>
    <w:rsid w:val="007E1E1E"/>
    <w:pPr>
      <w:ind w:left="880"/>
    </w:pPr>
    <w:rPr>
      <w:sz w:val="20"/>
    </w:rPr>
  </w:style>
  <w:style w:type="paragraph" w:styleId="TOC6">
    <w:name w:val="toc 6"/>
    <w:basedOn w:val="Normal"/>
    <w:next w:val="Normal"/>
    <w:autoRedefine/>
    <w:semiHidden/>
    <w:rsid w:val="007E1E1E"/>
    <w:pPr>
      <w:ind w:left="1100"/>
    </w:pPr>
    <w:rPr>
      <w:sz w:val="20"/>
    </w:rPr>
  </w:style>
  <w:style w:type="paragraph" w:styleId="TOC7">
    <w:name w:val="toc 7"/>
    <w:basedOn w:val="Normal"/>
    <w:next w:val="Normal"/>
    <w:autoRedefine/>
    <w:semiHidden/>
    <w:rsid w:val="007E1E1E"/>
    <w:pPr>
      <w:ind w:left="1320"/>
    </w:pPr>
    <w:rPr>
      <w:sz w:val="20"/>
    </w:rPr>
  </w:style>
  <w:style w:type="paragraph" w:styleId="TOC8">
    <w:name w:val="toc 8"/>
    <w:basedOn w:val="Normal"/>
    <w:next w:val="Normal"/>
    <w:autoRedefine/>
    <w:semiHidden/>
    <w:rsid w:val="007E1E1E"/>
    <w:pPr>
      <w:ind w:left="1540"/>
    </w:pPr>
    <w:rPr>
      <w:sz w:val="20"/>
    </w:rPr>
  </w:style>
  <w:style w:type="paragraph" w:styleId="TOC9">
    <w:name w:val="toc 9"/>
    <w:basedOn w:val="Normal"/>
    <w:next w:val="Normal"/>
    <w:autoRedefine/>
    <w:semiHidden/>
    <w:rsid w:val="007E1E1E"/>
    <w:pPr>
      <w:ind w:left="1760"/>
    </w:pPr>
    <w:rPr>
      <w:sz w:val="20"/>
    </w:rPr>
  </w:style>
  <w:style w:type="paragraph" w:styleId="FootnoteText">
    <w:name w:val="footnote text"/>
    <w:basedOn w:val="Normal"/>
    <w:link w:val="FootnoteTextChar"/>
    <w:semiHidden/>
    <w:rsid w:val="007E1E1E"/>
    <w:rPr>
      <w:sz w:val="20"/>
    </w:rPr>
  </w:style>
  <w:style w:type="character" w:customStyle="1" w:styleId="FootnoteTextChar">
    <w:name w:val="Footnote Text Char"/>
    <w:basedOn w:val="DefaultParagraphFont"/>
    <w:link w:val="FootnoteText"/>
    <w:semiHidden/>
    <w:rsid w:val="007E1E1E"/>
    <w:rPr>
      <w:rFonts w:ascii="Calibri" w:eastAsia="Times New Roman" w:hAnsi="Calibri" w:cs="Times New Roman"/>
      <w:sz w:val="20"/>
      <w:szCs w:val="20"/>
    </w:rPr>
  </w:style>
  <w:style w:type="paragraph" w:styleId="CommentText">
    <w:name w:val="annotation text"/>
    <w:basedOn w:val="Normal"/>
    <w:link w:val="CommentTextChar"/>
    <w:semiHidden/>
    <w:rsid w:val="007E1E1E"/>
    <w:rPr>
      <w:sz w:val="20"/>
    </w:rPr>
  </w:style>
  <w:style w:type="character" w:customStyle="1" w:styleId="CommentTextChar">
    <w:name w:val="Comment Text Char"/>
    <w:basedOn w:val="DefaultParagraphFont"/>
    <w:link w:val="CommentText"/>
    <w:semiHidden/>
    <w:rsid w:val="007E1E1E"/>
    <w:rPr>
      <w:rFonts w:ascii="Calibri" w:eastAsia="Times New Roman" w:hAnsi="Calibri" w:cs="Times New Roman"/>
      <w:sz w:val="20"/>
      <w:szCs w:val="20"/>
    </w:rPr>
  </w:style>
  <w:style w:type="paragraph" w:styleId="Header">
    <w:name w:val="header"/>
    <w:basedOn w:val="Normal"/>
    <w:link w:val="HeaderChar"/>
    <w:uiPriority w:val="99"/>
    <w:rsid w:val="007E1E1E"/>
    <w:pPr>
      <w:tabs>
        <w:tab w:val="center" w:pos="4513"/>
        <w:tab w:val="right" w:pos="9026"/>
      </w:tabs>
      <w:spacing w:line="240" w:lineRule="auto"/>
    </w:pPr>
  </w:style>
  <w:style w:type="character" w:customStyle="1" w:styleId="HeaderChar">
    <w:name w:val="Header Char"/>
    <w:basedOn w:val="DefaultParagraphFont"/>
    <w:link w:val="Header"/>
    <w:uiPriority w:val="99"/>
    <w:rsid w:val="007E1E1E"/>
    <w:rPr>
      <w:rFonts w:ascii="Calibri" w:eastAsia="Times New Roman" w:hAnsi="Calibri" w:cs="Times New Roman"/>
      <w:sz w:val="18"/>
      <w:szCs w:val="20"/>
    </w:rPr>
  </w:style>
  <w:style w:type="paragraph" w:styleId="Footer">
    <w:name w:val="footer"/>
    <w:basedOn w:val="Normal"/>
    <w:link w:val="FooterChar"/>
    <w:uiPriority w:val="99"/>
    <w:rsid w:val="007E1E1E"/>
    <w:pPr>
      <w:tabs>
        <w:tab w:val="center" w:pos="4513"/>
        <w:tab w:val="right" w:pos="9026"/>
      </w:tabs>
      <w:spacing w:line="240" w:lineRule="auto"/>
    </w:pPr>
  </w:style>
  <w:style w:type="character" w:customStyle="1" w:styleId="FooterChar">
    <w:name w:val="Footer Char"/>
    <w:basedOn w:val="DefaultParagraphFont"/>
    <w:link w:val="Footer"/>
    <w:uiPriority w:val="99"/>
    <w:rsid w:val="007E1E1E"/>
    <w:rPr>
      <w:rFonts w:ascii="Calibri" w:eastAsia="Times New Roman" w:hAnsi="Calibri" w:cs="Times New Roman"/>
      <w:sz w:val="18"/>
      <w:szCs w:val="20"/>
    </w:rPr>
  </w:style>
  <w:style w:type="paragraph" w:styleId="Caption">
    <w:name w:val="caption"/>
    <w:basedOn w:val="Normal"/>
    <w:next w:val="Normal"/>
    <w:qFormat/>
    <w:rsid w:val="007E1E1E"/>
    <w:pPr>
      <w:spacing w:after="200" w:line="240" w:lineRule="auto"/>
    </w:pPr>
    <w:rPr>
      <w:b/>
      <w:bCs/>
      <w:color w:val="4F81BD" w:themeColor="accent1"/>
      <w:szCs w:val="18"/>
    </w:rPr>
  </w:style>
  <w:style w:type="paragraph" w:styleId="TableofFigures">
    <w:name w:val="table of figures"/>
    <w:basedOn w:val="Normal"/>
    <w:next w:val="Normal"/>
    <w:semiHidden/>
    <w:rsid w:val="007E1E1E"/>
  </w:style>
  <w:style w:type="paragraph" w:styleId="MacroText">
    <w:name w:val="macro"/>
    <w:link w:val="MacroTextChar"/>
    <w:semiHidden/>
    <w:rsid w:val="007E1E1E"/>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urier New" w:eastAsia="Times New Roman" w:hAnsi="Courier New" w:cs="Courier New"/>
      <w:sz w:val="18"/>
      <w:szCs w:val="20"/>
      <w:lang w:val="en-GB"/>
    </w:rPr>
  </w:style>
  <w:style w:type="character" w:customStyle="1" w:styleId="MacroTextChar">
    <w:name w:val="Macro Text Char"/>
    <w:basedOn w:val="DefaultParagraphFont"/>
    <w:link w:val="MacroText"/>
    <w:semiHidden/>
    <w:rsid w:val="007E1E1E"/>
    <w:rPr>
      <w:rFonts w:ascii="Courier New" w:eastAsia="Times New Roman" w:hAnsi="Courier New" w:cs="Courier New"/>
      <w:sz w:val="18"/>
      <w:szCs w:val="20"/>
      <w:lang w:val="en-GB"/>
    </w:rPr>
  </w:style>
  <w:style w:type="paragraph" w:styleId="Signature">
    <w:name w:val="Signature"/>
    <w:basedOn w:val="Normal"/>
    <w:link w:val="SignatureChar"/>
    <w:rsid w:val="007E1E1E"/>
    <w:pPr>
      <w:spacing w:line="240" w:lineRule="auto"/>
    </w:pPr>
  </w:style>
  <w:style w:type="character" w:customStyle="1" w:styleId="SignatureChar">
    <w:name w:val="Signature Char"/>
    <w:basedOn w:val="DefaultParagraphFont"/>
    <w:link w:val="Signature"/>
    <w:rsid w:val="007E1E1E"/>
    <w:rPr>
      <w:rFonts w:ascii="Calibri" w:eastAsia="Times New Roman" w:hAnsi="Calibri" w:cs="Times New Roman"/>
      <w:sz w:val="18"/>
      <w:szCs w:val="20"/>
    </w:rPr>
  </w:style>
  <w:style w:type="paragraph" w:styleId="DocumentMap">
    <w:name w:val="Document Map"/>
    <w:basedOn w:val="Normal"/>
    <w:link w:val="DocumentMapChar"/>
    <w:semiHidden/>
    <w:rsid w:val="007E1E1E"/>
    <w:pPr>
      <w:shd w:val="clear" w:color="auto" w:fill="000080"/>
      <w:spacing w:line="240" w:lineRule="auto"/>
    </w:pPr>
    <w:rPr>
      <w:rFonts w:ascii="Tahoma" w:hAnsi="Tahoma"/>
      <w:sz w:val="20"/>
      <w:lang w:eastAsia="en-AU"/>
    </w:rPr>
  </w:style>
  <w:style w:type="character" w:customStyle="1" w:styleId="DocumentMapChar">
    <w:name w:val="Document Map Char"/>
    <w:basedOn w:val="DefaultParagraphFont"/>
    <w:link w:val="DocumentMap"/>
    <w:semiHidden/>
    <w:rsid w:val="007E1E1E"/>
    <w:rPr>
      <w:rFonts w:ascii="Tahoma" w:eastAsia="Times New Roman" w:hAnsi="Tahoma" w:cs="Times New Roman"/>
      <w:sz w:val="20"/>
      <w:szCs w:val="20"/>
      <w:shd w:val="clear" w:color="auto" w:fill="000080"/>
      <w:lang w:eastAsia="en-AU"/>
    </w:rPr>
  </w:style>
  <w:style w:type="paragraph" w:styleId="CommentSubject">
    <w:name w:val="annotation subject"/>
    <w:basedOn w:val="CommentText"/>
    <w:next w:val="CommentText"/>
    <w:link w:val="CommentSubjectChar"/>
    <w:semiHidden/>
    <w:rsid w:val="007E1E1E"/>
    <w:rPr>
      <w:b/>
      <w:bCs/>
    </w:rPr>
  </w:style>
  <w:style w:type="character" w:customStyle="1" w:styleId="CommentSubjectChar">
    <w:name w:val="Comment Subject Char"/>
    <w:basedOn w:val="CommentTextChar"/>
    <w:link w:val="CommentSubject"/>
    <w:semiHidden/>
    <w:rsid w:val="007E1E1E"/>
    <w:rPr>
      <w:rFonts w:ascii="Calibri" w:eastAsia="Times New Roman" w:hAnsi="Calibri" w:cs="Times New Roman"/>
      <w:b/>
      <w:bCs/>
      <w:sz w:val="20"/>
      <w:szCs w:val="20"/>
    </w:rPr>
  </w:style>
  <w:style w:type="paragraph" w:styleId="BalloonText">
    <w:name w:val="Balloon Text"/>
    <w:basedOn w:val="Normal"/>
    <w:link w:val="BalloonTextChar"/>
    <w:semiHidden/>
    <w:rsid w:val="007E1E1E"/>
    <w:rPr>
      <w:rFonts w:ascii="Tahoma" w:hAnsi="Tahoma" w:cs="Tahoma"/>
      <w:sz w:val="16"/>
      <w:szCs w:val="16"/>
    </w:rPr>
  </w:style>
  <w:style w:type="character" w:customStyle="1" w:styleId="BalloonTextChar">
    <w:name w:val="Balloon Text Char"/>
    <w:basedOn w:val="DefaultParagraphFont"/>
    <w:link w:val="BalloonText"/>
    <w:semiHidden/>
    <w:rsid w:val="007E1E1E"/>
    <w:rPr>
      <w:rFonts w:ascii="Tahoma" w:eastAsia="Times New Roman" w:hAnsi="Tahoma" w:cs="Tahoma"/>
      <w:sz w:val="16"/>
      <w:szCs w:val="16"/>
    </w:rPr>
  </w:style>
  <w:style w:type="paragraph" w:styleId="Revision">
    <w:name w:val="Revision"/>
    <w:uiPriority w:val="99"/>
    <w:semiHidden/>
    <w:rsid w:val="007E1E1E"/>
    <w:pPr>
      <w:spacing w:after="0" w:line="240" w:lineRule="auto"/>
    </w:pPr>
    <w:rPr>
      <w:rFonts w:ascii="Calibri" w:eastAsia="Times New Roman" w:hAnsi="Calibri" w:cs="Times New Roman"/>
      <w:sz w:val="18"/>
      <w:szCs w:val="20"/>
    </w:rPr>
  </w:style>
  <w:style w:type="character" w:customStyle="1" w:styleId="StatementNameChar">
    <w:name w:val="Statement Name Char"/>
    <w:basedOn w:val="DefaultParagraphFont"/>
    <w:link w:val="StatementName"/>
    <w:locked/>
    <w:rsid w:val="007E1E1E"/>
    <w:rPr>
      <w:rFonts w:ascii="Arial" w:hAnsi="Arial" w:cs="Arial"/>
      <w:b/>
      <w:sz w:val="24"/>
      <w:szCs w:val="24"/>
    </w:rPr>
  </w:style>
  <w:style w:type="paragraph" w:customStyle="1" w:styleId="StatementName">
    <w:name w:val="Statement Name"/>
    <w:basedOn w:val="Normal"/>
    <w:next w:val="Normal"/>
    <w:link w:val="StatementNameChar"/>
    <w:autoRedefine/>
    <w:rsid w:val="007E1E1E"/>
    <w:pPr>
      <w:pBdr>
        <w:bottom w:val="single" w:sz="4" w:space="1" w:color="auto"/>
      </w:pBdr>
    </w:pPr>
    <w:rPr>
      <w:rFonts w:ascii="Arial" w:eastAsiaTheme="minorHAnsi" w:hAnsi="Arial" w:cs="Arial"/>
      <w:b/>
      <w:sz w:val="24"/>
      <w:szCs w:val="24"/>
    </w:rPr>
  </w:style>
  <w:style w:type="paragraph" w:customStyle="1" w:styleId="StatementDateHeader">
    <w:name w:val="Statement Date Header"/>
    <w:basedOn w:val="Normal"/>
    <w:next w:val="Normal"/>
    <w:rsid w:val="007E1E1E"/>
    <w:pPr>
      <w:pBdr>
        <w:bottom w:val="single" w:sz="4" w:space="1" w:color="auto"/>
      </w:pBdr>
    </w:pPr>
    <w:rPr>
      <w:rFonts w:ascii="Arial" w:hAnsi="Arial"/>
      <w:i/>
      <w:sz w:val="24"/>
    </w:rPr>
  </w:style>
  <w:style w:type="paragraph" w:customStyle="1" w:styleId="StatementTextLevel3">
    <w:name w:val="Statement Text Level 3"/>
    <w:basedOn w:val="Normal"/>
    <w:next w:val="Normal"/>
    <w:rsid w:val="007E1E1E"/>
    <w:rPr>
      <w:rFonts w:ascii="Arial" w:hAnsi="Arial"/>
    </w:rPr>
  </w:style>
  <w:style w:type="paragraph" w:customStyle="1" w:styleId="TableHeaderLevel1">
    <w:name w:val="Table Header Level 1"/>
    <w:basedOn w:val="Normal"/>
    <w:semiHidden/>
    <w:rsid w:val="007E1E1E"/>
    <w:pPr>
      <w:jc w:val="center"/>
    </w:pPr>
    <w:rPr>
      <w:rFonts w:ascii="Arial" w:hAnsi="Arial"/>
      <w:b/>
      <w:szCs w:val="18"/>
    </w:rPr>
  </w:style>
  <w:style w:type="paragraph" w:customStyle="1" w:styleId="StatementTextLevel1bItalic">
    <w:name w:val="Statement Text Level 1(b) + Italic"/>
    <w:basedOn w:val="Normal"/>
    <w:rsid w:val="007E1E1E"/>
    <w:rPr>
      <w:rFonts w:ascii="Arial" w:hAnsi="Arial"/>
      <w:b/>
      <w:bCs/>
      <w:i/>
      <w:iCs/>
      <w:szCs w:val="18"/>
    </w:rPr>
  </w:style>
  <w:style w:type="paragraph" w:customStyle="1" w:styleId="Graphic">
    <w:name w:val="Graphic"/>
    <w:basedOn w:val="Signature"/>
    <w:rsid w:val="007E1E1E"/>
    <w:pPr>
      <w:pBdr>
        <w:top w:val="single" w:sz="4" w:space="1" w:color="auto"/>
        <w:left w:val="single" w:sz="4" w:space="1" w:color="auto"/>
        <w:bottom w:val="single" w:sz="4" w:space="1" w:color="auto"/>
        <w:right w:val="single" w:sz="4" w:space="1" w:color="auto"/>
      </w:pBdr>
      <w:jc w:val="center"/>
    </w:pPr>
  </w:style>
  <w:style w:type="paragraph" w:customStyle="1" w:styleId="NotesTotal">
    <w:name w:val="Notes Total"/>
    <w:basedOn w:val="Normal"/>
    <w:autoRedefine/>
    <w:rsid w:val="007E1E1E"/>
    <w:pPr>
      <w:ind w:left="139" w:right="57"/>
    </w:pPr>
    <w:rPr>
      <w:b/>
      <w:iCs/>
      <w:sz w:val="20"/>
    </w:rPr>
  </w:style>
  <w:style w:type="paragraph" w:customStyle="1" w:styleId="TitlePage">
    <w:name w:val="Title Page"/>
    <w:basedOn w:val="Normal"/>
    <w:autoRedefine/>
    <w:rsid w:val="007E1E1E"/>
    <w:pPr>
      <w:spacing w:before="1200" w:after="1200"/>
      <w:ind w:left="57" w:right="57"/>
      <w:jc w:val="right"/>
    </w:pPr>
    <w:rPr>
      <w:b/>
      <w:bCs/>
      <w:sz w:val="48"/>
    </w:rPr>
  </w:style>
  <w:style w:type="paragraph" w:customStyle="1" w:styleId="zcontents">
    <w:name w:val="zcontents"/>
    <w:basedOn w:val="Normal"/>
    <w:semiHidden/>
    <w:rsid w:val="007E1E1E"/>
    <w:pPr>
      <w:spacing w:after="260" w:line="240" w:lineRule="auto"/>
    </w:pPr>
    <w:rPr>
      <w:b/>
      <w:sz w:val="32"/>
    </w:rPr>
  </w:style>
  <w:style w:type="paragraph" w:customStyle="1" w:styleId="Normal10pt">
    <w:name w:val="Normal + 10 pt"/>
    <w:aliases w:val="Line spacing:  single"/>
    <w:basedOn w:val="Normal"/>
    <w:rsid w:val="007E1E1E"/>
    <w:pPr>
      <w:spacing w:before="130" w:after="130"/>
    </w:pPr>
    <w:rPr>
      <w:b/>
      <w:sz w:val="20"/>
    </w:rPr>
  </w:style>
  <w:style w:type="paragraph" w:customStyle="1" w:styleId="Normal8pt">
    <w:name w:val="Normal + 8 pt"/>
    <w:basedOn w:val="Normal"/>
    <w:rsid w:val="007E1E1E"/>
    <w:pPr>
      <w:widowControl w:val="0"/>
      <w:autoSpaceDE w:val="0"/>
      <w:autoSpaceDN w:val="0"/>
      <w:spacing w:line="240" w:lineRule="auto"/>
    </w:pPr>
    <w:rPr>
      <w:bCs/>
      <w:iCs/>
      <w:spacing w:val="-6"/>
      <w:sz w:val="16"/>
      <w:szCs w:val="16"/>
      <w:lang w:val="en-US"/>
    </w:rPr>
  </w:style>
  <w:style w:type="paragraph" w:customStyle="1" w:styleId="NormalCalistoMT">
    <w:name w:val="Normal + Calisto MT"/>
    <w:aliases w:val="8 pt,Right"/>
    <w:basedOn w:val="Normal"/>
    <w:rsid w:val="007E1E1E"/>
    <w:pPr>
      <w:framePr w:hSpace="180" w:wrap="around" w:vAnchor="text" w:hAnchor="margin" w:y="1"/>
      <w:ind w:right="212"/>
      <w:jc w:val="right"/>
    </w:pPr>
    <w:rPr>
      <w:rFonts w:ascii="Calisto MT" w:hAnsi="Calisto MT"/>
      <w:sz w:val="16"/>
    </w:rPr>
  </w:style>
  <w:style w:type="character" w:customStyle="1" w:styleId="ReferenceTextChar">
    <w:name w:val="Reference Text Char"/>
    <w:basedOn w:val="DefaultParagraphFont"/>
    <w:link w:val="ReferenceText"/>
    <w:uiPriority w:val="99"/>
    <w:locked/>
    <w:rsid w:val="007E1E1E"/>
    <w:rPr>
      <w:rFonts w:cstheme="minorHAnsi"/>
      <w:sz w:val="18"/>
    </w:rPr>
  </w:style>
  <w:style w:type="paragraph" w:customStyle="1" w:styleId="ReferenceText">
    <w:name w:val="Reference Text"/>
    <w:basedOn w:val="Normal"/>
    <w:link w:val="ReferenceTextChar"/>
    <w:autoRedefine/>
    <w:uiPriority w:val="99"/>
    <w:qFormat/>
    <w:rsid w:val="007E1E1E"/>
    <w:rPr>
      <w:rFonts w:asciiTheme="minorHAnsi" w:eastAsiaTheme="minorHAnsi" w:hAnsiTheme="minorHAnsi" w:cstheme="minorHAnsi"/>
      <w:szCs w:val="22"/>
    </w:rPr>
  </w:style>
  <w:style w:type="character" w:customStyle="1" w:styleId="NotesHeading-Level1Char">
    <w:name w:val="Notes Heading - Level 1 Char"/>
    <w:basedOn w:val="DefaultParagraphFont"/>
    <w:link w:val="NotesHeading-Level1"/>
    <w:locked/>
    <w:rsid w:val="007E1E1E"/>
    <w:rPr>
      <w:rFonts w:cs="Calibri"/>
      <w:b/>
    </w:rPr>
  </w:style>
  <w:style w:type="paragraph" w:customStyle="1" w:styleId="NotesHeading-Level1">
    <w:name w:val="Notes Heading - Level 1"/>
    <w:basedOn w:val="Normal"/>
    <w:link w:val="NotesHeading-Level1Char"/>
    <w:qFormat/>
    <w:rsid w:val="007E1E1E"/>
    <w:pPr>
      <w:numPr>
        <w:numId w:val="13"/>
      </w:numPr>
      <w:ind w:right="607"/>
      <w:outlineLvl w:val="0"/>
    </w:pPr>
    <w:rPr>
      <w:rFonts w:asciiTheme="minorHAnsi" w:eastAsiaTheme="minorHAnsi" w:hAnsiTheme="minorHAnsi" w:cs="Calibri"/>
      <w:b/>
      <w:sz w:val="22"/>
      <w:szCs w:val="22"/>
    </w:rPr>
  </w:style>
  <w:style w:type="paragraph" w:customStyle="1" w:styleId="NotesHeading-Level2">
    <w:name w:val="Notes Heading - Level 2"/>
    <w:basedOn w:val="NotesHeading-Level1"/>
    <w:rsid w:val="007E1E1E"/>
    <w:pPr>
      <w:framePr w:hSpace="180" w:wrap="around" w:vAnchor="text" w:hAnchor="margin" w:y="1"/>
      <w:numPr>
        <w:ilvl w:val="1"/>
      </w:numPr>
      <w:tabs>
        <w:tab w:val="clear" w:pos="851"/>
      </w:tabs>
      <w:ind w:left="720" w:hanging="360"/>
    </w:pPr>
    <w:rPr>
      <w:sz w:val="18"/>
    </w:rPr>
  </w:style>
  <w:style w:type="paragraph" w:customStyle="1" w:styleId="StatementHeading">
    <w:name w:val="Statement Heading"/>
    <w:basedOn w:val="Normal"/>
    <w:rsid w:val="007E1E1E"/>
    <w:rPr>
      <w:rFonts w:ascii="Arial" w:hAnsi="Arial"/>
      <w:b/>
      <w:sz w:val="24"/>
    </w:rPr>
  </w:style>
  <w:style w:type="paragraph" w:customStyle="1" w:styleId="GreyShadeTableBreak">
    <w:name w:val="Grey Shade Table Break"/>
    <w:basedOn w:val="Normal"/>
    <w:qFormat/>
    <w:rsid w:val="007E1E1E"/>
    <w:pPr>
      <w:shd w:val="clear" w:color="auto" w:fill="D9D9D9" w:themeFill="background1" w:themeFillShade="D9"/>
      <w:tabs>
        <w:tab w:val="left" w:pos="9214"/>
      </w:tabs>
      <w:ind w:right="607"/>
    </w:pPr>
  </w:style>
  <w:style w:type="paragraph" w:customStyle="1" w:styleId="GreyShadeTableBreaknon-Standard">
    <w:name w:val="Grey Shade Table Break non-Standard"/>
    <w:qFormat/>
    <w:rsid w:val="007E1E1E"/>
    <w:pPr>
      <w:shd w:val="clear" w:color="auto" w:fill="D9D9D9" w:themeFill="background1" w:themeFillShade="D9"/>
      <w:spacing w:after="0" w:line="240" w:lineRule="auto"/>
      <w:ind w:right="57"/>
    </w:pPr>
    <w:rPr>
      <w:rFonts w:ascii="Times New Roman" w:eastAsia="Times New Roman" w:hAnsi="Times New Roman" w:cs="Times New Roman"/>
      <w:szCs w:val="20"/>
    </w:rPr>
  </w:style>
  <w:style w:type="paragraph" w:customStyle="1" w:styleId="ReferenceTextLetter">
    <w:name w:val="Reference Text Letter"/>
    <w:basedOn w:val="ReferenceText"/>
    <w:qFormat/>
    <w:rsid w:val="007E1E1E"/>
    <w:pPr>
      <w:spacing w:line="240" w:lineRule="auto"/>
      <w:ind w:left="567" w:right="567"/>
    </w:pPr>
    <w:rPr>
      <w:rFonts w:cs="Arial"/>
      <w:szCs w:val="18"/>
    </w:rPr>
  </w:style>
  <w:style w:type="paragraph" w:customStyle="1" w:styleId="NotesHeader">
    <w:name w:val="Notes Header"/>
    <w:basedOn w:val="Normal"/>
    <w:next w:val="Normal"/>
    <w:rsid w:val="007E1E1E"/>
    <w:pPr>
      <w:jc w:val="center"/>
    </w:pPr>
    <w:rPr>
      <w:rFonts w:ascii="Arial" w:hAnsi="Arial"/>
      <w:b/>
    </w:rPr>
  </w:style>
  <w:style w:type="paragraph" w:customStyle="1" w:styleId="NotesReferences">
    <w:name w:val="Notes References"/>
    <w:basedOn w:val="Normal"/>
    <w:next w:val="Normal"/>
    <w:rsid w:val="007E1E1E"/>
    <w:pPr>
      <w:jc w:val="center"/>
    </w:pPr>
    <w:rPr>
      <w:rFonts w:ascii="Arial" w:hAnsi="Arial"/>
    </w:rPr>
  </w:style>
  <w:style w:type="paragraph" w:customStyle="1" w:styleId="NotesData">
    <w:name w:val="Notes Data"/>
    <w:basedOn w:val="Normal"/>
    <w:rsid w:val="007E1E1E"/>
    <w:pPr>
      <w:framePr w:hSpace="180" w:wrap="around" w:vAnchor="text" w:hAnchor="margin" w:y="1"/>
      <w:jc w:val="center"/>
    </w:pPr>
    <w:rPr>
      <w:sz w:val="20"/>
    </w:rPr>
  </w:style>
  <w:style w:type="paragraph" w:customStyle="1" w:styleId="NotesTextLevel1">
    <w:name w:val="Notes Text Level 1"/>
    <w:basedOn w:val="Normal"/>
    <w:next w:val="Normal"/>
    <w:rsid w:val="007E1E1E"/>
    <w:rPr>
      <w:rFonts w:ascii="Arial" w:hAnsi="Arial"/>
      <w:b/>
      <w:i/>
      <w:u w:val="single"/>
    </w:rPr>
  </w:style>
  <w:style w:type="character" w:customStyle="1" w:styleId="NotesTextLevel3aboldItalicChar">
    <w:name w:val="Notes Text Level 3(a) bold + Italic Char"/>
    <w:basedOn w:val="DefaultParagraphFont"/>
    <w:link w:val="NotesTextLevel3aboldItalic"/>
    <w:locked/>
    <w:rsid w:val="007E1E1E"/>
    <w:rPr>
      <w:rFonts w:ascii="Arial" w:hAnsi="Arial" w:cs="Arial"/>
      <w:b/>
      <w:bCs/>
      <w:i/>
      <w:iCs/>
      <w:sz w:val="18"/>
    </w:rPr>
  </w:style>
  <w:style w:type="paragraph" w:customStyle="1" w:styleId="NotesTextLevel3aboldItalic">
    <w:name w:val="Notes Text Level 3(a) bold + Italic"/>
    <w:basedOn w:val="Normal"/>
    <w:link w:val="NotesTextLevel3aboldItalicChar"/>
    <w:rsid w:val="007E1E1E"/>
    <w:rPr>
      <w:rFonts w:ascii="Arial" w:eastAsiaTheme="minorHAnsi" w:hAnsi="Arial" w:cs="Arial"/>
      <w:b/>
      <w:bCs/>
      <w:i/>
      <w:iCs/>
      <w:szCs w:val="22"/>
    </w:rPr>
  </w:style>
  <w:style w:type="paragraph" w:customStyle="1" w:styleId="NotesHeading3">
    <w:name w:val="Notes Heading 3"/>
    <w:basedOn w:val="Normal"/>
    <w:autoRedefine/>
    <w:rsid w:val="007E1E1E"/>
    <w:pPr>
      <w:spacing w:before="80" w:after="40"/>
      <w:ind w:left="113" w:right="113"/>
    </w:pPr>
    <w:rPr>
      <w:u w:val="single"/>
      <w:lang w:val="en-US"/>
    </w:rPr>
  </w:style>
  <w:style w:type="paragraph" w:customStyle="1" w:styleId="NotesHeading3a">
    <w:name w:val="Notes Heading 3a"/>
    <w:basedOn w:val="Normal"/>
    <w:autoRedefine/>
    <w:rsid w:val="007E1E1E"/>
    <w:pPr>
      <w:tabs>
        <w:tab w:val="num" w:pos="473"/>
      </w:tabs>
      <w:spacing w:after="120"/>
      <w:ind w:left="113" w:right="113"/>
      <w:jc w:val="both"/>
    </w:pPr>
    <w:rPr>
      <w:u w:val="single"/>
      <w:lang w:val="en-US"/>
    </w:rPr>
  </w:style>
  <w:style w:type="paragraph" w:customStyle="1" w:styleId="Notessub-lineitem">
    <w:name w:val="Notes sub-line item"/>
    <w:basedOn w:val="Normal"/>
    <w:autoRedefine/>
    <w:rsid w:val="007E1E1E"/>
    <w:pPr>
      <w:framePr w:hSpace="180" w:wrap="around" w:vAnchor="page" w:hAnchor="margin" w:y="1985"/>
      <w:tabs>
        <w:tab w:val="left" w:pos="593"/>
        <w:tab w:val="left" w:pos="1443"/>
      </w:tabs>
      <w:ind w:left="567" w:right="113"/>
    </w:pPr>
    <w:rPr>
      <w:sz w:val="20"/>
    </w:rPr>
  </w:style>
  <w:style w:type="paragraph" w:customStyle="1" w:styleId="NotesLineItem">
    <w:name w:val="Notes Line Item"/>
    <w:basedOn w:val="Normal"/>
    <w:autoRedefine/>
    <w:rsid w:val="007E1E1E"/>
    <w:pPr>
      <w:ind w:left="34"/>
    </w:pPr>
    <w:rPr>
      <w:iCs/>
      <w:sz w:val="16"/>
      <w:szCs w:val="16"/>
      <w:lang w:eastAsia="en-AU"/>
    </w:rPr>
  </w:style>
  <w:style w:type="paragraph" w:customStyle="1" w:styleId="NoteText">
    <w:name w:val="Note Text"/>
    <w:basedOn w:val="Normal"/>
    <w:autoRedefine/>
    <w:rsid w:val="007E1E1E"/>
    <w:pPr>
      <w:tabs>
        <w:tab w:val="left" w:pos="284"/>
      </w:tabs>
      <w:spacing w:after="120"/>
      <w:ind w:left="567"/>
    </w:pPr>
    <w:rPr>
      <w:sz w:val="20"/>
    </w:rPr>
  </w:style>
  <w:style w:type="paragraph" w:customStyle="1" w:styleId="NotesHeading">
    <w:name w:val="'Notes' Heading"/>
    <w:basedOn w:val="Normal"/>
    <w:autoRedefine/>
    <w:rsid w:val="007E1E1E"/>
    <w:pPr>
      <w:ind w:left="57" w:right="57"/>
      <w:jc w:val="center"/>
    </w:pPr>
    <w:rPr>
      <w:b/>
      <w:sz w:val="20"/>
    </w:rPr>
  </w:style>
  <w:style w:type="paragraph" w:customStyle="1" w:styleId="NotesReference">
    <w:name w:val="'Notes' Reference"/>
    <w:basedOn w:val="Normal"/>
    <w:autoRedefine/>
    <w:rsid w:val="007E1E1E"/>
    <w:pPr>
      <w:ind w:left="57" w:right="57"/>
      <w:jc w:val="center"/>
    </w:pPr>
    <w:rPr>
      <w:sz w:val="20"/>
    </w:rPr>
  </w:style>
  <w:style w:type="paragraph" w:customStyle="1" w:styleId="NotesHeading4">
    <w:name w:val="Notes Heading 4"/>
    <w:basedOn w:val="NoteText"/>
    <w:autoRedefine/>
    <w:rsid w:val="007E1E1E"/>
    <w:pPr>
      <w:keepNext/>
      <w:spacing w:before="200" w:after="80"/>
      <w:ind w:right="57"/>
    </w:pPr>
  </w:style>
  <w:style w:type="paragraph" w:customStyle="1" w:styleId="NotesHeading3NumberingOff">
    <w:name w:val="Notes Heading 3 Numbering Off"/>
    <w:basedOn w:val="NotesHeading3"/>
    <w:autoRedefine/>
    <w:rsid w:val="007E1E1E"/>
    <w:pPr>
      <w:tabs>
        <w:tab w:val="left" w:pos="1132"/>
      </w:tabs>
    </w:pPr>
  </w:style>
  <w:style w:type="paragraph" w:customStyle="1" w:styleId="NotesHeadingPlain">
    <w:name w:val="'Notes' Heading Plain"/>
    <w:basedOn w:val="NotesHeading"/>
    <w:autoRedefine/>
    <w:rsid w:val="007E1E1E"/>
    <w:rPr>
      <w:b w:val="0"/>
    </w:rPr>
  </w:style>
  <w:style w:type="paragraph" w:customStyle="1" w:styleId="NotesHeading5">
    <w:name w:val="Notes Heading 5"/>
    <w:basedOn w:val="Normal"/>
    <w:autoRedefine/>
    <w:rsid w:val="007E1E1E"/>
    <w:pPr>
      <w:spacing w:before="120" w:after="40"/>
      <w:ind w:left="113" w:right="113"/>
      <w:jc w:val="both"/>
    </w:pPr>
    <w:rPr>
      <w:b/>
      <w:sz w:val="20"/>
    </w:rPr>
  </w:style>
  <w:style w:type="paragraph" w:customStyle="1" w:styleId="NoteTextBEFOREDotPoint">
    <w:name w:val="Note Text BEFORE Dot Point"/>
    <w:basedOn w:val="NoteText"/>
    <w:rsid w:val="007E1E1E"/>
    <w:pPr>
      <w:spacing w:after="0"/>
      <w:ind w:left="178" w:right="57"/>
    </w:pPr>
  </w:style>
  <w:style w:type="paragraph" w:customStyle="1" w:styleId="ItalicLineItem">
    <w:name w:val="Italic Line Item"/>
    <w:basedOn w:val="Normal"/>
    <w:rsid w:val="007E1E1E"/>
    <w:pPr>
      <w:tabs>
        <w:tab w:val="left" w:pos="566"/>
      </w:tabs>
      <w:ind w:left="284" w:right="113"/>
      <w:jc w:val="both"/>
    </w:pPr>
    <w:rPr>
      <w:i/>
      <w:sz w:val="20"/>
      <w:lang w:val="en-US"/>
    </w:rPr>
  </w:style>
  <w:style w:type="paragraph" w:customStyle="1" w:styleId="ItalicHeading">
    <w:name w:val="Italic Heading"/>
    <w:basedOn w:val="ItalicLineItem"/>
    <w:rsid w:val="007E1E1E"/>
    <w:pPr>
      <w:ind w:left="57" w:right="0"/>
    </w:pPr>
  </w:style>
  <w:style w:type="paragraph" w:customStyle="1" w:styleId="Notes">
    <w:name w:val="'Notes'"/>
    <w:basedOn w:val="Normal"/>
    <w:rsid w:val="007E1E1E"/>
    <w:pPr>
      <w:jc w:val="center"/>
    </w:pPr>
    <w:rPr>
      <w:b/>
    </w:rPr>
  </w:style>
  <w:style w:type="character" w:customStyle="1" w:styleId="LineitemsChar">
    <w:name w:val="Line items Char"/>
    <w:basedOn w:val="DefaultParagraphFont"/>
    <w:link w:val="Lineitems"/>
    <w:uiPriority w:val="99"/>
    <w:locked/>
    <w:rsid w:val="007E1E1E"/>
  </w:style>
  <w:style w:type="paragraph" w:customStyle="1" w:styleId="Lineitems">
    <w:name w:val="Line items"/>
    <w:basedOn w:val="Normal"/>
    <w:link w:val="LineitemsChar"/>
    <w:autoRedefine/>
    <w:uiPriority w:val="99"/>
    <w:rsid w:val="007E1E1E"/>
    <w:rPr>
      <w:rFonts w:asciiTheme="minorHAnsi" w:eastAsiaTheme="minorHAnsi" w:hAnsiTheme="minorHAnsi" w:cstheme="minorBidi"/>
      <w:sz w:val="22"/>
      <w:szCs w:val="22"/>
    </w:rPr>
  </w:style>
  <w:style w:type="paragraph" w:customStyle="1" w:styleId="Notestext">
    <w:name w:val="Notes text"/>
    <w:basedOn w:val="Notes"/>
    <w:rsid w:val="007E1E1E"/>
    <w:rPr>
      <w:b w:val="0"/>
    </w:rPr>
  </w:style>
  <w:style w:type="paragraph" w:customStyle="1" w:styleId="Lineitemtable">
    <w:name w:val="Line item table"/>
    <w:basedOn w:val="Lineitems"/>
    <w:rsid w:val="007E1E1E"/>
  </w:style>
  <w:style w:type="paragraph" w:customStyle="1" w:styleId="12line">
    <w:name w:val="1/2 line"/>
    <w:basedOn w:val="Normal"/>
    <w:rsid w:val="007E1E1E"/>
    <w:pPr>
      <w:spacing w:before="10" w:after="10" w:line="240" w:lineRule="auto"/>
    </w:pPr>
    <w:rPr>
      <w:sz w:val="20"/>
    </w:rPr>
  </w:style>
  <w:style w:type="paragraph" w:customStyle="1" w:styleId="lineitemitalic">
    <w:name w:val="line item italic"/>
    <w:basedOn w:val="Normal"/>
    <w:rsid w:val="007E1E1E"/>
    <w:rPr>
      <w:i/>
    </w:rPr>
  </w:style>
  <w:style w:type="paragraph" w:customStyle="1" w:styleId="lineitembold">
    <w:name w:val="line item bold"/>
    <w:basedOn w:val="Normal"/>
    <w:rsid w:val="007E1E1E"/>
    <w:rPr>
      <w:b/>
      <w:sz w:val="20"/>
    </w:rPr>
  </w:style>
  <w:style w:type="paragraph" w:customStyle="1" w:styleId="Notesheading0">
    <w:name w:val="Notes heading"/>
    <w:basedOn w:val="Normal"/>
    <w:rsid w:val="007E1E1E"/>
    <w:pPr>
      <w:spacing w:line="240" w:lineRule="auto"/>
    </w:pPr>
    <w:rPr>
      <w:rFonts w:ascii="Calisto MT" w:hAnsi="Calisto MT"/>
      <w:b/>
      <w:sz w:val="14"/>
      <w:lang w:eastAsia="en-AU"/>
    </w:rPr>
  </w:style>
  <w:style w:type="paragraph" w:customStyle="1" w:styleId="Notestothefinancialstatements">
    <w:name w:val="Notes to the financial statements"/>
    <w:aliases w:val="Heading"/>
    <w:basedOn w:val="Normal"/>
    <w:rsid w:val="007E1E1E"/>
    <w:pPr>
      <w:tabs>
        <w:tab w:val="left" w:pos="567"/>
        <w:tab w:val="left" w:pos="1134"/>
        <w:tab w:val="left" w:pos="1701"/>
      </w:tabs>
      <w:spacing w:before="60" w:after="60" w:line="240" w:lineRule="auto"/>
    </w:pPr>
    <w:rPr>
      <w:rFonts w:ascii="Tahoma" w:hAnsi="Tahoma"/>
      <w:b/>
      <w:color w:val="000000"/>
      <w:sz w:val="16"/>
      <w:lang w:eastAsia="en-AU"/>
    </w:rPr>
  </w:style>
  <w:style w:type="paragraph" w:customStyle="1" w:styleId="NotesBulletPoint">
    <w:name w:val="Notes Bullet Point"/>
    <w:basedOn w:val="Normal"/>
    <w:autoRedefine/>
    <w:rsid w:val="007E1E1E"/>
    <w:pPr>
      <w:tabs>
        <w:tab w:val="left" w:pos="413"/>
        <w:tab w:val="num" w:pos="927"/>
      </w:tabs>
      <w:snapToGrid w:val="0"/>
      <w:spacing w:line="240" w:lineRule="auto"/>
      <w:ind w:left="414" w:right="113" w:hanging="301"/>
      <w:jc w:val="both"/>
    </w:pPr>
    <w:rPr>
      <w:sz w:val="20"/>
      <w:lang w:val="en-US" w:eastAsia="en-AU"/>
    </w:rPr>
  </w:style>
  <w:style w:type="paragraph" w:customStyle="1" w:styleId="Headinga">
    <w:name w:val="Heading a"/>
    <w:basedOn w:val="Normal"/>
    <w:rsid w:val="007E1E1E"/>
    <w:pPr>
      <w:spacing w:line="240" w:lineRule="auto"/>
    </w:pPr>
    <w:rPr>
      <w:b/>
      <w:bCs/>
      <w:szCs w:val="18"/>
    </w:rPr>
  </w:style>
  <w:style w:type="character" w:customStyle="1" w:styleId="LineitemsTotalChar">
    <w:name w:val="Line items Total Char"/>
    <w:basedOn w:val="LineitemsChar"/>
    <w:link w:val="LineitemsTotal"/>
    <w:uiPriority w:val="99"/>
    <w:locked/>
    <w:rsid w:val="007E1E1E"/>
    <w:rPr>
      <w:b/>
      <w:i/>
    </w:rPr>
  </w:style>
  <w:style w:type="paragraph" w:customStyle="1" w:styleId="LineitemsTotal">
    <w:name w:val="Line items Total"/>
    <w:basedOn w:val="Lineitems"/>
    <w:link w:val="LineitemsTotalChar"/>
    <w:uiPriority w:val="99"/>
    <w:rsid w:val="007E1E1E"/>
    <w:pPr>
      <w:framePr w:hSpace="180" w:wrap="around" w:vAnchor="text" w:hAnchor="margin" w:y="1"/>
    </w:pPr>
    <w:rPr>
      <w:b/>
      <w:i/>
    </w:rPr>
  </w:style>
  <w:style w:type="paragraph" w:customStyle="1" w:styleId="SAPHeading-Level1">
    <w:name w:val="SAP Heading - Level 1"/>
    <w:basedOn w:val="NotesHeading-Level1"/>
    <w:rsid w:val="007E1E1E"/>
    <w:pPr>
      <w:numPr>
        <w:numId w:val="0"/>
      </w:numPr>
      <w:tabs>
        <w:tab w:val="num" w:pos="851"/>
      </w:tabs>
      <w:ind w:left="851" w:hanging="851"/>
    </w:pPr>
    <w:rPr>
      <w:rFonts w:cstheme="minorHAnsi"/>
    </w:rPr>
  </w:style>
  <w:style w:type="paragraph" w:customStyle="1" w:styleId="SAPHeading-Level2">
    <w:name w:val="SAP Heading - Level 2"/>
    <w:basedOn w:val="SAPHeading-Level1"/>
    <w:rsid w:val="007E1E1E"/>
    <w:pPr>
      <w:spacing w:before="100" w:after="100" w:line="240" w:lineRule="auto"/>
      <w:outlineLvl w:val="9"/>
    </w:pPr>
  </w:style>
  <w:style w:type="paragraph" w:customStyle="1" w:styleId="SAPHeading-Level3">
    <w:name w:val="SAP Heading - Level 3"/>
    <w:basedOn w:val="SAPHeading-Level2"/>
    <w:rsid w:val="007E1E1E"/>
  </w:style>
  <w:style w:type="character" w:customStyle="1" w:styleId="NotesTextChar">
    <w:name w:val="Notes Text Char"/>
    <w:basedOn w:val="ReferenceTextChar"/>
    <w:link w:val="NotesText0"/>
    <w:uiPriority w:val="99"/>
    <w:locked/>
    <w:rsid w:val="007E1E1E"/>
    <w:rPr>
      <w:rFonts w:cs="Arial"/>
      <w:sz w:val="18"/>
      <w:szCs w:val="18"/>
    </w:rPr>
  </w:style>
  <w:style w:type="paragraph" w:customStyle="1" w:styleId="NotesText0">
    <w:name w:val="Notes Text"/>
    <w:basedOn w:val="ReferenceText"/>
    <w:link w:val="NotesTextChar"/>
    <w:uiPriority w:val="99"/>
    <w:rsid w:val="007E1E1E"/>
    <w:pPr>
      <w:spacing w:before="100" w:after="100" w:line="240" w:lineRule="auto"/>
    </w:pPr>
    <w:rPr>
      <w:rFonts w:cs="Arial"/>
      <w:szCs w:val="18"/>
    </w:rPr>
  </w:style>
  <w:style w:type="paragraph" w:customStyle="1" w:styleId="NotesTextHeading">
    <w:name w:val="Notes Text Heading"/>
    <w:basedOn w:val="NotesText0"/>
    <w:uiPriority w:val="99"/>
    <w:rsid w:val="007E1E1E"/>
    <w:rPr>
      <w:b/>
      <w:i/>
    </w:rPr>
  </w:style>
  <w:style w:type="paragraph" w:customStyle="1" w:styleId="NoteHeading-Level1">
    <w:name w:val="Note Heading - Level 1"/>
    <w:basedOn w:val="Normal"/>
    <w:rsid w:val="007E1E1E"/>
  </w:style>
  <w:style w:type="paragraph" w:customStyle="1" w:styleId="NoteHeading-Level2">
    <w:name w:val="Note Heading - Level 2"/>
    <w:basedOn w:val="Normal"/>
    <w:rsid w:val="007E1E1E"/>
  </w:style>
  <w:style w:type="paragraph" w:customStyle="1" w:styleId="Notesreferencetext">
    <w:name w:val="Notes reference text"/>
    <w:basedOn w:val="Normal"/>
    <w:next w:val="Normal"/>
    <w:rsid w:val="007E1E1E"/>
    <w:pPr>
      <w:jc w:val="center"/>
    </w:pPr>
  </w:style>
  <w:style w:type="character" w:customStyle="1" w:styleId="StyleReferenceTextItalicChar">
    <w:name w:val="Style Reference Text + Italic Char"/>
    <w:basedOn w:val="ReferenceTextChar"/>
    <w:link w:val="StyleReferenceTextItalic"/>
    <w:uiPriority w:val="99"/>
    <w:locked/>
    <w:rsid w:val="007E1E1E"/>
    <w:rPr>
      <w:rFonts w:ascii="Calibri" w:hAnsi="Calibri" w:cs="Arial"/>
      <w:i/>
      <w:iCs/>
      <w:sz w:val="18"/>
    </w:rPr>
  </w:style>
  <w:style w:type="paragraph" w:customStyle="1" w:styleId="StyleReferenceTextItalic">
    <w:name w:val="Style Reference Text + Italic"/>
    <w:basedOn w:val="ReferenceText"/>
    <w:link w:val="StyleReferenceTextItalicChar"/>
    <w:uiPriority w:val="99"/>
    <w:rsid w:val="007E1E1E"/>
    <w:pPr>
      <w:spacing w:line="240" w:lineRule="atLeast"/>
    </w:pPr>
    <w:rPr>
      <w:rFonts w:ascii="Calibri" w:hAnsi="Calibri" w:cs="Arial"/>
      <w:i/>
      <w:iCs/>
    </w:rPr>
  </w:style>
  <w:style w:type="character" w:customStyle="1" w:styleId="StyleNotesTextItalicChar">
    <w:name w:val="Style Notes Text + Italic Char"/>
    <w:basedOn w:val="NotesTextChar"/>
    <w:link w:val="StyleNotesTextItalic"/>
    <w:uiPriority w:val="99"/>
    <w:locked/>
    <w:rsid w:val="007E1E1E"/>
    <w:rPr>
      <w:rFonts w:cs="Arial"/>
      <w:i/>
      <w:iCs/>
      <w:sz w:val="18"/>
      <w:szCs w:val="18"/>
      <w:u w:val="single"/>
    </w:rPr>
  </w:style>
  <w:style w:type="paragraph" w:customStyle="1" w:styleId="StyleNotesTextItalic">
    <w:name w:val="Style Notes Text + Italic"/>
    <w:basedOn w:val="NotesText0"/>
    <w:link w:val="StyleNotesTextItalicChar"/>
    <w:uiPriority w:val="99"/>
    <w:rsid w:val="007E1E1E"/>
    <w:pPr>
      <w:ind w:right="-54"/>
    </w:pPr>
    <w:rPr>
      <w:i/>
      <w:iCs/>
      <w:u w:val="single"/>
    </w:rPr>
  </w:style>
  <w:style w:type="paragraph" w:customStyle="1" w:styleId="StyleNotesTextPatternClearGray-25">
    <w:name w:val="Style Notes Text + Pattern: Clear (Gray-25%)"/>
    <w:basedOn w:val="NotesText0"/>
    <w:autoRedefine/>
    <w:uiPriority w:val="99"/>
    <w:rsid w:val="007E1E1E"/>
    <w:pPr>
      <w:shd w:val="clear" w:color="auto" w:fill="CCCCCC"/>
      <w:ind w:right="-54"/>
    </w:pPr>
    <w:rPr>
      <w:rFonts w:ascii="Calibri" w:hAnsi="Calibri"/>
      <w:sz w:val="20"/>
      <w:szCs w:val="20"/>
    </w:rPr>
  </w:style>
  <w:style w:type="paragraph" w:customStyle="1" w:styleId="BulletKPMG">
    <w:name w:val="Bullet KPMG"/>
    <w:basedOn w:val="Normal"/>
    <w:uiPriority w:val="99"/>
    <w:rsid w:val="007E1E1E"/>
    <w:pPr>
      <w:tabs>
        <w:tab w:val="num" w:pos="473"/>
      </w:tabs>
      <w:spacing w:before="100" w:after="100" w:line="240" w:lineRule="auto"/>
      <w:ind w:left="357" w:hanging="357"/>
    </w:pPr>
    <w:rPr>
      <w:sz w:val="20"/>
      <w:lang w:val="en-US" w:eastAsia="en-AU"/>
    </w:rPr>
  </w:style>
  <w:style w:type="character" w:customStyle="1" w:styleId="StyleNotesTextBoldChar">
    <w:name w:val="Style Notes Text + Bold Char"/>
    <w:basedOn w:val="NotesTextChar"/>
    <w:link w:val="StyleNotesTextBold"/>
    <w:uiPriority w:val="99"/>
    <w:locked/>
    <w:rsid w:val="007E1E1E"/>
    <w:rPr>
      <w:rFonts w:ascii="Calibri" w:hAnsi="Calibri" w:cs="Arial"/>
      <w:bCs/>
      <w:sz w:val="18"/>
      <w:szCs w:val="18"/>
    </w:rPr>
  </w:style>
  <w:style w:type="paragraph" w:customStyle="1" w:styleId="StyleNotesTextBold">
    <w:name w:val="Style Notes Text + Bold"/>
    <w:basedOn w:val="NotesText0"/>
    <w:link w:val="StyleNotesTextBoldChar"/>
    <w:uiPriority w:val="99"/>
    <w:rsid w:val="007E1E1E"/>
    <w:pPr>
      <w:ind w:right="-54"/>
    </w:pPr>
    <w:rPr>
      <w:rFonts w:ascii="Calibri" w:hAnsi="Calibri"/>
      <w:bCs/>
    </w:rPr>
  </w:style>
  <w:style w:type="character" w:customStyle="1" w:styleId="StyleNotesTextBold1Char">
    <w:name w:val="Style Notes Text + Bold1 Char"/>
    <w:basedOn w:val="NotesTextChar"/>
    <w:link w:val="StyleNotesTextBold1"/>
    <w:uiPriority w:val="99"/>
    <w:locked/>
    <w:rsid w:val="007E1E1E"/>
    <w:rPr>
      <w:rFonts w:ascii="Calibri" w:hAnsi="Calibri" w:cs="Arial"/>
      <w:bCs/>
      <w:sz w:val="18"/>
      <w:szCs w:val="18"/>
    </w:rPr>
  </w:style>
  <w:style w:type="paragraph" w:customStyle="1" w:styleId="StyleNotesTextBold1">
    <w:name w:val="Style Notes Text + Bold1"/>
    <w:basedOn w:val="NotesText0"/>
    <w:link w:val="StyleNotesTextBold1Char"/>
    <w:uiPriority w:val="99"/>
    <w:rsid w:val="007E1E1E"/>
    <w:pPr>
      <w:ind w:right="-54"/>
    </w:pPr>
    <w:rPr>
      <w:rFonts w:ascii="Calibri" w:hAnsi="Calibri"/>
      <w:bCs/>
    </w:rPr>
  </w:style>
  <w:style w:type="character" w:customStyle="1" w:styleId="StatementTextLevel1bChar">
    <w:name w:val="Statement Text Level 1(b) Char"/>
    <w:basedOn w:val="DefaultParagraphFont"/>
    <w:link w:val="StatementTextLevel1b"/>
    <w:uiPriority w:val="99"/>
    <w:locked/>
    <w:rsid w:val="007E1E1E"/>
    <w:rPr>
      <w:rFonts w:ascii="Arial" w:hAnsi="Arial" w:cs="Arial"/>
      <w:b/>
      <w:sz w:val="18"/>
      <w:szCs w:val="18"/>
    </w:rPr>
  </w:style>
  <w:style w:type="paragraph" w:customStyle="1" w:styleId="StatementTextLevel1b">
    <w:name w:val="Statement Text Level 1(b)"/>
    <w:basedOn w:val="Normal"/>
    <w:link w:val="StatementTextLevel1bChar"/>
    <w:uiPriority w:val="99"/>
    <w:rsid w:val="007E1E1E"/>
    <w:rPr>
      <w:rFonts w:ascii="Arial" w:eastAsiaTheme="minorHAnsi" w:hAnsi="Arial" w:cs="Arial"/>
      <w:b/>
      <w:szCs w:val="18"/>
    </w:rPr>
  </w:style>
  <w:style w:type="paragraph" w:customStyle="1" w:styleId="PrimaryStatementsHeading">
    <w:name w:val="Primary Statements Heading"/>
    <w:basedOn w:val="Normal"/>
    <w:autoRedefine/>
    <w:uiPriority w:val="99"/>
    <w:rsid w:val="007E1E1E"/>
    <w:pPr>
      <w:spacing w:line="300" w:lineRule="exact"/>
    </w:pPr>
    <w:rPr>
      <w:b/>
      <w:sz w:val="24"/>
      <w:lang w:val="en-US"/>
    </w:rPr>
  </w:style>
  <w:style w:type="paragraph" w:customStyle="1" w:styleId="PeriodHeading">
    <w:name w:val="Period Heading"/>
    <w:basedOn w:val="PrimaryStatementsHeading"/>
    <w:uiPriority w:val="99"/>
    <w:rsid w:val="007E1E1E"/>
    <w:rPr>
      <w:i/>
      <w:sz w:val="22"/>
    </w:rPr>
  </w:style>
  <w:style w:type="paragraph" w:customStyle="1" w:styleId="CurrentYearDataTotalLevel1">
    <w:name w:val="Current Year Data Total Level 1"/>
    <w:basedOn w:val="Normal"/>
    <w:next w:val="Normal"/>
    <w:autoRedefine/>
    <w:uiPriority w:val="99"/>
    <w:rsid w:val="007E1E1E"/>
    <w:pPr>
      <w:pBdr>
        <w:top w:val="single" w:sz="4" w:space="1" w:color="auto"/>
        <w:bottom w:val="double" w:sz="6" w:space="1" w:color="auto"/>
      </w:pBdr>
      <w:jc w:val="right"/>
    </w:pPr>
    <w:rPr>
      <w:b/>
      <w:szCs w:val="16"/>
    </w:rPr>
  </w:style>
  <w:style w:type="character" w:customStyle="1" w:styleId="LineitemsHeadingChar">
    <w:name w:val="Line items Heading Char"/>
    <w:basedOn w:val="LineitemsChar"/>
    <w:link w:val="LineitemsHeading"/>
    <w:uiPriority w:val="99"/>
    <w:locked/>
    <w:rsid w:val="007E1E1E"/>
    <w:rPr>
      <w:rFonts w:ascii="Calibri" w:hAnsi="Calibri" w:cs="Calibri"/>
      <w:b/>
      <w:sz w:val="18"/>
    </w:rPr>
  </w:style>
  <w:style w:type="paragraph" w:customStyle="1" w:styleId="LineitemsHeading">
    <w:name w:val="Line items Heading"/>
    <w:basedOn w:val="Lineitems"/>
    <w:link w:val="LineitemsHeadingChar"/>
    <w:uiPriority w:val="99"/>
    <w:rsid w:val="007E1E1E"/>
    <w:pPr>
      <w:framePr w:hSpace="180" w:wrap="around" w:vAnchor="text" w:hAnchor="margin" w:y="1"/>
    </w:pPr>
    <w:rPr>
      <w:rFonts w:ascii="Calibri" w:hAnsi="Calibri" w:cs="Calibri"/>
      <w:b/>
      <w:sz w:val="18"/>
    </w:rPr>
  </w:style>
  <w:style w:type="paragraph" w:customStyle="1" w:styleId="PreviousYearDataTotalLevel3">
    <w:name w:val="Previous Year Data Total Level 3"/>
    <w:basedOn w:val="Normal"/>
    <w:autoRedefine/>
    <w:uiPriority w:val="99"/>
    <w:rsid w:val="007E1E1E"/>
    <w:pPr>
      <w:pBdr>
        <w:top w:val="single" w:sz="4" w:space="1" w:color="auto"/>
        <w:bottom w:val="double" w:sz="6" w:space="1" w:color="auto"/>
      </w:pBdr>
      <w:jc w:val="right"/>
    </w:pPr>
  </w:style>
  <w:style w:type="paragraph" w:customStyle="1" w:styleId="StyleNotesTextItalic1">
    <w:name w:val="Style Notes Text + Italic1"/>
    <w:basedOn w:val="NotesText0"/>
    <w:uiPriority w:val="99"/>
    <w:rsid w:val="007E1E1E"/>
    <w:pPr>
      <w:ind w:right="-54"/>
    </w:pPr>
    <w:rPr>
      <w:rFonts w:ascii="Calibri" w:hAnsi="Calibri" w:cs="Times New Roman"/>
      <w:i/>
      <w:iCs/>
      <w:sz w:val="20"/>
      <w:szCs w:val="20"/>
    </w:rPr>
  </w:style>
  <w:style w:type="paragraph" w:customStyle="1" w:styleId="StyleNotesTextPatternClearGray-20">
    <w:name w:val="Style Notes Text + Pattern: Clear (Gray-20%)"/>
    <w:basedOn w:val="NotesText0"/>
    <w:uiPriority w:val="99"/>
    <w:rsid w:val="007E1E1E"/>
    <w:pPr>
      <w:ind w:right="-54"/>
    </w:pPr>
    <w:rPr>
      <w:rFonts w:ascii="Calibri" w:hAnsi="Calibri" w:cs="Times New Roman"/>
      <w:sz w:val="20"/>
      <w:szCs w:val="20"/>
    </w:rPr>
  </w:style>
  <w:style w:type="character" w:customStyle="1" w:styleId="PreviousYearDataTotalLevel2Char">
    <w:name w:val="Previous Year Data Total Level 2 Char"/>
    <w:basedOn w:val="DefaultParagraphFont"/>
    <w:link w:val="PreviousYearDataTotalLevel2"/>
    <w:uiPriority w:val="99"/>
    <w:locked/>
    <w:rsid w:val="007E1E1E"/>
    <w:rPr>
      <w:rFonts w:ascii="Calibri" w:hAnsi="Calibri" w:cs="Calibri"/>
      <w:sz w:val="18"/>
    </w:rPr>
  </w:style>
  <w:style w:type="paragraph" w:customStyle="1" w:styleId="PreviousYearDataTotalLevel2">
    <w:name w:val="Previous Year Data Total Level 2"/>
    <w:basedOn w:val="Normal"/>
    <w:next w:val="Normal"/>
    <w:link w:val="PreviousYearDataTotalLevel2Char"/>
    <w:uiPriority w:val="99"/>
    <w:rsid w:val="007E1E1E"/>
    <w:pPr>
      <w:pBdr>
        <w:top w:val="single" w:sz="4" w:space="1" w:color="auto"/>
        <w:bottom w:val="single" w:sz="4" w:space="1" w:color="auto"/>
      </w:pBdr>
      <w:jc w:val="right"/>
    </w:pPr>
    <w:rPr>
      <w:rFonts w:eastAsiaTheme="minorHAnsi" w:cs="Calibri"/>
      <w:szCs w:val="22"/>
    </w:rPr>
  </w:style>
  <w:style w:type="character" w:customStyle="1" w:styleId="CurrentYearDataTotalLevel2Char">
    <w:name w:val="Current Year Data Total Level 2 Char"/>
    <w:basedOn w:val="DefaultParagraphFont"/>
    <w:link w:val="CurrentYearDataTotalLevel2"/>
    <w:uiPriority w:val="99"/>
    <w:locked/>
    <w:rsid w:val="007E1E1E"/>
    <w:rPr>
      <w:rFonts w:ascii="Calibri" w:hAnsi="Calibri" w:cs="Calibri"/>
      <w:b/>
      <w:sz w:val="18"/>
    </w:rPr>
  </w:style>
  <w:style w:type="paragraph" w:customStyle="1" w:styleId="CurrentYearDataTotalLevel2">
    <w:name w:val="Current Year Data Total Level 2"/>
    <w:basedOn w:val="Normal"/>
    <w:link w:val="CurrentYearDataTotalLevel2Char"/>
    <w:uiPriority w:val="99"/>
    <w:rsid w:val="007E1E1E"/>
    <w:pPr>
      <w:pBdr>
        <w:top w:val="single" w:sz="4" w:space="1" w:color="auto"/>
        <w:bottom w:val="single" w:sz="4" w:space="1" w:color="auto"/>
      </w:pBdr>
      <w:jc w:val="right"/>
    </w:pPr>
    <w:rPr>
      <w:rFonts w:eastAsiaTheme="minorHAnsi" w:cs="Calibri"/>
      <w:b/>
      <w:szCs w:val="22"/>
    </w:rPr>
  </w:style>
  <w:style w:type="paragraph" w:customStyle="1" w:styleId="DeptCurrentYearHeader">
    <w:name w:val="Dept Current Year Header"/>
    <w:basedOn w:val="Normal"/>
    <w:qFormat/>
    <w:rsid w:val="007E1E1E"/>
    <w:pPr>
      <w:spacing w:line="240" w:lineRule="auto"/>
      <w:jc w:val="right"/>
    </w:pPr>
    <w:rPr>
      <w:rFonts w:asciiTheme="minorHAnsi" w:hAnsiTheme="minorHAnsi" w:cstheme="minorHAnsi"/>
      <w:b/>
      <w:szCs w:val="18"/>
      <w:lang w:eastAsia="en-AU"/>
    </w:rPr>
  </w:style>
  <w:style w:type="paragraph" w:customStyle="1" w:styleId="DeptPreviousYearHeader">
    <w:name w:val="Dept Previous Year Header"/>
    <w:qFormat/>
    <w:rsid w:val="007E1E1E"/>
    <w:pPr>
      <w:spacing w:after="0" w:line="240" w:lineRule="auto"/>
      <w:jc w:val="right"/>
    </w:pPr>
    <w:rPr>
      <w:rFonts w:eastAsia="Times New Roman" w:cstheme="minorHAnsi"/>
      <w:sz w:val="18"/>
      <w:szCs w:val="18"/>
      <w:lang w:eastAsia="en-AU"/>
    </w:rPr>
  </w:style>
  <w:style w:type="paragraph" w:customStyle="1" w:styleId="DeptManualEntryCell">
    <w:name w:val="Dept Manual Entry Cell"/>
    <w:basedOn w:val="Normal"/>
    <w:qFormat/>
    <w:rsid w:val="007E1E1E"/>
    <w:pPr>
      <w:spacing w:line="240" w:lineRule="auto"/>
      <w:jc w:val="right"/>
    </w:pPr>
    <w:rPr>
      <w:rFonts w:asciiTheme="minorHAnsi" w:hAnsiTheme="minorHAnsi" w:cstheme="minorHAnsi"/>
      <w:b/>
      <w:szCs w:val="18"/>
      <w:lang w:eastAsia="en-AU"/>
    </w:rPr>
  </w:style>
  <w:style w:type="paragraph" w:customStyle="1" w:styleId="DeptManualEntryCellUnBold">
    <w:name w:val="Dept Manual Entry Cell UnBold"/>
    <w:basedOn w:val="DeptManualEntryCell"/>
    <w:qFormat/>
    <w:rsid w:val="007E1E1E"/>
    <w:rPr>
      <w:b w:val="0"/>
    </w:rPr>
  </w:style>
  <w:style w:type="paragraph" w:customStyle="1" w:styleId="DeptCurrentYearTotal">
    <w:name w:val="Dept Current Year Total"/>
    <w:qFormat/>
    <w:rsid w:val="007E1E1E"/>
    <w:pPr>
      <w:spacing w:after="0" w:line="240" w:lineRule="auto"/>
      <w:jc w:val="right"/>
    </w:pPr>
    <w:rPr>
      <w:rFonts w:eastAsia="Times New Roman" w:cstheme="minorHAnsi"/>
      <w:b/>
      <w:sz w:val="18"/>
      <w:szCs w:val="18"/>
      <w:lang w:eastAsia="en-AU"/>
    </w:rPr>
  </w:style>
  <w:style w:type="paragraph" w:customStyle="1" w:styleId="DeptPreviousYearTotal">
    <w:name w:val="Dept Previous Year Total"/>
    <w:qFormat/>
    <w:rsid w:val="007E1E1E"/>
    <w:pPr>
      <w:spacing w:after="0" w:line="240" w:lineRule="auto"/>
      <w:jc w:val="right"/>
    </w:pPr>
    <w:rPr>
      <w:rFonts w:eastAsia="Times New Roman" w:cstheme="minorHAnsi"/>
      <w:sz w:val="18"/>
      <w:szCs w:val="18"/>
      <w:lang w:eastAsia="en-AU"/>
    </w:rPr>
  </w:style>
  <w:style w:type="paragraph" w:customStyle="1" w:styleId="DeptRowText">
    <w:name w:val="Dept Row Text"/>
    <w:qFormat/>
    <w:rsid w:val="007E1E1E"/>
    <w:pPr>
      <w:spacing w:after="0" w:line="240" w:lineRule="auto"/>
    </w:pPr>
    <w:rPr>
      <w:rFonts w:eastAsia="Times New Roman" w:cstheme="minorHAnsi"/>
      <w:sz w:val="18"/>
      <w:szCs w:val="18"/>
      <w:lang w:eastAsia="en-AU"/>
    </w:rPr>
  </w:style>
  <w:style w:type="paragraph" w:customStyle="1" w:styleId="DeptRowTextTotal">
    <w:name w:val="Dept Row Text Total"/>
    <w:qFormat/>
    <w:rsid w:val="007E1E1E"/>
    <w:pPr>
      <w:spacing w:after="0" w:line="240" w:lineRule="auto"/>
    </w:pPr>
    <w:rPr>
      <w:rFonts w:eastAsia="Times New Roman" w:cstheme="minorHAnsi"/>
      <w:b/>
      <w:i/>
      <w:sz w:val="18"/>
      <w:szCs w:val="18"/>
    </w:rPr>
  </w:style>
  <w:style w:type="paragraph" w:customStyle="1" w:styleId="DeptBlankBlueShade">
    <w:name w:val="Dept Blank Blue Shade"/>
    <w:basedOn w:val="DeptRowTextTotal"/>
    <w:next w:val="12line"/>
    <w:qFormat/>
    <w:rsid w:val="007E1E1E"/>
  </w:style>
  <w:style w:type="paragraph" w:customStyle="1" w:styleId="DeptRowTextIndent">
    <w:name w:val="Dept Row Text Indent"/>
    <w:basedOn w:val="DeptRowText"/>
    <w:qFormat/>
    <w:rsid w:val="007E1E1E"/>
    <w:pPr>
      <w:ind w:left="204"/>
    </w:pPr>
  </w:style>
  <w:style w:type="paragraph" w:customStyle="1" w:styleId="AdminRowTextIndent">
    <w:name w:val="Admin Row Text Indent"/>
    <w:basedOn w:val="DeptRowTextIndent"/>
    <w:qFormat/>
    <w:rsid w:val="007E1E1E"/>
  </w:style>
  <w:style w:type="paragraph" w:customStyle="1" w:styleId="AdminRowTextIndentGrey">
    <w:name w:val="Admin Row Text Indent Grey"/>
    <w:basedOn w:val="AdminRowTextIndent"/>
    <w:qFormat/>
    <w:rsid w:val="007E1E1E"/>
  </w:style>
  <w:style w:type="paragraph" w:customStyle="1" w:styleId="AdminCurrentYearDataGrey">
    <w:name w:val="Admin Current Year Data Grey"/>
    <w:qFormat/>
    <w:rsid w:val="007E1E1E"/>
    <w:pPr>
      <w:spacing w:after="0" w:line="240" w:lineRule="auto"/>
      <w:jc w:val="right"/>
    </w:pPr>
    <w:rPr>
      <w:rFonts w:eastAsia="Times New Roman" w:cstheme="minorHAnsi"/>
      <w:b/>
      <w:sz w:val="18"/>
      <w:szCs w:val="18"/>
      <w:lang w:eastAsia="en-AU"/>
    </w:rPr>
  </w:style>
  <w:style w:type="paragraph" w:customStyle="1" w:styleId="AdminCurrentYearDataNormal">
    <w:name w:val="Admin Current Year Data Normal"/>
    <w:qFormat/>
    <w:rsid w:val="007E1E1E"/>
    <w:pPr>
      <w:spacing w:after="0" w:line="240" w:lineRule="auto"/>
      <w:jc w:val="right"/>
    </w:pPr>
    <w:rPr>
      <w:rFonts w:eastAsia="Times New Roman" w:cstheme="minorHAnsi"/>
      <w:b/>
      <w:sz w:val="18"/>
      <w:szCs w:val="18"/>
      <w:lang w:eastAsia="en-AU"/>
    </w:rPr>
  </w:style>
  <w:style w:type="paragraph" w:customStyle="1" w:styleId="AdminPreviousYearDataGrey">
    <w:name w:val="Admin Previous Year Data Grey"/>
    <w:qFormat/>
    <w:rsid w:val="007E1E1E"/>
    <w:pPr>
      <w:spacing w:after="0" w:line="240" w:lineRule="auto"/>
      <w:jc w:val="right"/>
    </w:pPr>
    <w:rPr>
      <w:rFonts w:eastAsia="Times New Roman" w:cstheme="minorHAnsi"/>
      <w:sz w:val="18"/>
      <w:szCs w:val="18"/>
      <w:lang w:eastAsia="en-AU"/>
    </w:rPr>
  </w:style>
  <w:style w:type="paragraph" w:customStyle="1" w:styleId="AdminPreviousYearDataNormal">
    <w:name w:val="Admin Previous Year Data Normal"/>
    <w:qFormat/>
    <w:rsid w:val="007E1E1E"/>
    <w:pPr>
      <w:spacing w:after="0" w:line="240" w:lineRule="auto"/>
      <w:jc w:val="right"/>
    </w:pPr>
    <w:rPr>
      <w:rFonts w:eastAsia="Times New Roman" w:cstheme="minorHAnsi"/>
      <w:sz w:val="18"/>
      <w:szCs w:val="18"/>
      <w:lang w:eastAsia="en-AU"/>
    </w:rPr>
  </w:style>
  <w:style w:type="paragraph" w:customStyle="1" w:styleId="AdminHeaderlineUnderlineGrey">
    <w:name w:val="Admin Headerline Underline Grey"/>
    <w:basedOn w:val="AdminPreviousYearDataNormal"/>
    <w:next w:val="12line"/>
    <w:qFormat/>
    <w:rsid w:val="007E1E1E"/>
  </w:style>
  <w:style w:type="paragraph" w:customStyle="1" w:styleId="AdminBlankGreyShade">
    <w:name w:val="Admin Blank Grey Shade"/>
    <w:next w:val="12line"/>
    <w:qFormat/>
    <w:rsid w:val="007E1E1E"/>
    <w:pPr>
      <w:spacing w:after="0" w:line="240" w:lineRule="auto"/>
    </w:pPr>
    <w:rPr>
      <w:rFonts w:eastAsia="Times New Roman" w:cstheme="minorHAnsi"/>
      <w:sz w:val="18"/>
      <w:szCs w:val="18"/>
      <w:lang w:eastAsia="en-AU"/>
    </w:rPr>
  </w:style>
  <w:style w:type="paragraph" w:customStyle="1" w:styleId="AdminRowTextGrey">
    <w:name w:val="Admin Row Text Grey"/>
    <w:qFormat/>
    <w:rsid w:val="007E1E1E"/>
    <w:pPr>
      <w:spacing w:after="0" w:line="240" w:lineRule="auto"/>
    </w:pPr>
    <w:rPr>
      <w:rFonts w:eastAsia="Times New Roman" w:cstheme="minorHAnsi"/>
      <w:sz w:val="18"/>
      <w:szCs w:val="18"/>
      <w:lang w:eastAsia="en-AU"/>
    </w:rPr>
  </w:style>
  <w:style w:type="paragraph" w:customStyle="1" w:styleId="AdminCurrentYearTotalGrey">
    <w:name w:val="Admin Current Year Total Grey"/>
    <w:qFormat/>
    <w:rsid w:val="007E1E1E"/>
    <w:pPr>
      <w:spacing w:after="0" w:line="240" w:lineRule="auto"/>
      <w:jc w:val="right"/>
    </w:pPr>
    <w:rPr>
      <w:rFonts w:eastAsia="Times New Roman" w:cstheme="minorHAnsi"/>
      <w:b/>
      <w:sz w:val="18"/>
      <w:szCs w:val="18"/>
      <w:lang w:eastAsia="en-AU"/>
    </w:rPr>
  </w:style>
  <w:style w:type="paragraph" w:customStyle="1" w:styleId="AdminPreviousYearTotalGrey">
    <w:name w:val="Admin Previous Year Total Grey"/>
    <w:qFormat/>
    <w:rsid w:val="007E1E1E"/>
    <w:pPr>
      <w:spacing w:after="0" w:line="240" w:lineRule="auto"/>
      <w:jc w:val="right"/>
    </w:pPr>
    <w:rPr>
      <w:rFonts w:eastAsia="Times New Roman" w:cstheme="minorHAnsi"/>
      <w:sz w:val="18"/>
      <w:szCs w:val="18"/>
      <w:lang w:eastAsia="en-AU"/>
    </w:rPr>
  </w:style>
  <w:style w:type="paragraph" w:customStyle="1" w:styleId="AdminManualEntryCell">
    <w:name w:val="Admin Manual Entry Cell"/>
    <w:qFormat/>
    <w:rsid w:val="007E1E1E"/>
    <w:pPr>
      <w:spacing w:after="0" w:line="240" w:lineRule="auto"/>
      <w:jc w:val="right"/>
    </w:pPr>
    <w:rPr>
      <w:rFonts w:eastAsia="Times New Roman" w:cstheme="minorHAnsi"/>
      <w:b/>
      <w:sz w:val="18"/>
      <w:szCs w:val="18"/>
      <w:lang w:eastAsia="en-AU"/>
    </w:rPr>
  </w:style>
  <w:style w:type="paragraph" w:customStyle="1" w:styleId="AdminManualEntryCellUnbold">
    <w:name w:val="Admin Manual Entry Cell Unbold"/>
    <w:qFormat/>
    <w:rsid w:val="007E1E1E"/>
    <w:pPr>
      <w:spacing w:after="0" w:line="240" w:lineRule="auto"/>
      <w:jc w:val="right"/>
    </w:pPr>
    <w:rPr>
      <w:rFonts w:eastAsia="Times New Roman" w:cstheme="minorHAnsi"/>
      <w:sz w:val="18"/>
      <w:szCs w:val="18"/>
      <w:lang w:eastAsia="en-AU"/>
    </w:rPr>
  </w:style>
  <w:style w:type="paragraph" w:customStyle="1" w:styleId="AdminRowTextHeaderBoldGrey">
    <w:name w:val="Admin Row Text Header Bold Grey"/>
    <w:qFormat/>
    <w:rsid w:val="007E1E1E"/>
    <w:pPr>
      <w:spacing w:after="0" w:line="240" w:lineRule="auto"/>
    </w:pPr>
    <w:rPr>
      <w:rFonts w:eastAsia="Times New Roman" w:cstheme="minorHAnsi"/>
      <w:b/>
      <w:sz w:val="18"/>
      <w:szCs w:val="18"/>
      <w:lang w:eastAsia="en-AU"/>
    </w:rPr>
  </w:style>
  <w:style w:type="paragraph" w:customStyle="1" w:styleId="DeptCurrentYearData">
    <w:name w:val="Dept Current Year Data"/>
    <w:qFormat/>
    <w:rsid w:val="007E1E1E"/>
    <w:pPr>
      <w:spacing w:after="0" w:line="240" w:lineRule="auto"/>
      <w:jc w:val="right"/>
    </w:pPr>
    <w:rPr>
      <w:rFonts w:eastAsia="Times New Roman" w:cstheme="minorHAnsi"/>
      <w:b/>
      <w:sz w:val="18"/>
      <w:szCs w:val="18"/>
      <w:lang w:eastAsia="en-AU"/>
    </w:rPr>
  </w:style>
  <w:style w:type="paragraph" w:customStyle="1" w:styleId="DeptPreviousYearData">
    <w:name w:val="Dept Previous Year Data"/>
    <w:qFormat/>
    <w:rsid w:val="007E1E1E"/>
    <w:pPr>
      <w:spacing w:after="0" w:line="240" w:lineRule="auto"/>
      <w:jc w:val="right"/>
    </w:pPr>
    <w:rPr>
      <w:rFonts w:eastAsia="Times New Roman" w:cstheme="minorHAnsi"/>
      <w:sz w:val="18"/>
      <w:szCs w:val="18"/>
      <w:lang w:eastAsia="en-AU"/>
    </w:rPr>
  </w:style>
  <w:style w:type="paragraph" w:customStyle="1" w:styleId="DeptNoteHeadingUnderlined">
    <w:name w:val="Dept Note Heading Underlined"/>
    <w:qFormat/>
    <w:rsid w:val="007E1E1E"/>
    <w:pPr>
      <w:spacing w:after="0" w:line="240" w:lineRule="auto"/>
    </w:pPr>
    <w:rPr>
      <w:rFonts w:eastAsia="Times New Roman" w:cstheme="minorHAnsi"/>
      <w:b/>
      <w:sz w:val="18"/>
      <w:szCs w:val="18"/>
      <w:u w:val="single"/>
      <w:lang w:eastAsia="en-AU"/>
    </w:rPr>
  </w:style>
  <w:style w:type="paragraph" w:customStyle="1" w:styleId="DeptCurrentYearSubTotal">
    <w:name w:val="Dept Current Year SubTotal"/>
    <w:qFormat/>
    <w:rsid w:val="007E1E1E"/>
    <w:pPr>
      <w:spacing w:after="0" w:line="240" w:lineRule="auto"/>
      <w:jc w:val="right"/>
    </w:pPr>
    <w:rPr>
      <w:rFonts w:eastAsia="Times New Roman" w:cstheme="minorHAnsi"/>
      <w:b/>
      <w:sz w:val="18"/>
      <w:szCs w:val="18"/>
      <w:lang w:eastAsia="en-AU"/>
    </w:rPr>
  </w:style>
  <w:style w:type="paragraph" w:customStyle="1" w:styleId="AdminCurrentYearSubTotal">
    <w:name w:val="Admin Current Year SubTotal"/>
    <w:qFormat/>
    <w:rsid w:val="007E1E1E"/>
    <w:pPr>
      <w:spacing w:after="0" w:line="240" w:lineRule="auto"/>
      <w:jc w:val="right"/>
    </w:pPr>
    <w:rPr>
      <w:rFonts w:eastAsia="Times New Roman" w:cstheme="minorHAnsi"/>
      <w:b/>
      <w:sz w:val="18"/>
      <w:szCs w:val="18"/>
      <w:lang w:eastAsia="en-AU"/>
    </w:rPr>
  </w:style>
  <w:style w:type="paragraph" w:customStyle="1" w:styleId="DeptNoteReference">
    <w:name w:val="Dept Note Reference"/>
    <w:basedOn w:val="AdminCurrentYearSubTotal"/>
    <w:qFormat/>
    <w:rsid w:val="007E1E1E"/>
    <w:pPr>
      <w:jc w:val="center"/>
    </w:pPr>
    <w:rPr>
      <w:b w:val="0"/>
    </w:rPr>
  </w:style>
  <w:style w:type="paragraph" w:customStyle="1" w:styleId="DeptRowTextDoubleIndent">
    <w:name w:val="Dept Row Text Double Indent"/>
    <w:basedOn w:val="DeptNoteReference"/>
    <w:qFormat/>
    <w:rsid w:val="007E1E1E"/>
    <w:pPr>
      <w:tabs>
        <w:tab w:val="left" w:pos="204"/>
      </w:tabs>
      <w:ind w:left="487"/>
      <w:jc w:val="left"/>
    </w:pPr>
  </w:style>
  <w:style w:type="paragraph" w:customStyle="1" w:styleId="AdminRowTextSubTotal">
    <w:name w:val="Admin Row Text SubTotal"/>
    <w:qFormat/>
    <w:rsid w:val="007E1E1E"/>
    <w:pPr>
      <w:spacing w:after="0" w:line="240" w:lineRule="auto"/>
    </w:pPr>
    <w:rPr>
      <w:rFonts w:eastAsia="Times New Roman" w:cstheme="minorHAnsi"/>
      <w:sz w:val="18"/>
      <w:szCs w:val="18"/>
      <w:lang w:eastAsia="en-AU"/>
    </w:rPr>
  </w:style>
  <w:style w:type="paragraph" w:customStyle="1" w:styleId="DeptRowTextHeader">
    <w:name w:val="Dept Row Text Header"/>
    <w:qFormat/>
    <w:rsid w:val="007E1E1E"/>
    <w:pPr>
      <w:spacing w:after="0" w:line="240" w:lineRule="auto"/>
    </w:pPr>
    <w:rPr>
      <w:rFonts w:eastAsia="Times New Roman" w:cstheme="minorHAnsi"/>
      <w:b/>
      <w:sz w:val="18"/>
      <w:szCs w:val="18"/>
      <w:lang w:eastAsia="en-AU"/>
    </w:rPr>
  </w:style>
  <w:style w:type="paragraph" w:customStyle="1" w:styleId="DeptPreviousYearSubTotal">
    <w:name w:val="Dept Previous Year SubTotal"/>
    <w:qFormat/>
    <w:rsid w:val="007E1E1E"/>
    <w:pPr>
      <w:spacing w:after="0" w:line="240" w:lineRule="auto"/>
      <w:jc w:val="right"/>
    </w:pPr>
    <w:rPr>
      <w:rFonts w:eastAsia="Times New Roman" w:cstheme="minorHAnsi"/>
      <w:sz w:val="18"/>
      <w:szCs w:val="18"/>
      <w:lang w:eastAsia="en-AU"/>
    </w:rPr>
  </w:style>
  <w:style w:type="paragraph" w:customStyle="1" w:styleId="AdminCurrentYearHeadersGrey">
    <w:name w:val="Admin Current Year Headers Grey"/>
    <w:qFormat/>
    <w:rsid w:val="007E1E1E"/>
    <w:pPr>
      <w:spacing w:after="0" w:line="240" w:lineRule="auto"/>
      <w:jc w:val="right"/>
    </w:pPr>
    <w:rPr>
      <w:rFonts w:eastAsia="Times New Roman" w:cstheme="minorHAnsi"/>
      <w:b/>
      <w:sz w:val="18"/>
      <w:szCs w:val="18"/>
      <w:lang w:eastAsia="en-AU"/>
    </w:rPr>
  </w:style>
  <w:style w:type="paragraph" w:customStyle="1" w:styleId="AdminPreviousYearHeadersGrey">
    <w:name w:val="Admin Previous Year Headers Grey"/>
    <w:basedOn w:val="AdminCurrentYearHeadersGrey"/>
    <w:qFormat/>
    <w:rsid w:val="007E1E1E"/>
  </w:style>
  <w:style w:type="paragraph" w:customStyle="1" w:styleId="AdminHeaderUnderlineGrey">
    <w:name w:val="Admin Header Underline Grey"/>
    <w:qFormat/>
    <w:rsid w:val="007E1E1E"/>
    <w:pPr>
      <w:spacing w:after="0" w:line="240" w:lineRule="auto"/>
    </w:pPr>
    <w:rPr>
      <w:rFonts w:eastAsia="Times New Roman" w:cstheme="minorHAnsi"/>
      <w:b/>
      <w:sz w:val="18"/>
      <w:szCs w:val="18"/>
      <w:u w:val="single"/>
      <w:lang w:eastAsia="en-AU"/>
    </w:rPr>
  </w:style>
  <w:style w:type="paragraph" w:customStyle="1" w:styleId="AdminPreviousYearHeaderGrey">
    <w:name w:val="Admin Previous Year Header Grey"/>
    <w:qFormat/>
    <w:rsid w:val="007E1E1E"/>
    <w:pPr>
      <w:spacing w:after="0" w:line="240" w:lineRule="auto"/>
      <w:jc w:val="right"/>
    </w:pPr>
    <w:rPr>
      <w:rFonts w:ascii="Calibri" w:eastAsia="Times New Roman" w:hAnsi="Calibri" w:cs="Calibri"/>
      <w:sz w:val="18"/>
      <w:szCs w:val="18"/>
    </w:rPr>
  </w:style>
  <w:style w:type="paragraph" w:customStyle="1" w:styleId="AdminRowTextNormal">
    <w:name w:val="Admin Row Text Normal"/>
    <w:qFormat/>
    <w:rsid w:val="007E1E1E"/>
    <w:pPr>
      <w:spacing w:after="0" w:line="240" w:lineRule="auto"/>
    </w:pPr>
    <w:rPr>
      <w:rFonts w:ascii="Calibri" w:eastAsia="Times New Roman" w:hAnsi="Calibri" w:cs="Calibri"/>
      <w:sz w:val="18"/>
      <w:szCs w:val="18"/>
    </w:rPr>
  </w:style>
  <w:style w:type="paragraph" w:customStyle="1" w:styleId="AdminRowTextTotal">
    <w:name w:val="Admin Row Text Total"/>
    <w:basedOn w:val="Normal"/>
    <w:qFormat/>
    <w:rsid w:val="007E1E1E"/>
    <w:rPr>
      <w:rFonts w:cs="Calibri"/>
      <w:b/>
      <w:bCs/>
      <w:i/>
      <w:iCs/>
      <w:szCs w:val="18"/>
    </w:rPr>
  </w:style>
  <w:style w:type="paragraph" w:customStyle="1" w:styleId="DeptRowTextSubTotal">
    <w:name w:val="Dept Row Text SubTotal"/>
    <w:basedOn w:val="Normal"/>
    <w:qFormat/>
    <w:rsid w:val="007E1E1E"/>
    <w:rPr>
      <w:rFonts w:cs="Calibri"/>
      <w:b/>
      <w:bCs/>
      <w:szCs w:val="18"/>
    </w:rPr>
  </w:style>
  <w:style w:type="paragraph" w:customStyle="1" w:styleId="DeptManualEntryBoldGreyShade">
    <w:name w:val="Dept Manual Entry Bold Grey Shade"/>
    <w:qFormat/>
    <w:rsid w:val="007E1E1E"/>
    <w:pPr>
      <w:spacing w:after="0" w:line="240" w:lineRule="auto"/>
      <w:jc w:val="right"/>
    </w:pPr>
    <w:rPr>
      <w:rFonts w:ascii="Calibri" w:eastAsia="Times New Roman" w:hAnsi="Calibri" w:cs="Calibri"/>
      <w:b/>
      <w:bCs/>
      <w:sz w:val="18"/>
      <w:szCs w:val="18"/>
    </w:rPr>
  </w:style>
  <w:style w:type="paragraph" w:customStyle="1" w:styleId="DeptManualEntryCellUnboldGreyShade">
    <w:name w:val="Dept Manual Entry Cell Unbold Grey Shade"/>
    <w:basedOn w:val="DeptManualEntryBoldGreyShade"/>
    <w:qFormat/>
    <w:rsid w:val="007E1E1E"/>
    <w:rPr>
      <w:b w:val="0"/>
    </w:rPr>
  </w:style>
  <w:style w:type="paragraph" w:customStyle="1" w:styleId="AdminHeaderCentered">
    <w:name w:val="Admin Header Centered"/>
    <w:basedOn w:val="AdminRowTextHeaderBoldGrey"/>
    <w:qFormat/>
    <w:rsid w:val="007E1E1E"/>
    <w:pPr>
      <w:jc w:val="center"/>
    </w:pPr>
  </w:style>
  <w:style w:type="paragraph" w:customStyle="1" w:styleId="AdminNoteReferenceGrey">
    <w:name w:val="Admin Note Reference Grey"/>
    <w:qFormat/>
    <w:rsid w:val="007E1E1E"/>
    <w:pPr>
      <w:spacing w:after="0" w:line="240" w:lineRule="auto"/>
      <w:jc w:val="center"/>
    </w:pPr>
    <w:rPr>
      <w:rFonts w:ascii="Calibri" w:eastAsia="Times New Roman" w:hAnsi="Calibri" w:cs="Calibri"/>
      <w:sz w:val="18"/>
      <w:szCs w:val="18"/>
    </w:rPr>
  </w:style>
  <w:style w:type="paragraph" w:customStyle="1" w:styleId="DeptHeaderCentered">
    <w:name w:val="Dept Header Centered"/>
    <w:qFormat/>
    <w:rsid w:val="007E1E1E"/>
    <w:pPr>
      <w:spacing w:after="0" w:line="240" w:lineRule="auto"/>
      <w:jc w:val="center"/>
    </w:pPr>
    <w:rPr>
      <w:rFonts w:eastAsia="Times New Roman" w:cstheme="minorHAnsi"/>
      <w:b/>
      <w:sz w:val="18"/>
      <w:szCs w:val="18"/>
      <w:lang w:eastAsia="en-AU"/>
    </w:rPr>
  </w:style>
  <w:style w:type="paragraph" w:customStyle="1" w:styleId="NotesHeading-Level1GreyShade">
    <w:name w:val="Notes Heading - Level 1 Grey Shade"/>
    <w:basedOn w:val="NotesHeading-Level1"/>
    <w:qFormat/>
    <w:rsid w:val="007E1E1E"/>
    <w:pPr>
      <w:numPr>
        <w:numId w:val="14"/>
      </w:numPr>
      <w:shd w:val="clear" w:color="auto" w:fill="D9D9D9" w:themeFill="background1" w:themeFillShade="D9"/>
      <w:tabs>
        <w:tab w:val="clear" w:pos="360"/>
        <w:tab w:val="num" w:pos="643"/>
      </w:tabs>
      <w:ind w:left="643"/>
    </w:pPr>
    <w:rPr>
      <w:rFonts w:cstheme="minorHAnsi"/>
    </w:rPr>
  </w:style>
  <w:style w:type="paragraph" w:customStyle="1" w:styleId="UnderlineItalics">
    <w:name w:val="Underline Italics"/>
    <w:basedOn w:val="Normal"/>
    <w:qFormat/>
    <w:rsid w:val="007E1E1E"/>
    <w:rPr>
      <w:i/>
      <w:u w:val="single"/>
    </w:rPr>
  </w:style>
  <w:style w:type="paragraph" w:customStyle="1" w:styleId="Default">
    <w:name w:val="Default"/>
    <w:rsid w:val="007E1E1E"/>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FootnoteReference">
    <w:name w:val="footnote reference"/>
    <w:basedOn w:val="DefaultParagraphFont"/>
    <w:uiPriority w:val="99"/>
    <w:semiHidden/>
    <w:rsid w:val="007E1E1E"/>
    <w:rPr>
      <w:vertAlign w:val="superscript"/>
    </w:rPr>
  </w:style>
  <w:style w:type="character" w:styleId="CommentReference">
    <w:name w:val="annotation reference"/>
    <w:basedOn w:val="DefaultParagraphFont"/>
    <w:semiHidden/>
    <w:rsid w:val="007E1E1E"/>
    <w:rPr>
      <w:sz w:val="16"/>
      <w:szCs w:val="16"/>
    </w:rPr>
  </w:style>
  <w:style w:type="character" w:styleId="PageNumber">
    <w:name w:val="page number"/>
    <w:basedOn w:val="DefaultParagraphFont"/>
    <w:uiPriority w:val="99"/>
    <w:rsid w:val="007E1E1E"/>
    <w:rPr>
      <w:rFonts w:ascii="Times New Roman" w:hAnsi="Times New Roman" w:cs="Times New Roman" w:hint="default"/>
      <w:sz w:val="22"/>
    </w:rPr>
  </w:style>
  <w:style w:type="character" w:customStyle="1" w:styleId="A18">
    <w:name w:val="A18"/>
    <w:uiPriority w:val="99"/>
    <w:rsid w:val="007E1E1E"/>
    <w:rPr>
      <w:i/>
      <w:iCs/>
      <w:color w:val="000000"/>
      <w:sz w:val="14"/>
      <w:szCs w:val="14"/>
      <w:u w:val="single"/>
    </w:rPr>
  </w:style>
  <w:style w:type="table" w:styleId="TableGrid">
    <w:name w:val="Table Grid"/>
    <w:basedOn w:val="TableNormal"/>
    <w:uiPriority w:val="59"/>
    <w:rsid w:val="007E1E1E"/>
    <w:pPr>
      <w:spacing w:after="0" w:line="26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7E1E1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edNotesHeading-Level1">
    <w:name w:val="Continued Notes Heading - Level 1"/>
    <w:basedOn w:val="NotesHeading-Level1"/>
    <w:qFormat/>
    <w:rsid w:val="007E1E1E"/>
    <w:pPr>
      <w:numPr>
        <w:numId w:val="0"/>
      </w:numPr>
      <w:spacing w:line="240" w:lineRule="auto"/>
      <w:outlineLvl w:val="9"/>
    </w:pPr>
  </w:style>
  <w:style w:type="numbering" w:customStyle="1" w:styleId="CurrentList2">
    <w:name w:val="Current List2"/>
    <w:rsid w:val="007E1E1E"/>
    <w:pPr>
      <w:numPr>
        <w:numId w:val="25"/>
      </w:numPr>
    </w:pPr>
  </w:style>
  <w:style w:type="numbering" w:customStyle="1" w:styleId="Style2">
    <w:name w:val="Style2"/>
    <w:rsid w:val="007E1E1E"/>
    <w:pPr>
      <w:numPr>
        <w:numId w:val="26"/>
      </w:numPr>
    </w:pPr>
  </w:style>
  <w:style w:type="numbering" w:customStyle="1" w:styleId="CurrentList1">
    <w:name w:val="Current List1"/>
    <w:rsid w:val="007E1E1E"/>
    <w:pPr>
      <w:numPr>
        <w:numId w:val="27"/>
      </w:numPr>
    </w:pPr>
  </w:style>
  <w:style w:type="paragraph" w:styleId="EndnoteText">
    <w:name w:val="endnote text"/>
    <w:basedOn w:val="Normal"/>
    <w:link w:val="EndnoteTextChar"/>
    <w:rsid w:val="007E1E1E"/>
    <w:pPr>
      <w:spacing w:line="240" w:lineRule="auto"/>
    </w:pPr>
    <w:rPr>
      <w:sz w:val="20"/>
    </w:rPr>
  </w:style>
  <w:style w:type="character" w:customStyle="1" w:styleId="EndnoteTextChar">
    <w:name w:val="Endnote Text Char"/>
    <w:basedOn w:val="DefaultParagraphFont"/>
    <w:link w:val="EndnoteText"/>
    <w:rsid w:val="007E1E1E"/>
    <w:rPr>
      <w:rFonts w:ascii="Calibri" w:eastAsia="Times New Roman" w:hAnsi="Calibri" w:cs="Times New Roman"/>
      <w:sz w:val="20"/>
      <w:szCs w:val="20"/>
    </w:rPr>
  </w:style>
  <w:style w:type="character" w:styleId="EndnoteReference">
    <w:name w:val="endnote reference"/>
    <w:basedOn w:val="DefaultParagraphFont"/>
    <w:rsid w:val="007E1E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table of figures" w:uiPriority="0"/>
    <w:lsdException w:name="annotation reference" w:uiPriority="0"/>
    <w:lsdException w:name="endnote reference" w:uiPriority="0"/>
    <w:lsdException w:name="endnote text" w:uiPriority="0"/>
    <w:lsdException w:name="macro" w:uiPriority="0"/>
    <w:lsdException w:name="List Bullet" w:qFormat="1"/>
    <w:lsdException w:name="List Number" w:qFormat="1"/>
    <w:lsdException w:name="Title" w:semiHidden="0" w:uiPriority="10" w:unhideWhenUsed="0" w:qFormat="1"/>
    <w:lsdException w:name="Signature" w:uiPriority="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E1E1E"/>
    <w:pPr>
      <w:spacing w:after="0" w:line="260" w:lineRule="atLeast"/>
    </w:pPr>
    <w:rPr>
      <w:rFonts w:ascii="Calibri" w:eastAsia="Times New Roman" w:hAnsi="Calibri" w:cs="Times New Roman"/>
      <w:sz w:val="18"/>
      <w:szCs w:val="20"/>
    </w:rPr>
  </w:style>
  <w:style w:type="paragraph" w:styleId="Heading1">
    <w:name w:val="heading 1"/>
    <w:aliases w:val="Heading 1 do not use,Section heading 1,Front Page Title,1.,Para 1,Para 11"/>
    <w:basedOn w:val="Normal"/>
    <w:next w:val="Normal"/>
    <w:link w:val="Heading1Char"/>
    <w:qFormat/>
    <w:rsid w:val="005536B7"/>
    <w:pPr>
      <w:spacing w:before="480" w:after="120"/>
      <w:contextualSpacing/>
      <w:outlineLvl w:val="0"/>
    </w:pPr>
    <w:rPr>
      <w:rFonts w:eastAsiaTheme="majorEastAsia" w:cstheme="majorBidi"/>
      <w:b/>
      <w:bCs/>
      <w:sz w:val="28"/>
      <w:szCs w:val="28"/>
    </w:rPr>
  </w:style>
  <w:style w:type="paragraph" w:styleId="Heading2">
    <w:name w:val="heading 2"/>
    <w:aliases w:val="Heading 2 do not use,Front Page List of Sections"/>
    <w:basedOn w:val="Normal"/>
    <w:next w:val="Normal"/>
    <w:link w:val="Heading2Char"/>
    <w:qFormat/>
    <w:rsid w:val="007E1E1E"/>
    <w:pPr>
      <w:keepNext/>
      <w:spacing w:before="240" w:after="60"/>
      <w:outlineLvl w:val="1"/>
    </w:pPr>
    <w:rPr>
      <w:rFonts w:ascii="Arial" w:eastAsiaTheme="minorEastAsia" w:hAnsi="Arial" w:cs="Arial"/>
      <w:i/>
      <w:iCs/>
      <w:sz w:val="28"/>
      <w:szCs w:val="28"/>
    </w:rPr>
  </w:style>
  <w:style w:type="paragraph" w:styleId="Heading3">
    <w:name w:val="heading 3"/>
    <w:aliases w:val="Heading 3 do not use"/>
    <w:basedOn w:val="Normal"/>
    <w:next w:val="Normal"/>
    <w:link w:val="Heading3Char"/>
    <w:qFormat/>
    <w:rsid w:val="007E1E1E"/>
    <w:pPr>
      <w:keepNext/>
      <w:spacing w:before="240" w:after="60"/>
      <w:outlineLvl w:val="2"/>
    </w:pPr>
    <w:rPr>
      <w:rFonts w:ascii="Arial" w:eastAsiaTheme="minorEastAsia" w:hAnsi="Arial" w:cs="Arial"/>
      <w:sz w:val="26"/>
      <w:szCs w:val="26"/>
    </w:rPr>
  </w:style>
  <w:style w:type="paragraph" w:styleId="Heading4">
    <w:name w:val="heading 4"/>
    <w:basedOn w:val="Normal"/>
    <w:link w:val="Heading4Char"/>
    <w:qFormat/>
    <w:rsid w:val="007E1E1E"/>
    <w:pPr>
      <w:spacing w:before="130" w:after="130"/>
      <w:outlineLvl w:val="3"/>
    </w:pPr>
    <w:rPr>
      <w:rFonts w:eastAsiaTheme="minorEastAsia"/>
    </w:rPr>
  </w:style>
  <w:style w:type="paragraph" w:styleId="Heading5">
    <w:name w:val="heading 5"/>
    <w:basedOn w:val="Normal"/>
    <w:next w:val="Normal"/>
    <w:link w:val="Heading5Char"/>
    <w:qFormat/>
    <w:rsid w:val="007E1E1E"/>
    <w:pPr>
      <w:outlineLvl w:val="4"/>
    </w:pPr>
    <w:rPr>
      <w:rFonts w:eastAsiaTheme="minorEastAsia"/>
    </w:rPr>
  </w:style>
  <w:style w:type="paragraph" w:styleId="Heading6">
    <w:name w:val="heading 6"/>
    <w:basedOn w:val="Normal"/>
    <w:next w:val="Normal"/>
    <w:link w:val="Heading6Char"/>
    <w:qFormat/>
    <w:rsid w:val="007E1E1E"/>
    <w:pPr>
      <w:outlineLvl w:val="5"/>
    </w:pPr>
    <w:rPr>
      <w:rFonts w:eastAsiaTheme="minorEastAsia"/>
    </w:rPr>
  </w:style>
  <w:style w:type="paragraph" w:styleId="Heading7">
    <w:name w:val="heading 7"/>
    <w:aliases w:val="Section Sub-Heading 4"/>
    <w:basedOn w:val="Normal"/>
    <w:next w:val="Normal"/>
    <w:link w:val="Heading7Char"/>
    <w:qFormat/>
    <w:rsid w:val="007E1E1E"/>
    <w:pPr>
      <w:outlineLvl w:val="6"/>
    </w:pPr>
  </w:style>
  <w:style w:type="paragraph" w:styleId="Heading8">
    <w:name w:val="heading 8"/>
    <w:basedOn w:val="Normal"/>
    <w:next w:val="Normal"/>
    <w:link w:val="Heading8Char"/>
    <w:qFormat/>
    <w:rsid w:val="007E1E1E"/>
    <w:pPr>
      <w:outlineLvl w:val="7"/>
    </w:pPr>
  </w:style>
  <w:style w:type="paragraph" w:styleId="Heading9">
    <w:name w:val="heading 9"/>
    <w:basedOn w:val="Normal"/>
    <w:next w:val="Normal"/>
    <w:link w:val="Heading9Char"/>
    <w:qFormat/>
    <w:rsid w:val="007E1E1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List">
    <w:name w:val="Numbered List"/>
    <w:uiPriority w:val="99"/>
    <w:rsid w:val="00F160D2"/>
    <w:pPr>
      <w:numPr>
        <w:numId w:val="1"/>
      </w:numPr>
    </w:pPr>
  </w:style>
  <w:style w:type="numbering" w:customStyle="1" w:styleId="UnorderedList">
    <w:name w:val="Unordered List"/>
    <w:uiPriority w:val="99"/>
    <w:rsid w:val="00F160D2"/>
    <w:pPr>
      <w:numPr>
        <w:numId w:val="2"/>
      </w:numPr>
    </w:pPr>
  </w:style>
  <w:style w:type="paragraph" w:customStyle="1" w:styleId="BlockQuote">
    <w:name w:val="Block Quote"/>
    <w:basedOn w:val="Quote"/>
    <w:rsid w:val="006E3E34"/>
    <w:pPr>
      <w:spacing w:before="120" w:after="120" w:line="240" w:lineRule="auto"/>
      <w:ind w:left="567" w:right="567"/>
      <w:contextualSpacing/>
    </w:pPr>
    <w:rPr>
      <w:i w:val="0"/>
      <w:noProof/>
      <w:color w:val="auto"/>
      <w:sz w:val="20"/>
    </w:rPr>
  </w:style>
  <w:style w:type="paragraph" w:styleId="Quote">
    <w:name w:val="Quote"/>
    <w:basedOn w:val="Normal"/>
    <w:next w:val="Normal"/>
    <w:link w:val="QuoteChar"/>
    <w:uiPriority w:val="29"/>
    <w:qFormat/>
    <w:rsid w:val="006E3E34"/>
    <w:rPr>
      <w:i/>
      <w:iCs/>
      <w:color w:val="000000" w:themeColor="text1"/>
    </w:rPr>
  </w:style>
  <w:style w:type="character" w:customStyle="1" w:styleId="QuoteChar">
    <w:name w:val="Quote Char"/>
    <w:basedOn w:val="DefaultParagraphFont"/>
    <w:link w:val="Quote"/>
    <w:uiPriority w:val="29"/>
    <w:rsid w:val="006E3E34"/>
    <w:rPr>
      <w:i/>
      <w:iCs/>
      <w:color w:val="000000" w:themeColor="text1"/>
    </w:rPr>
  </w:style>
  <w:style w:type="paragraph" w:styleId="ListNumber">
    <w:name w:val="List Number"/>
    <w:basedOn w:val="Normal"/>
    <w:uiPriority w:val="99"/>
    <w:unhideWhenUsed/>
    <w:qFormat/>
    <w:rsid w:val="009A4A46"/>
    <w:pPr>
      <w:numPr>
        <w:numId w:val="8"/>
      </w:numPr>
      <w:contextualSpacing/>
    </w:pPr>
  </w:style>
  <w:style w:type="paragraph" w:styleId="ListBullet">
    <w:name w:val="List Bullet"/>
    <w:basedOn w:val="Normal"/>
    <w:uiPriority w:val="99"/>
    <w:unhideWhenUsed/>
    <w:qFormat/>
    <w:rsid w:val="009A4A46"/>
    <w:pPr>
      <w:numPr>
        <w:numId w:val="3"/>
      </w:numPr>
      <w:contextualSpacing/>
    </w:pPr>
  </w:style>
  <w:style w:type="paragraph" w:styleId="NoSpacing">
    <w:name w:val="No Spacing"/>
    <w:basedOn w:val="Normal"/>
    <w:uiPriority w:val="1"/>
    <w:rsid w:val="006E3E34"/>
    <w:pPr>
      <w:spacing w:line="240" w:lineRule="auto"/>
    </w:pPr>
  </w:style>
  <w:style w:type="paragraph" w:customStyle="1" w:styleId="Security">
    <w:name w:val="Security"/>
    <w:basedOn w:val="Normal"/>
    <w:link w:val="SecurityChar"/>
    <w:rsid w:val="005536B7"/>
    <w:pPr>
      <w:contextualSpacing/>
      <w:jc w:val="center"/>
    </w:pPr>
    <w:rPr>
      <w:rFonts w:eastAsiaTheme="minorHAnsi"/>
      <w:b/>
      <w:noProof/>
      <w:sz w:val="32"/>
      <w:szCs w:val="32"/>
    </w:rPr>
  </w:style>
  <w:style w:type="character" w:customStyle="1" w:styleId="SecurityChar">
    <w:name w:val="Security Char"/>
    <w:basedOn w:val="DefaultParagraphFont"/>
    <w:link w:val="Security"/>
    <w:rsid w:val="005536B7"/>
    <w:rPr>
      <w:b/>
      <w:noProof/>
      <w:sz w:val="32"/>
      <w:szCs w:val="32"/>
    </w:rPr>
  </w:style>
  <w:style w:type="character" w:customStyle="1" w:styleId="Heading1Char">
    <w:name w:val="Heading 1 Char"/>
    <w:aliases w:val="Heading 1 do not use Char,Section heading 1 Char,Front Page Title Char,1. Char,Para 1 Char,Para 11 Char"/>
    <w:basedOn w:val="DefaultParagraphFont"/>
    <w:link w:val="Heading1"/>
    <w:rsid w:val="005536B7"/>
    <w:rPr>
      <w:rFonts w:eastAsiaTheme="majorEastAsia" w:cstheme="majorBidi"/>
      <w:b/>
      <w:bCs/>
      <w:sz w:val="28"/>
      <w:szCs w:val="28"/>
    </w:rPr>
  </w:style>
  <w:style w:type="character" w:customStyle="1" w:styleId="DeleteText">
    <w:name w:val="Delete Text"/>
    <w:basedOn w:val="DefaultParagraphFont"/>
    <w:uiPriority w:val="1"/>
    <w:rsid w:val="005536B7"/>
    <w:rPr>
      <w:rFonts w:eastAsiaTheme="minorHAnsi"/>
      <w:i/>
      <w:color w:val="0070C0"/>
      <w:sz w:val="20"/>
      <w:szCs w:val="20"/>
    </w:rPr>
  </w:style>
  <w:style w:type="paragraph" w:styleId="ListParagraph">
    <w:name w:val="List Paragraph"/>
    <w:basedOn w:val="Normal"/>
    <w:uiPriority w:val="34"/>
    <w:qFormat/>
    <w:rsid w:val="005536B7"/>
    <w:pPr>
      <w:ind w:left="720"/>
      <w:contextualSpacing/>
    </w:pPr>
  </w:style>
  <w:style w:type="paragraph" w:styleId="Title">
    <w:name w:val="Title"/>
    <w:basedOn w:val="Normal"/>
    <w:next w:val="Normal"/>
    <w:link w:val="TitleChar"/>
    <w:uiPriority w:val="10"/>
    <w:rsid w:val="005536B7"/>
    <w:pP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5536B7"/>
    <w:rPr>
      <w:rFonts w:eastAsiaTheme="majorEastAsia" w:cstheme="majorBidi"/>
      <w:spacing w:val="5"/>
      <w:sz w:val="52"/>
      <w:szCs w:val="52"/>
    </w:rPr>
  </w:style>
  <w:style w:type="character" w:styleId="Strong">
    <w:name w:val="Strong"/>
    <w:uiPriority w:val="22"/>
    <w:rsid w:val="005536B7"/>
    <w:rPr>
      <w:b/>
      <w:bCs/>
    </w:rPr>
  </w:style>
  <w:style w:type="character" w:customStyle="1" w:styleId="Heading2Char">
    <w:name w:val="Heading 2 Char"/>
    <w:aliases w:val="Heading 2 do not use Char,Front Page List of Sections Char"/>
    <w:basedOn w:val="DefaultParagraphFont"/>
    <w:link w:val="Heading2"/>
    <w:rsid w:val="007E1E1E"/>
    <w:rPr>
      <w:rFonts w:ascii="Arial" w:eastAsiaTheme="minorEastAsia" w:hAnsi="Arial" w:cs="Arial"/>
      <w:i/>
      <w:iCs/>
      <w:sz w:val="28"/>
      <w:szCs w:val="28"/>
    </w:rPr>
  </w:style>
  <w:style w:type="character" w:customStyle="1" w:styleId="Heading3Char">
    <w:name w:val="Heading 3 Char"/>
    <w:aliases w:val="Heading 3 do not use Char"/>
    <w:basedOn w:val="DefaultParagraphFont"/>
    <w:link w:val="Heading3"/>
    <w:rsid w:val="007E1E1E"/>
    <w:rPr>
      <w:rFonts w:ascii="Arial" w:eastAsiaTheme="minorEastAsia" w:hAnsi="Arial" w:cs="Arial"/>
      <w:sz w:val="26"/>
      <w:szCs w:val="26"/>
    </w:rPr>
  </w:style>
  <w:style w:type="character" w:customStyle="1" w:styleId="Heading4Char">
    <w:name w:val="Heading 4 Char"/>
    <w:basedOn w:val="DefaultParagraphFont"/>
    <w:link w:val="Heading4"/>
    <w:rsid w:val="007E1E1E"/>
    <w:rPr>
      <w:rFonts w:ascii="Calibri" w:eastAsiaTheme="minorEastAsia" w:hAnsi="Calibri" w:cs="Times New Roman"/>
      <w:sz w:val="18"/>
      <w:szCs w:val="20"/>
    </w:rPr>
  </w:style>
  <w:style w:type="character" w:customStyle="1" w:styleId="Heading5Char">
    <w:name w:val="Heading 5 Char"/>
    <w:basedOn w:val="DefaultParagraphFont"/>
    <w:link w:val="Heading5"/>
    <w:rsid w:val="007E1E1E"/>
    <w:rPr>
      <w:rFonts w:ascii="Calibri" w:eastAsiaTheme="minorEastAsia" w:hAnsi="Calibri" w:cs="Times New Roman"/>
      <w:sz w:val="18"/>
      <w:szCs w:val="20"/>
    </w:rPr>
  </w:style>
  <w:style w:type="character" w:customStyle="1" w:styleId="Heading6Char">
    <w:name w:val="Heading 6 Char"/>
    <w:basedOn w:val="DefaultParagraphFont"/>
    <w:link w:val="Heading6"/>
    <w:rsid w:val="007E1E1E"/>
    <w:rPr>
      <w:rFonts w:ascii="Calibri" w:eastAsiaTheme="minorEastAsia" w:hAnsi="Calibri" w:cs="Times New Roman"/>
      <w:sz w:val="18"/>
      <w:szCs w:val="20"/>
    </w:rPr>
  </w:style>
  <w:style w:type="character" w:customStyle="1" w:styleId="Heading7Char">
    <w:name w:val="Heading 7 Char"/>
    <w:aliases w:val="Section Sub-Heading 4 Char"/>
    <w:basedOn w:val="DefaultParagraphFont"/>
    <w:link w:val="Heading7"/>
    <w:rsid w:val="007E1E1E"/>
    <w:rPr>
      <w:rFonts w:ascii="Calibri" w:eastAsia="Times New Roman" w:hAnsi="Calibri" w:cs="Times New Roman"/>
      <w:sz w:val="18"/>
      <w:szCs w:val="20"/>
    </w:rPr>
  </w:style>
  <w:style w:type="character" w:customStyle="1" w:styleId="Heading8Char">
    <w:name w:val="Heading 8 Char"/>
    <w:basedOn w:val="DefaultParagraphFont"/>
    <w:link w:val="Heading8"/>
    <w:rsid w:val="007E1E1E"/>
    <w:rPr>
      <w:rFonts w:ascii="Calibri" w:eastAsia="Times New Roman" w:hAnsi="Calibri" w:cs="Times New Roman"/>
      <w:sz w:val="18"/>
      <w:szCs w:val="20"/>
    </w:rPr>
  </w:style>
  <w:style w:type="character" w:customStyle="1" w:styleId="Heading9Char">
    <w:name w:val="Heading 9 Char"/>
    <w:basedOn w:val="DefaultParagraphFont"/>
    <w:link w:val="Heading9"/>
    <w:rsid w:val="007E1E1E"/>
    <w:rPr>
      <w:rFonts w:ascii="Calibri" w:eastAsia="Times New Roman" w:hAnsi="Calibri" w:cs="Times New Roman"/>
      <w:sz w:val="18"/>
      <w:szCs w:val="20"/>
    </w:rPr>
  </w:style>
  <w:style w:type="character" w:styleId="Hyperlink">
    <w:name w:val="Hyperlink"/>
    <w:basedOn w:val="DefaultParagraphFont"/>
    <w:uiPriority w:val="99"/>
    <w:rsid w:val="007E1E1E"/>
    <w:rPr>
      <w:color w:val="0000FF" w:themeColor="hyperlink"/>
      <w:u w:val="single"/>
    </w:rPr>
  </w:style>
  <w:style w:type="character" w:styleId="FollowedHyperlink">
    <w:name w:val="FollowedHyperlink"/>
    <w:basedOn w:val="DefaultParagraphFont"/>
    <w:uiPriority w:val="99"/>
    <w:rsid w:val="007E1E1E"/>
    <w:rPr>
      <w:color w:val="800080" w:themeColor="followedHyperlink"/>
      <w:u w:val="single"/>
    </w:rPr>
  </w:style>
  <w:style w:type="paragraph" w:styleId="TOC1">
    <w:name w:val="toc 1"/>
    <w:basedOn w:val="Normal"/>
    <w:next w:val="Normal"/>
    <w:autoRedefine/>
    <w:uiPriority w:val="39"/>
    <w:rsid w:val="007E1E1E"/>
    <w:pPr>
      <w:tabs>
        <w:tab w:val="left" w:pos="1134"/>
        <w:tab w:val="right" w:leader="dot" w:pos="9628"/>
      </w:tabs>
      <w:spacing w:after="100"/>
    </w:pPr>
    <w:rPr>
      <w:rFonts w:ascii="Arial" w:hAnsi="Arial"/>
      <w:sz w:val="20"/>
    </w:rPr>
  </w:style>
  <w:style w:type="paragraph" w:styleId="TOC2">
    <w:name w:val="toc 2"/>
    <w:basedOn w:val="Normal"/>
    <w:next w:val="Normal"/>
    <w:autoRedefine/>
    <w:semiHidden/>
    <w:rsid w:val="007E1E1E"/>
    <w:pPr>
      <w:spacing w:before="120"/>
      <w:ind w:left="220"/>
    </w:pPr>
    <w:rPr>
      <w:i/>
      <w:iCs/>
      <w:sz w:val="20"/>
    </w:rPr>
  </w:style>
  <w:style w:type="paragraph" w:styleId="TOC3">
    <w:name w:val="toc 3"/>
    <w:basedOn w:val="Normal"/>
    <w:next w:val="Normal"/>
    <w:autoRedefine/>
    <w:uiPriority w:val="39"/>
    <w:rsid w:val="007E1E1E"/>
    <w:pPr>
      <w:ind w:left="440"/>
    </w:pPr>
    <w:rPr>
      <w:sz w:val="20"/>
    </w:rPr>
  </w:style>
  <w:style w:type="paragraph" w:styleId="TOC4">
    <w:name w:val="toc 4"/>
    <w:basedOn w:val="Normal"/>
    <w:next w:val="Normal"/>
    <w:autoRedefine/>
    <w:semiHidden/>
    <w:rsid w:val="007E1E1E"/>
    <w:pPr>
      <w:ind w:left="660"/>
    </w:pPr>
    <w:rPr>
      <w:sz w:val="20"/>
    </w:rPr>
  </w:style>
  <w:style w:type="paragraph" w:styleId="TOC5">
    <w:name w:val="toc 5"/>
    <w:basedOn w:val="Normal"/>
    <w:next w:val="Normal"/>
    <w:autoRedefine/>
    <w:semiHidden/>
    <w:rsid w:val="007E1E1E"/>
    <w:pPr>
      <w:ind w:left="880"/>
    </w:pPr>
    <w:rPr>
      <w:sz w:val="20"/>
    </w:rPr>
  </w:style>
  <w:style w:type="paragraph" w:styleId="TOC6">
    <w:name w:val="toc 6"/>
    <w:basedOn w:val="Normal"/>
    <w:next w:val="Normal"/>
    <w:autoRedefine/>
    <w:semiHidden/>
    <w:rsid w:val="007E1E1E"/>
    <w:pPr>
      <w:ind w:left="1100"/>
    </w:pPr>
    <w:rPr>
      <w:sz w:val="20"/>
    </w:rPr>
  </w:style>
  <w:style w:type="paragraph" w:styleId="TOC7">
    <w:name w:val="toc 7"/>
    <w:basedOn w:val="Normal"/>
    <w:next w:val="Normal"/>
    <w:autoRedefine/>
    <w:semiHidden/>
    <w:rsid w:val="007E1E1E"/>
    <w:pPr>
      <w:ind w:left="1320"/>
    </w:pPr>
    <w:rPr>
      <w:sz w:val="20"/>
    </w:rPr>
  </w:style>
  <w:style w:type="paragraph" w:styleId="TOC8">
    <w:name w:val="toc 8"/>
    <w:basedOn w:val="Normal"/>
    <w:next w:val="Normal"/>
    <w:autoRedefine/>
    <w:semiHidden/>
    <w:rsid w:val="007E1E1E"/>
    <w:pPr>
      <w:ind w:left="1540"/>
    </w:pPr>
    <w:rPr>
      <w:sz w:val="20"/>
    </w:rPr>
  </w:style>
  <w:style w:type="paragraph" w:styleId="TOC9">
    <w:name w:val="toc 9"/>
    <w:basedOn w:val="Normal"/>
    <w:next w:val="Normal"/>
    <w:autoRedefine/>
    <w:semiHidden/>
    <w:rsid w:val="007E1E1E"/>
    <w:pPr>
      <w:ind w:left="1760"/>
    </w:pPr>
    <w:rPr>
      <w:sz w:val="20"/>
    </w:rPr>
  </w:style>
  <w:style w:type="paragraph" w:styleId="FootnoteText">
    <w:name w:val="footnote text"/>
    <w:basedOn w:val="Normal"/>
    <w:link w:val="FootnoteTextChar"/>
    <w:semiHidden/>
    <w:rsid w:val="007E1E1E"/>
    <w:rPr>
      <w:sz w:val="20"/>
    </w:rPr>
  </w:style>
  <w:style w:type="character" w:customStyle="1" w:styleId="FootnoteTextChar">
    <w:name w:val="Footnote Text Char"/>
    <w:basedOn w:val="DefaultParagraphFont"/>
    <w:link w:val="FootnoteText"/>
    <w:semiHidden/>
    <w:rsid w:val="007E1E1E"/>
    <w:rPr>
      <w:rFonts w:ascii="Calibri" w:eastAsia="Times New Roman" w:hAnsi="Calibri" w:cs="Times New Roman"/>
      <w:sz w:val="20"/>
      <w:szCs w:val="20"/>
    </w:rPr>
  </w:style>
  <w:style w:type="paragraph" w:styleId="CommentText">
    <w:name w:val="annotation text"/>
    <w:basedOn w:val="Normal"/>
    <w:link w:val="CommentTextChar"/>
    <w:semiHidden/>
    <w:rsid w:val="007E1E1E"/>
    <w:rPr>
      <w:sz w:val="20"/>
    </w:rPr>
  </w:style>
  <w:style w:type="character" w:customStyle="1" w:styleId="CommentTextChar">
    <w:name w:val="Comment Text Char"/>
    <w:basedOn w:val="DefaultParagraphFont"/>
    <w:link w:val="CommentText"/>
    <w:semiHidden/>
    <w:rsid w:val="007E1E1E"/>
    <w:rPr>
      <w:rFonts w:ascii="Calibri" w:eastAsia="Times New Roman" w:hAnsi="Calibri" w:cs="Times New Roman"/>
      <w:sz w:val="20"/>
      <w:szCs w:val="20"/>
    </w:rPr>
  </w:style>
  <w:style w:type="paragraph" w:styleId="Header">
    <w:name w:val="header"/>
    <w:basedOn w:val="Normal"/>
    <w:link w:val="HeaderChar"/>
    <w:uiPriority w:val="99"/>
    <w:rsid w:val="007E1E1E"/>
    <w:pPr>
      <w:tabs>
        <w:tab w:val="center" w:pos="4513"/>
        <w:tab w:val="right" w:pos="9026"/>
      </w:tabs>
      <w:spacing w:line="240" w:lineRule="auto"/>
    </w:pPr>
  </w:style>
  <w:style w:type="character" w:customStyle="1" w:styleId="HeaderChar">
    <w:name w:val="Header Char"/>
    <w:basedOn w:val="DefaultParagraphFont"/>
    <w:link w:val="Header"/>
    <w:uiPriority w:val="99"/>
    <w:rsid w:val="007E1E1E"/>
    <w:rPr>
      <w:rFonts w:ascii="Calibri" w:eastAsia="Times New Roman" w:hAnsi="Calibri" w:cs="Times New Roman"/>
      <w:sz w:val="18"/>
      <w:szCs w:val="20"/>
    </w:rPr>
  </w:style>
  <w:style w:type="paragraph" w:styleId="Footer">
    <w:name w:val="footer"/>
    <w:basedOn w:val="Normal"/>
    <w:link w:val="FooterChar"/>
    <w:uiPriority w:val="99"/>
    <w:rsid w:val="007E1E1E"/>
    <w:pPr>
      <w:tabs>
        <w:tab w:val="center" w:pos="4513"/>
        <w:tab w:val="right" w:pos="9026"/>
      </w:tabs>
      <w:spacing w:line="240" w:lineRule="auto"/>
    </w:pPr>
  </w:style>
  <w:style w:type="character" w:customStyle="1" w:styleId="FooterChar">
    <w:name w:val="Footer Char"/>
    <w:basedOn w:val="DefaultParagraphFont"/>
    <w:link w:val="Footer"/>
    <w:uiPriority w:val="99"/>
    <w:rsid w:val="007E1E1E"/>
    <w:rPr>
      <w:rFonts w:ascii="Calibri" w:eastAsia="Times New Roman" w:hAnsi="Calibri" w:cs="Times New Roman"/>
      <w:sz w:val="18"/>
      <w:szCs w:val="20"/>
    </w:rPr>
  </w:style>
  <w:style w:type="paragraph" w:styleId="Caption">
    <w:name w:val="caption"/>
    <w:basedOn w:val="Normal"/>
    <w:next w:val="Normal"/>
    <w:qFormat/>
    <w:rsid w:val="007E1E1E"/>
    <w:pPr>
      <w:spacing w:after="200" w:line="240" w:lineRule="auto"/>
    </w:pPr>
    <w:rPr>
      <w:b/>
      <w:bCs/>
      <w:color w:val="4F81BD" w:themeColor="accent1"/>
      <w:szCs w:val="18"/>
    </w:rPr>
  </w:style>
  <w:style w:type="paragraph" w:styleId="TableofFigures">
    <w:name w:val="table of figures"/>
    <w:basedOn w:val="Normal"/>
    <w:next w:val="Normal"/>
    <w:semiHidden/>
    <w:rsid w:val="007E1E1E"/>
  </w:style>
  <w:style w:type="paragraph" w:styleId="MacroText">
    <w:name w:val="macro"/>
    <w:link w:val="MacroTextChar"/>
    <w:semiHidden/>
    <w:rsid w:val="007E1E1E"/>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urier New" w:eastAsia="Times New Roman" w:hAnsi="Courier New" w:cs="Courier New"/>
      <w:sz w:val="18"/>
      <w:szCs w:val="20"/>
      <w:lang w:val="en-GB"/>
    </w:rPr>
  </w:style>
  <w:style w:type="character" w:customStyle="1" w:styleId="MacroTextChar">
    <w:name w:val="Macro Text Char"/>
    <w:basedOn w:val="DefaultParagraphFont"/>
    <w:link w:val="MacroText"/>
    <w:semiHidden/>
    <w:rsid w:val="007E1E1E"/>
    <w:rPr>
      <w:rFonts w:ascii="Courier New" w:eastAsia="Times New Roman" w:hAnsi="Courier New" w:cs="Courier New"/>
      <w:sz w:val="18"/>
      <w:szCs w:val="20"/>
      <w:lang w:val="en-GB"/>
    </w:rPr>
  </w:style>
  <w:style w:type="paragraph" w:styleId="Signature">
    <w:name w:val="Signature"/>
    <w:basedOn w:val="Normal"/>
    <w:link w:val="SignatureChar"/>
    <w:rsid w:val="007E1E1E"/>
    <w:pPr>
      <w:spacing w:line="240" w:lineRule="auto"/>
    </w:pPr>
  </w:style>
  <w:style w:type="character" w:customStyle="1" w:styleId="SignatureChar">
    <w:name w:val="Signature Char"/>
    <w:basedOn w:val="DefaultParagraphFont"/>
    <w:link w:val="Signature"/>
    <w:rsid w:val="007E1E1E"/>
    <w:rPr>
      <w:rFonts w:ascii="Calibri" w:eastAsia="Times New Roman" w:hAnsi="Calibri" w:cs="Times New Roman"/>
      <w:sz w:val="18"/>
      <w:szCs w:val="20"/>
    </w:rPr>
  </w:style>
  <w:style w:type="paragraph" w:styleId="DocumentMap">
    <w:name w:val="Document Map"/>
    <w:basedOn w:val="Normal"/>
    <w:link w:val="DocumentMapChar"/>
    <w:semiHidden/>
    <w:rsid w:val="007E1E1E"/>
    <w:pPr>
      <w:shd w:val="clear" w:color="auto" w:fill="000080"/>
      <w:spacing w:line="240" w:lineRule="auto"/>
    </w:pPr>
    <w:rPr>
      <w:rFonts w:ascii="Tahoma" w:hAnsi="Tahoma"/>
      <w:sz w:val="20"/>
      <w:lang w:eastAsia="en-AU"/>
    </w:rPr>
  </w:style>
  <w:style w:type="character" w:customStyle="1" w:styleId="DocumentMapChar">
    <w:name w:val="Document Map Char"/>
    <w:basedOn w:val="DefaultParagraphFont"/>
    <w:link w:val="DocumentMap"/>
    <w:semiHidden/>
    <w:rsid w:val="007E1E1E"/>
    <w:rPr>
      <w:rFonts w:ascii="Tahoma" w:eastAsia="Times New Roman" w:hAnsi="Tahoma" w:cs="Times New Roman"/>
      <w:sz w:val="20"/>
      <w:szCs w:val="20"/>
      <w:shd w:val="clear" w:color="auto" w:fill="000080"/>
      <w:lang w:eastAsia="en-AU"/>
    </w:rPr>
  </w:style>
  <w:style w:type="paragraph" w:styleId="CommentSubject">
    <w:name w:val="annotation subject"/>
    <w:basedOn w:val="CommentText"/>
    <w:next w:val="CommentText"/>
    <w:link w:val="CommentSubjectChar"/>
    <w:semiHidden/>
    <w:rsid w:val="007E1E1E"/>
    <w:rPr>
      <w:b/>
      <w:bCs/>
    </w:rPr>
  </w:style>
  <w:style w:type="character" w:customStyle="1" w:styleId="CommentSubjectChar">
    <w:name w:val="Comment Subject Char"/>
    <w:basedOn w:val="CommentTextChar"/>
    <w:link w:val="CommentSubject"/>
    <w:semiHidden/>
    <w:rsid w:val="007E1E1E"/>
    <w:rPr>
      <w:rFonts w:ascii="Calibri" w:eastAsia="Times New Roman" w:hAnsi="Calibri" w:cs="Times New Roman"/>
      <w:b/>
      <w:bCs/>
      <w:sz w:val="20"/>
      <w:szCs w:val="20"/>
    </w:rPr>
  </w:style>
  <w:style w:type="paragraph" w:styleId="BalloonText">
    <w:name w:val="Balloon Text"/>
    <w:basedOn w:val="Normal"/>
    <w:link w:val="BalloonTextChar"/>
    <w:semiHidden/>
    <w:rsid w:val="007E1E1E"/>
    <w:rPr>
      <w:rFonts w:ascii="Tahoma" w:hAnsi="Tahoma" w:cs="Tahoma"/>
      <w:sz w:val="16"/>
      <w:szCs w:val="16"/>
    </w:rPr>
  </w:style>
  <w:style w:type="character" w:customStyle="1" w:styleId="BalloonTextChar">
    <w:name w:val="Balloon Text Char"/>
    <w:basedOn w:val="DefaultParagraphFont"/>
    <w:link w:val="BalloonText"/>
    <w:semiHidden/>
    <w:rsid w:val="007E1E1E"/>
    <w:rPr>
      <w:rFonts w:ascii="Tahoma" w:eastAsia="Times New Roman" w:hAnsi="Tahoma" w:cs="Tahoma"/>
      <w:sz w:val="16"/>
      <w:szCs w:val="16"/>
    </w:rPr>
  </w:style>
  <w:style w:type="paragraph" w:styleId="Revision">
    <w:name w:val="Revision"/>
    <w:uiPriority w:val="99"/>
    <w:semiHidden/>
    <w:rsid w:val="007E1E1E"/>
    <w:pPr>
      <w:spacing w:after="0" w:line="240" w:lineRule="auto"/>
    </w:pPr>
    <w:rPr>
      <w:rFonts w:ascii="Calibri" w:eastAsia="Times New Roman" w:hAnsi="Calibri" w:cs="Times New Roman"/>
      <w:sz w:val="18"/>
      <w:szCs w:val="20"/>
    </w:rPr>
  </w:style>
  <w:style w:type="character" w:customStyle="1" w:styleId="StatementNameChar">
    <w:name w:val="Statement Name Char"/>
    <w:basedOn w:val="DefaultParagraphFont"/>
    <w:link w:val="StatementName"/>
    <w:locked/>
    <w:rsid w:val="007E1E1E"/>
    <w:rPr>
      <w:rFonts w:ascii="Arial" w:hAnsi="Arial" w:cs="Arial"/>
      <w:b/>
      <w:sz w:val="24"/>
      <w:szCs w:val="24"/>
    </w:rPr>
  </w:style>
  <w:style w:type="paragraph" w:customStyle="1" w:styleId="StatementName">
    <w:name w:val="Statement Name"/>
    <w:basedOn w:val="Normal"/>
    <w:next w:val="Normal"/>
    <w:link w:val="StatementNameChar"/>
    <w:autoRedefine/>
    <w:rsid w:val="007E1E1E"/>
    <w:pPr>
      <w:pBdr>
        <w:bottom w:val="single" w:sz="4" w:space="1" w:color="auto"/>
      </w:pBdr>
    </w:pPr>
    <w:rPr>
      <w:rFonts w:ascii="Arial" w:eastAsiaTheme="minorHAnsi" w:hAnsi="Arial" w:cs="Arial"/>
      <w:b/>
      <w:sz w:val="24"/>
      <w:szCs w:val="24"/>
    </w:rPr>
  </w:style>
  <w:style w:type="paragraph" w:customStyle="1" w:styleId="StatementDateHeader">
    <w:name w:val="Statement Date Header"/>
    <w:basedOn w:val="Normal"/>
    <w:next w:val="Normal"/>
    <w:rsid w:val="007E1E1E"/>
    <w:pPr>
      <w:pBdr>
        <w:bottom w:val="single" w:sz="4" w:space="1" w:color="auto"/>
      </w:pBdr>
    </w:pPr>
    <w:rPr>
      <w:rFonts w:ascii="Arial" w:hAnsi="Arial"/>
      <w:i/>
      <w:sz w:val="24"/>
    </w:rPr>
  </w:style>
  <w:style w:type="paragraph" w:customStyle="1" w:styleId="StatementTextLevel3">
    <w:name w:val="Statement Text Level 3"/>
    <w:basedOn w:val="Normal"/>
    <w:next w:val="Normal"/>
    <w:rsid w:val="007E1E1E"/>
    <w:rPr>
      <w:rFonts w:ascii="Arial" w:hAnsi="Arial"/>
    </w:rPr>
  </w:style>
  <w:style w:type="paragraph" w:customStyle="1" w:styleId="TableHeaderLevel1">
    <w:name w:val="Table Header Level 1"/>
    <w:basedOn w:val="Normal"/>
    <w:semiHidden/>
    <w:rsid w:val="007E1E1E"/>
    <w:pPr>
      <w:jc w:val="center"/>
    </w:pPr>
    <w:rPr>
      <w:rFonts w:ascii="Arial" w:hAnsi="Arial"/>
      <w:b/>
      <w:szCs w:val="18"/>
    </w:rPr>
  </w:style>
  <w:style w:type="paragraph" w:customStyle="1" w:styleId="StatementTextLevel1bItalic">
    <w:name w:val="Statement Text Level 1(b) + Italic"/>
    <w:basedOn w:val="Normal"/>
    <w:rsid w:val="007E1E1E"/>
    <w:rPr>
      <w:rFonts w:ascii="Arial" w:hAnsi="Arial"/>
      <w:b/>
      <w:bCs/>
      <w:i/>
      <w:iCs/>
      <w:szCs w:val="18"/>
    </w:rPr>
  </w:style>
  <w:style w:type="paragraph" w:customStyle="1" w:styleId="Graphic">
    <w:name w:val="Graphic"/>
    <w:basedOn w:val="Signature"/>
    <w:rsid w:val="007E1E1E"/>
    <w:pPr>
      <w:pBdr>
        <w:top w:val="single" w:sz="4" w:space="1" w:color="auto"/>
        <w:left w:val="single" w:sz="4" w:space="1" w:color="auto"/>
        <w:bottom w:val="single" w:sz="4" w:space="1" w:color="auto"/>
        <w:right w:val="single" w:sz="4" w:space="1" w:color="auto"/>
      </w:pBdr>
      <w:jc w:val="center"/>
    </w:pPr>
  </w:style>
  <w:style w:type="paragraph" w:customStyle="1" w:styleId="NotesTotal">
    <w:name w:val="Notes Total"/>
    <w:basedOn w:val="Normal"/>
    <w:autoRedefine/>
    <w:rsid w:val="007E1E1E"/>
    <w:pPr>
      <w:ind w:left="139" w:right="57"/>
    </w:pPr>
    <w:rPr>
      <w:b/>
      <w:iCs/>
      <w:sz w:val="20"/>
    </w:rPr>
  </w:style>
  <w:style w:type="paragraph" w:customStyle="1" w:styleId="TitlePage">
    <w:name w:val="Title Page"/>
    <w:basedOn w:val="Normal"/>
    <w:autoRedefine/>
    <w:rsid w:val="007E1E1E"/>
    <w:pPr>
      <w:spacing w:before="1200" w:after="1200"/>
      <w:ind w:left="57" w:right="57"/>
      <w:jc w:val="right"/>
    </w:pPr>
    <w:rPr>
      <w:b/>
      <w:bCs/>
      <w:sz w:val="48"/>
    </w:rPr>
  </w:style>
  <w:style w:type="paragraph" w:customStyle="1" w:styleId="zcontents">
    <w:name w:val="zcontents"/>
    <w:basedOn w:val="Normal"/>
    <w:semiHidden/>
    <w:rsid w:val="007E1E1E"/>
    <w:pPr>
      <w:spacing w:after="260" w:line="240" w:lineRule="auto"/>
    </w:pPr>
    <w:rPr>
      <w:b/>
      <w:sz w:val="32"/>
    </w:rPr>
  </w:style>
  <w:style w:type="paragraph" w:customStyle="1" w:styleId="Normal10pt">
    <w:name w:val="Normal + 10 pt"/>
    <w:aliases w:val="Line spacing:  single"/>
    <w:basedOn w:val="Normal"/>
    <w:rsid w:val="007E1E1E"/>
    <w:pPr>
      <w:spacing w:before="130" w:after="130"/>
    </w:pPr>
    <w:rPr>
      <w:b/>
      <w:sz w:val="20"/>
    </w:rPr>
  </w:style>
  <w:style w:type="paragraph" w:customStyle="1" w:styleId="Normal8pt">
    <w:name w:val="Normal + 8 pt"/>
    <w:basedOn w:val="Normal"/>
    <w:rsid w:val="007E1E1E"/>
    <w:pPr>
      <w:widowControl w:val="0"/>
      <w:autoSpaceDE w:val="0"/>
      <w:autoSpaceDN w:val="0"/>
      <w:spacing w:line="240" w:lineRule="auto"/>
    </w:pPr>
    <w:rPr>
      <w:bCs/>
      <w:iCs/>
      <w:spacing w:val="-6"/>
      <w:sz w:val="16"/>
      <w:szCs w:val="16"/>
      <w:lang w:val="en-US"/>
    </w:rPr>
  </w:style>
  <w:style w:type="paragraph" w:customStyle="1" w:styleId="NormalCalistoMT">
    <w:name w:val="Normal + Calisto MT"/>
    <w:aliases w:val="8 pt,Right"/>
    <w:basedOn w:val="Normal"/>
    <w:rsid w:val="007E1E1E"/>
    <w:pPr>
      <w:framePr w:hSpace="180" w:wrap="around" w:vAnchor="text" w:hAnchor="margin" w:y="1"/>
      <w:ind w:right="212"/>
      <w:jc w:val="right"/>
    </w:pPr>
    <w:rPr>
      <w:rFonts w:ascii="Calisto MT" w:hAnsi="Calisto MT"/>
      <w:sz w:val="16"/>
    </w:rPr>
  </w:style>
  <w:style w:type="character" w:customStyle="1" w:styleId="ReferenceTextChar">
    <w:name w:val="Reference Text Char"/>
    <w:basedOn w:val="DefaultParagraphFont"/>
    <w:link w:val="ReferenceText"/>
    <w:uiPriority w:val="99"/>
    <w:locked/>
    <w:rsid w:val="007E1E1E"/>
    <w:rPr>
      <w:rFonts w:cstheme="minorHAnsi"/>
      <w:sz w:val="18"/>
    </w:rPr>
  </w:style>
  <w:style w:type="paragraph" w:customStyle="1" w:styleId="ReferenceText">
    <w:name w:val="Reference Text"/>
    <w:basedOn w:val="Normal"/>
    <w:link w:val="ReferenceTextChar"/>
    <w:autoRedefine/>
    <w:uiPriority w:val="99"/>
    <w:qFormat/>
    <w:rsid w:val="007E1E1E"/>
    <w:rPr>
      <w:rFonts w:asciiTheme="minorHAnsi" w:eastAsiaTheme="minorHAnsi" w:hAnsiTheme="minorHAnsi" w:cstheme="minorHAnsi"/>
      <w:szCs w:val="22"/>
    </w:rPr>
  </w:style>
  <w:style w:type="character" w:customStyle="1" w:styleId="NotesHeading-Level1Char">
    <w:name w:val="Notes Heading - Level 1 Char"/>
    <w:basedOn w:val="DefaultParagraphFont"/>
    <w:link w:val="NotesHeading-Level1"/>
    <w:locked/>
    <w:rsid w:val="007E1E1E"/>
    <w:rPr>
      <w:rFonts w:cs="Calibri"/>
      <w:b/>
    </w:rPr>
  </w:style>
  <w:style w:type="paragraph" w:customStyle="1" w:styleId="NotesHeading-Level1">
    <w:name w:val="Notes Heading - Level 1"/>
    <w:basedOn w:val="Normal"/>
    <w:link w:val="NotesHeading-Level1Char"/>
    <w:qFormat/>
    <w:rsid w:val="007E1E1E"/>
    <w:pPr>
      <w:numPr>
        <w:numId w:val="13"/>
      </w:numPr>
      <w:ind w:right="607"/>
      <w:outlineLvl w:val="0"/>
    </w:pPr>
    <w:rPr>
      <w:rFonts w:asciiTheme="minorHAnsi" w:eastAsiaTheme="minorHAnsi" w:hAnsiTheme="minorHAnsi" w:cs="Calibri"/>
      <w:b/>
      <w:sz w:val="22"/>
      <w:szCs w:val="22"/>
    </w:rPr>
  </w:style>
  <w:style w:type="paragraph" w:customStyle="1" w:styleId="NotesHeading-Level2">
    <w:name w:val="Notes Heading - Level 2"/>
    <w:basedOn w:val="NotesHeading-Level1"/>
    <w:rsid w:val="007E1E1E"/>
    <w:pPr>
      <w:framePr w:hSpace="180" w:wrap="around" w:vAnchor="text" w:hAnchor="margin" w:y="1"/>
      <w:numPr>
        <w:ilvl w:val="1"/>
      </w:numPr>
      <w:tabs>
        <w:tab w:val="clear" w:pos="851"/>
      </w:tabs>
      <w:ind w:left="720" w:hanging="360"/>
    </w:pPr>
    <w:rPr>
      <w:sz w:val="18"/>
    </w:rPr>
  </w:style>
  <w:style w:type="paragraph" w:customStyle="1" w:styleId="StatementHeading">
    <w:name w:val="Statement Heading"/>
    <w:basedOn w:val="Normal"/>
    <w:rsid w:val="007E1E1E"/>
    <w:rPr>
      <w:rFonts w:ascii="Arial" w:hAnsi="Arial"/>
      <w:b/>
      <w:sz w:val="24"/>
    </w:rPr>
  </w:style>
  <w:style w:type="paragraph" w:customStyle="1" w:styleId="GreyShadeTableBreak">
    <w:name w:val="Grey Shade Table Break"/>
    <w:basedOn w:val="Normal"/>
    <w:qFormat/>
    <w:rsid w:val="007E1E1E"/>
    <w:pPr>
      <w:shd w:val="clear" w:color="auto" w:fill="D9D9D9" w:themeFill="background1" w:themeFillShade="D9"/>
      <w:tabs>
        <w:tab w:val="left" w:pos="9214"/>
      </w:tabs>
      <w:ind w:right="607"/>
    </w:pPr>
  </w:style>
  <w:style w:type="paragraph" w:customStyle="1" w:styleId="GreyShadeTableBreaknon-Standard">
    <w:name w:val="Grey Shade Table Break non-Standard"/>
    <w:qFormat/>
    <w:rsid w:val="007E1E1E"/>
    <w:pPr>
      <w:shd w:val="clear" w:color="auto" w:fill="D9D9D9" w:themeFill="background1" w:themeFillShade="D9"/>
      <w:spacing w:after="0" w:line="240" w:lineRule="auto"/>
      <w:ind w:right="57"/>
    </w:pPr>
    <w:rPr>
      <w:rFonts w:ascii="Times New Roman" w:eastAsia="Times New Roman" w:hAnsi="Times New Roman" w:cs="Times New Roman"/>
      <w:szCs w:val="20"/>
    </w:rPr>
  </w:style>
  <w:style w:type="paragraph" w:customStyle="1" w:styleId="ReferenceTextLetter">
    <w:name w:val="Reference Text Letter"/>
    <w:basedOn w:val="ReferenceText"/>
    <w:qFormat/>
    <w:rsid w:val="007E1E1E"/>
    <w:pPr>
      <w:spacing w:line="240" w:lineRule="auto"/>
      <w:ind w:left="567" w:right="567"/>
    </w:pPr>
    <w:rPr>
      <w:rFonts w:cs="Arial"/>
      <w:szCs w:val="18"/>
    </w:rPr>
  </w:style>
  <w:style w:type="paragraph" w:customStyle="1" w:styleId="NotesHeader">
    <w:name w:val="Notes Header"/>
    <w:basedOn w:val="Normal"/>
    <w:next w:val="Normal"/>
    <w:rsid w:val="007E1E1E"/>
    <w:pPr>
      <w:jc w:val="center"/>
    </w:pPr>
    <w:rPr>
      <w:rFonts w:ascii="Arial" w:hAnsi="Arial"/>
      <w:b/>
    </w:rPr>
  </w:style>
  <w:style w:type="paragraph" w:customStyle="1" w:styleId="NotesReferences">
    <w:name w:val="Notes References"/>
    <w:basedOn w:val="Normal"/>
    <w:next w:val="Normal"/>
    <w:rsid w:val="007E1E1E"/>
    <w:pPr>
      <w:jc w:val="center"/>
    </w:pPr>
    <w:rPr>
      <w:rFonts w:ascii="Arial" w:hAnsi="Arial"/>
    </w:rPr>
  </w:style>
  <w:style w:type="paragraph" w:customStyle="1" w:styleId="NotesData">
    <w:name w:val="Notes Data"/>
    <w:basedOn w:val="Normal"/>
    <w:rsid w:val="007E1E1E"/>
    <w:pPr>
      <w:framePr w:hSpace="180" w:wrap="around" w:vAnchor="text" w:hAnchor="margin" w:y="1"/>
      <w:jc w:val="center"/>
    </w:pPr>
    <w:rPr>
      <w:sz w:val="20"/>
    </w:rPr>
  </w:style>
  <w:style w:type="paragraph" w:customStyle="1" w:styleId="NotesTextLevel1">
    <w:name w:val="Notes Text Level 1"/>
    <w:basedOn w:val="Normal"/>
    <w:next w:val="Normal"/>
    <w:rsid w:val="007E1E1E"/>
    <w:rPr>
      <w:rFonts w:ascii="Arial" w:hAnsi="Arial"/>
      <w:b/>
      <w:i/>
      <w:u w:val="single"/>
    </w:rPr>
  </w:style>
  <w:style w:type="character" w:customStyle="1" w:styleId="NotesTextLevel3aboldItalicChar">
    <w:name w:val="Notes Text Level 3(a) bold + Italic Char"/>
    <w:basedOn w:val="DefaultParagraphFont"/>
    <w:link w:val="NotesTextLevel3aboldItalic"/>
    <w:locked/>
    <w:rsid w:val="007E1E1E"/>
    <w:rPr>
      <w:rFonts w:ascii="Arial" w:hAnsi="Arial" w:cs="Arial"/>
      <w:b/>
      <w:bCs/>
      <w:i/>
      <w:iCs/>
      <w:sz w:val="18"/>
    </w:rPr>
  </w:style>
  <w:style w:type="paragraph" w:customStyle="1" w:styleId="NotesTextLevel3aboldItalic">
    <w:name w:val="Notes Text Level 3(a) bold + Italic"/>
    <w:basedOn w:val="Normal"/>
    <w:link w:val="NotesTextLevel3aboldItalicChar"/>
    <w:rsid w:val="007E1E1E"/>
    <w:rPr>
      <w:rFonts w:ascii="Arial" w:eastAsiaTheme="minorHAnsi" w:hAnsi="Arial" w:cs="Arial"/>
      <w:b/>
      <w:bCs/>
      <w:i/>
      <w:iCs/>
      <w:szCs w:val="22"/>
    </w:rPr>
  </w:style>
  <w:style w:type="paragraph" w:customStyle="1" w:styleId="NotesHeading3">
    <w:name w:val="Notes Heading 3"/>
    <w:basedOn w:val="Normal"/>
    <w:autoRedefine/>
    <w:rsid w:val="007E1E1E"/>
    <w:pPr>
      <w:spacing w:before="80" w:after="40"/>
      <w:ind w:left="113" w:right="113"/>
    </w:pPr>
    <w:rPr>
      <w:u w:val="single"/>
      <w:lang w:val="en-US"/>
    </w:rPr>
  </w:style>
  <w:style w:type="paragraph" w:customStyle="1" w:styleId="NotesHeading3a">
    <w:name w:val="Notes Heading 3a"/>
    <w:basedOn w:val="Normal"/>
    <w:autoRedefine/>
    <w:rsid w:val="007E1E1E"/>
    <w:pPr>
      <w:tabs>
        <w:tab w:val="num" w:pos="473"/>
      </w:tabs>
      <w:spacing w:after="120"/>
      <w:ind w:left="113" w:right="113"/>
      <w:jc w:val="both"/>
    </w:pPr>
    <w:rPr>
      <w:u w:val="single"/>
      <w:lang w:val="en-US"/>
    </w:rPr>
  </w:style>
  <w:style w:type="paragraph" w:customStyle="1" w:styleId="Notessub-lineitem">
    <w:name w:val="Notes sub-line item"/>
    <w:basedOn w:val="Normal"/>
    <w:autoRedefine/>
    <w:rsid w:val="007E1E1E"/>
    <w:pPr>
      <w:framePr w:hSpace="180" w:wrap="around" w:vAnchor="page" w:hAnchor="margin" w:y="1985"/>
      <w:tabs>
        <w:tab w:val="left" w:pos="593"/>
        <w:tab w:val="left" w:pos="1443"/>
      </w:tabs>
      <w:ind w:left="567" w:right="113"/>
    </w:pPr>
    <w:rPr>
      <w:sz w:val="20"/>
    </w:rPr>
  </w:style>
  <w:style w:type="paragraph" w:customStyle="1" w:styleId="NotesLineItem">
    <w:name w:val="Notes Line Item"/>
    <w:basedOn w:val="Normal"/>
    <w:autoRedefine/>
    <w:rsid w:val="007E1E1E"/>
    <w:pPr>
      <w:ind w:left="34"/>
    </w:pPr>
    <w:rPr>
      <w:iCs/>
      <w:sz w:val="16"/>
      <w:szCs w:val="16"/>
      <w:lang w:eastAsia="en-AU"/>
    </w:rPr>
  </w:style>
  <w:style w:type="paragraph" w:customStyle="1" w:styleId="NoteText">
    <w:name w:val="Note Text"/>
    <w:basedOn w:val="Normal"/>
    <w:autoRedefine/>
    <w:rsid w:val="007E1E1E"/>
    <w:pPr>
      <w:tabs>
        <w:tab w:val="left" w:pos="284"/>
      </w:tabs>
      <w:spacing w:after="120"/>
      <w:ind w:left="567"/>
    </w:pPr>
    <w:rPr>
      <w:sz w:val="20"/>
    </w:rPr>
  </w:style>
  <w:style w:type="paragraph" w:customStyle="1" w:styleId="NotesHeading">
    <w:name w:val="'Notes' Heading"/>
    <w:basedOn w:val="Normal"/>
    <w:autoRedefine/>
    <w:rsid w:val="007E1E1E"/>
    <w:pPr>
      <w:ind w:left="57" w:right="57"/>
      <w:jc w:val="center"/>
    </w:pPr>
    <w:rPr>
      <w:b/>
      <w:sz w:val="20"/>
    </w:rPr>
  </w:style>
  <w:style w:type="paragraph" w:customStyle="1" w:styleId="NotesReference">
    <w:name w:val="'Notes' Reference"/>
    <w:basedOn w:val="Normal"/>
    <w:autoRedefine/>
    <w:rsid w:val="007E1E1E"/>
    <w:pPr>
      <w:ind w:left="57" w:right="57"/>
      <w:jc w:val="center"/>
    </w:pPr>
    <w:rPr>
      <w:sz w:val="20"/>
    </w:rPr>
  </w:style>
  <w:style w:type="paragraph" w:customStyle="1" w:styleId="NotesHeading4">
    <w:name w:val="Notes Heading 4"/>
    <w:basedOn w:val="NoteText"/>
    <w:autoRedefine/>
    <w:rsid w:val="007E1E1E"/>
    <w:pPr>
      <w:keepNext/>
      <w:spacing w:before="200" w:after="80"/>
      <w:ind w:right="57"/>
    </w:pPr>
  </w:style>
  <w:style w:type="paragraph" w:customStyle="1" w:styleId="NotesHeading3NumberingOff">
    <w:name w:val="Notes Heading 3 Numbering Off"/>
    <w:basedOn w:val="NotesHeading3"/>
    <w:autoRedefine/>
    <w:rsid w:val="007E1E1E"/>
    <w:pPr>
      <w:tabs>
        <w:tab w:val="left" w:pos="1132"/>
      </w:tabs>
    </w:pPr>
  </w:style>
  <w:style w:type="paragraph" w:customStyle="1" w:styleId="NotesHeadingPlain">
    <w:name w:val="'Notes' Heading Plain"/>
    <w:basedOn w:val="NotesHeading"/>
    <w:autoRedefine/>
    <w:rsid w:val="007E1E1E"/>
    <w:rPr>
      <w:b w:val="0"/>
    </w:rPr>
  </w:style>
  <w:style w:type="paragraph" w:customStyle="1" w:styleId="NotesHeading5">
    <w:name w:val="Notes Heading 5"/>
    <w:basedOn w:val="Normal"/>
    <w:autoRedefine/>
    <w:rsid w:val="007E1E1E"/>
    <w:pPr>
      <w:spacing w:before="120" w:after="40"/>
      <w:ind w:left="113" w:right="113"/>
      <w:jc w:val="both"/>
    </w:pPr>
    <w:rPr>
      <w:b/>
      <w:sz w:val="20"/>
    </w:rPr>
  </w:style>
  <w:style w:type="paragraph" w:customStyle="1" w:styleId="NoteTextBEFOREDotPoint">
    <w:name w:val="Note Text BEFORE Dot Point"/>
    <w:basedOn w:val="NoteText"/>
    <w:rsid w:val="007E1E1E"/>
    <w:pPr>
      <w:spacing w:after="0"/>
      <w:ind w:left="178" w:right="57"/>
    </w:pPr>
  </w:style>
  <w:style w:type="paragraph" w:customStyle="1" w:styleId="ItalicLineItem">
    <w:name w:val="Italic Line Item"/>
    <w:basedOn w:val="Normal"/>
    <w:rsid w:val="007E1E1E"/>
    <w:pPr>
      <w:tabs>
        <w:tab w:val="left" w:pos="566"/>
      </w:tabs>
      <w:ind w:left="284" w:right="113"/>
      <w:jc w:val="both"/>
    </w:pPr>
    <w:rPr>
      <w:i/>
      <w:sz w:val="20"/>
      <w:lang w:val="en-US"/>
    </w:rPr>
  </w:style>
  <w:style w:type="paragraph" w:customStyle="1" w:styleId="ItalicHeading">
    <w:name w:val="Italic Heading"/>
    <w:basedOn w:val="ItalicLineItem"/>
    <w:rsid w:val="007E1E1E"/>
    <w:pPr>
      <w:ind w:left="57" w:right="0"/>
    </w:pPr>
  </w:style>
  <w:style w:type="paragraph" w:customStyle="1" w:styleId="Notes">
    <w:name w:val="'Notes'"/>
    <w:basedOn w:val="Normal"/>
    <w:rsid w:val="007E1E1E"/>
    <w:pPr>
      <w:jc w:val="center"/>
    </w:pPr>
    <w:rPr>
      <w:b/>
    </w:rPr>
  </w:style>
  <w:style w:type="character" w:customStyle="1" w:styleId="LineitemsChar">
    <w:name w:val="Line items Char"/>
    <w:basedOn w:val="DefaultParagraphFont"/>
    <w:link w:val="Lineitems"/>
    <w:uiPriority w:val="99"/>
    <w:locked/>
    <w:rsid w:val="007E1E1E"/>
  </w:style>
  <w:style w:type="paragraph" w:customStyle="1" w:styleId="Lineitems">
    <w:name w:val="Line items"/>
    <w:basedOn w:val="Normal"/>
    <w:link w:val="LineitemsChar"/>
    <w:autoRedefine/>
    <w:uiPriority w:val="99"/>
    <w:rsid w:val="007E1E1E"/>
    <w:rPr>
      <w:rFonts w:asciiTheme="minorHAnsi" w:eastAsiaTheme="minorHAnsi" w:hAnsiTheme="minorHAnsi" w:cstheme="minorBidi"/>
      <w:sz w:val="22"/>
      <w:szCs w:val="22"/>
    </w:rPr>
  </w:style>
  <w:style w:type="paragraph" w:customStyle="1" w:styleId="Notestext">
    <w:name w:val="Notes text"/>
    <w:basedOn w:val="Notes"/>
    <w:rsid w:val="007E1E1E"/>
    <w:rPr>
      <w:b w:val="0"/>
    </w:rPr>
  </w:style>
  <w:style w:type="paragraph" w:customStyle="1" w:styleId="Lineitemtable">
    <w:name w:val="Line item table"/>
    <w:basedOn w:val="Lineitems"/>
    <w:rsid w:val="007E1E1E"/>
  </w:style>
  <w:style w:type="paragraph" w:customStyle="1" w:styleId="12line">
    <w:name w:val="1/2 line"/>
    <w:basedOn w:val="Normal"/>
    <w:rsid w:val="007E1E1E"/>
    <w:pPr>
      <w:spacing w:before="10" w:after="10" w:line="240" w:lineRule="auto"/>
    </w:pPr>
    <w:rPr>
      <w:sz w:val="20"/>
    </w:rPr>
  </w:style>
  <w:style w:type="paragraph" w:customStyle="1" w:styleId="lineitemitalic">
    <w:name w:val="line item italic"/>
    <w:basedOn w:val="Normal"/>
    <w:rsid w:val="007E1E1E"/>
    <w:rPr>
      <w:i/>
    </w:rPr>
  </w:style>
  <w:style w:type="paragraph" w:customStyle="1" w:styleId="lineitembold">
    <w:name w:val="line item bold"/>
    <w:basedOn w:val="Normal"/>
    <w:rsid w:val="007E1E1E"/>
    <w:rPr>
      <w:b/>
      <w:sz w:val="20"/>
    </w:rPr>
  </w:style>
  <w:style w:type="paragraph" w:customStyle="1" w:styleId="Notesheading0">
    <w:name w:val="Notes heading"/>
    <w:basedOn w:val="Normal"/>
    <w:rsid w:val="007E1E1E"/>
    <w:pPr>
      <w:spacing w:line="240" w:lineRule="auto"/>
    </w:pPr>
    <w:rPr>
      <w:rFonts w:ascii="Calisto MT" w:hAnsi="Calisto MT"/>
      <w:b/>
      <w:sz w:val="14"/>
      <w:lang w:eastAsia="en-AU"/>
    </w:rPr>
  </w:style>
  <w:style w:type="paragraph" w:customStyle="1" w:styleId="Notestothefinancialstatements">
    <w:name w:val="Notes to the financial statements"/>
    <w:aliases w:val="Heading"/>
    <w:basedOn w:val="Normal"/>
    <w:rsid w:val="007E1E1E"/>
    <w:pPr>
      <w:tabs>
        <w:tab w:val="left" w:pos="567"/>
        <w:tab w:val="left" w:pos="1134"/>
        <w:tab w:val="left" w:pos="1701"/>
      </w:tabs>
      <w:spacing w:before="60" w:after="60" w:line="240" w:lineRule="auto"/>
    </w:pPr>
    <w:rPr>
      <w:rFonts w:ascii="Tahoma" w:hAnsi="Tahoma"/>
      <w:b/>
      <w:color w:val="000000"/>
      <w:sz w:val="16"/>
      <w:lang w:eastAsia="en-AU"/>
    </w:rPr>
  </w:style>
  <w:style w:type="paragraph" w:customStyle="1" w:styleId="NotesBulletPoint">
    <w:name w:val="Notes Bullet Point"/>
    <w:basedOn w:val="Normal"/>
    <w:autoRedefine/>
    <w:rsid w:val="007E1E1E"/>
    <w:pPr>
      <w:tabs>
        <w:tab w:val="left" w:pos="413"/>
        <w:tab w:val="num" w:pos="927"/>
      </w:tabs>
      <w:snapToGrid w:val="0"/>
      <w:spacing w:line="240" w:lineRule="auto"/>
      <w:ind w:left="414" w:right="113" w:hanging="301"/>
      <w:jc w:val="both"/>
    </w:pPr>
    <w:rPr>
      <w:sz w:val="20"/>
      <w:lang w:val="en-US" w:eastAsia="en-AU"/>
    </w:rPr>
  </w:style>
  <w:style w:type="paragraph" w:customStyle="1" w:styleId="Headinga">
    <w:name w:val="Heading a"/>
    <w:basedOn w:val="Normal"/>
    <w:rsid w:val="007E1E1E"/>
    <w:pPr>
      <w:spacing w:line="240" w:lineRule="auto"/>
    </w:pPr>
    <w:rPr>
      <w:b/>
      <w:bCs/>
      <w:szCs w:val="18"/>
    </w:rPr>
  </w:style>
  <w:style w:type="character" w:customStyle="1" w:styleId="LineitemsTotalChar">
    <w:name w:val="Line items Total Char"/>
    <w:basedOn w:val="LineitemsChar"/>
    <w:link w:val="LineitemsTotal"/>
    <w:uiPriority w:val="99"/>
    <w:locked/>
    <w:rsid w:val="007E1E1E"/>
    <w:rPr>
      <w:b/>
      <w:i/>
    </w:rPr>
  </w:style>
  <w:style w:type="paragraph" w:customStyle="1" w:styleId="LineitemsTotal">
    <w:name w:val="Line items Total"/>
    <w:basedOn w:val="Lineitems"/>
    <w:link w:val="LineitemsTotalChar"/>
    <w:uiPriority w:val="99"/>
    <w:rsid w:val="007E1E1E"/>
    <w:pPr>
      <w:framePr w:hSpace="180" w:wrap="around" w:vAnchor="text" w:hAnchor="margin" w:y="1"/>
    </w:pPr>
    <w:rPr>
      <w:b/>
      <w:i/>
    </w:rPr>
  </w:style>
  <w:style w:type="paragraph" w:customStyle="1" w:styleId="SAPHeading-Level1">
    <w:name w:val="SAP Heading - Level 1"/>
    <w:basedOn w:val="NotesHeading-Level1"/>
    <w:rsid w:val="007E1E1E"/>
    <w:pPr>
      <w:numPr>
        <w:numId w:val="0"/>
      </w:numPr>
      <w:tabs>
        <w:tab w:val="num" w:pos="851"/>
      </w:tabs>
      <w:ind w:left="851" w:hanging="851"/>
    </w:pPr>
    <w:rPr>
      <w:rFonts w:cstheme="minorHAnsi"/>
    </w:rPr>
  </w:style>
  <w:style w:type="paragraph" w:customStyle="1" w:styleId="SAPHeading-Level2">
    <w:name w:val="SAP Heading - Level 2"/>
    <w:basedOn w:val="SAPHeading-Level1"/>
    <w:rsid w:val="007E1E1E"/>
    <w:pPr>
      <w:spacing w:before="100" w:after="100" w:line="240" w:lineRule="auto"/>
      <w:outlineLvl w:val="9"/>
    </w:pPr>
  </w:style>
  <w:style w:type="paragraph" w:customStyle="1" w:styleId="SAPHeading-Level3">
    <w:name w:val="SAP Heading - Level 3"/>
    <w:basedOn w:val="SAPHeading-Level2"/>
    <w:rsid w:val="007E1E1E"/>
  </w:style>
  <w:style w:type="character" w:customStyle="1" w:styleId="NotesTextChar">
    <w:name w:val="Notes Text Char"/>
    <w:basedOn w:val="ReferenceTextChar"/>
    <w:link w:val="NotesText0"/>
    <w:uiPriority w:val="99"/>
    <w:locked/>
    <w:rsid w:val="007E1E1E"/>
    <w:rPr>
      <w:rFonts w:cs="Arial"/>
      <w:sz w:val="18"/>
      <w:szCs w:val="18"/>
    </w:rPr>
  </w:style>
  <w:style w:type="paragraph" w:customStyle="1" w:styleId="NotesText0">
    <w:name w:val="Notes Text"/>
    <w:basedOn w:val="ReferenceText"/>
    <w:link w:val="NotesTextChar"/>
    <w:uiPriority w:val="99"/>
    <w:rsid w:val="007E1E1E"/>
    <w:pPr>
      <w:spacing w:before="100" w:after="100" w:line="240" w:lineRule="auto"/>
    </w:pPr>
    <w:rPr>
      <w:rFonts w:cs="Arial"/>
      <w:szCs w:val="18"/>
    </w:rPr>
  </w:style>
  <w:style w:type="paragraph" w:customStyle="1" w:styleId="NotesTextHeading">
    <w:name w:val="Notes Text Heading"/>
    <w:basedOn w:val="NotesText0"/>
    <w:uiPriority w:val="99"/>
    <w:rsid w:val="007E1E1E"/>
    <w:rPr>
      <w:b/>
      <w:i/>
    </w:rPr>
  </w:style>
  <w:style w:type="paragraph" w:customStyle="1" w:styleId="NoteHeading-Level1">
    <w:name w:val="Note Heading - Level 1"/>
    <w:basedOn w:val="Normal"/>
    <w:rsid w:val="007E1E1E"/>
  </w:style>
  <w:style w:type="paragraph" w:customStyle="1" w:styleId="NoteHeading-Level2">
    <w:name w:val="Note Heading - Level 2"/>
    <w:basedOn w:val="Normal"/>
    <w:rsid w:val="007E1E1E"/>
  </w:style>
  <w:style w:type="paragraph" w:customStyle="1" w:styleId="Notesreferencetext">
    <w:name w:val="Notes reference text"/>
    <w:basedOn w:val="Normal"/>
    <w:next w:val="Normal"/>
    <w:rsid w:val="007E1E1E"/>
    <w:pPr>
      <w:jc w:val="center"/>
    </w:pPr>
  </w:style>
  <w:style w:type="character" w:customStyle="1" w:styleId="StyleReferenceTextItalicChar">
    <w:name w:val="Style Reference Text + Italic Char"/>
    <w:basedOn w:val="ReferenceTextChar"/>
    <w:link w:val="StyleReferenceTextItalic"/>
    <w:uiPriority w:val="99"/>
    <w:locked/>
    <w:rsid w:val="007E1E1E"/>
    <w:rPr>
      <w:rFonts w:ascii="Calibri" w:hAnsi="Calibri" w:cs="Arial"/>
      <w:i/>
      <w:iCs/>
      <w:sz w:val="18"/>
    </w:rPr>
  </w:style>
  <w:style w:type="paragraph" w:customStyle="1" w:styleId="StyleReferenceTextItalic">
    <w:name w:val="Style Reference Text + Italic"/>
    <w:basedOn w:val="ReferenceText"/>
    <w:link w:val="StyleReferenceTextItalicChar"/>
    <w:uiPriority w:val="99"/>
    <w:rsid w:val="007E1E1E"/>
    <w:pPr>
      <w:spacing w:line="240" w:lineRule="atLeast"/>
    </w:pPr>
    <w:rPr>
      <w:rFonts w:ascii="Calibri" w:hAnsi="Calibri" w:cs="Arial"/>
      <w:i/>
      <w:iCs/>
    </w:rPr>
  </w:style>
  <w:style w:type="character" w:customStyle="1" w:styleId="StyleNotesTextItalicChar">
    <w:name w:val="Style Notes Text + Italic Char"/>
    <w:basedOn w:val="NotesTextChar"/>
    <w:link w:val="StyleNotesTextItalic"/>
    <w:uiPriority w:val="99"/>
    <w:locked/>
    <w:rsid w:val="007E1E1E"/>
    <w:rPr>
      <w:rFonts w:cs="Arial"/>
      <w:i/>
      <w:iCs/>
      <w:sz w:val="18"/>
      <w:szCs w:val="18"/>
      <w:u w:val="single"/>
    </w:rPr>
  </w:style>
  <w:style w:type="paragraph" w:customStyle="1" w:styleId="StyleNotesTextItalic">
    <w:name w:val="Style Notes Text + Italic"/>
    <w:basedOn w:val="NotesText0"/>
    <w:link w:val="StyleNotesTextItalicChar"/>
    <w:uiPriority w:val="99"/>
    <w:rsid w:val="007E1E1E"/>
    <w:pPr>
      <w:ind w:right="-54"/>
    </w:pPr>
    <w:rPr>
      <w:i/>
      <w:iCs/>
      <w:u w:val="single"/>
    </w:rPr>
  </w:style>
  <w:style w:type="paragraph" w:customStyle="1" w:styleId="StyleNotesTextPatternClearGray-25">
    <w:name w:val="Style Notes Text + Pattern: Clear (Gray-25%)"/>
    <w:basedOn w:val="NotesText0"/>
    <w:autoRedefine/>
    <w:uiPriority w:val="99"/>
    <w:rsid w:val="007E1E1E"/>
    <w:pPr>
      <w:shd w:val="clear" w:color="auto" w:fill="CCCCCC"/>
      <w:ind w:right="-54"/>
    </w:pPr>
    <w:rPr>
      <w:rFonts w:ascii="Calibri" w:hAnsi="Calibri"/>
      <w:sz w:val="20"/>
      <w:szCs w:val="20"/>
    </w:rPr>
  </w:style>
  <w:style w:type="paragraph" w:customStyle="1" w:styleId="BulletKPMG">
    <w:name w:val="Bullet KPMG"/>
    <w:basedOn w:val="Normal"/>
    <w:uiPriority w:val="99"/>
    <w:rsid w:val="007E1E1E"/>
    <w:pPr>
      <w:tabs>
        <w:tab w:val="num" w:pos="473"/>
      </w:tabs>
      <w:spacing w:before="100" w:after="100" w:line="240" w:lineRule="auto"/>
      <w:ind w:left="357" w:hanging="357"/>
    </w:pPr>
    <w:rPr>
      <w:sz w:val="20"/>
      <w:lang w:val="en-US" w:eastAsia="en-AU"/>
    </w:rPr>
  </w:style>
  <w:style w:type="character" w:customStyle="1" w:styleId="StyleNotesTextBoldChar">
    <w:name w:val="Style Notes Text + Bold Char"/>
    <w:basedOn w:val="NotesTextChar"/>
    <w:link w:val="StyleNotesTextBold"/>
    <w:uiPriority w:val="99"/>
    <w:locked/>
    <w:rsid w:val="007E1E1E"/>
    <w:rPr>
      <w:rFonts w:ascii="Calibri" w:hAnsi="Calibri" w:cs="Arial"/>
      <w:bCs/>
      <w:sz w:val="18"/>
      <w:szCs w:val="18"/>
    </w:rPr>
  </w:style>
  <w:style w:type="paragraph" w:customStyle="1" w:styleId="StyleNotesTextBold">
    <w:name w:val="Style Notes Text + Bold"/>
    <w:basedOn w:val="NotesText0"/>
    <w:link w:val="StyleNotesTextBoldChar"/>
    <w:uiPriority w:val="99"/>
    <w:rsid w:val="007E1E1E"/>
    <w:pPr>
      <w:ind w:right="-54"/>
    </w:pPr>
    <w:rPr>
      <w:rFonts w:ascii="Calibri" w:hAnsi="Calibri"/>
      <w:bCs/>
    </w:rPr>
  </w:style>
  <w:style w:type="character" w:customStyle="1" w:styleId="StyleNotesTextBold1Char">
    <w:name w:val="Style Notes Text + Bold1 Char"/>
    <w:basedOn w:val="NotesTextChar"/>
    <w:link w:val="StyleNotesTextBold1"/>
    <w:uiPriority w:val="99"/>
    <w:locked/>
    <w:rsid w:val="007E1E1E"/>
    <w:rPr>
      <w:rFonts w:ascii="Calibri" w:hAnsi="Calibri" w:cs="Arial"/>
      <w:bCs/>
      <w:sz w:val="18"/>
      <w:szCs w:val="18"/>
    </w:rPr>
  </w:style>
  <w:style w:type="paragraph" w:customStyle="1" w:styleId="StyleNotesTextBold1">
    <w:name w:val="Style Notes Text + Bold1"/>
    <w:basedOn w:val="NotesText0"/>
    <w:link w:val="StyleNotesTextBold1Char"/>
    <w:uiPriority w:val="99"/>
    <w:rsid w:val="007E1E1E"/>
    <w:pPr>
      <w:ind w:right="-54"/>
    </w:pPr>
    <w:rPr>
      <w:rFonts w:ascii="Calibri" w:hAnsi="Calibri"/>
      <w:bCs/>
    </w:rPr>
  </w:style>
  <w:style w:type="character" w:customStyle="1" w:styleId="StatementTextLevel1bChar">
    <w:name w:val="Statement Text Level 1(b) Char"/>
    <w:basedOn w:val="DefaultParagraphFont"/>
    <w:link w:val="StatementTextLevel1b"/>
    <w:uiPriority w:val="99"/>
    <w:locked/>
    <w:rsid w:val="007E1E1E"/>
    <w:rPr>
      <w:rFonts w:ascii="Arial" w:hAnsi="Arial" w:cs="Arial"/>
      <w:b/>
      <w:sz w:val="18"/>
      <w:szCs w:val="18"/>
    </w:rPr>
  </w:style>
  <w:style w:type="paragraph" w:customStyle="1" w:styleId="StatementTextLevel1b">
    <w:name w:val="Statement Text Level 1(b)"/>
    <w:basedOn w:val="Normal"/>
    <w:link w:val="StatementTextLevel1bChar"/>
    <w:uiPriority w:val="99"/>
    <w:rsid w:val="007E1E1E"/>
    <w:rPr>
      <w:rFonts w:ascii="Arial" w:eastAsiaTheme="minorHAnsi" w:hAnsi="Arial" w:cs="Arial"/>
      <w:b/>
      <w:szCs w:val="18"/>
    </w:rPr>
  </w:style>
  <w:style w:type="paragraph" w:customStyle="1" w:styleId="PrimaryStatementsHeading">
    <w:name w:val="Primary Statements Heading"/>
    <w:basedOn w:val="Normal"/>
    <w:autoRedefine/>
    <w:uiPriority w:val="99"/>
    <w:rsid w:val="007E1E1E"/>
    <w:pPr>
      <w:spacing w:line="300" w:lineRule="exact"/>
    </w:pPr>
    <w:rPr>
      <w:b/>
      <w:sz w:val="24"/>
      <w:lang w:val="en-US"/>
    </w:rPr>
  </w:style>
  <w:style w:type="paragraph" w:customStyle="1" w:styleId="PeriodHeading">
    <w:name w:val="Period Heading"/>
    <w:basedOn w:val="PrimaryStatementsHeading"/>
    <w:uiPriority w:val="99"/>
    <w:rsid w:val="007E1E1E"/>
    <w:rPr>
      <w:i/>
      <w:sz w:val="22"/>
    </w:rPr>
  </w:style>
  <w:style w:type="paragraph" w:customStyle="1" w:styleId="CurrentYearDataTotalLevel1">
    <w:name w:val="Current Year Data Total Level 1"/>
    <w:basedOn w:val="Normal"/>
    <w:next w:val="Normal"/>
    <w:autoRedefine/>
    <w:uiPriority w:val="99"/>
    <w:rsid w:val="007E1E1E"/>
    <w:pPr>
      <w:pBdr>
        <w:top w:val="single" w:sz="4" w:space="1" w:color="auto"/>
        <w:bottom w:val="double" w:sz="6" w:space="1" w:color="auto"/>
      </w:pBdr>
      <w:jc w:val="right"/>
    </w:pPr>
    <w:rPr>
      <w:b/>
      <w:szCs w:val="16"/>
    </w:rPr>
  </w:style>
  <w:style w:type="character" w:customStyle="1" w:styleId="LineitemsHeadingChar">
    <w:name w:val="Line items Heading Char"/>
    <w:basedOn w:val="LineitemsChar"/>
    <w:link w:val="LineitemsHeading"/>
    <w:uiPriority w:val="99"/>
    <w:locked/>
    <w:rsid w:val="007E1E1E"/>
    <w:rPr>
      <w:rFonts w:ascii="Calibri" w:hAnsi="Calibri" w:cs="Calibri"/>
      <w:b/>
      <w:sz w:val="18"/>
    </w:rPr>
  </w:style>
  <w:style w:type="paragraph" w:customStyle="1" w:styleId="LineitemsHeading">
    <w:name w:val="Line items Heading"/>
    <w:basedOn w:val="Lineitems"/>
    <w:link w:val="LineitemsHeadingChar"/>
    <w:uiPriority w:val="99"/>
    <w:rsid w:val="007E1E1E"/>
    <w:pPr>
      <w:framePr w:hSpace="180" w:wrap="around" w:vAnchor="text" w:hAnchor="margin" w:y="1"/>
    </w:pPr>
    <w:rPr>
      <w:rFonts w:ascii="Calibri" w:hAnsi="Calibri" w:cs="Calibri"/>
      <w:b/>
      <w:sz w:val="18"/>
    </w:rPr>
  </w:style>
  <w:style w:type="paragraph" w:customStyle="1" w:styleId="PreviousYearDataTotalLevel3">
    <w:name w:val="Previous Year Data Total Level 3"/>
    <w:basedOn w:val="Normal"/>
    <w:autoRedefine/>
    <w:uiPriority w:val="99"/>
    <w:rsid w:val="007E1E1E"/>
    <w:pPr>
      <w:pBdr>
        <w:top w:val="single" w:sz="4" w:space="1" w:color="auto"/>
        <w:bottom w:val="double" w:sz="6" w:space="1" w:color="auto"/>
      </w:pBdr>
      <w:jc w:val="right"/>
    </w:pPr>
  </w:style>
  <w:style w:type="paragraph" w:customStyle="1" w:styleId="StyleNotesTextItalic1">
    <w:name w:val="Style Notes Text + Italic1"/>
    <w:basedOn w:val="NotesText0"/>
    <w:uiPriority w:val="99"/>
    <w:rsid w:val="007E1E1E"/>
    <w:pPr>
      <w:ind w:right="-54"/>
    </w:pPr>
    <w:rPr>
      <w:rFonts w:ascii="Calibri" w:hAnsi="Calibri" w:cs="Times New Roman"/>
      <w:i/>
      <w:iCs/>
      <w:sz w:val="20"/>
      <w:szCs w:val="20"/>
    </w:rPr>
  </w:style>
  <w:style w:type="paragraph" w:customStyle="1" w:styleId="StyleNotesTextPatternClearGray-20">
    <w:name w:val="Style Notes Text + Pattern: Clear (Gray-20%)"/>
    <w:basedOn w:val="NotesText0"/>
    <w:uiPriority w:val="99"/>
    <w:rsid w:val="007E1E1E"/>
    <w:pPr>
      <w:ind w:right="-54"/>
    </w:pPr>
    <w:rPr>
      <w:rFonts w:ascii="Calibri" w:hAnsi="Calibri" w:cs="Times New Roman"/>
      <w:sz w:val="20"/>
      <w:szCs w:val="20"/>
    </w:rPr>
  </w:style>
  <w:style w:type="character" w:customStyle="1" w:styleId="PreviousYearDataTotalLevel2Char">
    <w:name w:val="Previous Year Data Total Level 2 Char"/>
    <w:basedOn w:val="DefaultParagraphFont"/>
    <w:link w:val="PreviousYearDataTotalLevel2"/>
    <w:uiPriority w:val="99"/>
    <w:locked/>
    <w:rsid w:val="007E1E1E"/>
    <w:rPr>
      <w:rFonts w:ascii="Calibri" w:hAnsi="Calibri" w:cs="Calibri"/>
      <w:sz w:val="18"/>
    </w:rPr>
  </w:style>
  <w:style w:type="paragraph" w:customStyle="1" w:styleId="PreviousYearDataTotalLevel2">
    <w:name w:val="Previous Year Data Total Level 2"/>
    <w:basedOn w:val="Normal"/>
    <w:next w:val="Normal"/>
    <w:link w:val="PreviousYearDataTotalLevel2Char"/>
    <w:uiPriority w:val="99"/>
    <w:rsid w:val="007E1E1E"/>
    <w:pPr>
      <w:pBdr>
        <w:top w:val="single" w:sz="4" w:space="1" w:color="auto"/>
        <w:bottom w:val="single" w:sz="4" w:space="1" w:color="auto"/>
      </w:pBdr>
      <w:jc w:val="right"/>
    </w:pPr>
    <w:rPr>
      <w:rFonts w:eastAsiaTheme="minorHAnsi" w:cs="Calibri"/>
      <w:szCs w:val="22"/>
    </w:rPr>
  </w:style>
  <w:style w:type="character" w:customStyle="1" w:styleId="CurrentYearDataTotalLevel2Char">
    <w:name w:val="Current Year Data Total Level 2 Char"/>
    <w:basedOn w:val="DefaultParagraphFont"/>
    <w:link w:val="CurrentYearDataTotalLevel2"/>
    <w:uiPriority w:val="99"/>
    <w:locked/>
    <w:rsid w:val="007E1E1E"/>
    <w:rPr>
      <w:rFonts w:ascii="Calibri" w:hAnsi="Calibri" w:cs="Calibri"/>
      <w:b/>
      <w:sz w:val="18"/>
    </w:rPr>
  </w:style>
  <w:style w:type="paragraph" w:customStyle="1" w:styleId="CurrentYearDataTotalLevel2">
    <w:name w:val="Current Year Data Total Level 2"/>
    <w:basedOn w:val="Normal"/>
    <w:link w:val="CurrentYearDataTotalLevel2Char"/>
    <w:uiPriority w:val="99"/>
    <w:rsid w:val="007E1E1E"/>
    <w:pPr>
      <w:pBdr>
        <w:top w:val="single" w:sz="4" w:space="1" w:color="auto"/>
        <w:bottom w:val="single" w:sz="4" w:space="1" w:color="auto"/>
      </w:pBdr>
      <w:jc w:val="right"/>
    </w:pPr>
    <w:rPr>
      <w:rFonts w:eastAsiaTheme="minorHAnsi" w:cs="Calibri"/>
      <w:b/>
      <w:szCs w:val="22"/>
    </w:rPr>
  </w:style>
  <w:style w:type="paragraph" w:customStyle="1" w:styleId="DeptCurrentYearHeader">
    <w:name w:val="Dept Current Year Header"/>
    <w:basedOn w:val="Normal"/>
    <w:qFormat/>
    <w:rsid w:val="007E1E1E"/>
    <w:pPr>
      <w:spacing w:line="240" w:lineRule="auto"/>
      <w:jc w:val="right"/>
    </w:pPr>
    <w:rPr>
      <w:rFonts w:asciiTheme="minorHAnsi" w:hAnsiTheme="minorHAnsi" w:cstheme="minorHAnsi"/>
      <w:b/>
      <w:szCs w:val="18"/>
      <w:lang w:eastAsia="en-AU"/>
    </w:rPr>
  </w:style>
  <w:style w:type="paragraph" w:customStyle="1" w:styleId="DeptPreviousYearHeader">
    <w:name w:val="Dept Previous Year Header"/>
    <w:qFormat/>
    <w:rsid w:val="007E1E1E"/>
    <w:pPr>
      <w:spacing w:after="0" w:line="240" w:lineRule="auto"/>
      <w:jc w:val="right"/>
    </w:pPr>
    <w:rPr>
      <w:rFonts w:eastAsia="Times New Roman" w:cstheme="minorHAnsi"/>
      <w:sz w:val="18"/>
      <w:szCs w:val="18"/>
      <w:lang w:eastAsia="en-AU"/>
    </w:rPr>
  </w:style>
  <w:style w:type="paragraph" w:customStyle="1" w:styleId="DeptManualEntryCell">
    <w:name w:val="Dept Manual Entry Cell"/>
    <w:basedOn w:val="Normal"/>
    <w:qFormat/>
    <w:rsid w:val="007E1E1E"/>
    <w:pPr>
      <w:spacing w:line="240" w:lineRule="auto"/>
      <w:jc w:val="right"/>
    </w:pPr>
    <w:rPr>
      <w:rFonts w:asciiTheme="minorHAnsi" w:hAnsiTheme="minorHAnsi" w:cstheme="minorHAnsi"/>
      <w:b/>
      <w:szCs w:val="18"/>
      <w:lang w:eastAsia="en-AU"/>
    </w:rPr>
  </w:style>
  <w:style w:type="paragraph" w:customStyle="1" w:styleId="DeptManualEntryCellUnBold">
    <w:name w:val="Dept Manual Entry Cell UnBold"/>
    <w:basedOn w:val="DeptManualEntryCell"/>
    <w:qFormat/>
    <w:rsid w:val="007E1E1E"/>
    <w:rPr>
      <w:b w:val="0"/>
    </w:rPr>
  </w:style>
  <w:style w:type="paragraph" w:customStyle="1" w:styleId="DeptCurrentYearTotal">
    <w:name w:val="Dept Current Year Total"/>
    <w:qFormat/>
    <w:rsid w:val="007E1E1E"/>
    <w:pPr>
      <w:spacing w:after="0" w:line="240" w:lineRule="auto"/>
      <w:jc w:val="right"/>
    </w:pPr>
    <w:rPr>
      <w:rFonts w:eastAsia="Times New Roman" w:cstheme="minorHAnsi"/>
      <w:b/>
      <w:sz w:val="18"/>
      <w:szCs w:val="18"/>
      <w:lang w:eastAsia="en-AU"/>
    </w:rPr>
  </w:style>
  <w:style w:type="paragraph" w:customStyle="1" w:styleId="DeptPreviousYearTotal">
    <w:name w:val="Dept Previous Year Total"/>
    <w:qFormat/>
    <w:rsid w:val="007E1E1E"/>
    <w:pPr>
      <w:spacing w:after="0" w:line="240" w:lineRule="auto"/>
      <w:jc w:val="right"/>
    </w:pPr>
    <w:rPr>
      <w:rFonts w:eastAsia="Times New Roman" w:cstheme="minorHAnsi"/>
      <w:sz w:val="18"/>
      <w:szCs w:val="18"/>
      <w:lang w:eastAsia="en-AU"/>
    </w:rPr>
  </w:style>
  <w:style w:type="paragraph" w:customStyle="1" w:styleId="DeptRowText">
    <w:name w:val="Dept Row Text"/>
    <w:qFormat/>
    <w:rsid w:val="007E1E1E"/>
    <w:pPr>
      <w:spacing w:after="0" w:line="240" w:lineRule="auto"/>
    </w:pPr>
    <w:rPr>
      <w:rFonts w:eastAsia="Times New Roman" w:cstheme="minorHAnsi"/>
      <w:sz w:val="18"/>
      <w:szCs w:val="18"/>
      <w:lang w:eastAsia="en-AU"/>
    </w:rPr>
  </w:style>
  <w:style w:type="paragraph" w:customStyle="1" w:styleId="DeptRowTextTotal">
    <w:name w:val="Dept Row Text Total"/>
    <w:qFormat/>
    <w:rsid w:val="007E1E1E"/>
    <w:pPr>
      <w:spacing w:after="0" w:line="240" w:lineRule="auto"/>
    </w:pPr>
    <w:rPr>
      <w:rFonts w:eastAsia="Times New Roman" w:cstheme="minorHAnsi"/>
      <w:b/>
      <w:i/>
      <w:sz w:val="18"/>
      <w:szCs w:val="18"/>
    </w:rPr>
  </w:style>
  <w:style w:type="paragraph" w:customStyle="1" w:styleId="DeptBlankBlueShade">
    <w:name w:val="Dept Blank Blue Shade"/>
    <w:basedOn w:val="DeptRowTextTotal"/>
    <w:next w:val="12line"/>
    <w:qFormat/>
    <w:rsid w:val="007E1E1E"/>
  </w:style>
  <w:style w:type="paragraph" w:customStyle="1" w:styleId="DeptRowTextIndent">
    <w:name w:val="Dept Row Text Indent"/>
    <w:basedOn w:val="DeptRowText"/>
    <w:qFormat/>
    <w:rsid w:val="007E1E1E"/>
    <w:pPr>
      <w:ind w:left="204"/>
    </w:pPr>
  </w:style>
  <w:style w:type="paragraph" w:customStyle="1" w:styleId="AdminRowTextIndent">
    <w:name w:val="Admin Row Text Indent"/>
    <w:basedOn w:val="DeptRowTextIndent"/>
    <w:qFormat/>
    <w:rsid w:val="007E1E1E"/>
  </w:style>
  <w:style w:type="paragraph" w:customStyle="1" w:styleId="AdminRowTextIndentGrey">
    <w:name w:val="Admin Row Text Indent Grey"/>
    <w:basedOn w:val="AdminRowTextIndent"/>
    <w:qFormat/>
    <w:rsid w:val="007E1E1E"/>
  </w:style>
  <w:style w:type="paragraph" w:customStyle="1" w:styleId="AdminCurrentYearDataGrey">
    <w:name w:val="Admin Current Year Data Grey"/>
    <w:qFormat/>
    <w:rsid w:val="007E1E1E"/>
    <w:pPr>
      <w:spacing w:after="0" w:line="240" w:lineRule="auto"/>
      <w:jc w:val="right"/>
    </w:pPr>
    <w:rPr>
      <w:rFonts w:eastAsia="Times New Roman" w:cstheme="minorHAnsi"/>
      <w:b/>
      <w:sz w:val="18"/>
      <w:szCs w:val="18"/>
      <w:lang w:eastAsia="en-AU"/>
    </w:rPr>
  </w:style>
  <w:style w:type="paragraph" w:customStyle="1" w:styleId="AdminCurrentYearDataNormal">
    <w:name w:val="Admin Current Year Data Normal"/>
    <w:qFormat/>
    <w:rsid w:val="007E1E1E"/>
    <w:pPr>
      <w:spacing w:after="0" w:line="240" w:lineRule="auto"/>
      <w:jc w:val="right"/>
    </w:pPr>
    <w:rPr>
      <w:rFonts w:eastAsia="Times New Roman" w:cstheme="minorHAnsi"/>
      <w:b/>
      <w:sz w:val="18"/>
      <w:szCs w:val="18"/>
      <w:lang w:eastAsia="en-AU"/>
    </w:rPr>
  </w:style>
  <w:style w:type="paragraph" w:customStyle="1" w:styleId="AdminPreviousYearDataGrey">
    <w:name w:val="Admin Previous Year Data Grey"/>
    <w:qFormat/>
    <w:rsid w:val="007E1E1E"/>
    <w:pPr>
      <w:spacing w:after="0" w:line="240" w:lineRule="auto"/>
      <w:jc w:val="right"/>
    </w:pPr>
    <w:rPr>
      <w:rFonts w:eastAsia="Times New Roman" w:cstheme="minorHAnsi"/>
      <w:sz w:val="18"/>
      <w:szCs w:val="18"/>
      <w:lang w:eastAsia="en-AU"/>
    </w:rPr>
  </w:style>
  <w:style w:type="paragraph" w:customStyle="1" w:styleId="AdminPreviousYearDataNormal">
    <w:name w:val="Admin Previous Year Data Normal"/>
    <w:qFormat/>
    <w:rsid w:val="007E1E1E"/>
    <w:pPr>
      <w:spacing w:after="0" w:line="240" w:lineRule="auto"/>
      <w:jc w:val="right"/>
    </w:pPr>
    <w:rPr>
      <w:rFonts w:eastAsia="Times New Roman" w:cstheme="minorHAnsi"/>
      <w:sz w:val="18"/>
      <w:szCs w:val="18"/>
      <w:lang w:eastAsia="en-AU"/>
    </w:rPr>
  </w:style>
  <w:style w:type="paragraph" w:customStyle="1" w:styleId="AdminHeaderlineUnderlineGrey">
    <w:name w:val="Admin Headerline Underline Grey"/>
    <w:basedOn w:val="AdminPreviousYearDataNormal"/>
    <w:next w:val="12line"/>
    <w:qFormat/>
    <w:rsid w:val="007E1E1E"/>
  </w:style>
  <w:style w:type="paragraph" w:customStyle="1" w:styleId="AdminBlankGreyShade">
    <w:name w:val="Admin Blank Grey Shade"/>
    <w:next w:val="12line"/>
    <w:qFormat/>
    <w:rsid w:val="007E1E1E"/>
    <w:pPr>
      <w:spacing w:after="0" w:line="240" w:lineRule="auto"/>
    </w:pPr>
    <w:rPr>
      <w:rFonts w:eastAsia="Times New Roman" w:cstheme="minorHAnsi"/>
      <w:sz w:val="18"/>
      <w:szCs w:val="18"/>
      <w:lang w:eastAsia="en-AU"/>
    </w:rPr>
  </w:style>
  <w:style w:type="paragraph" w:customStyle="1" w:styleId="AdminRowTextGrey">
    <w:name w:val="Admin Row Text Grey"/>
    <w:qFormat/>
    <w:rsid w:val="007E1E1E"/>
    <w:pPr>
      <w:spacing w:after="0" w:line="240" w:lineRule="auto"/>
    </w:pPr>
    <w:rPr>
      <w:rFonts w:eastAsia="Times New Roman" w:cstheme="minorHAnsi"/>
      <w:sz w:val="18"/>
      <w:szCs w:val="18"/>
      <w:lang w:eastAsia="en-AU"/>
    </w:rPr>
  </w:style>
  <w:style w:type="paragraph" w:customStyle="1" w:styleId="AdminCurrentYearTotalGrey">
    <w:name w:val="Admin Current Year Total Grey"/>
    <w:qFormat/>
    <w:rsid w:val="007E1E1E"/>
    <w:pPr>
      <w:spacing w:after="0" w:line="240" w:lineRule="auto"/>
      <w:jc w:val="right"/>
    </w:pPr>
    <w:rPr>
      <w:rFonts w:eastAsia="Times New Roman" w:cstheme="minorHAnsi"/>
      <w:b/>
      <w:sz w:val="18"/>
      <w:szCs w:val="18"/>
      <w:lang w:eastAsia="en-AU"/>
    </w:rPr>
  </w:style>
  <w:style w:type="paragraph" w:customStyle="1" w:styleId="AdminPreviousYearTotalGrey">
    <w:name w:val="Admin Previous Year Total Grey"/>
    <w:qFormat/>
    <w:rsid w:val="007E1E1E"/>
    <w:pPr>
      <w:spacing w:after="0" w:line="240" w:lineRule="auto"/>
      <w:jc w:val="right"/>
    </w:pPr>
    <w:rPr>
      <w:rFonts w:eastAsia="Times New Roman" w:cstheme="minorHAnsi"/>
      <w:sz w:val="18"/>
      <w:szCs w:val="18"/>
      <w:lang w:eastAsia="en-AU"/>
    </w:rPr>
  </w:style>
  <w:style w:type="paragraph" w:customStyle="1" w:styleId="AdminManualEntryCell">
    <w:name w:val="Admin Manual Entry Cell"/>
    <w:qFormat/>
    <w:rsid w:val="007E1E1E"/>
    <w:pPr>
      <w:spacing w:after="0" w:line="240" w:lineRule="auto"/>
      <w:jc w:val="right"/>
    </w:pPr>
    <w:rPr>
      <w:rFonts w:eastAsia="Times New Roman" w:cstheme="minorHAnsi"/>
      <w:b/>
      <w:sz w:val="18"/>
      <w:szCs w:val="18"/>
      <w:lang w:eastAsia="en-AU"/>
    </w:rPr>
  </w:style>
  <w:style w:type="paragraph" w:customStyle="1" w:styleId="AdminManualEntryCellUnbold">
    <w:name w:val="Admin Manual Entry Cell Unbold"/>
    <w:qFormat/>
    <w:rsid w:val="007E1E1E"/>
    <w:pPr>
      <w:spacing w:after="0" w:line="240" w:lineRule="auto"/>
      <w:jc w:val="right"/>
    </w:pPr>
    <w:rPr>
      <w:rFonts w:eastAsia="Times New Roman" w:cstheme="minorHAnsi"/>
      <w:sz w:val="18"/>
      <w:szCs w:val="18"/>
      <w:lang w:eastAsia="en-AU"/>
    </w:rPr>
  </w:style>
  <w:style w:type="paragraph" w:customStyle="1" w:styleId="AdminRowTextHeaderBoldGrey">
    <w:name w:val="Admin Row Text Header Bold Grey"/>
    <w:qFormat/>
    <w:rsid w:val="007E1E1E"/>
    <w:pPr>
      <w:spacing w:after="0" w:line="240" w:lineRule="auto"/>
    </w:pPr>
    <w:rPr>
      <w:rFonts w:eastAsia="Times New Roman" w:cstheme="minorHAnsi"/>
      <w:b/>
      <w:sz w:val="18"/>
      <w:szCs w:val="18"/>
      <w:lang w:eastAsia="en-AU"/>
    </w:rPr>
  </w:style>
  <w:style w:type="paragraph" w:customStyle="1" w:styleId="DeptCurrentYearData">
    <w:name w:val="Dept Current Year Data"/>
    <w:qFormat/>
    <w:rsid w:val="007E1E1E"/>
    <w:pPr>
      <w:spacing w:after="0" w:line="240" w:lineRule="auto"/>
      <w:jc w:val="right"/>
    </w:pPr>
    <w:rPr>
      <w:rFonts w:eastAsia="Times New Roman" w:cstheme="minorHAnsi"/>
      <w:b/>
      <w:sz w:val="18"/>
      <w:szCs w:val="18"/>
      <w:lang w:eastAsia="en-AU"/>
    </w:rPr>
  </w:style>
  <w:style w:type="paragraph" w:customStyle="1" w:styleId="DeptPreviousYearData">
    <w:name w:val="Dept Previous Year Data"/>
    <w:qFormat/>
    <w:rsid w:val="007E1E1E"/>
    <w:pPr>
      <w:spacing w:after="0" w:line="240" w:lineRule="auto"/>
      <w:jc w:val="right"/>
    </w:pPr>
    <w:rPr>
      <w:rFonts w:eastAsia="Times New Roman" w:cstheme="minorHAnsi"/>
      <w:sz w:val="18"/>
      <w:szCs w:val="18"/>
      <w:lang w:eastAsia="en-AU"/>
    </w:rPr>
  </w:style>
  <w:style w:type="paragraph" w:customStyle="1" w:styleId="DeptNoteHeadingUnderlined">
    <w:name w:val="Dept Note Heading Underlined"/>
    <w:qFormat/>
    <w:rsid w:val="007E1E1E"/>
    <w:pPr>
      <w:spacing w:after="0" w:line="240" w:lineRule="auto"/>
    </w:pPr>
    <w:rPr>
      <w:rFonts w:eastAsia="Times New Roman" w:cstheme="minorHAnsi"/>
      <w:b/>
      <w:sz w:val="18"/>
      <w:szCs w:val="18"/>
      <w:u w:val="single"/>
      <w:lang w:eastAsia="en-AU"/>
    </w:rPr>
  </w:style>
  <w:style w:type="paragraph" w:customStyle="1" w:styleId="DeptCurrentYearSubTotal">
    <w:name w:val="Dept Current Year SubTotal"/>
    <w:qFormat/>
    <w:rsid w:val="007E1E1E"/>
    <w:pPr>
      <w:spacing w:after="0" w:line="240" w:lineRule="auto"/>
      <w:jc w:val="right"/>
    </w:pPr>
    <w:rPr>
      <w:rFonts w:eastAsia="Times New Roman" w:cstheme="minorHAnsi"/>
      <w:b/>
      <w:sz w:val="18"/>
      <w:szCs w:val="18"/>
      <w:lang w:eastAsia="en-AU"/>
    </w:rPr>
  </w:style>
  <w:style w:type="paragraph" w:customStyle="1" w:styleId="AdminCurrentYearSubTotal">
    <w:name w:val="Admin Current Year SubTotal"/>
    <w:qFormat/>
    <w:rsid w:val="007E1E1E"/>
    <w:pPr>
      <w:spacing w:after="0" w:line="240" w:lineRule="auto"/>
      <w:jc w:val="right"/>
    </w:pPr>
    <w:rPr>
      <w:rFonts w:eastAsia="Times New Roman" w:cstheme="minorHAnsi"/>
      <w:b/>
      <w:sz w:val="18"/>
      <w:szCs w:val="18"/>
      <w:lang w:eastAsia="en-AU"/>
    </w:rPr>
  </w:style>
  <w:style w:type="paragraph" w:customStyle="1" w:styleId="DeptNoteReference">
    <w:name w:val="Dept Note Reference"/>
    <w:basedOn w:val="AdminCurrentYearSubTotal"/>
    <w:qFormat/>
    <w:rsid w:val="007E1E1E"/>
    <w:pPr>
      <w:jc w:val="center"/>
    </w:pPr>
    <w:rPr>
      <w:b w:val="0"/>
    </w:rPr>
  </w:style>
  <w:style w:type="paragraph" w:customStyle="1" w:styleId="DeptRowTextDoubleIndent">
    <w:name w:val="Dept Row Text Double Indent"/>
    <w:basedOn w:val="DeptNoteReference"/>
    <w:qFormat/>
    <w:rsid w:val="007E1E1E"/>
    <w:pPr>
      <w:tabs>
        <w:tab w:val="left" w:pos="204"/>
      </w:tabs>
      <w:ind w:left="487"/>
      <w:jc w:val="left"/>
    </w:pPr>
  </w:style>
  <w:style w:type="paragraph" w:customStyle="1" w:styleId="AdminRowTextSubTotal">
    <w:name w:val="Admin Row Text SubTotal"/>
    <w:qFormat/>
    <w:rsid w:val="007E1E1E"/>
    <w:pPr>
      <w:spacing w:after="0" w:line="240" w:lineRule="auto"/>
    </w:pPr>
    <w:rPr>
      <w:rFonts w:eastAsia="Times New Roman" w:cstheme="minorHAnsi"/>
      <w:sz w:val="18"/>
      <w:szCs w:val="18"/>
      <w:lang w:eastAsia="en-AU"/>
    </w:rPr>
  </w:style>
  <w:style w:type="paragraph" w:customStyle="1" w:styleId="DeptRowTextHeader">
    <w:name w:val="Dept Row Text Header"/>
    <w:qFormat/>
    <w:rsid w:val="007E1E1E"/>
    <w:pPr>
      <w:spacing w:after="0" w:line="240" w:lineRule="auto"/>
    </w:pPr>
    <w:rPr>
      <w:rFonts w:eastAsia="Times New Roman" w:cstheme="minorHAnsi"/>
      <w:b/>
      <w:sz w:val="18"/>
      <w:szCs w:val="18"/>
      <w:lang w:eastAsia="en-AU"/>
    </w:rPr>
  </w:style>
  <w:style w:type="paragraph" w:customStyle="1" w:styleId="DeptPreviousYearSubTotal">
    <w:name w:val="Dept Previous Year SubTotal"/>
    <w:qFormat/>
    <w:rsid w:val="007E1E1E"/>
    <w:pPr>
      <w:spacing w:after="0" w:line="240" w:lineRule="auto"/>
      <w:jc w:val="right"/>
    </w:pPr>
    <w:rPr>
      <w:rFonts w:eastAsia="Times New Roman" w:cstheme="minorHAnsi"/>
      <w:sz w:val="18"/>
      <w:szCs w:val="18"/>
      <w:lang w:eastAsia="en-AU"/>
    </w:rPr>
  </w:style>
  <w:style w:type="paragraph" w:customStyle="1" w:styleId="AdminCurrentYearHeadersGrey">
    <w:name w:val="Admin Current Year Headers Grey"/>
    <w:qFormat/>
    <w:rsid w:val="007E1E1E"/>
    <w:pPr>
      <w:spacing w:after="0" w:line="240" w:lineRule="auto"/>
      <w:jc w:val="right"/>
    </w:pPr>
    <w:rPr>
      <w:rFonts w:eastAsia="Times New Roman" w:cstheme="minorHAnsi"/>
      <w:b/>
      <w:sz w:val="18"/>
      <w:szCs w:val="18"/>
      <w:lang w:eastAsia="en-AU"/>
    </w:rPr>
  </w:style>
  <w:style w:type="paragraph" w:customStyle="1" w:styleId="AdminPreviousYearHeadersGrey">
    <w:name w:val="Admin Previous Year Headers Grey"/>
    <w:basedOn w:val="AdminCurrentYearHeadersGrey"/>
    <w:qFormat/>
    <w:rsid w:val="007E1E1E"/>
  </w:style>
  <w:style w:type="paragraph" w:customStyle="1" w:styleId="AdminHeaderUnderlineGrey">
    <w:name w:val="Admin Header Underline Grey"/>
    <w:qFormat/>
    <w:rsid w:val="007E1E1E"/>
    <w:pPr>
      <w:spacing w:after="0" w:line="240" w:lineRule="auto"/>
    </w:pPr>
    <w:rPr>
      <w:rFonts w:eastAsia="Times New Roman" w:cstheme="minorHAnsi"/>
      <w:b/>
      <w:sz w:val="18"/>
      <w:szCs w:val="18"/>
      <w:u w:val="single"/>
      <w:lang w:eastAsia="en-AU"/>
    </w:rPr>
  </w:style>
  <w:style w:type="paragraph" w:customStyle="1" w:styleId="AdminPreviousYearHeaderGrey">
    <w:name w:val="Admin Previous Year Header Grey"/>
    <w:qFormat/>
    <w:rsid w:val="007E1E1E"/>
    <w:pPr>
      <w:spacing w:after="0" w:line="240" w:lineRule="auto"/>
      <w:jc w:val="right"/>
    </w:pPr>
    <w:rPr>
      <w:rFonts w:ascii="Calibri" w:eastAsia="Times New Roman" w:hAnsi="Calibri" w:cs="Calibri"/>
      <w:sz w:val="18"/>
      <w:szCs w:val="18"/>
    </w:rPr>
  </w:style>
  <w:style w:type="paragraph" w:customStyle="1" w:styleId="AdminRowTextNormal">
    <w:name w:val="Admin Row Text Normal"/>
    <w:qFormat/>
    <w:rsid w:val="007E1E1E"/>
    <w:pPr>
      <w:spacing w:after="0" w:line="240" w:lineRule="auto"/>
    </w:pPr>
    <w:rPr>
      <w:rFonts w:ascii="Calibri" w:eastAsia="Times New Roman" w:hAnsi="Calibri" w:cs="Calibri"/>
      <w:sz w:val="18"/>
      <w:szCs w:val="18"/>
    </w:rPr>
  </w:style>
  <w:style w:type="paragraph" w:customStyle="1" w:styleId="AdminRowTextTotal">
    <w:name w:val="Admin Row Text Total"/>
    <w:basedOn w:val="Normal"/>
    <w:qFormat/>
    <w:rsid w:val="007E1E1E"/>
    <w:rPr>
      <w:rFonts w:cs="Calibri"/>
      <w:b/>
      <w:bCs/>
      <w:i/>
      <w:iCs/>
      <w:szCs w:val="18"/>
    </w:rPr>
  </w:style>
  <w:style w:type="paragraph" w:customStyle="1" w:styleId="DeptRowTextSubTotal">
    <w:name w:val="Dept Row Text SubTotal"/>
    <w:basedOn w:val="Normal"/>
    <w:qFormat/>
    <w:rsid w:val="007E1E1E"/>
    <w:rPr>
      <w:rFonts w:cs="Calibri"/>
      <w:b/>
      <w:bCs/>
      <w:szCs w:val="18"/>
    </w:rPr>
  </w:style>
  <w:style w:type="paragraph" w:customStyle="1" w:styleId="DeptManualEntryBoldGreyShade">
    <w:name w:val="Dept Manual Entry Bold Grey Shade"/>
    <w:qFormat/>
    <w:rsid w:val="007E1E1E"/>
    <w:pPr>
      <w:spacing w:after="0" w:line="240" w:lineRule="auto"/>
      <w:jc w:val="right"/>
    </w:pPr>
    <w:rPr>
      <w:rFonts w:ascii="Calibri" w:eastAsia="Times New Roman" w:hAnsi="Calibri" w:cs="Calibri"/>
      <w:b/>
      <w:bCs/>
      <w:sz w:val="18"/>
      <w:szCs w:val="18"/>
    </w:rPr>
  </w:style>
  <w:style w:type="paragraph" w:customStyle="1" w:styleId="DeptManualEntryCellUnboldGreyShade">
    <w:name w:val="Dept Manual Entry Cell Unbold Grey Shade"/>
    <w:basedOn w:val="DeptManualEntryBoldGreyShade"/>
    <w:qFormat/>
    <w:rsid w:val="007E1E1E"/>
    <w:rPr>
      <w:b w:val="0"/>
    </w:rPr>
  </w:style>
  <w:style w:type="paragraph" w:customStyle="1" w:styleId="AdminHeaderCentered">
    <w:name w:val="Admin Header Centered"/>
    <w:basedOn w:val="AdminRowTextHeaderBoldGrey"/>
    <w:qFormat/>
    <w:rsid w:val="007E1E1E"/>
    <w:pPr>
      <w:jc w:val="center"/>
    </w:pPr>
  </w:style>
  <w:style w:type="paragraph" w:customStyle="1" w:styleId="AdminNoteReferenceGrey">
    <w:name w:val="Admin Note Reference Grey"/>
    <w:qFormat/>
    <w:rsid w:val="007E1E1E"/>
    <w:pPr>
      <w:spacing w:after="0" w:line="240" w:lineRule="auto"/>
      <w:jc w:val="center"/>
    </w:pPr>
    <w:rPr>
      <w:rFonts w:ascii="Calibri" w:eastAsia="Times New Roman" w:hAnsi="Calibri" w:cs="Calibri"/>
      <w:sz w:val="18"/>
      <w:szCs w:val="18"/>
    </w:rPr>
  </w:style>
  <w:style w:type="paragraph" w:customStyle="1" w:styleId="DeptHeaderCentered">
    <w:name w:val="Dept Header Centered"/>
    <w:qFormat/>
    <w:rsid w:val="007E1E1E"/>
    <w:pPr>
      <w:spacing w:after="0" w:line="240" w:lineRule="auto"/>
      <w:jc w:val="center"/>
    </w:pPr>
    <w:rPr>
      <w:rFonts w:eastAsia="Times New Roman" w:cstheme="minorHAnsi"/>
      <w:b/>
      <w:sz w:val="18"/>
      <w:szCs w:val="18"/>
      <w:lang w:eastAsia="en-AU"/>
    </w:rPr>
  </w:style>
  <w:style w:type="paragraph" w:customStyle="1" w:styleId="NotesHeading-Level1GreyShade">
    <w:name w:val="Notes Heading - Level 1 Grey Shade"/>
    <w:basedOn w:val="NotesHeading-Level1"/>
    <w:qFormat/>
    <w:rsid w:val="007E1E1E"/>
    <w:pPr>
      <w:numPr>
        <w:numId w:val="14"/>
      </w:numPr>
      <w:shd w:val="clear" w:color="auto" w:fill="D9D9D9" w:themeFill="background1" w:themeFillShade="D9"/>
      <w:tabs>
        <w:tab w:val="clear" w:pos="360"/>
        <w:tab w:val="num" w:pos="643"/>
      </w:tabs>
      <w:ind w:left="643"/>
    </w:pPr>
    <w:rPr>
      <w:rFonts w:cstheme="minorHAnsi"/>
    </w:rPr>
  </w:style>
  <w:style w:type="paragraph" w:customStyle="1" w:styleId="UnderlineItalics">
    <w:name w:val="Underline Italics"/>
    <w:basedOn w:val="Normal"/>
    <w:qFormat/>
    <w:rsid w:val="007E1E1E"/>
    <w:rPr>
      <w:i/>
      <w:u w:val="single"/>
    </w:rPr>
  </w:style>
  <w:style w:type="paragraph" w:customStyle="1" w:styleId="Default">
    <w:name w:val="Default"/>
    <w:rsid w:val="007E1E1E"/>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FootnoteReference">
    <w:name w:val="footnote reference"/>
    <w:basedOn w:val="DefaultParagraphFont"/>
    <w:uiPriority w:val="99"/>
    <w:semiHidden/>
    <w:rsid w:val="007E1E1E"/>
    <w:rPr>
      <w:vertAlign w:val="superscript"/>
    </w:rPr>
  </w:style>
  <w:style w:type="character" w:styleId="CommentReference">
    <w:name w:val="annotation reference"/>
    <w:basedOn w:val="DefaultParagraphFont"/>
    <w:semiHidden/>
    <w:rsid w:val="007E1E1E"/>
    <w:rPr>
      <w:sz w:val="16"/>
      <w:szCs w:val="16"/>
    </w:rPr>
  </w:style>
  <w:style w:type="character" w:styleId="PageNumber">
    <w:name w:val="page number"/>
    <w:basedOn w:val="DefaultParagraphFont"/>
    <w:uiPriority w:val="99"/>
    <w:rsid w:val="007E1E1E"/>
    <w:rPr>
      <w:rFonts w:ascii="Times New Roman" w:hAnsi="Times New Roman" w:cs="Times New Roman" w:hint="default"/>
      <w:sz w:val="22"/>
    </w:rPr>
  </w:style>
  <w:style w:type="character" w:customStyle="1" w:styleId="A18">
    <w:name w:val="A18"/>
    <w:uiPriority w:val="99"/>
    <w:rsid w:val="007E1E1E"/>
    <w:rPr>
      <w:i/>
      <w:iCs/>
      <w:color w:val="000000"/>
      <w:sz w:val="14"/>
      <w:szCs w:val="14"/>
      <w:u w:val="single"/>
    </w:rPr>
  </w:style>
  <w:style w:type="table" w:styleId="TableGrid">
    <w:name w:val="Table Grid"/>
    <w:basedOn w:val="TableNormal"/>
    <w:uiPriority w:val="59"/>
    <w:rsid w:val="007E1E1E"/>
    <w:pPr>
      <w:spacing w:after="0" w:line="26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7E1E1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edNotesHeading-Level1">
    <w:name w:val="Continued Notes Heading - Level 1"/>
    <w:basedOn w:val="NotesHeading-Level1"/>
    <w:qFormat/>
    <w:rsid w:val="007E1E1E"/>
    <w:pPr>
      <w:numPr>
        <w:numId w:val="0"/>
      </w:numPr>
      <w:spacing w:line="240" w:lineRule="auto"/>
      <w:outlineLvl w:val="9"/>
    </w:pPr>
  </w:style>
  <w:style w:type="numbering" w:customStyle="1" w:styleId="CurrentList2">
    <w:name w:val="Current List2"/>
    <w:rsid w:val="007E1E1E"/>
    <w:pPr>
      <w:numPr>
        <w:numId w:val="25"/>
      </w:numPr>
    </w:pPr>
  </w:style>
  <w:style w:type="numbering" w:customStyle="1" w:styleId="Style2">
    <w:name w:val="Style2"/>
    <w:rsid w:val="007E1E1E"/>
    <w:pPr>
      <w:numPr>
        <w:numId w:val="26"/>
      </w:numPr>
    </w:pPr>
  </w:style>
  <w:style w:type="numbering" w:customStyle="1" w:styleId="CurrentList1">
    <w:name w:val="Current List1"/>
    <w:rsid w:val="007E1E1E"/>
    <w:pPr>
      <w:numPr>
        <w:numId w:val="27"/>
      </w:numPr>
    </w:pPr>
  </w:style>
  <w:style w:type="paragraph" w:styleId="EndnoteText">
    <w:name w:val="endnote text"/>
    <w:basedOn w:val="Normal"/>
    <w:link w:val="EndnoteTextChar"/>
    <w:rsid w:val="007E1E1E"/>
    <w:pPr>
      <w:spacing w:line="240" w:lineRule="auto"/>
    </w:pPr>
    <w:rPr>
      <w:sz w:val="20"/>
    </w:rPr>
  </w:style>
  <w:style w:type="character" w:customStyle="1" w:styleId="EndnoteTextChar">
    <w:name w:val="Endnote Text Char"/>
    <w:basedOn w:val="DefaultParagraphFont"/>
    <w:link w:val="EndnoteText"/>
    <w:rsid w:val="007E1E1E"/>
    <w:rPr>
      <w:rFonts w:ascii="Calibri" w:eastAsia="Times New Roman" w:hAnsi="Calibri" w:cs="Times New Roman"/>
      <w:sz w:val="20"/>
      <w:szCs w:val="20"/>
    </w:rPr>
  </w:style>
  <w:style w:type="character" w:styleId="EndnoteReference">
    <w:name w:val="endnote reference"/>
    <w:basedOn w:val="DefaultParagraphFont"/>
    <w:rsid w:val="007E1E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6B7B87A4.dotm</Template>
  <TotalTime>4</TotalTime>
  <Pages>81</Pages>
  <Words>19447</Words>
  <Characters>110459</Characters>
  <Application>Microsoft Office Word</Application>
  <DocSecurity>0</DocSecurity>
  <Lines>6903</Lines>
  <Paragraphs>4479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125427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Thomas</dc:creator>
  <cp:lastModifiedBy>Suzanne Cooper</cp:lastModifiedBy>
  <cp:revision>2</cp:revision>
  <dcterms:created xsi:type="dcterms:W3CDTF">2014-10-29T03:49:00Z</dcterms:created>
  <dcterms:modified xsi:type="dcterms:W3CDTF">2014-10-29T04:23:00Z</dcterms:modified>
</cp:coreProperties>
</file>