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250" w:rsidRDefault="00DC6250" w:rsidP="00277001">
      <w:pPr>
        <w:jc w:val="right"/>
        <w:rPr>
          <w:b/>
        </w:rPr>
      </w:pPr>
      <w:bookmarkStart w:id="0" w:name="_GoBack"/>
      <w:bookmarkEnd w:id="0"/>
    </w:p>
    <w:p w:rsidR="00A96086" w:rsidRDefault="00A96086" w:rsidP="000537AD"/>
    <w:p w:rsidR="00A96086" w:rsidRDefault="00A96086" w:rsidP="000537AD"/>
    <w:p w:rsidR="00A96086" w:rsidRDefault="00A96086" w:rsidP="000537AD"/>
    <w:p w:rsidR="00A96086" w:rsidRDefault="00A96086" w:rsidP="000537AD"/>
    <w:p w:rsidR="00A96086" w:rsidRDefault="00A96086" w:rsidP="000537AD"/>
    <w:p w:rsidR="00A96086" w:rsidRDefault="00A96086" w:rsidP="000537AD"/>
    <w:p w:rsidR="00A96086" w:rsidRDefault="00A96086" w:rsidP="000537AD"/>
    <w:p w:rsidR="00A96086" w:rsidRDefault="00A96086" w:rsidP="000537AD"/>
    <w:p w:rsidR="00A96086" w:rsidRDefault="00A96086" w:rsidP="000537AD"/>
    <w:p w:rsidR="00CE602F" w:rsidRDefault="00CE602F" w:rsidP="000537AD"/>
    <w:p w:rsidR="00CE602F" w:rsidRDefault="00CE602F" w:rsidP="000537AD"/>
    <w:p w:rsidR="00CE602F" w:rsidRDefault="00CE602F" w:rsidP="000537AD"/>
    <w:p w:rsidR="00CE602F" w:rsidRDefault="00CE602F" w:rsidP="000537AD"/>
    <w:p w:rsidR="00A96086" w:rsidRDefault="00A96086" w:rsidP="000537AD"/>
    <w:p w:rsidR="00A96086" w:rsidRDefault="00A96086" w:rsidP="000537AD"/>
    <w:p w:rsidR="00A96086" w:rsidRDefault="00A96086" w:rsidP="000537AD"/>
    <w:p w:rsidR="00A96086" w:rsidRDefault="00A96086" w:rsidP="000537AD"/>
    <w:p w:rsidR="00A96086" w:rsidRDefault="00A96086" w:rsidP="000537AD"/>
    <w:p w:rsidR="00A96086" w:rsidRDefault="00A96086" w:rsidP="000537AD"/>
    <w:p w:rsidR="00A96086" w:rsidRPr="00E47755" w:rsidRDefault="00A96086" w:rsidP="00A96086">
      <w:pPr>
        <w:pStyle w:val="Title"/>
        <w:jc w:val="center"/>
      </w:pPr>
      <w:r w:rsidRPr="00E47755">
        <w:t>Department of Education</w:t>
      </w:r>
      <w:r w:rsidR="004D44DD">
        <w:t xml:space="preserve"> and Training</w:t>
      </w:r>
    </w:p>
    <w:p w:rsidR="00A96086" w:rsidRDefault="00A96086" w:rsidP="00A96086">
      <w:pPr>
        <w:pStyle w:val="Title"/>
        <w:jc w:val="center"/>
      </w:pPr>
      <w:r w:rsidRPr="007F0317">
        <w:t>Evaluation Plan 2015–2017</w:t>
      </w:r>
    </w:p>
    <w:p w:rsidR="00A96086" w:rsidRDefault="00A96086" w:rsidP="00A96086">
      <w:pPr>
        <w:rPr>
          <w:lang w:eastAsia="en-US"/>
        </w:rPr>
      </w:pPr>
    </w:p>
    <w:p w:rsidR="00A96086" w:rsidRPr="00A96086" w:rsidRDefault="00A96086" w:rsidP="00A96086">
      <w:pPr>
        <w:rPr>
          <w:lang w:eastAsia="en-US"/>
        </w:rPr>
      </w:pPr>
    </w:p>
    <w:p w:rsidR="00A96086" w:rsidRDefault="00A96086" w:rsidP="000537AD"/>
    <w:p w:rsidR="00A96086" w:rsidRDefault="00A96086" w:rsidP="000537AD"/>
    <w:p w:rsidR="000537AD" w:rsidRDefault="000537AD" w:rsidP="000537AD"/>
    <w:p w:rsidR="000537AD" w:rsidRDefault="000537AD" w:rsidP="000537AD"/>
    <w:p w:rsidR="000537AD" w:rsidRDefault="000537AD" w:rsidP="000537AD"/>
    <w:p w:rsidR="000537AD" w:rsidRDefault="000537AD" w:rsidP="000537AD"/>
    <w:p w:rsidR="000537AD" w:rsidRDefault="000537AD" w:rsidP="000537AD"/>
    <w:p w:rsidR="000537AD" w:rsidRDefault="000537AD" w:rsidP="000537AD"/>
    <w:p w:rsidR="000537AD" w:rsidRDefault="000537AD" w:rsidP="000537AD"/>
    <w:p w:rsidR="000537AD" w:rsidRDefault="000537AD" w:rsidP="000537AD"/>
    <w:p w:rsidR="000537AD" w:rsidRDefault="000537AD" w:rsidP="000537AD"/>
    <w:p w:rsidR="000537AD" w:rsidRDefault="000537AD" w:rsidP="000537AD"/>
    <w:p w:rsidR="000537AD" w:rsidRDefault="000537AD" w:rsidP="000537AD"/>
    <w:p w:rsidR="000537AD" w:rsidRDefault="000537AD" w:rsidP="000537AD"/>
    <w:p w:rsidR="000537AD" w:rsidRDefault="000537AD" w:rsidP="000537AD"/>
    <w:p w:rsidR="000537AD" w:rsidRDefault="000537AD" w:rsidP="000537AD"/>
    <w:p w:rsidR="000537AD" w:rsidRDefault="000537AD" w:rsidP="000537AD"/>
    <w:p w:rsidR="000537AD" w:rsidRDefault="000537AD" w:rsidP="000537AD">
      <w:pPr>
        <w:sectPr w:rsidR="000537AD" w:rsidSect="000537AD">
          <w:pgSz w:w="11906" w:h="16838"/>
          <w:pgMar w:top="1134" w:right="1134" w:bottom="1134" w:left="1134" w:header="708" w:footer="708" w:gutter="0"/>
          <w:pgNumType w:start="1"/>
          <w:cols w:space="708"/>
          <w:titlePg/>
          <w:docGrid w:linePitch="360"/>
        </w:sectPr>
      </w:pPr>
    </w:p>
    <w:p w:rsidR="000537AD" w:rsidRDefault="000537AD" w:rsidP="000537AD">
      <w:bookmarkStart w:id="1" w:name="_Toc400965314"/>
    </w:p>
    <w:sdt>
      <w:sdtPr>
        <w:rPr>
          <w:rFonts w:asciiTheme="minorHAnsi" w:eastAsiaTheme="minorHAnsi" w:hAnsiTheme="minorHAnsi" w:cstheme="minorBidi"/>
          <w:bCs w:val="0"/>
          <w:noProof/>
          <w:sz w:val="22"/>
          <w:szCs w:val="22"/>
        </w:rPr>
        <w:id w:val="-1859642944"/>
        <w:docPartObj>
          <w:docPartGallery w:val="Table of Contents"/>
          <w:docPartUnique/>
        </w:docPartObj>
      </w:sdtPr>
      <w:sdtEndPr>
        <w:rPr>
          <w:rFonts w:eastAsiaTheme="minorEastAsia"/>
        </w:rPr>
      </w:sdtEndPr>
      <w:sdtContent>
        <w:p w:rsidR="000537AD" w:rsidRPr="007177DD" w:rsidRDefault="000537AD" w:rsidP="00232313">
          <w:pPr>
            <w:pStyle w:val="TOCHeading"/>
            <w:rPr>
              <w:lang w:bidi="en-US"/>
            </w:rPr>
          </w:pPr>
          <w:r w:rsidRPr="007177DD">
            <w:rPr>
              <w:lang w:bidi="en-US"/>
            </w:rPr>
            <w:t>Contents</w:t>
          </w:r>
        </w:p>
        <w:p w:rsidR="000351BB" w:rsidRDefault="000537AD">
          <w:pPr>
            <w:pStyle w:val="TOC1"/>
            <w:tabs>
              <w:tab w:val="left" w:pos="440"/>
            </w:tabs>
            <w:rPr>
              <w:b w:val="0"/>
              <w:lang w:eastAsia="en-AU"/>
            </w:rPr>
          </w:pPr>
          <w:r w:rsidRPr="002506FC">
            <w:rPr>
              <w:rStyle w:val="Hyperlink"/>
            </w:rPr>
            <w:fldChar w:fldCharType="begin"/>
          </w:r>
          <w:r w:rsidRPr="002506FC">
            <w:rPr>
              <w:rStyle w:val="Hyperlink"/>
            </w:rPr>
            <w:instrText xml:space="preserve"> TOC \o "1-3" \h \z \u </w:instrText>
          </w:r>
          <w:r w:rsidRPr="002506FC">
            <w:rPr>
              <w:rStyle w:val="Hyperlink"/>
            </w:rPr>
            <w:fldChar w:fldCharType="separate"/>
          </w:r>
          <w:hyperlink w:anchor="_Toc433639339" w:history="1">
            <w:r w:rsidR="000351BB" w:rsidRPr="00AD76FB">
              <w:rPr>
                <w:rStyle w:val="Hyperlink"/>
                <w:rFonts w:cstheme="minorHAnsi"/>
              </w:rPr>
              <w:t>1.</w:t>
            </w:r>
            <w:r w:rsidR="000351BB">
              <w:rPr>
                <w:b w:val="0"/>
                <w:lang w:eastAsia="en-AU"/>
              </w:rPr>
              <w:tab/>
            </w:r>
            <w:r w:rsidR="000351BB" w:rsidRPr="00AD76FB">
              <w:rPr>
                <w:rStyle w:val="Hyperlink"/>
                <w:rFonts w:cstheme="minorHAnsi"/>
              </w:rPr>
              <w:t>Introduction</w:t>
            </w:r>
            <w:r w:rsidR="000351BB">
              <w:rPr>
                <w:webHidden/>
              </w:rPr>
              <w:tab/>
            </w:r>
            <w:r w:rsidR="000351BB">
              <w:rPr>
                <w:webHidden/>
              </w:rPr>
              <w:fldChar w:fldCharType="begin"/>
            </w:r>
            <w:r w:rsidR="000351BB">
              <w:rPr>
                <w:webHidden/>
              </w:rPr>
              <w:instrText xml:space="preserve"> PAGEREF _Toc433639339 \h </w:instrText>
            </w:r>
            <w:r w:rsidR="000351BB">
              <w:rPr>
                <w:webHidden/>
              </w:rPr>
            </w:r>
            <w:r w:rsidR="000351BB">
              <w:rPr>
                <w:webHidden/>
              </w:rPr>
              <w:fldChar w:fldCharType="separate"/>
            </w:r>
            <w:r w:rsidR="006C0B67">
              <w:rPr>
                <w:webHidden/>
              </w:rPr>
              <w:t>2</w:t>
            </w:r>
            <w:r w:rsidR="000351BB">
              <w:rPr>
                <w:webHidden/>
              </w:rPr>
              <w:fldChar w:fldCharType="end"/>
            </w:r>
          </w:hyperlink>
        </w:p>
        <w:p w:rsidR="000351BB" w:rsidRDefault="006C0B67">
          <w:pPr>
            <w:pStyle w:val="TOC1"/>
            <w:tabs>
              <w:tab w:val="left" w:pos="440"/>
            </w:tabs>
            <w:rPr>
              <w:b w:val="0"/>
              <w:lang w:eastAsia="en-AU"/>
            </w:rPr>
          </w:pPr>
          <w:hyperlink w:anchor="_Toc433639340" w:history="1">
            <w:r w:rsidR="000351BB" w:rsidRPr="00AD76FB">
              <w:rPr>
                <w:rStyle w:val="Hyperlink"/>
                <w:rFonts w:cstheme="minorHAnsi"/>
              </w:rPr>
              <w:t>2.</w:t>
            </w:r>
            <w:r w:rsidR="000351BB">
              <w:rPr>
                <w:b w:val="0"/>
                <w:lang w:eastAsia="en-AU"/>
              </w:rPr>
              <w:tab/>
            </w:r>
            <w:r w:rsidR="000351BB" w:rsidRPr="00AD76FB">
              <w:rPr>
                <w:rStyle w:val="Hyperlink"/>
                <w:rFonts w:cstheme="minorHAnsi"/>
              </w:rPr>
              <w:t>Aim</w:t>
            </w:r>
            <w:r w:rsidR="000351BB">
              <w:rPr>
                <w:webHidden/>
              </w:rPr>
              <w:tab/>
            </w:r>
            <w:r w:rsidR="000351BB">
              <w:rPr>
                <w:webHidden/>
              </w:rPr>
              <w:fldChar w:fldCharType="begin"/>
            </w:r>
            <w:r w:rsidR="000351BB">
              <w:rPr>
                <w:webHidden/>
              </w:rPr>
              <w:instrText xml:space="preserve"> PAGEREF _Toc433639340 \h </w:instrText>
            </w:r>
            <w:r w:rsidR="000351BB">
              <w:rPr>
                <w:webHidden/>
              </w:rPr>
            </w:r>
            <w:r w:rsidR="000351BB">
              <w:rPr>
                <w:webHidden/>
              </w:rPr>
              <w:fldChar w:fldCharType="separate"/>
            </w:r>
            <w:r>
              <w:rPr>
                <w:webHidden/>
              </w:rPr>
              <w:t>2</w:t>
            </w:r>
            <w:r w:rsidR="000351BB">
              <w:rPr>
                <w:webHidden/>
              </w:rPr>
              <w:fldChar w:fldCharType="end"/>
            </w:r>
          </w:hyperlink>
        </w:p>
        <w:p w:rsidR="000351BB" w:rsidRDefault="006C0B67">
          <w:pPr>
            <w:pStyle w:val="TOC1"/>
            <w:tabs>
              <w:tab w:val="left" w:pos="440"/>
            </w:tabs>
            <w:rPr>
              <w:b w:val="0"/>
              <w:lang w:eastAsia="en-AU"/>
            </w:rPr>
          </w:pPr>
          <w:hyperlink w:anchor="_Toc433639341" w:history="1">
            <w:r w:rsidR="000351BB" w:rsidRPr="00AD76FB">
              <w:rPr>
                <w:rStyle w:val="Hyperlink"/>
                <w:rFonts w:cstheme="minorHAnsi"/>
              </w:rPr>
              <w:t>3.</w:t>
            </w:r>
            <w:r w:rsidR="000351BB">
              <w:rPr>
                <w:b w:val="0"/>
                <w:lang w:eastAsia="en-AU"/>
              </w:rPr>
              <w:tab/>
            </w:r>
            <w:r w:rsidR="000351BB" w:rsidRPr="00AD76FB">
              <w:rPr>
                <w:rStyle w:val="Hyperlink"/>
                <w:rFonts w:cstheme="minorHAnsi"/>
              </w:rPr>
              <w:t>Scope</w:t>
            </w:r>
            <w:r w:rsidR="000351BB">
              <w:rPr>
                <w:webHidden/>
              </w:rPr>
              <w:tab/>
            </w:r>
            <w:r w:rsidR="000351BB">
              <w:rPr>
                <w:webHidden/>
              </w:rPr>
              <w:fldChar w:fldCharType="begin"/>
            </w:r>
            <w:r w:rsidR="000351BB">
              <w:rPr>
                <w:webHidden/>
              </w:rPr>
              <w:instrText xml:space="preserve"> PAGEREF _Toc433639341 \h </w:instrText>
            </w:r>
            <w:r w:rsidR="000351BB">
              <w:rPr>
                <w:webHidden/>
              </w:rPr>
            </w:r>
            <w:r w:rsidR="000351BB">
              <w:rPr>
                <w:webHidden/>
              </w:rPr>
              <w:fldChar w:fldCharType="separate"/>
            </w:r>
            <w:r>
              <w:rPr>
                <w:webHidden/>
              </w:rPr>
              <w:t>2</w:t>
            </w:r>
            <w:r w:rsidR="000351BB">
              <w:rPr>
                <w:webHidden/>
              </w:rPr>
              <w:fldChar w:fldCharType="end"/>
            </w:r>
          </w:hyperlink>
        </w:p>
        <w:p w:rsidR="000351BB" w:rsidRDefault="006C0B67">
          <w:pPr>
            <w:pStyle w:val="TOC1"/>
            <w:tabs>
              <w:tab w:val="left" w:pos="440"/>
            </w:tabs>
            <w:rPr>
              <w:b w:val="0"/>
              <w:lang w:eastAsia="en-AU"/>
            </w:rPr>
          </w:pPr>
          <w:hyperlink w:anchor="_Toc433639342" w:history="1">
            <w:r w:rsidR="000351BB" w:rsidRPr="00AD76FB">
              <w:rPr>
                <w:rStyle w:val="Hyperlink"/>
                <w:rFonts w:cstheme="minorHAnsi"/>
              </w:rPr>
              <w:t>4.</w:t>
            </w:r>
            <w:r w:rsidR="000351BB">
              <w:rPr>
                <w:b w:val="0"/>
                <w:lang w:eastAsia="en-AU"/>
              </w:rPr>
              <w:tab/>
            </w:r>
            <w:r w:rsidR="000351BB" w:rsidRPr="00AD76FB">
              <w:rPr>
                <w:rStyle w:val="Hyperlink"/>
                <w:rFonts w:cstheme="minorHAnsi"/>
              </w:rPr>
              <w:t>Governance</w:t>
            </w:r>
            <w:r w:rsidR="000351BB">
              <w:rPr>
                <w:webHidden/>
              </w:rPr>
              <w:tab/>
            </w:r>
            <w:r w:rsidR="000351BB">
              <w:rPr>
                <w:webHidden/>
              </w:rPr>
              <w:fldChar w:fldCharType="begin"/>
            </w:r>
            <w:r w:rsidR="000351BB">
              <w:rPr>
                <w:webHidden/>
              </w:rPr>
              <w:instrText xml:space="preserve"> PAGEREF _Toc433639342 \h </w:instrText>
            </w:r>
            <w:r w:rsidR="000351BB">
              <w:rPr>
                <w:webHidden/>
              </w:rPr>
            </w:r>
            <w:r w:rsidR="000351BB">
              <w:rPr>
                <w:webHidden/>
              </w:rPr>
              <w:fldChar w:fldCharType="separate"/>
            </w:r>
            <w:r>
              <w:rPr>
                <w:webHidden/>
              </w:rPr>
              <w:t>3</w:t>
            </w:r>
            <w:r w:rsidR="000351BB">
              <w:rPr>
                <w:webHidden/>
              </w:rPr>
              <w:fldChar w:fldCharType="end"/>
            </w:r>
          </w:hyperlink>
        </w:p>
        <w:p w:rsidR="000351BB" w:rsidRDefault="006C0B67">
          <w:pPr>
            <w:pStyle w:val="TOC1"/>
            <w:tabs>
              <w:tab w:val="left" w:pos="440"/>
            </w:tabs>
            <w:rPr>
              <w:b w:val="0"/>
              <w:lang w:eastAsia="en-AU"/>
            </w:rPr>
          </w:pPr>
          <w:hyperlink w:anchor="_Toc433639343" w:history="1">
            <w:r w:rsidR="000351BB" w:rsidRPr="00AD76FB">
              <w:rPr>
                <w:rStyle w:val="Hyperlink"/>
                <w:rFonts w:cstheme="minorHAnsi"/>
              </w:rPr>
              <w:t>5.</w:t>
            </w:r>
            <w:r w:rsidR="000351BB">
              <w:rPr>
                <w:b w:val="0"/>
                <w:lang w:eastAsia="en-AU"/>
              </w:rPr>
              <w:tab/>
            </w:r>
            <w:r w:rsidR="000351BB" w:rsidRPr="00AD76FB">
              <w:rPr>
                <w:rStyle w:val="Hyperlink"/>
                <w:rFonts w:cstheme="minorHAnsi"/>
              </w:rPr>
              <w:t>Evaluation priorities</w:t>
            </w:r>
            <w:r w:rsidR="000351BB">
              <w:rPr>
                <w:webHidden/>
              </w:rPr>
              <w:tab/>
            </w:r>
            <w:r w:rsidR="000351BB">
              <w:rPr>
                <w:webHidden/>
              </w:rPr>
              <w:fldChar w:fldCharType="begin"/>
            </w:r>
            <w:r w:rsidR="000351BB">
              <w:rPr>
                <w:webHidden/>
              </w:rPr>
              <w:instrText xml:space="preserve"> PAGEREF _Toc433639343 \h </w:instrText>
            </w:r>
            <w:r w:rsidR="000351BB">
              <w:rPr>
                <w:webHidden/>
              </w:rPr>
            </w:r>
            <w:r w:rsidR="000351BB">
              <w:rPr>
                <w:webHidden/>
              </w:rPr>
              <w:fldChar w:fldCharType="separate"/>
            </w:r>
            <w:r>
              <w:rPr>
                <w:webHidden/>
              </w:rPr>
              <w:t>3</w:t>
            </w:r>
            <w:r w:rsidR="000351BB">
              <w:rPr>
                <w:webHidden/>
              </w:rPr>
              <w:fldChar w:fldCharType="end"/>
            </w:r>
          </w:hyperlink>
        </w:p>
        <w:p w:rsidR="000351BB" w:rsidRDefault="006C0B67">
          <w:pPr>
            <w:pStyle w:val="TOC1"/>
            <w:tabs>
              <w:tab w:val="left" w:pos="440"/>
            </w:tabs>
            <w:rPr>
              <w:b w:val="0"/>
              <w:lang w:eastAsia="en-AU"/>
            </w:rPr>
          </w:pPr>
          <w:hyperlink w:anchor="_Toc433639344" w:history="1">
            <w:r w:rsidR="000351BB" w:rsidRPr="00AD76FB">
              <w:rPr>
                <w:rStyle w:val="Hyperlink"/>
                <w:rFonts w:cstheme="minorHAnsi"/>
              </w:rPr>
              <w:t>6.</w:t>
            </w:r>
            <w:r w:rsidR="000351BB">
              <w:rPr>
                <w:b w:val="0"/>
                <w:lang w:eastAsia="en-AU"/>
              </w:rPr>
              <w:tab/>
            </w:r>
            <w:r w:rsidR="000351BB" w:rsidRPr="00AD76FB">
              <w:rPr>
                <w:rStyle w:val="Hyperlink"/>
                <w:rFonts w:cstheme="minorHAnsi"/>
              </w:rPr>
              <w:t>Capabilities</w:t>
            </w:r>
            <w:r w:rsidR="000351BB">
              <w:rPr>
                <w:webHidden/>
              </w:rPr>
              <w:tab/>
            </w:r>
            <w:r w:rsidR="000351BB">
              <w:rPr>
                <w:webHidden/>
              </w:rPr>
              <w:fldChar w:fldCharType="begin"/>
            </w:r>
            <w:r w:rsidR="000351BB">
              <w:rPr>
                <w:webHidden/>
              </w:rPr>
              <w:instrText xml:space="preserve"> PAGEREF _Toc433639344 \h </w:instrText>
            </w:r>
            <w:r w:rsidR="000351BB">
              <w:rPr>
                <w:webHidden/>
              </w:rPr>
            </w:r>
            <w:r w:rsidR="000351BB">
              <w:rPr>
                <w:webHidden/>
              </w:rPr>
              <w:fldChar w:fldCharType="separate"/>
            </w:r>
            <w:r>
              <w:rPr>
                <w:webHidden/>
              </w:rPr>
              <w:t>4</w:t>
            </w:r>
            <w:r w:rsidR="000351BB">
              <w:rPr>
                <w:webHidden/>
              </w:rPr>
              <w:fldChar w:fldCharType="end"/>
            </w:r>
          </w:hyperlink>
        </w:p>
        <w:p w:rsidR="000351BB" w:rsidRDefault="006C0B67">
          <w:pPr>
            <w:pStyle w:val="TOC1"/>
            <w:tabs>
              <w:tab w:val="left" w:pos="440"/>
            </w:tabs>
            <w:rPr>
              <w:b w:val="0"/>
              <w:lang w:eastAsia="en-AU"/>
            </w:rPr>
          </w:pPr>
          <w:hyperlink w:anchor="_Toc433639345" w:history="1">
            <w:r w:rsidR="000351BB" w:rsidRPr="00AD76FB">
              <w:rPr>
                <w:rStyle w:val="Hyperlink"/>
                <w:rFonts w:cstheme="minorHAnsi"/>
              </w:rPr>
              <w:t>7.</w:t>
            </w:r>
            <w:r w:rsidR="000351BB">
              <w:rPr>
                <w:b w:val="0"/>
                <w:lang w:eastAsia="en-AU"/>
              </w:rPr>
              <w:tab/>
            </w:r>
            <w:r w:rsidR="000351BB" w:rsidRPr="00AD76FB">
              <w:rPr>
                <w:rStyle w:val="Hyperlink"/>
                <w:rFonts w:cstheme="minorHAnsi"/>
              </w:rPr>
              <w:t>Evaluations</w:t>
            </w:r>
            <w:r w:rsidR="000351BB">
              <w:rPr>
                <w:webHidden/>
              </w:rPr>
              <w:tab/>
            </w:r>
            <w:r w:rsidR="000351BB">
              <w:rPr>
                <w:webHidden/>
              </w:rPr>
              <w:fldChar w:fldCharType="begin"/>
            </w:r>
            <w:r w:rsidR="000351BB">
              <w:rPr>
                <w:webHidden/>
              </w:rPr>
              <w:instrText xml:space="preserve"> PAGEREF _Toc433639345 \h </w:instrText>
            </w:r>
            <w:r w:rsidR="000351BB">
              <w:rPr>
                <w:webHidden/>
              </w:rPr>
            </w:r>
            <w:r w:rsidR="000351BB">
              <w:rPr>
                <w:webHidden/>
              </w:rPr>
              <w:fldChar w:fldCharType="separate"/>
            </w:r>
            <w:r>
              <w:rPr>
                <w:webHidden/>
              </w:rPr>
              <w:t>5</w:t>
            </w:r>
            <w:r w:rsidR="000351BB">
              <w:rPr>
                <w:webHidden/>
              </w:rPr>
              <w:fldChar w:fldCharType="end"/>
            </w:r>
          </w:hyperlink>
        </w:p>
        <w:p w:rsidR="000351BB" w:rsidRDefault="006C0B67">
          <w:pPr>
            <w:pStyle w:val="TOC2"/>
            <w:tabs>
              <w:tab w:val="right" w:leader="dot" w:pos="9628"/>
            </w:tabs>
            <w:rPr>
              <w:noProof/>
              <w:lang w:eastAsia="en-AU"/>
            </w:rPr>
          </w:pPr>
          <w:hyperlink w:anchor="_Toc433639346" w:history="1">
            <w:r w:rsidR="000351BB" w:rsidRPr="00AD76FB">
              <w:rPr>
                <w:rStyle w:val="Hyperlink"/>
                <w:rFonts w:cstheme="minorHAnsi"/>
                <w:noProof/>
              </w:rPr>
              <w:t>Department-wide Evaluation Priorities</w:t>
            </w:r>
            <w:r w:rsidR="000351BB">
              <w:rPr>
                <w:noProof/>
                <w:webHidden/>
              </w:rPr>
              <w:tab/>
            </w:r>
            <w:r w:rsidR="000351BB">
              <w:rPr>
                <w:noProof/>
                <w:webHidden/>
              </w:rPr>
              <w:fldChar w:fldCharType="begin"/>
            </w:r>
            <w:r w:rsidR="000351BB">
              <w:rPr>
                <w:noProof/>
                <w:webHidden/>
              </w:rPr>
              <w:instrText xml:space="preserve"> PAGEREF _Toc433639346 \h </w:instrText>
            </w:r>
            <w:r w:rsidR="000351BB">
              <w:rPr>
                <w:noProof/>
                <w:webHidden/>
              </w:rPr>
            </w:r>
            <w:r w:rsidR="000351BB">
              <w:rPr>
                <w:noProof/>
                <w:webHidden/>
              </w:rPr>
              <w:fldChar w:fldCharType="separate"/>
            </w:r>
            <w:r>
              <w:rPr>
                <w:noProof/>
                <w:webHidden/>
              </w:rPr>
              <w:t>5</w:t>
            </w:r>
            <w:r w:rsidR="000351BB">
              <w:rPr>
                <w:noProof/>
                <w:webHidden/>
              </w:rPr>
              <w:fldChar w:fldCharType="end"/>
            </w:r>
          </w:hyperlink>
        </w:p>
        <w:p w:rsidR="000351BB" w:rsidRDefault="006C0B67">
          <w:pPr>
            <w:pStyle w:val="TOC2"/>
            <w:tabs>
              <w:tab w:val="right" w:leader="dot" w:pos="9628"/>
            </w:tabs>
            <w:rPr>
              <w:noProof/>
              <w:lang w:eastAsia="en-AU"/>
            </w:rPr>
          </w:pPr>
          <w:hyperlink w:anchor="_Toc433639347" w:history="1">
            <w:r w:rsidR="000351BB" w:rsidRPr="00AD76FB">
              <w:rPr>
                <w:rStyle w:val="Hyperlink"/>
                <w:rFonts w:cstheme="minorHAnsi"/>
                <w:noProof/>
              </w:rPr>
              <w:t>Schools and Youth Cluster Evaluation Priorities</w:t>
            </w:r>
            <w:r w:rsidR="000351BB">
              <w:rPr>
                <w:noProof/>
                <w:webHidden/>
              </w:rPr>
              <w:tab/>
            </w:r>
            <w:r w:rsidR="000351BB">
              <w:rPr>
                <w:noProof/>
                <w:webHidden/>
              </w:rPr>
              <w:fldChar w:fldCharType="begin"/>
            </w:r>
            <w:r w:rsidR="000351BB">
              <w:rPr>
                <w:noProof/>
                <w:webHidden/>
              </w:rPr>
              <w:instrText xml:space="preserve"> PAGEREF _Toc433639347 \h </w:instrText>
            </w:r>
            <w:r w:rsidR="000351BB">
              <w:rPr>
                <w:noProof/>
                <w:webHidden/>
              </w:rPr>
            </w:r>
            <w:r w:rsidR="000351BB">
              <w:rPr>
                <w:noProof/>
                <w:webHidden/>
              </w:rPr>
              <w:fldChar w:fldCharType="separate"/>
            </w:r>
            <w:r>
              <w:rPr>
                <w:noProof/>
                <w:webHidden/>
              </w:rPr>
              <w:t>6</w:t>
            </w:r>
            <w:r w:rsidR="000351BB">
              <w:rPr>
                <w:noProof/>
                <w:webHidden/>
              </w:rPr>
              <w:fldChar w:fldCharType="end"/>
            </w:r>
          </w:hyperlink>
        </w:p>
        <w:p w:rsidR="000351BB" w:rsidRDefault="006C0B67">
          <w:pPr>
            <w:pStyle w:val="TOC2"/>
            <w:tabs>
              <w:tab w:val="right" w:leader="dot" w:pos="9628"/>
            </w:tabs>
            <w:rPr>
              <w:noProof/>
              <w:lang w:eastAsia="en-AU"/>
            </w:rPr>
          </w:pPr>
          <w:hyperlink w:anchor="_Toc433639348" w:history="1">
            <w:r w:rsidR="000351BB" w:rsidRPr="00AD76FB">
              <w:rPr>
                <w:rStyle w:val="Hyperlink"/>
                <w:rFonts w:cstheme="minorHAnsi"/>
                <w:noProof/>
              </w:rPr>
              <w:t>Higher Education Reform and Support Cluster Evaluation Priorities</w:t>
            </w:r>
            <w:r w:rsidR="000351BB">
              <w:rPr>
                <w:noProof/>
                <w:webHidden/>
              </w:rPr>
              <w:tab/>
            </w:r>
            <w:r w:rsidR="000351BB">
              <w:rPr>
                <w:noProof/>
                <w:webHidden/>
              </w:rPr>
              <w:fldChar w:fldCharType="begin"/>
            </w:r>
            <w:r w:rsidR="000351BB">
              <w:rPr>
                <w:noProof/>
                <w:webHidden/>
              </w:rPr>
              <w:instrText xml:space="preserve"> PAGEREF _Toc433639348 \h </w:instrText>
            </w:r>
            <w:r w:rsidR="000351BB">
              <w:rPr>
                <w:noProof/>
                <w:webHidden/>
              </w:rPr>
            </w:r>
            <w:r w:rsidR="000351BB">
              <w:rPr>
                <w:noProof/>
                <w:webHidden/>
              </w:rPr>
              <w:fldChar w:fldCharType="separate"/>
            </w:r>
            <w:r>
              <w:rPr>
                <w:noProof/>
                <w:webHidden/>
              </w:rPr>
              <w:t>9</w:t>
            </w:r>
            <w:r w:rsidR="000351BB">
              <w:rPr>
                <w:noProof/>
                <w:webHidden/>
              </w:rPr>
              <w:fldChar w:fldCharType="end"/>
            </w:r>
          </w:hyperlink>
        </w:p>
        <w:p w:rsidR="000351BB" w:rsidRDefault="006C0B67">
          <w:pPr>
            <w:pStyle w:val="TOC2"/>
            <w:tabs>
              <w:tab w:val="right" w:leader="dot" w:pos="9628"/>
            </w:tabs>
            <w:rPr>
              <w:noProof/>
              <w:lang w:eastAsia="en-AU"/>
            </w:rPr>
          </w:pPr>
          <w:hyperlink w:anchor="_Toc433639349" w:history="1">
            <w:r w:rsidR="000351BB" w:rsidRPr="00AD76FB">
              <w:rPr>
                <w:rStyle w:val="Hyperlink"/>
                <w:rFonts w:cstheme="minorHAnsi"/>
                <w:noProof/>
              </w:rPr>
              <w:t>Skills and Training Cluster Evaluation Priorities</w:t>
            </w:r>
            <w:r w:rsidR="000351BB">
              <w:rPr>
                <w:noProof/>
                <w:webHidden/>
              </w:rPr>
              <w:tab/>
            </w:r>
            <w:r w:rsidR="000351BB">
              <w:rPr>
                <w:noProof/>
                <w:webHidden/>
              </w:rPr>
              <w:fldChar w:fldCharType="begin"/>
            </w:r>
            <w:r w:rsidR="000351BB">
              <w:rPr>
                <w:noProof/>
                <w:webHidden/>
              </w:rPr>
              <w:instrText xml:space="preserve"> PAGEREF _Toc433639349 \h </w:instrText>
            </w:r>
            <w:r w:rsidR="000351BB">
              <w:rPr>
                <w:noProof/>
                <w:webHidden/>
              </w:rPr>
            </w:r>
            <w:r w:rsidR="000351BB">
              <w:rPr>
                <w:noProof/>
                <w:webHidden/>
              </w:rPr>
              <w:fldChar w:fldCharType="separate"/>
            </w:r>
            <w:r>
              <w:rPr>
                <w:noProof/>
                <w:webHidden/>
              </w:rPr>
              <w:t>11</w:t>
            </w:r>
            <w:r w:rsidR="000351BB">
              <w:rPr>
                <w:noProof/>
                <w:webHidden/>
              </w:rPr>
              <w:fldChar w:fldCharType="end"/>
            </w:r>
          </w:hyperlink>
        </w:p>
        <w:p w:rsidR="000351BB" w:rsidRDefault="006C0B67">
          <w:pPr>
            <w:pStyle w:val="TOC2"/>
            <w:tabs>
              <w:tab w:val="right" w:leader="dot" w:pos="9628"/>
            </w:tabs>
            <w:rPr>
              <w:noProof/>
              <w:lang w:eastAsia="en-AU"/>
            </w:rPr>
          </w:pPr>
          <w:hyperlink w:anchor="_Toc433639350" w:history="1">
            <w:r w:rsidR="000351BB" w:rsidRPr="00AD76FB">
              <w:rPr>
                <w:rStyle w:val="Hyperlink"/>
                <w:rFonts w:ascii="Calibri" w:hAnsi="Calibri" w:cs="Calibri"/>
                <w:noProof/>
              </w:rPr>
              <w:t>Attachment 1: Terms and Definitions</w:t>
            </w:r>
            <w:r w:rsidR="000351BB">
              <w:rPr>
                <w:noProof/>
                <w:webHidden/>
              </w:rPr>
              <w:tab/>
            </w:r>
            <w:r w:rsidR="000351BB">
              <w:rPr>
                <w:noProof/>
                <w:webHidden/>
              </w:rPr>
              <w:fldChar w:fldCharType="begin"/>
            </w:r>
            <w:r w:rsidR="000351BB">
              <w:rPr>
                <w:noProof/>
                <w:webHidden/>
              </w:rPr>
              <w:instrText xml:space="preserve"> PAGEREF _Toc433639350 \h </w:instrText>
            </w:r>
            <w:r w:rsidR="000351BB">
              <w:rPr>
                <w:noProof/>
                <w:webHidden/>
              </w:rPr>
            </w:r>
            <w:r w:rsidR="000351BB">
              <w:rPr>
                <w:noProof/>
                <w:webHidden/>
              </w:rPr>
              <w:fldChar w:fldCharType="separate"/>
            </w:r>
            <w:r>
              <w:rPr>
                <w:noProof/>
                <w:webHidden/>
              </w:rPr>
              <w:t>15</w:t>
            </w:r>
            <w:r w:rsidR="000351BB">
              <w:rPr>
                <w:noProof/>
                <w:webHidden/>
              </w:rPr>
              <w:fldChar w:fldCharType="end"/>
            </w:r>
          </w:hyperlink>
        </w:p>
        <w:p w:rsidR="000351BB" w:rsidRDefault="006C0B67">
          <w:pPr>
            <w:pStyle w:val="TOC2"/>
            <w:tabs>
              <w:tab w:val="right" w:leader="dot" w:pos="9628"/>
            </w:tabs>
            <w:rPr>
              <w:noProof/>
              <w:lang w:eastAsia="en-AU"/>
            </w:rPr>
          </w:pPr>
          <w:hyperlink w:anchor="_Toc433639351" w:history="1">
            <w:r w:rsidR="000351BB" w:rsidRPr="00AD76FB">
              <w:rPr>
                <w:rStyle w:val="Hyperlink"/>
                <w:rFonts w:cstheme="minorHAnsi"/>
                <w:noProof/>
              </w:rPr>
              <w:t>Attachment 2: Other resources</w:t>
            </w:r>
            <w:r w:rsidR="000351BB">
              <w:rPr>
                <w:noProof/>
                <w:webHidden/>
              </w:rPr>
              <w:tab/>
            </w:r>
            <w:r w:rsidR="000351BB">
              <w:rPr>
                <w:noProof/>
                <w:webHidden/>
              </w:rPr>
              <w:fldChar w:fldCharType="begin"/>
            </w:r>
            <w:r w:rsidR="000351BB">
              <w:rPr>
                <w:noProof/>
                <w:webHidden/>
              </w:rPr>
              <w:instrText xml:space="preserve"> PAGEREF _Toc433639351 \h </w:instrText>
            </w:r>
            <w:r w:rsidR="000351BB">
              <w:rPr>
                <w:noProof/>
                <w:webHidden/>
              </w:rPr>
            </w:r>
            <w:r w:rsidR="000351BB">
              <w:rPr>
                <w:noProof/>
                <w:webHidden/>
              </w:rPr>
              <w:fldChar w:fldCharType="separate"/>
            </w:r>
            <w:r>
              <w:rPr>
                <w:noProof/>
                <w:webHidden/>
              </w:rPr>
              <w:t>17</w:t>
            </w:r>
            <w:r w:rsidR="000351BB">
              <w:rPr>
                <w:noProof/>
                <w:webHidden/>
              </w:rPr>
              <w:fldChar w:fldCharType="end"/>
            </w:r>
          </w:hyperlink>
        </w:p>
        <w:p w:rsidR="000537AD" w:rsidRDefault="000537AD" w:rsidP="00E566F4">
          <w:pPr>
            <w:pStyle w:val="TOC1"/>
            <w:sectPr w:rsidR="000537AD" w:rsidSect="000537AD">
              <w:pgSz w:w="11906" w:h="16838"/>
              <w:pgMar w:top="1134" w:right="1134" w:bottom="1134" w:left="1134" w:header="709" w:footer="709" w:gutter="0"/>
              <w:pgNumType w:start="1"/>
              <w:cols w:space="708"/>
              <w:docGrid w:linePitch="360"/>
            </w:sectPr>
          </w:pPr>
          <w:r w:rsidRPr="002506FC">
            <w:rPr>
              <w:rStyle w:val="Hyperlink"/>
            </w:rPr>
            <w:fldChar w:fldCharType="end"/>
          </w:r>
        </w:p>
      </w:sdtContent>
    </w:sdt>
    <w:p w:rsidR="000537AD" w:rsidRPr="00FA197D" w:rsidRDefault="000537AD" w:rsidP="00FA197D">
      <w:pPr>
        <w:pStyle w:val="Heading1"/>
        <w:numPr>
          <w:ilvl w:val="0"/>
          <w:numId w:val="32"/>
        </w:numPr>
        <w:ind w:left="567" w:hanging="567"/>
        <w:rPr>
          <w:rFonts w:asciiTheme="minorHAnsi" w:hAnsiTheme="minorHAnsi" w:cstheme="minorHAnsi"/>
          <w:sz w:val="32"/>
          <w:szCs w:val="32"/>
        </w:rPr>
      </w:pPr>
      <w:bookmarkStart w:id="2" w:name="_Toc433639339"/>
      <w:r w:rsidRPr="00FA197D">
        <w:rPr>
          <w:rFonts w:asciiTheme="minorHAnsi" w:hAnsiTheme="minorHAnsi" w:cstheme="minorHAnsi"/>
          <w:sz w:val="32"/>
          <w:szCs w:val="32"/>
        </w:rPr>
        <w:lastRenderedPageBreak/>
        <w:t>Introduction</w:t>
      </w:r>
      <w:bookmarkEnd w:id="1"/>
      <w:bookmarkEnd w:id="2"/>
    </w:p>
    <w:p w:rsidR="000537AD" w:rsidRPr="000537AD" w:rsidRDefault="000537AD" w:rsidP="000537AD">
      <w:pPr>
        <w:spacing w:after="200" w:line="276" w:lineRule="auto"/>
        <w:rPr>
          <w:rFonts w:asciiTheme="minorHAnsi" w:eastAsiaTheme="minorEastAsia" w:hAnsiTheme="minorHAnsi" w:cstheme="minorBidi"/>
          <w:sz w:val="22"/>
          <w:szCs w:val="22"/>
          <w:lang w:eastAsia="en-US"/>
        </w:rPr>
      </w:pPr>
      <w:r w:rsidRPr="000537AD">
        <w:rPr>
          <w:rFonts w:asciiTheme="minorHAnsi" w:eastAsiaTheme="minorEastAsia" w:hAnsiTheme="minorHAnsi" w:cstheme="minorBidi"/>
          <w:sz w:val="22"/>
          <w:szCs w:val="22"/>
          <w:lang w:eastAsia="en-US"/>
        </w:rPr>
        <w:t>Evaluation underpins the Department of Education</w:t>
      </w:r>
      <w:r w:rsidR="004D44DD">
        <w:rPr>
          <w:rFonts w:asciiTheme="minorHAnsi" w:eastAsiaTheme="minorEastAsia" w:hAnsiTheme="minorHAnsi" w:cstheme="minorBidi"/>
          <w:sz w:val="22"/>
          <w:szCs w:val="22"/>
          <w:lang w:eastAsia="en-US"/>
        </w:rPr>
        <w:t xml:space="preserve"> and Training</w:t>
      </w:r>
      <w:r w:rsidRPr="000537AD">
        <w:rPr>
          <w:rFonts w:asciiTheme="minorHAnsi" w:eastAsiaTheme="minorEastAsia" w:hAnsiTheme="minorHAnsi" w:cstheme="minorBidi"/>
          <w:sz w:val="22"/>
          <w:szCs w:val="22"/>
          <w:lang w:eastAsia="en-US"/>
        </w:rPr>
        <w:t>’s (the department’s) evidence-based culture. Evaluation is the systematic and objective assessment necessary to judge the impact of the policies and programmes developed and delivered by the department, the difference we make. It also tells us about effic</w:t>
      </w:r>
      <w:r w:rsidR="00936FFA">
        <w:rPr>
          <w:rFonts w:asciiTheme="minorHAnsi" w:eastAsiaTheme="minorEastAsia" w:hAnsiTheme="minorHAnsi" w:cstheme="minorBidi"/>
          <w:sz w:val="22"/>
          <w:szCs w:val="22"/>
          <w:lang w:eastAsia="en-US"/>
        </w:rPr>
        <w:t>iency and delivery.</w:t>
      </w:r>
    </w:p>
    <w:p w:rsidR="000537AD" w:rsidRPr="000537AD" w:rsidRDefault="000537AD" w:rsidP="000537AD">
      <w:pPr>
        <w:spacing w:after="200" w:line="276" w:lineRule="auto"/>
        <w:rPr>
          <w:rFonts w:asciiTheme="minorHAnsi" w:eastAsiaTheme="minorEastAsia" w:hAnsiTheme="minorHAnsi" w:cstheme="minorBidi"/>
          <w:sz w:val="22"/>
          <w:szCs w:val="22"/>
          <w:lang w:eastAsia="en-US"/>
        </w:rPr>
      </w:pPr>
      <w:r w:rsidRPr="000537AD">
        <w:rPr>
          <w:rFonts w:asciiTheme="minorHAnsi" w:eastAsiaTheme="minorEastAsia" w:hAnsiTheme="minorHAnsi" w:cstheme="minorBidi"/>
          <w:sz w:val="22"/>
          <w:szCs w:val="22"/>
          <w:lang w:eastAsia="en-US"/>
        </w:rPr>
        <w:t xml:space="preserve">The </w:t>
      </w:r>
      <w:r w:rsidRPr="00232313">
        <w:rPr>
          <w:rFonts w:asciiTheme="minorHAnsi" w:eastAsiaTheme="minorEastAsia" w:hAnsiTheme="minorHAnsi" w:cstheme="minorBidi"/>
          <w:i/>
          <w:sz w:val="22"/>
          <w:szCs w:val="22"/>
          <w:lang w:eastAsia="en-US"/>
        </w:rPr>
        <w:t xml:space="preserve">Department of Education </w:t>
      </w:r>
      <w:r w:rsidR="004D44DD">
        <w:rPr>
          <w:rFonts w:asciiTheme="minorHAnsi" w:eastAsiaTheme="minorEastAsia" w:hAnsiTheme="minorHAnsi" w:cstheme="minorBidi"/>
          <w:i/>
          <w:sz w:val="22"/>
          <w:szCs w:val="22"/>
          <w:lang w:eastAsia="en-US"/>
        </w:rPr>
        <w:t xml:space="preserve">and Training </w:t>
      </w:r>
      <w:r w:rsidRPr="00232313">
        <w:rPr>
          <w:rFonts w:asciiTheme="minorHAnsi" w:eastAsiaTheme="minorEastAsia" w:hAnsiTheme="minorHAnsi" w:cstheme="minorBidi"/>
          <w:i/>
          <w:sz w:val="22"/>
          <w:szCs w:val="22"/>
          <w:lang w:eastAsia="en-US"/>
        </w:rPr>
        <w:t>Evaluation Plan 2015–2017</w:t>
      </w:r>
      <w:r w:rsidRPr="000537AD">
        <w:rPr>
          <w:rFonts w:asciiTheme="minorHAnsi" w:eastAsiaTheme="minorEastAsia" w:hAnsiTheme="minorHAnsi" w:cstheme="minorBidi"/>
          <w:sz w:val="22"/>
          <w:szCs w:val="22"/>
          <w:lang w:eastAsia="en-US"/>
        </w:rPr>
        <w:t xml:space="preserve"> (the Plan) sets our broad evaluation goals. The Plan sits alongside the </w:t>
      </w:r>
      <w:r w:rsidRPr="000537AD">
        <w:rPr>
          <w:rFonts w:asciiTheme="minorHAnsi" w:eastAsiaTheme="minorEastAsia" w:hAnsiTheme="minorHAnsi" w:cstheme="minorBidi"/>
          <w:i/>
          <w:sz w:val="22"/>
          <w:szCs w:val="22"/>
          <w:lang w:eastAsia="en-US"/>
        </w:rPr>
        <w:t>Department of Education Strategic Plan 2014–2017</w:t>
      </w:r>
      <w:r w:rsidR="001B0416">
        <w:rPr>
          <w:rStyle w:val="FootnoteReference"/>
          <w:rFonts w:asciiTheme="minorHAnsi" w:eastAsiaTheme="minorEastAsia" w:hAnsiTheme="minorHAnsi" w:cstheme="minorBidi"/>
          <w:i/>
          <w:sz w:val="22"/>
          <w:szCs w:val="22"/>
          <w:lang w:eastAsia="en-US"/>
        </w:rPr>
        <w:footnoteReference w:id="1"/>
      </w:r>
      <w:r w:rsidRPr="000537AD">
        <w:rPr>
          <w:rFonts w:asciiTheme="minorHAnsi" w:eastAsiaTheme="minorEastAsia" w:hAnsiTheme="minorHAnsi" w:cstheme="minorBidi"/>
          <w:sz w:val="22"/>
          <w:szCs w:val="22"/>
          <w:lang w:eastAsia="en-US"/>
        </w:rPr>
        <w:t xml:space="preserve"> and </w:t>
      </w:r>
      <w:r w:rsidR="0090023B">
        <w:rPr>
          <w:rFonts w:asciiTheme="minorHAnsi" w:eastAsiaTheme="minorEastAsia" w:hAnsiTheme="minorHAnsi" w:cstheme="minorBidi"/>
          <w:sz w:val="22"/>
          <w:szCs w:val="22"/>
          <w:lang w:eastAsia="en-US"/>
        </w:rPr>
        <w:t xml:space="preserve">other documents including the </w:t>
      </w:r>
      <w:r w:rsidRPr="000537AD">
        <w:rPr>
          <w:rFonts w:asciiTheme="minorHAnsi" w:eastAsiaTheme="minorEastAsia" w:hAnsiTheme="minorHAnsi" w:cstheme="minorBidi"/>
          <w:sz w:val="22"/>
          <w:szCs w:val="22"/>
          <w:lang w:eastAsia="en-US"/>
        </w:rPr>
        <w:t>Portfolio Budget Statement</w:t>
      </w:r>
      <w:r w:rsidR="0090023B">
        <w:rPr>
          <w:rFonts w:asciiTheme="minorHAnsi" w:eastAsiaTheme="minorEastAsia" w:hAnsiTheme="minorHAnsi" w:cstheme="minorBidi"/>
          <w:sz w:val="22"/>
          <w:szCs w:val="22"/>
          <w:lang w:eastAsia="en-US"/>
        </w:rPr>
        <w:t xml:space="preserve"> and Annual Report</w:t>
      </w:r>
      <w:r w:rsidRPr="000537AD">
        <w:rPr>
          <w:rFonts w:asciiTheme="minorHAnsi" w:eastAsiaTheme="minorEastAsia" w:hAnsiTheme="minorHAnsi" w:cstheme="minorBidi"/>
          <w:sz w:val="22"/>
          <w:szCs w:val="22"/>
          <w:lang w:eastAsia="en-US"/>
        </w:rPr>
        <w:t>. The Plan aligns with requirements as set out in the Commonwealth Performance Framework</w:t>
      </w:r>
      <w:r w:rsidRPr="007177DD">
        <w:rPr>
          <w:rFonts w:asciiTheme="minorHAnsi" w:eastAsiaTheme="minorEastAsia" w:hAnsiTheme="minorHAnsi" w:cstheme="minorBidi"/>
          <w:sz w:val="22"/>
          <w:szCs w:val="22"/>
          <w:vertAlign w:val="superscript"/>
          <w:lang w:eastAsia="en-US"/>
        </w:rPr>
        <w:footnoteReference w:id="2"/>
      </w:r>
      <w:r w:rsidRPr="007177DD">
        <w:rPr>
          <w:rFonts w:asciiTheme="minorHAnsi" w:eastAsiaTheme="minorEastAsia" w:hAnsiTheme="minorHAnsi" w:cstheme="minorBidi"/>
          <w:sz w:val="22"/>
          <w:szCs w:val="22"/>
          <w:vertAlign w:val="superscript"/>
          <w:lang w:eastAsia="en-US"/>
        </w:rPr>
        <w:t xml:space="preserve"> </w:t>
      </w:r>
      <w:r w:rsidRPr="000537AD">
        <w:rPr>
          <w:rFonts w:asciiTheme="minorHAnsi" w:eastAsiaTheme="minorEastAsia" w:hAnsiTheme="minorHAnsi" w:cstheme="minorBidi"/>
          <w:sz w:val="22"/>
          <w:szCs w:val="22"/>
          <w:lang w:eastAsia="en-US"/>
        </w:rPr>
        <w:t>which outlines key requirements for the department to meet its non-financial performance reporting obligations.</w:t>
      </w:r>
    </w:p>
    <w:p w:rsidR="000537AD" w:rsidRPr="000537AD" w:rsidRDefault="000537AD" w:rsidP="000537AD">
      <w:pPr>
        <w:spacing w:after="200" w:line="276" w:lineRule="auto"/>
        <w:rPr>
          <w:rFonts w:asciiTheme="minorHAnsi" w:eastAsiaTheme="minorEastAsia" w:hAnsiTheme="minorHAnsi" w:cstheme="minorBidi"/>
          <w:sz w:val="22"/>
          <w:szCs w:val="22"/>
          <w:lang w:eastAsia="en-US"/>
        </w:rPr>
      </w:pPr>
      <w:r w:rsidRPr="000537AD">
        <w:rPr>
          <w:rFonts w:asciiTheme="minorHAnsi" w:eastAsiaTheme="minorEastAsia" w:hAnsiTheme="minorHAnsi" w:cstheme="minorBidi"/>
          <w:sz w:val="22"/>
          <w:szCs w:val="22"/>
          <w:lang w:eastAsia="en-US"/>
        </w:rPr>
        <w:t>The Plan affirms that for us evaluation supports policy and programme development. It sets out the aims of the department’s evaluat</w:t>
      </w:r>
      <w:r w:rsidR="00936FFA">
        <w:rPr>
          <w:rFonts w:asciiTheme="minorHAnsi" w:eastAsiaTheme="minorEastAsia" w:hAnsiTheme="minorHAnsi" w:cstheme="minorBidi"/>
          <w:sz w:val="22"/>
          <w:szCs w:val="22"/>
          <w:lang w:eastAsia="en-US"/>
        </w:rPr>
        <w:t>ion agenda and our priorities.</w:t>
      </w:r>
    </w:p>
    <w:p w:rsidR="000537AD" w:rsidRPr="00FA197D" w:rsidRDefault="000537AD" w:rsidP="00FA197D">
      <w:pPr>
        <w:pStyle w:val="Heading1"/>
        <w:numPr>
          <w:ilvl w:val="0"/>
          <w:numId w:val="32"/>
        </w:numPr>
        <w:ind w:left="567" w:hanging="567"/>
        <w:rPr>
          <w:rFonts w:asciiTheme="minorHAnsi" w:hAnsiTheme="minorHAnsi" w:cstheme="minorHAnsi"/>
          <w:sz w:val="32"/>
          <w:szCs w:val="32"/>
        </w:rPr>
      </w:pPr>
      <w:bookmarkStart w:id="3" w:name="_Toc400965316"/>
      <w:bookmarkStart w:id="4" w:name="_Toc433639340"/>
      <w:r w:rsidRPr="00FA197D">
        <w:rPr>
          <w:rFonts w:asciiTheme="minorHAnsi" w:hAnsiTheme="minorHAnsi" w:cstheme="minorHAnsi"/>
          <w:sz w:val="32"/>
          <w:szCs w:val="32"/>
        </w:rPr>
        <w:t>Aim</w:t>
      </w:r>
      <w:bookmarkEnd w:id="3"/>
      <w:bookmarkEnd w:id="4"/>
    </w:p>
    <w:p w:rsidR="000537AD" w:rsidRPr="000537AD" w:rsidRDefault="000537AD" w:rsidP="000537AD">
      <w:pPr>
        <w:spacing w:after="200" w:line="276" w:lineRule="auto"/>
        <w:rPr>
          <w:rFonts w:asciiTheme="minorHAnsi" w:eastAsiaTheme="minorEastAsia" w:hAnsiTheme="minorHAnsi" w:cstheme="minorBidi"/>
          <w:sz w:val="22"/>
          <w:szCs w:val="22"/>
          <w:lang w:eastAsia="en-US"/>
        </w:rPr>
      </w:pPr>
      <w:r w:rsidRPr="000537AD">
        <w:rPr>
          <w:rFonts w:asciiTheme="minorHAnsi" w:eastAsiaTheme="minorEastAsia" w:hAnsiTheme="minorHAnsi" w:cstheme="minorBidi"/>
          <w:sz w:val="22"/>
          <w:szCs w:val="22"/>
          <w:lang w:eastAsia="en-US"/>
        </w:rPr>
        <w:t xml:space="preserve">The </w:t>
      </w:r>
      <w:r w:rsidRPr="000537AD">
        <w:rPr>
          <w:rFonts w:asciiTheme="minorHAnsi" w:eastAsiaTheme="minorEastAsia" w:hAnsiTheme="minorHAnsi" w:cstheme="minorBidi"/>
          <w:i/>
          <w:sz w:val="22"/>
          <w:szCs w:val="22"/>
          <w:lang w:eastAsia="en-US"/>
        </w:rPr>
        <w:t>Department of Education Strategic Plan 2014–2017</w:t>
      </w:r>
      <w:r w:rsidRPr="000537AD">
        <w:rPr>
          <w:rFonts w:asciiTheme="minorHAnsi" w:eastAsiaTheme="minorEastAsia" w:hAnsiTheme="minorHAnsi" w:cstheme="minorBidi"/>
          <w:sz w:val="22"/>
          <w:szCs w:val="22"/>
          <w:lang w:eastAsia="en-US"/>
        </w:rPr>
        <w:t xml:space="preserve"> states the vision of the department is to ensure opportunity through learning for every Australian.</w:t>
      </w:r>
      <w:r w:rsidR="00A46E76">
        <w:rPr>
          <w:rFonts w:asciiTheme="minorHAnsi" w:eastAsiaTheme="minorEastAsia" w:hAnsiTheme="minorHAnsi" w:cstheme="minorBidi"/>
          <w:sz w:val="22"/>
          <w:szCs w:val="22"/>
          <w:lang w:eastAsia="en-US"/>
        </w:rPr>
        <w:t xml:space="preserve"> </w:t>
      </w:r>
      <w:r w:rsidRPr="000537AD">
        <w:rPr>
          <w:rFonts w:asciiTheme="minorHAnsi" w:eastAsiaTheme="minorEastAsia" w:hAnsiTheme="minorHAnsi" w:cstheme="minorBidi"/>
          <w:sz w:val="22"/>
          <w:szCs w:val="22"/>
          <w:lang w:eastAsia="en-US"/>
        </w:rPr>
        <w:t>The department recognises that evaluation of both policy and programmes plays a major role in achieving this commitment. High quality evaluation and open discussion of findings is also essential to o</w:t>
      </w:r>
      <w:r w:rsidR="002A526D">
        <w:rPr>
          <w:rFonts w:asciiTheme="minorHAnsi" w:eastAsiaTheme="minorEastAsia" w:hAnsiTheme="minorHAnsi" w:cstheme="minorBidi"/>
          <w:sz w:val="22"/>
          <w:szCs w:val="22"/>
          <w:lang w:eastAsia="en-US"/>
        </w:rPr>
        <w:t>ur standing as a policy leader.</w:t>
      </w:r>
    </w:p>
    <w:p w:rsidR="000537AD" w:rsidRPr="00FA197D" w:rsidRDefault="000537AD" w:rsidP="00FA197D">
      <w:pPr>
        <w:pStyle w:val="Heading1"/>
        <w:numPr>
          <w:ilvl w:val="0"/>
          <w:numId w:val="32"/>
        </w:numPr>
        <w:ind w:left="567" w:hanging="567"/>
        <w:rPr>
          <w:rFonts w:asciiTheme="minorHAnsi" w:hAnsiTheme="minorHAnsi" w:cstheme="minorHAnsi"/>
          <w:sz w:val="32"/>
          <w:szCs w:val="32"/>
        </w:rPr>
      </w:pPr>
      <w:bookmarkStart w:id="5" w:name="_Toc433639341"/>
      <w:r w:rsidRPr="00FA197D">
        <w:rPr>
          <w:rFonts w:asciiTheme="minorHAnsi" w:hAnsiTheme="minorHAnsi" w:cstheme="minorHAnsi"/>
          <w:sz w:val="32"/>
          <w:szCs w:val="32"/>
        </w:rPr>
        <w:t>Scope</w:t>
      </w:r>
      <w:bookmarkEnd w:id="5"/>
    </w:p>
    <w:p w:rsidR="000537AD" w:rsidRPr="007177DD" w:rsidRDefault="000537AD" w:rsidP="007177DD">
      <w:pPr>
        <w:spacing w:after="200" w:line="276" w:lineRule="auto"/>
        <w:rPr>
          <w:rFonts w:asciiTheme="minorHAnsi" w:eastAsiaTheme="minorEastAsia" w:hAnsiTheme="minorHAnsi" w:cstheme="minorBidi"/>
          <w:sz w:val="22"/>
          <w:szCs w:val="22"/>
          <w:lang w:eastAsia="en-US"/>
        </w:rPr>
      </w:pPr>
      <w:r w:rsidRPr="000537AD">
        <w:rPr>
          <w:rFonts w:asciiTheme="minorHAnsi" w:eastAsiaTheme="minorEastAsia" w:hAnsiTheme="minorHAnsi" w:cstheme="minorBidi"/>
          <w:sz w:val="22"/>
          <w:szCs w:val="22"/>
          <w:lang w:eastAsia="en-US"/>
        </w:rPr>
        <w:t xml:space="preserve">This Plan will </w:t>
      </w:r>
      <w:r w:rsidR="00455DFE">
        <w:rPr>
          <w:rFonts w:asciiTheme="minorHAnsi" w:eastAsiaTheme="minorEastAsia" w:hAnsiTheme="minorHAnsi" w:cstheme="minorBidi"/>
          <w:sz w:val="22"/>
          <w:szCs w:val="22"/>
          <w:lang w:eastAsia="en-US"/>
        </w:rPr>
        <w:t>contribute to</w:t>
      </w:r>
      <w:r w:rsidRPr="000537AD">
        <w:rPr>
          <w:rFonts w:asciiTheme="minorHAnsi" w:eastAsiaTheme="minorEastAsia" w:hAnsiTheme="minorHAnsi" w:cstheme="minorBidi"/>
          <w:sz w:val="22"/>
          <w:szCs w:val="22"/>
          <w:lang w:eastAsia="en-US"/>
        </w:rPr>
        <w:t xml:space="preserve"> a strong line of sight from </w:t>
      </w:r>
      <w:r w:rsidR="00455DFE">
        <w:rPr>
          <w:rFonts w:asciiTheme="minorHAnsi" w:eastAsiaTheme="minorEastAsia" w:hAnsiTheme="minorHAnsi" w:cstheme="minorBidi"/>
          <w:sz w:val="22"/>
          <w:szCs w:val="22"/>
          <w:lang w:eastAsia="en-US"/>
        </w:rPr>
        <w:t xml:space="preserve">the department’s </w:t>
      </w:r>
      <w:r w:rsidRPr="000537AD">
        <w:rPr>
          <w:rFonts w:asciiTheme="minorHAnsi" w:eastAsiaTheme="minorEastAsia" w:hAnsiTheme="minorHAnsi" w:cstheme="minorBidi"/>
          <w:sz w:val="22"/>
          <w:szCs w:val="22"/>
          <w:lang w:eastAsia="en-US"/>
        </w:rPr>
        <w:t>activities to its outcomes through reporting in the Annual Report and Portfolio Budget Statements</w:t>
      </w:r>
      <w:r w:rsidR="0040305A" w:rsidRPr="007177DD">
        <w:rPr>
          <w:rFonts w:asciiTheme="minorHAnsi" w:eastAsiaTheme="minorEastAsia" w:hAnsiTheme="minorHAnsi" w:cstheme="minorBidi"/>
          <w:sz w:val="22"/>
          <w:szCs w:val="22"/>
          <w:vertAlign w:val="superscript"/>
          <w:lang w:eastAsia="en-US"/>
        </w:rPr>
        <w:footnoteReference w:id="3"/>
      </w:r>
      <w:r w:rsidRPr="000537AD">
        <w:rPr>
          <w:rFonts w:asciiTheme="minorHAnsi" w:eastAsiaTheme="minorEastAsia" w:hAnsiTheme="minorHAnsi" w:cstheme="minorBidi"/>
          <w:sz w:val="22"/>
          <w:szCs w:val="22"/>
          <w:lang w:eastAsia="en-US"/>
        </w:rPr>
        <w:t>.</w:t>
      </w:r>
    </w:p>
    <w:p w:rsidR="000537AD" w:rsidRPr="007177DD" w:rsidRDefault="000537AD" w:rsidP="00936FFA">
      <w:pPr>
        <w:spacing w:after="200" w:line="276" w:lineRule="auto"/>
        <w:rPr>
          <w:rFonts w:asciiTheme="minorHAnsi" w:hAnsiTheme="minorHAnsi" w:cstheme="minorHAnsi"/>
          <w:i/>
          <w:sz w:val="22"/>
          <w:szCs w:val="22"/>
        </w:rPr>
      </w:pPr>
      <w:r w:rsidRPr="007177DD">
        <w:rPr>
          <w:rFonts w:asciiTheme="minorHAnsi" w:hAnsiTheme="minorHAnsi" w:cstheme="minorHAnsi"/>
          <w:i/>
          <w:sz w:val="22"/>
          <w:szCs w:val="22"/>
        </w:rPr>
        <w:t>3.1 Public Governance, Performance and Accountability Act 2013</w:t>
      </w:r>
    </w:p>
    <w:p w:rsidR="002506FC" w:rsidRDefault="000537AD" w:rsidP="00936FFA">
      <w:pPr>
        <w:spacing w:after="200" w:line="276" w:lineRule="auto"/>
        <w:rPr>
          <w:rFonts w:asciiTheme="minorHAnsi" w:eastAsiaTheme="minorEastAsia" w:hAnsiTheme="minorHAnsi" w:cstheme="minorBidi"/>
          <w:sz w:val="22"/>
          <w:szCs w:val="22"/>
          <w:lang w:eastAsia="en-US"/>
        </w:rPr>
      </w:pPr>
      <w:r w:rsidRPr="007177DD">
        <w:rPr>
          <w:rFonts w:asciiTheme="minorHAnsi" w:eastAsiaTheme="minorEastAsia" w:hAnsiTheme="minorHAnsi" w:cstheme="minorBidi"/>
          <w:sz w:val="22"/>
          <w:szCs w:val="22"/>
          <w:lang w:eastAsia="en-US"/>
        </w:rPr>
        <w:t xml:space="preserve">The commitment to high quality evaluation and evidence is also a key component of the </w:t>
      </w:r>
      <w:r w:rsidRPr="004724AD">
        <w:rPr>
          <w:rFonts w:asciiTheme="minorHAnsi" w:eastAsiaTheme="minorEastAsia" w:hAnsiTheme="minorHAnsi" w:cstheme="minorBidi"/>
          <w:i/>
          <w:sz w:val="22"/>
          <w:szCs w:val="22"/>
          <w:lang w:eastAsia="en-US"/>
        </w:rPr>
        <w:t xml:space="preserve">Public Governance, Performance and Accountability Act 2013 </w:t>
      </w:r>
      <w:r w:rsidRPr="007177DD">
        <w:rPr>
          <w:rFonts w:asciiTheme="minorHAnsi" w:eastAsiaTheme="minorEastAsia" w:hAnsiTheme="minorHAnsi" w:cstheme="minorBidi"/>
          <w:sz w:val="22"/>
          <w:szCs w:val="22"/>
          <w:lang w:eastAsia="en-US"/>
        </w:rPr>
        <w:t>(PGPA Act). The PGPA Act provides a whole-of-government framework for performance measurement and reporting.</w:t>
      </w:r>
    </w:p>
    <w:p w:rsidR="000537AD" w:rsidRDefault="00455DFE" w:rsidP="00936FFA">
      <w:pPr>
        <w:spacing w:after="200" w:line="276" w:lineRule="auto"/>
        <w:rPr>
          <w:rFonts w:asciiTheme="minorHAnsi" w:eastAsiaTheme="minorEastAsia" w:hAnsiTheme="minorHAnsi" w:cstheme="minorBidi"/>
          <w:sz w:val="22"/>
          <w:szCs w:val="22"/>
          <w:lang w:eastAsia="en-US"/>
        </w:rPr>
      </w:pPr>
      <w:r>
        <w:rPr>
          <w:rFonts w:asciiTheme="minorHAnsi" w:eastAsiaTheme="minorEastAsia" w:hAnsiTheme="minorHAnsi" w:cstheme="minorBidi"/>
          <w:sz w:val="22"/>
          <w:szCs w:val="22"/>
          <w:lang w:eastAsia="en-US"/>
        </w:rPr>
        <w:t xml:space="preserve">The Plan will form an important component of </w:t>
      </w:r>
      <w:r w:rsidR="00495EC1">
        <w:rPr>
          <w:rFonts w:asciiTheme="minorHAnsi" w:eastAsiaTheme="minorEastAsia" w:hAnsiTheme="minorHAnsi" w:cstheme="minorBidi"/>
          <w:sz w:val="22"/>
          <w:szCs w:val="22"/>
          <w:lang w:eastAsia="en-US"/>
        </w:rPr>
        <w:t>a</w:t>
      </w:r>
      <w:r>
        <w:rPr>
          <w:rFonts w:asciiTheme="minorHAnsi" w:eastAsiaTheme="minorEastAsia" w:hAnsiTheme="minorHAnsi" w:cstheme="minorBidi"/>
          <w:sz w:val="22"/>
          <w:szCs w:val="22"/>
          <w:lang w:eastAsia="en-US"/>
        </w:rPr>
        <w:t xml:space="preserve"> PGPA Act suite of public documents that provide information on the resourcing operations and performance of the department. In this context, the Evaluation Plan will provide a valuable and strategic contribution to the department’s performance framework</w:t>
      </w:r>
      <w:r w:rsidR="0040305A">
        <w:rPr>
          <w:rFonts w:asciiTheme="minorHAnsi" w:eastAsiaTheme="minorEastAsia" w:hAnsiTheme="minorHAnsi" w:cstheme="minorBidi"/>
          <w:sz w:val="22"/>
          <w:szCs w:val="22"/>
          <w:lang w:eastAsia="en-US"/>
        </w:rPr>
        <w:t>.</w:t>
      </w:r>
    </w:p>
    <w:p w:rsidR="000537AD" w:rsidRPr="007177DD" w:rsidRDefault="000537AD" w:rsidP="00936FFA">
      <w:pPr>
        <w:spacing w:after="200" w:line="276" w:lineRule="auto"/>
        <w:rPr>
          <w:rFonts w:asciiTheme="minorHAnsi" w:hAnsiTheme="minorHAnsi" w:cstheme="minorHAnsi"/>
          <w:i/>
          <w:sz w:val="22"/>
          <w:szCs w:val="22"/>
        </w:rPr>
      </w:pPr>
      <w:r w:rsidRPr="007177DD">
        <w:rPr>
          <w:rFonts w:asciiTheme="minorHAnsi" w:hAnsiTheme="minorHAnsi" w:cstheme="minorHAnsi"/>
          <w:i/>
          <w:sz w:val="22"/>
          <w:szCs w:val="22"/>
        </w:rPr>
        <w:t>3.2 Review of programmes regarding Indigenous Australians</w:t>
      </w:r>
    </w:p>
    <w:p w:rsidR="007177DD" w:rsidRPr="007177DD" w:rsidRDefault="000537AD" w:rsidP="00936FFA">
      <w:pPr>
        <w:spacing w:after="200" w:line="276" w:lineRule="auto"/>
        <w:rPr>
          <w:rFonts w:asciiTheme="minorHAnsi" w:eastAsiaTheme="minorEastAsia" w:hAnsiTheme="minorHAnsi" w:cstheme="minorHAnsi"/>
          <w:sz w:val="22"/>
          <w:szCs w:val="22"/>
          <w:lang w:eastAsia="en-US"/>
        </w:rPr>
      </w:pPr>
      <w:r w:rsidRPr="007177DD">
        <w:rPr>
          <w:rFonts w:asciiTheme="minorHAnsi" w:eastAsiaTheme="minorEastAsia" w:hAnsiTheme="minorHAnsi" w:cstheme="minorBidi"/>
          <w:sz w:val="22"/>
          <w:szCs w:val="22"/>
          <w:lang w:eastAsia="en-US"/>
        </w:rPr>
        <w:t xml:space="preserve">The Plan has also drawn focus from the Government’s priorities for assessment of all mainstream programmes’ performance for Indigenous Australians. This is to be done against a framework developed by </w:t>
      </w:r>
      <w:r w:rsidRPr="007177DD">
        <w:rPr>
          <w:rFonts w:asciiTheme="minorHAnsi" w:eastAsiaTheme="minorEastAsia" w:hAnsiTheme="minorHAnsi" w:cstheme="minorHAnsi"/>
          <w:sz w:val="22"/>
          <w:szCs w:val="22"/>
          <w:lang w:eastAsia="en-US"/>
        </w:rPr>
        <w:t xml:space="preserve">the Department of Prime Minister &amp; Cabinet </w:t>
      </w:r>
      <w:r w:rsidR="008301A0">
        <w:rPr>
          <w:rFonts w:asciiTheme="minorHAnsi" w:eastAsiaTheme="minorEastAsia" w:hAnsiTheme="minorHAnsi" w:cstheme="minorHAnsi"/>
          <w:sz w:val="22"/>
          <w:szCs w:val="22"/>
          <w:lang w:eastAsia="en-US"/>
        </w:rPr>
        <w:t xml:space="preserve">and </w:t>
      </w:r>
      <w:r w:rsidRPr="007177DD">
        <w:rPr>
          <w:rFonts w:asciiTheme="minorHAnsi" w:eastAsiaTheme="minorEastAsia" w:hAnsiTheme="minorHAnsi" w:cstheme="minorHAnsi"/>
          <w:sz w:val="22"/>
          <w:szCs w:val="22"/>
          <w:lang w:eastAsia="en-US"/>
        </w:rPr>
        <w:t>includes portfolio agency programmes.</w:t>
      </w:r>
    </w:p>
    <w:p w:rsidR="007177DD" w:rsidRPr="007177DD" w:rsidRDefault="000537AD" w:rsidP="00936FFA">
      <w:pPr>
        <w:spacing w:after="200" w:line="276" w:lineRule="auto"/>
        <w:rPr>
          <w:rFonts w:asciiTheme="minorHAnsi" w:eastAsiaTheme="minorEastAsia" w:hAnsiTheme="minorHAnsi" w:cstheme="minorHAnsi"/>
          <w:sz w:val="22"/>
          <w:szCs w:val="22"/>
          <w:lang w:eastAsia="en-US"/>
        </w:rPr>
      </w:pPr>
      <w:r w:rsidRPr="007177DD">
        <w:rPr>
          <w:rFonts w:asciiTheme="minorHAnsi" w:eastAsiaTheme="minorEastAsia" w:hAnsiTheme="minorHAnsi" w:cstheme="minorHAnsi"/>
          <w:sz w:val="22"/>
          <w:szCs w:val="22"/>
          <w:lang w:eastAsia="en-US"/>
        </w:rPr>
        <w:lastRenderedPageBreak/>
        <w:t>The purpose of the review is to improve outcomes for Aboriginal and Torres Strait Islander people from all government programmes.</w:t>
      </w:r>
    </w:p>
    <w:p w:rsidR="000537AD" w:rsidRPr="007177DD" w:rsidRDefault="000537AD" w:rsidP="00936FFA">
      <w:pPr>
        <w:spacing w:after="200" w:line="276" w:lineRule="auto"/>
        <w:rPr>
          <w:rFonts w:asciiTheme="minorHAnsi" w:eastAsiaTheme="minorEastAsia" w:hAnsiTheme="minorHAnsi" w:cstheme="minorHAnsi"/>
          <w:sz w:val="22"/>
          <w:szCs w:val="22"/>
          <w:lang w:eastAsia="en-US"/>
        </w:rPr>
      </w:pPr>
      <w:r w:rsidRPr="007177DD">
        <w:rPr>
          <w:rFonts w:asciiTheme="minorHAnsi" w:eastAsiaTheme="minorEastAsia" w:hAnsiTheme="minorHAnsi" w:cstheme="minorHAnsi"/>
          <w:sz w:val="22"/>
          <w:szCs w:val="22"/>
          <w:lang w:eastAsia="en-US"/>
        </w:rPr>
        <w:t>The scope of the review includes Indigenous-specific and mainstream programmes, activities and transfer payments that affect Aboriginal and Torres Strait Islander people including those that:</w:t>
      </w:r>
    </w:p>
    <w:p w:rsidR="000537AD" w:rsidRPr="007177DD" w:rsidRDefault="000537AD" w:rsidP="000537AD">
      <w:pPr>
        <w:pStyle w:val="ListParagraph"/>
        <w:numPr>
          <w:ilvl w:val="0"/>
          <w:numId w:val="26"/>
        </w:numPr>
        <w:rPr>
          <w:rFonts w:asciiTheme="minorHAnsi" w:hAnsiTheme="minorHAnsi" w:cstheme="minorHAnsi"/>
          <w:sz w:val="22"/>
          <w:szCs w:val="22"/>
        </w:rPr>
      </w:pPr>
      <w:r w:rsidRPr="007177DD">
        <w:rPr>
          <w:rFonts w:asciiTheme="minorHAnsi" w:hAnsiTheme="minorHAnsi" w:cstheme="minorHAnsi"/>
          <w:sz w:val="22"/>
          <w:szCs w:val="22"/>
        </w:rPr>
        <w:t>contribute directly or indirectly to outcomes for Aboriginal and Torres Strait Islander people (including sub-programmes, activities or elements)</w:t>
      </w:r>
    </w:p>
    <w:p w:rsidR="000537AD" w:rsidRPr="007177DD" w:rsidRDefault="000537AD" w:rsidP="000537AD">
      <w:pPr>
        <w:pStyle w:val="ListParagraph"/>
        <w:numPr>
          <w:ilvl w:val="0"/>
          <w:numId w:val="26"/>
        </w:numPr>
        <w:spacing w:after="200" w:line="276" w:lineRule="auto"/>
        <w:rPr>
          <w:rFonts w:asciiTheme="minorHAnsi" w:hAnsiTheme="minorHAnsi" w:cstheme="minorHAnsi"/>
          <w:sz w:val="22"/>
          <w:szCs w:val="22"/>
        </w:rPr>
      </w:pPr>
      <w:r w:rsidRPr="007177DD">
        <w:rPr>
          <w:rFonts w:asciiTheme="minorHAnsi" w:hAnsiTheme="minorHAnsi" w:cstheme="minorHAnsi"/>
          <w:sz w:val="22"/>
          <w:szCs w:val="22"/>
        </w:rPr>
        <w:t>capture data or measure impacts on Indigenous Australians either through an Indigenous identifier, other data collection means or key performance indicators</w:t>
      </w:r>
    </w:p>
    <w:p w:rsidR="000537AD" w:rsidRPr="007177DD" w:rsidRDefault="000537AD" w:rsidP="000537AD">
      <w:pPr>
        <w:pStyle w:val="ListParagraph"/>
        <w:numPr>
          <w:ilvl w:val="0"/>
          <w:numId w:val="26"/>
        </w:numPr>
        <w:spacing w:after="200" w:line="276" w:lineRule="auto"/>
        <w:rPr>
          <w:rFonts w:asciiTheme="minorHAnsi" w:hAnsiTheme="minorHAnsi" w:cstheme="minorHAnsi"/>
          <w:sz w:val="22"/>
          <w:szCs w:val="22"/>
        </w:rPr>
      </w:pPr>
      <w:r w:rsidRPr="007177DD">
        <w:rPr>
          <w:rFonts w:asciiTheme="minorHAnsi" w:hAnsiTheme="minorHAnsi" w:cstheme="minorHAnsi"/>
          <w:sz w:val="22"/>
          <w:szCs w:val="22"/>
        </w:rPr>
        <w:t>operate in or impact on remote Australia</w:t>
      </w:r>
    </w:p>
    <w:p w:rsidR="000537AD" w:rsidRPr="007177DD" w:rsidRDefault="000537AD" w:rsidP="000537AD">
      <w:pPr>
        <w:pStyle w:val="ListParagraph"/>
        <w:numPr>
          <w:ilvl w:val="0"/>
          <w:numId w:val="26"/>
        </w:numPr>
        <w:spacing w:after="200" w:line="276" w:lineRule="auto"/>
        <w:rPr>
          <w:rFonts w:asciiTheme="minorHAnsi" w:hAnsiTheme="minorHAnsi" w:cstheme="minorHAnsi"/>
          <w:sz w:val="22"/>
          <w:szCs w:val="22"/>
        </w:rPr>
      </w:pPr>
      <w:r w:rsidRPr="007177DD">
        <w:rPr>
          <w:rFonts w:asciiTheme="minorHAnsi" w:hAnsiTheme="minorHAnsi" w:cstheme="minorHAnsi"/>
          <w:sz w:val="22"/>
          <w:szCs w:val="22"/>
        </w:rPr>
        <w:t>are internally facing, aimed at capacity building or workforce development</w:t>
      </w:r>
    </w:p>
    <w:p w:rsidR="000537AD" w:rsidRPr="007177DD" w:rsidRDefault="000537AD" w:rsidP="000537AD">
      <w:pPr>
        <w:pStyle w:val="ListParagraph"/>
        <w:numPr>
          <w:ilvl w:val="0"/>
          <w:numId w:val="26"/>
        </w:numPr>
        <w:spacing w:after="200" w:line="276" w:lineRule="auto"/>
        <w:rPr>
          <w:rFonts w:asciiTheme="minorHAnsi" w:hAnsiTheme="minorHAnsi" w:cstheme="minorHAnsi"/>
          <w:sz w:val="22"/>
          <w:szCs w:val="22"/>
        </w:rPr>
      </w:pPr>
      <w:proofErr w:type="gramStart"/>
      <w:r w:rsidRPr="007177DD">
        <w:rPr>
          <w:rFonts w:asciiTheme="minorHAnsi" w:hAnsiTheme="minorHAnsi" w:cstheme="minorHAnsi"/>
          <w:sz w:val="22"/>
          <w:szCs w:val="22"/>
        </w:rPr>
        <w:t>may</w:t>
      </w:r>
      <w:proofErr w:type="gramEnd"/>
      <w:r w:rsidRPr="007177DD">
        <w:rPr>
          <w:rFonts w:asciiTheme="minorHAnsi" w:hAnsiTheme="minorHAnsi" w:cstheme="minorHAnsi"/>
          <w:sz w:val="22"/>
          <w:szCs w:val="22"/>
        </w:rPr>
        <w:t xml:space="preserve"> not meet the above criteria or directly focus on Indigenous Australians, but could be better targeted or reformed to deliver better outcomes for them.</w:t>
      </w:r>
    </w:p>
    <w:p w:rsidR="000537AD" w:rsidRPr="00FA197D" w:rsidRDefault="000537AD" w:rsidP="00FA197D">
      <w:pPr>
        <w:pStyle w:val="Heading1"/>
        <w:numPr>
          <w:ilvl w:val="0"/>
          <w:numId w:val="32"/>
        </w:numPr>
        <w:ind w:left="567" w:hanging="567"/>
        <w:rPr>
          <w:rFonts w:asciiTheme="minorHAnsi" w:hAnsiTheme="minorHAnsi" w:cstheme="minorHAnsi"/>
          <w:sz w:val="32"/>
          <w:szCs w:val="32"/>
        </w:rPr>
      </w:pPr>
      <w:bookmarkStart w:id="6" w:name="_Toc433639342"/>
      <w:r w:rsidRPr="00FA197D">
        <w:rPr>
          <w:rFonts w:asciiTheme="minorHAnsi" w:hAnsiTheme="minorHAnsi" w:cstheme="minorHAnsi"/>
          <w:sz w:val="32"/>
          <w:szCs w:val="32"/>
        </w:rPr>
        <w:t>Governance</w:t>
      </w:r>
      <w:bookmarkEnd w:id="6"/>
    </w:p>
    <w:p w:rsidR="000537AD" w:rsidRPr="00936FFA" w:rsidRDefault="000537AD" w:rsidP="00936FFA">
      <w:pPr>
        <w:spacing w:after="200" w:line="276" w:lineRule="auto"/>
        <w:rPr>
          <w:rFonts w:asciiTheme="minorHAnsi" w:eastAsiaTheme="minorEastAsia" w:hAnsiTheme="minorHAnsi" w:cstheme="minorHAnsi"/>
          <w:sz w:val="22"/>
          <w:szCs w:val="22"/>
          <w:lang w:eastAsia="en-US"/>
        </w:rPr>
      </w:pPr>
      <w:r w:rsidRPr="007177DD">
        <w:rPr>
          <w:rFonts w:asciiTheme="minorHAnsi" w:eastAsiaTheme="minorEastAsia" w:hAnsiTheme="minorHAnsi" w:cstheme="minorBidi"/>
          <w:sz w:val="22"/>
          <w:szCs w:val="22"/>
          <w:lang w:eastAsia="en-US"/>
        </w:rPr>
        <w:t>Once endorsed by the department’s Executive Board, this plan will be monitored by the</w:t>
      </w:r>
      <w:r w:rsidR="008301A0">
        <w:rPr>
          <w:rFonts w:asciiTheme="minorHAnsi" w:eastAsiaTheme="minorEastAsia" w:hAnsiTheme="minorHAnsi" w:cstheme="minorBidi"/>
          <w:sz w:val="22"/>
          <w:szCs w:val="22"/>
          <w:lang w:eastAsia="en-US"/>
        </w:rPr>
        <w:t xml:space="preserve"> Governance and Audit Branch with oversight from the</w:t>
      </w:r>
      <w:r w:rsidRPr="007177DD">
        <w:rPr>
          <w:rFonts w:asciiTheme="minorHAnsi" w:eastAsiaTheme="minorEastAsia" w:hAnsiTheme="minorHAnsi" w:cstheme="minorBidi"/>
          <w:sz w:val="22"/>
          <w:szCs w:val="22"/>
          <w:lang w:eastAsia="en-US"/>
        </w:rPr>
        <w:t xml:space="preserve"> </w:t>
      </w:r>
      <w:r w:rsidRPr="00936FFA">
        <w:rPr>
          <w:rFonts w:asciiTheme="minorHAnsi" w:eastAsiaTheme="minorEastAsia" w:hAnsiTheme="minorHAnsi" w:cstheme="minorHAnsi"/>
          <w:sz w:val="22"/>
          <w:szCs w:val="22"/>
          <w:lang w:eastAsia="en-US"/>
        </w:rPr>
        <w:t>Strategy and Impact Governance Committee</w:t>
      </w:r>
      <w:r w:rsidR="0077465F" w:rsidRPr="00936FFA">
        <w:rPr>
          <w:rFonts w:asciiTheme="minorHAnsi" w:eastAsiaTheme="minorEastAsia" w:hAnsiTheme="minorHAnsi" w:cstheme="minorHAnsi"/>
          <w:sz w:val="22"/>
          <w:szCs w:val="22"/>
          <w:lang w:eastAsia="en-US"/>
        </w:rPr>
        <w:t>.</w:t>
      </w:r>
    </w:p>
    <w:p w:rsidR="000537AD" w:rsidRDefault="000537AD" w:rsidP="00936FFA">
      <w:pPr>
        <w:spacing w:after="200" w:line="276" w:lineRule="auto"/>
        <w:rPr>
          <w:rFonts w:asciiTheme="minorHAnsi" w:eastAsiaTheme="minorEastAsia" w:hAnsiTheme="minorHAnsi" w:cstheme="minorBidi"/>
          <w:sz w:val="22"/>
          <w:szCs w:val="22"/>
          <w:lang w:eastAsia="en-US"/>
        </w:rPr>
      </w:pPr>
      <w:r w:rsidRPr="00936FFA">
        <w:rPr>
          <w:rFonts w:asciiTheme="minorHAnsi" w:eastAsiaTheme="minorEastAsia" w:hAnsiTheme="minorHAnsi" w:cstheme="minorHAnsi"/>
          <w:sz w:val="22"/>
          <w:szCs w:val="22"/>
          <w:lang w:eastAsia="en-US"/>
        </w:rPr>
        <w:t>To keep the Evaluation Plan up to date and in</w:t>
      </w:r>
      <w:r w:rsidRPr="007177DD">
        <w:rPr>
          <w:rFonts w:asciiTheme="minorHAnsi" w:eastAsiaTheme="minorEastAsia" w:hAnsiTheme="minorHAnsi" w:cstheme="minorBidi"/>
          <w:sz w:val="22"/>
          <w:szCs w:val="22"/>
          <w:lang w:eastAsia="en-US"/>
        </w:rPr>
        <w:t xml:space="preserve"> touch with changes foreshadowed by the Department of Finance, the Evaluation Plan is scheduled for review in 2016</w:t>
      </w:r>
      <w:r w:rsidR="0077465F">
        <w:rPr>
          <w:rFonts w:asciiTheme="minorHAnsi" w:eastAsiaTheme="minorEastAsia" w:hAnsiTheme="minorHAnsi" w:cstheme="minorBidi"/>
          <w:sz w:val="22"/>
          <w:szCs w:val="22"/>
          <w:lang w:eastAsia="en-US"/>
        </w:rPr>
        <w:t>.</w:t>
      </w:r>
    </w:p>
    <w:p w:rsidR="00860932" w:rsidRPr="00FA197D" w:rsidRDefault="00860932" w:rsidP="00860932">
      <w:pPr>
        <w:pStyle w:val="Heading1"/>
        <w:numPr>
          <w:ilvl w:val="0"/>
          <w:numId w:val="32"/>
        </w:numPr>
        <w:ind w:left="567" w:hanging="567"/>
        <w:rPr>
          <w:rFonts w:asciiTheme="minorHAnsi" w:hAnsiTheme="minorHAnsi" w:cstheme="minorHAnsi"/>
          <w:sz w:val="32"/>
          <w:szCs w:val="32"/>
        </w:rPr>
      </w:pPr>
      <w:bookmarkStart w:id="7" w:name="_Toc433639343"/>
      <w:r w:rsidRPr="00FA197D">
        <w:rPr>
          <w:rFonts w:asciiTheme="minorHAnsi" w:hAnsiTheme="minorHAnsi" w:cstheme="minorHAnsi"/>
          <w:sz w:val="32"/>
          <w:szCs w:val="32"/>
        </w:rPr>
        <w:t>Evaluation priorities</w:t>
      </w:r>
      <w:bookmarkEnd w:id="7"/>
    </w:p>
    <w:p w:rsidR="00860932" w:rsidRDefault="00860932" w:rsidP="00860932">
      <w:pPr>
        <w:spacing w:after="200" w:line="276" w:lineRule="auto"/>
        <w:rPr>
          <w:rFonts w:asciiTheme="minorHAnsi" w:eastAsiaTheme="minorEastAsia" w:hAnsiTheme="minorHAnsi" w:cstheme="minorBidi"/>
          <w:sz w:val="22"/>
          <w:szCs w:val="22"/>
          <w:lang w:eastAsia="en-US"/>
        </w:rPr>
      </w:pPr>
      <w:r w:rsidRPr="007177DD">
        <w:rPr>
          <w:rFonts w:asciiTheme="minorHAnsi" w:eastAsiaTheme="minorEastAsia" w:hAnsiTheme="minorHAnsi" w:cstheme="minorBidi"/>
          <w:sz w:val="22"/>
          <w:szCs w:val="22"/>
          <w:lang w:eastAsia="en-US"/>
        </w:rPr>
        <w:t>This section outlines the major priorities for the systematic and objective assessment of both policies and programmes during 2015</w:t>
      </w:r>
      <w:r>
        <w:rPr>
          <w:rFonts w:asciiTheme="minorHAnsi" w:eastAsiaTheme="minorEastAsia" w:hAnsiTheme="minorHAnsi" w:cstheme="minorBidi"/>
          <w:sz w:val="22"/>
          <w:szCs w:val="22"/>
          <w:lang w:eastAsia="en-US"/>
        </w:rPr>
        <w:t>–</w:t>
      </w:r>
      <w:r w:rsidRPr="007177DD">
        <w:rPr>
          <w:rFonts w:asciiTheme="minorHAnsi" w:eastAsiaTheme="minorEastAsia" w:hAnsiTheme="minorHAnsi" w:cstheme="minorBidi"/>
          <w:sz w:val="22"/>
          <w:szCs w:val="22"/>
          <w:lang w:eastAsia="en-US"/>
        </w:rPr>
        <w:t xml:space="preserve">17. For each key area of responsibility across the department, it sets broad directions for the next two years against the goals of the department in the </w:t>
      </w:r>
      <w:r w:rsidRPr="00232313">
        <w:rPr>
          <w:rFonts w:asciiTheme="minorHAnsi" w:eastAsiaTheme="minorEastAsia" w:hAnsiTheme="minorHAnsi" w:cstheme="minorBidi"/>
          <w:i/>
          <w:sz w:val="22"/>
          <w:szCs w:val="22"/>
          <w:lang w:eastAsia="en-US"/>
        </w:rPr>
        <w:t>Department of Education Strategic Plan 2014–2017</w:t>
      </w:r>
      <w:bookmarkStart w:id="8" w:name="_Ref417475507"/>
      <w:r>
        <w:rPr>
          <w:rStyle w:val="FootnoteReference"/>
          <w:rFonts w:asciiTheme="minorHAnsi" w:eastAsiaTheme="minorEastAsia" w:hAnsiTheme="minorHAnsi" w:cstheme="minorBidi"/>
          <w:i/>
          <w:sz w:val="22"/>
          <w:szCs w:val="22"/>
          <w:lang w:eastAsia="en-US"/>
        </w:rPr>
        <w:footnoteReference w:id="4"/>
      </w:r>
      <w:bookmarkEnd w:id="8"/>
      <w:r w:rsidRPr="007177DD">
        <w:rPr>
          <w:rFonts w:asciiTheme="minorHAnsi" w:eastAsiaTheme="minorEastAsia" w:hAnsiTheme="minorHAnsi" w:cstheme="minorBidi"/>
          <w:sz w:val="22"/>
          <w:szCs w:val="22"/>
          <w:lang w:eastAsia="en-US"/>
        </w:rPr>
        <w:t xml:space="preserve"> and </w:t>
      </w:r>
      <w:proofErr w:type="gramStart"/>
      <w:r w:rsidRPr="007177DD">
        <w:rPr>
          <w:rFonts w:asciiTheme="minorHAnsi" w:eastAsiaTheme="minorEastAsia" w:hAnsiTheme="minorHAnsi" w:cstheme="minorBidi"/>
          <w:sz w:val="22"/>
          <w:szCs w:val="22"/>
          <w:lang w:eastAsia="en-US"/>
        </w:rPr>
        <w:t>its</w:t>
      </w:r>
      <w:proofErr w:type="gramEnd"/>
      <w:r w:rsidRPr="007177DD">
        <w:rPr>
          <w:rFonts w:asciiTheme="minorHAnsi" w:eastAsiaTheme="minorEastAsia" w:hAnsiTheme="minorHAnsi" w:cstheme="minorBidi"/>
          <w:sz w:val="22"/>
          <w:szCs w:val="22"/>
          <w:lang w:eastAsia="en-US"/>
        </w:rPr>
        <w:t xml:space="preserve"> Portfolio Budget Statements 2014–15.</w:t>
      </w:r>
    </w:p>
    <w:p w:rsidR="00860932" w:rsidRDefault="00860932" w:rsidP="00860932">
      <w:pPr>
        <w:spacing w:after="200" w:line="276" w:lineRule="auto"/>
        <w:rPr>
          <w:rFonts w:asciiTheme="minorHAnsi" w:eastAsiaTheme="minorEastAsia" w:hAnsiTheme="minorHAnsi" w:cstheme="minorBidi"/>
          <w:sz w:val="22"/>
          <w:szCs w:val="22"/>
          <w:lang w:eastAsia="en-US"/>
        </w:rPr>
      </w:pPr>
      <w:r w:rsidRPr="007177DD">
        <w:rPr>
          <w:rFonts w:asciiTheme="minorHAnsi" w:eastAsiaTheme="minorEastAsia" w:hAnsiTheme="minorHAnsi" w:cstheme="minorBidi"/>
          <w:sz w:val="22"/>
          <w:szCs w:val="22"/>
          <w:lang w:eastAsia="en-US"/>
        </w:rPr>
        <w:t>All aspects of evaluation of policy and programmes are covered in the evaluation plan including assessment of policy and programme effectiveness, efficiency and appropriateness, implementation reviews and development of best practice approaches</w:t>
      </w:r>
      <w:r w:rsidRPr="007177DD">
        <w:rPr>
          <w:rFonts w:asciiTheme="minorHAnsi" w:eastAsiaTheme="minorEastAsia" w:hAnsiTheme="minorHAnsi" w:cstheme="minorBidi"/>
          <w:sz w:val="22"/>
          <w:szCs w:val="22"/>
          <w:vertAlign w:val="superscript"/>
          <w:lang w:eastAsia="en-US"/>
        </w:rPr>
        <w:footnoteReference w:id="5"/>
      </w:r>
      <w:r w:rsidRPr="007177DD">
        <w:rPr>
          <w:rFonts w:asciiTheme="minorHAnsi" w:eastAsiaTheme="minorEastAsia" w:hAnsiTheme="minorHAnsi" w:cstheme="minorBidi"/>
          <w:sz w:val="22"/>
          <w:szCs w:val="22"/>
          <w:lang w:eastAsia="en-US"/>
        </w:rPr>
        <w:t>.</w:t>
      </w:r>
    </w:p>
    <w:p w:rsidR="00860932" w:rsidRPr="007177DD" w:rsidRDefault="00860932" w:rsidP="00860932">
      <w:pPr>
        <w:spacing w:after="200" w:line="276" w:lineRule="auto"/>
        <w:rPr>
          <w:rFonts w:asciiTheme="minorHAnsi" w:eastAsiaTheme="minorEastAsia" w:hAnsiTheme="minorHAnsi" w:cstheme="minorBidi"/>
          <w:sz w:val="22"/>
          <w:szCs w:val="22"/>
          <w:lang w:eastAsia="en-US"/>
        </w:rPr>
      </w:pPr>
      <w:r w:rsidRPr="007177DD">
        <w:rPr>
          <w:rFonts w:asciiTheme="minorHAnsi" w:eastAsiaTheme="minorEastAsia" w:hAnsiTheme="minorHAnsi" w:cstheme="minorBidi"/>
          <w:sz w:val="22"/>
          <w:szCs w:val="22"/>
          <w:lang w:eastAsia="en-US"/>
        </w:rPr>
        <w:t>Spec</w:t>
      </w:r>
      <w:r>
        <w:rPr>
          <w:rFonts w:asciiTheme="minorHAnsi" w:eastAsiaTheme="minorEastAsia" w:hAnsiTheme="minorHAnsi" w:cstheme="minorBidi"/>
          <w:sz w:val="22"/>
          <w:szCs w:val="22"/>
          <w:lang w:eastAsia="en-US"/>
        </w:rPr>
        <w:t>ifically, priority is given to:</w:t>
      </w:r>
    </w:p>
    <w:p w:rsidR="00860932" w:rsidRPr="007177DD" w:rsidRDefault="00860932" w:rsidP="00860932">
      <w:pPr>
        <w:pStyle w:val="ListParagraph"/>
        <w:numPr>
          <w:ilvl w:val="0"/>
          <w:numId w:val="26"/>
        </w:numPr>
        <w:rPr>
          <w:rFonts w:asciiTheme="minorHAnsi" w:hAnsiTheme="minorHAnsi" w:cstheme="minorHAnsi"/>
          <w:sz w:val="22"/>
          <w:szCs w:val="22"/>
        </w:rPr>
      </w:pPr>
      <w:r w:rsidRPr="007177DD">
        <w:rPr>
          <w:rFonts w:asciiTheme="minorHAnsi" w:hAnsiTheme="minorHAnsi" w:cstheme="minorHAnsi"/>
          <w:sz w:val="22"/>
          <w:szCs w:val="22"/>
        </w:rPr>
        <w:t>provide the department with a sound evidence base to develop new policy and programmes</w:t>
      </w:r>
    </w:p>
    <w:p w:rsidR="00860932" w:rsidRPr="007177DD" w:rsidRDefault="00860932" w:rsidP="00860932">
      <w:pPr>
        <w:pStyle w:val="ListParagraph"/>
        <w:numPr>
          <w:ilvl w:val="0"/>
          <w:numId w:val="26"/>
        </w:numPr>
        <w:rPr>
          <w:rFonts w:asciiTheme="minorHAnsi" w:hAnsiTheme="minorHAnsi" w:cstheme="minorHAnsi"/>
          <w:sz w:val="22"/>
          <w:szCs w:val="22"/>
        </w:rPr>
      </w:pPr>
      <w:r w:rsidRPr="007177DD">
        <w:rPr>
          <w:rFonts w:asciiTheme="minorHAnsi" w:hAnsiTheme="minorHAnsi" w:cstheme="minorHAnsi"/>
          <w:sz w:val="22"/>
          <w:szCs w:val="22"/>
        </w:rPr>
        <w:t>assist the department to assess whether existing policies and programmes achieve their intended outcomes</w:t>
      </w:r>
    </w:p>
    <w:p w:rsidR="00860932" w:rsidRPr="007177DD" w:rsidRDefault="00860932" w:rsidP="00860932">
      <w:pPr>
        <w:pStyle w:val="ListParagraph"/>
        <w:numPr>
          <w:ilvl w:val="0"/>
          <w:numId w:val="26"/>
        </w:numPr>
        <w:rPr>
          <w:rFonts w:asciiTheme="minorHAnsi" w:hAnsiTheme="minorHAnsi" w:cstheme="minorHAnsi"/>
          <w:sz w:val="22"/>
          <w:szCs w:val="22"/>
        </w:rPr>
      </w:pPr>
      <w:r w:rsidRPr="007177DD">
        <w:rPr>
          <w:rFonts w:asciiTheme="minorHAnsi" w:hAnsiTheme="minorHAnsi" w:cstheme="minorHAnsi"/>
          <w:sz w:val="22"/>
          <w:szCs w:val="22"/>
        </w:rPr>
        <w:t xml:space="preserve">improve the line-of-sight between the department’s activities and its </w:t>
      </w:r>
      <w:proofErr w:type="spellStart"/>
      <w:r w:rsidRPr="007177DD">
        <w:rPr>
          <w:rFonts w:asciiTheme="minorHAnsi" w:hAnsiTheme="minorHAnsi" w:cstheme="minorHAnsi"/>
          <w:sz w:val="22"/>
          <w:szCs w:val="22"/>
        </w:rPr>
        <w:t>PBS</w:t>
      </w:r>
      <w:proofErr w:type="spellEnd"/>
      <w:r w:rsidRPr="007177DD">
        <w:rPr>
          <w:rFonts w:asciiTheme="minorHAnsi" w:hAnsiTheme="minorHAnsi" w:cstheme="minorHAnsi"/>
          <w:sz w:val="22"/>
          <w:szCs w:val="22"/>
        </w:rPr>
        <w:t>-level outcomes</w:t>
      </w:r>
    </w:p>
    <w:p w:rsidR="00860932" w:rsidRPr="00860932" w:rsidRDefault="00860932" w:rsidP="00860932">
      <w:pPr>
        <w:pStyle w:val="ListParagraph"/>
        <w:numPr>
          <w:ilvl w:val="0"/>
          <w:numId w:val="26"/>
        </w:numPr>
        <w:rPr>
          <w:rFonts w:asciiTheme="minorHAnsi" w:hAnsiTheme="minorHAnsi" w:cstheme="minorHAnsi"/>
          <w:sz w:val="22"/>
          <w:szCs w:val="22"/>
        </w:rPr>
      </w:pPr>
      <w:proofErr w:type="gramStart"/>
      <w:r w:rsidRPr="007177DD">
        <w:rPr>
          <w:rFonts w:asciiTheme="minorHAnsi" w:hAnsiTheme="minorHAnsi" w:cstheme="minorHAnsi"/>
          <w:sz w:val="22"/>
          <w:szCs w:val="22"/>
        </w:rPr>
        <w:t>meet</w:t>
      </w:r>
      <w:proofErr w:type="gramEnd"/>
      <w:r w:rsidRPr="007177DD">
        <w:rPr>
          <w:rFonts w:asciiTheme="minorHAnsi" w:hAnsiTheme="minorHAnsi" w:cstheme="minorHAnsi"/>
          <w:sz w:val="22"/>
          <w:szCs w:val="22"/>
        </w:rPr>
        <w:t xml:space="preserve"> the department’s regulatory obligations</w:t>
      </w:r>
      <w:r>
        <w:rPr>
          <w:rFonts w:asciiTheme="minorHAnsi" w:hAnsiTheme="minorHAnsi" w:cstheme="minorHAnsi"/>
          <w:sz w:val="22"/>
          <w:szCs w:val="22"/>
        </w:rPr>
        <w:t>.</w:t>
      </w:r>
    </w:p>
    <w:p w:rsidR="004724AD" w:rsidRDefault="004724AD">
      <w:pPr>
        <w:rPr>
          <w:rFonts w:asciiTheme="minorHAnsi" w:eastAsiaTheme="majorEastAsia" w:hAnsiTheme="minorHAnsi" w:cstheme="minorHAnsi"/>
          <w:b/>
          <w:bCs/>
          <w:sz w:val="32"/>
          <w:szCs w:val="32"/>
          <w:lang w:eastAsia="en-US"/>
        </w:rPr>
      </w:pPr>
      <w:r>
        <w:rPr>
          <w:rFonts w:asciiTheme="minorHAnsi" w:hAnsiTheme="minorHAnsi" w:cstheme="minorHAnsi"/>
          <w:sz w:val="32"/>
          <w:szCs w:val="32"/>
        </w:rPr>
        <w:br w:type="page"/>
      </w:r>
    </w:p>
    <w:p w:rsidR="00455DFE" w:rsidRPr="00FA197D" w:rsidRDefault="00455DFE" w:rsidP="00FA197D">
      <w:pPr>
        <w:pStyle w:val="Heading1"/>
        <w:numPr>
          <w:ilvl w:val="0"/>
          <w:numId w:val="32"/>
        </w:numPr>
        <w:ind w:left="567" w:hanging="567"/>
        <w:rPr>
          <w:rFonts w:asciiTheme="minorHAnsi" w:hAnsiTheme="minorHAnsi" w:cstheme="minorHAnsi"/>
          <w:sz w:val="32"/>
          <w:szCs w:val="32"/>
        </w:rPr>
      </w:pPr>
      <w:bookmarkStart w:id="9" w:name="_Toc433639344"/>
      <w:r w:rsidRPr="00FA197D">
        <w:rPr>
          <w:rFonts w:asciiTheme="minorHAnsi" w:hAnsiTheme="minorHAnsi" w:cstheme="minorHAnsi"/>
          <w:sz w:val="32"/>
          <w:szCs w:val="32"/>
        </w:rPr>
        <w:lastRenderedPageBreak/>
        <w:t>Capabilities</w:t>
      </w:r>
      <w:bookmarkEnd w:id="9"/>
    </w:p>
    <w:p w:rsidR="00455DFE" w:rsidRPr="007177DD" w:rsidRDefault="00455DFE" w:rsidP="00455DFE">
      <w:pPr>
        <w:spacing w:after="200" w:line="276" w:lineRule="auto"/>
        <w:rPr>
          <w:rFonts w:ascii="Calibri" w:eastAsiaTheme="minorEastAsia" w:hAnsi="Calibri" w:cs="Calibri"/>
          <w:sz w:val="22"/>
          <w:szCs w:val="22"/>
          <w:lang w:eastAsia="en-US"/>
        </w:rPr>
      </w:pPr>
      <w:r w:rsidRPr="007177DD">
        <w:rPr>
          <w:rFonts w:ascii="Calibri" w:eastAsiaTheme="minorEastAsia" w:hAnsi="Calibri" w:cs="Calibri"/>
          <w:sz w:val="22"/>
          <w:szCs w:val="22"/>
          <w:lang w:eastAsia="en-US"/>
        </w:rPr>
        <w:t>The Department recognises that the capabilities of our people will be a key driver of the quality of the evaluation activities set out in this document.</w:t>
      </w:r>
    </w:p>
    <w:p w:rsidR="00455DFE" w:rsidRPr="007177DD" w:rsidRDefault="00455DFE" w:rsidP="00455DFE">
      <w:pPr>
        <w:spacing w:after="200" w:line="276" w:lineRule="auto"/>
        <w:rPr>
          <w:rFonts w:ascii="Calibri" w:eastAsiaTheme="minorEastAsia" w:hAnsi="Calibri" w:cs="Calibri"/>
          <w:sz w:val="22"/>
          <w:szCs w:val="22"/>
          <w:lang w:eastAsia="en-US"/>
        </w:rPr>
      </w:pPr>
      <w:r w:rsidRPr="007177DD">
        <w:rPr>
          <w:rFonts w:ascii="Calibri" w:eastAsiaTheme="minorEastAsia" w:hAnsi="Calibri" w:cs="Calibri"/>
          <w:sz w:val="22"/>
          <w:szCs w:val="22"/>
          <w:lang w:eastAsia="en-US"/>
        </w:rPr>
        <w:t>The Strategy and Impact Committee is undertaking a Strategy and Policy Capability Review. The key findings from this review will inform a framework for ongoing capacity building that will ensure the department remains responsive to government needs and able to meet future strategic challenges.</w:t>
      </w:r>
    </w:p>
    <w:p w:rsidR="00455DFE" w:rsidRDefault="00455DFE" w:rsidP="00455DFE">
      <w:pPr>
        <w:spacing w:after="200" w:line="276" w:lineRule="auto"/>
        <w:rPr>
          <w:rFonts w:ascii="Calibri" w:eastAsiaTheme="minorEastAsia" w:hAnsi="Calibri" w:cs="Calibri"/>
          <w:sz w:val="22"/>
          <w:szCs w:val="22"/>
          <w:lang w:eastAsia="en-US"/>
        </w:rPr>
      </w:pPr>
      <w:r w:rsidRPr="007177DD">
        <w:rPr>
          <w:rFonts w:ascii="Calibri" w:eastAsiaTheme="minorEastAsia" w:hAnsi="Calibri" w:cs="Calibri"/>
          <w:sz w:val="22"/>
          <w:szCs w:val="22"/>
          <w:lang w:eastAsia="en-US"/>
        </w:rPr>
        <w:t>In particular, the framework will highlight the need to build evaluation skills and competencies to ensure that the Department can achieve the evaluation aims and pri</w:t>
      </w:r>
      <w:r w:rsidR="00936FFA">
        <w:rPr>
          <w:rFonts w:ascii="Calibri" w:eastAsiaTheme="minorEastAsia" w:hAnsi="Calibri" w:cs="Calibri"/>
          <w:sz w:val="22"/>
          <w:szCs w:val="22"/>
          <w:lang w:eastAsia="en-US"/>
        </w:rPr>
        <w:t>orities outlined in this plan.</w:t>
      </w:r>
    </w:p>
    <w:p w:rsidR="009E6E80" w:rsidRPr="00495EC1" w:rsidRDefault="009E6E80" w:rsidP="003C383C">
      <w:pPr>
        <w:rPr>
          <w:rFonts w:asciiTheme="minorHAnsi" w:hAnsiTheme="minorHAnsi" w:cstheme="minorHAnsi"/>
          <w:sz w:val="22"/>
          <w:szCs w:val="22"/>
        </w:rPr>
        <w:sectPr w:rsidR="009E6E80" w:rsidRPr="00495EC1" w:rsidSect="000537AD">
          <w:footerReference w:type="default" r:id="rId12"/>
          <w:footerReference w:type="first" r:id="rId13"/>
          <w:pgSz w:w="11906" w:h="16838"/>
          <w:pgMar w:top="1134" w:right="1134" w:bottom="1134" w:left="1134" w:header="708" w:footer="708" w:gutter="0"/>
          <w:cols w:space="708"/>
          <w:titlePg/>
          <w:docGrid w:linePitch="360"/>
        </w:sectPr>
      </w:pPr>
    </w:p>
    <w:p w:rsidR="0040305A" w:rsidRPr="0040305A" w:rsidRDefault="0040305A" w:rsidP="0040305A">
      <w:pPr>
        <w:pStyle w:val="Heading1"/>
        <w:numPr>
          <w:ilvl w:val="0"/>
          <w:numId w:val="32"/>
        </w:numPr>
        <w:ind w:left="567" w:hanging="567"/>
        <w:rPr>
          <w:rFonts w:asciiTheme="minorHAnsi" w:hAnsiTheme="minorHAnsi" w:cstheme="minorHAnsi"/>
          <w:sz w:val="32"/>
          <w:szCs w:val="32"/>
        </w:rPr>
      </w:pPr>
      <w:bookmarkStart w:id="10" w:name="_Toc433639345"/>
      <w:r w:rsidRPr="0040305A">
        <w:rPr>
          <w:rFonts w:asciiTheme="minorHAnsi" w:hAnsiTheme="minorHAnsi" w:cstheme="minorHAnsi"/>
          <w:sz w:val="32"/>
          <w:szCs w:val="32"/>
        </w:rPr>
        <w:lastRenderedPageBreak/>
        <w:t>Evaluations</w:t>
      </w:r>
      <w:bookmarkEnd w:id="10"/>
    </w:p>
    <w:p w:rsidR="000537AD" w:rsidRPr="0040305A" w:rsidRDefault="007161DF" w:rsidP="0040305A">
      <w:pPr>
        <w:pStyle w:val="Heading2"/>
        <w:spacing w:after="120"/>
        <w:rPr>
          <w:rFonts w:asciiTheme="minorHAnsi" w:hAnsiTheme="minorHAnsi" w:cstheme="minorHAnsi"/>
          <w:sz w:val="28"/>
          <w:szCs w:val="28"/>
        </w:rPr>
      </w:pPr>
      <w:bookmarkStart w:id="11" w:name="_Toc433639346"/>
      <w:r w:rsidRPr="0040305A">
        <w:rPr>
          <w:rFonts w:asciiTheme="minorHAnsi" w:hAnsiTheme="minorHAnsi" w:cstheme="minorHAnsi"/>
          <w:sz w:val="28"/>
          <w:szCs w:val="28"/>
        </w:rPr>
        <w:t>Department-wide Evaluation Priorities</w:t>
      </w:r>
      <w:bookmarkEnd w:id="11"/>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Caption w:val="Department-wide Evaluation Priorities"/>
      </w:tblPr>
      <w:tblGrid>
        <w:gridCol w:w="1083"/>
        <w:gridCol w:w="1953"/>
        <w:gridCol w:w="1813"/>
        <w:gridCol w:w="1952"/>
        <w:gridCol w:w="1532"/>
        <w:gridCol w:w="6453"/>
      </w:tblGrid>
      <w:tr w:rsidR="007161DF" w:rsidRPr="0063403F" w:rsidTr="001F51DE">
        <w:trPr>
          <w:trHeight w:val="1664"/>
        </w:trPr>
        <w:tc>
          <w:tcPr>
            <w:tcW w:w="366" w:type="pct"/>
            <w:shd w:val="clear" w:color="auto" w:fill="auto"/>
            <w:textDirection w:val="btLr"/>
            <w:vAlign w:val="center"/>
            <w:hideMark/>
          </w:tcPr>
          <w:p w:rsidR="007161DF" w:rsidRPr="0063403F" w:rsidRDefault="007161DF" w:rsidP="00766A87">
            <w:pPr>
              <w:rPr>
                <w:rFonts w:ascii="Calibri" w:hAnsi="Calibri" w:cs="Calibri"/>
                <w:b/>
                <w:bCs/>
                <w:i/>
                <w:iCs/>
                <w:color w:val="000000"/>
              </w:rPr>
            </w:pPr>
            <w:r w:rsidRPr="002E5608">
              <w:rPr>
                <w:rFonts w:ascii="Calibri" w:hAnsi="Calibri" w:cs="Calibri"/>
                <w:b/>
                <w:bCs/>
                <w:i/>
                <w:iCs/>
                <w:color w:val="000000"/>
                <w:sz w:val="20"/>
                <w:szCs w:val="20"/>
              </w:rPr>
              <w:t>Priority (Green=high; Orange=medium</w:t>
            </w:r>
            <w:r w:rsidRPr="0063403F">
              <w:rPr>
                <w:rFonts w:ascii="Calibri" w:hAnsi="Calibri" w:cs="Calibri"/>
                <w:b/>
                <w:bCs/>
                <w:i/>
                <w:iCs/>
                <w:color w:val="000000"/>
              </w:rPr>
              <w:t>)</w:t>
            </w:r>
          </w:p>
        </w:tc>
        <w:tc>
          <w:tcPr>
            <w:tcW w:w="660" w:type="pct"/>
            <w:shd w:val="clear" w:color="auto" w:fill="auto"/>
            <w:vAlign w:val="center"/>
            <w:hideMark/>
          </w:tcPr>
          <w:p w:rsidR="007161DF" w:rsidRPr="0063403F" w:rsidRDefault="007161DF" w:rsidP="00766A87">
            <w:pPr>
              <w:jc w:val="center"/>
              <w:rPr>
                <w:rFonts w:ascii="Calibri" w:hAnsi="Calibri" w:cs="Calibri"/>
                <w:b/>
                <w:bCs/>
                <w:i/>
                <w:iCs/>
                <w:color w:val="000000"/>
              </w:rPr>
            </w:pPr>
            <w:r w:rsidRPr="0063403F">
              <w:rPr>
                <w:rFonts w:ascii="Calibri" w:hAnsi="Calibri" w:cs="Calibri"/>
                <w:b/>
                <w:bCs/>
                <w:i/>
                <w:iCs/>
                <w:color w:val="000000"/>
              </w:rPr>
              <w:t>Evaluation task (subject)</w:t>
            </w:r>
          </w:p>
        </w:tc>
        <w:tc>
          <w:tcPr>
            <w:tcW w:w="613" w:type="pct"/>
            <w:shd w:val="clear" w:color="auto" w:fill="auto"/>
            <w:vAlign w:val="center"/>
            <w:hideMark/>
          </w:tcPr>
          <w:p w:rsidR="007161DF" w:rsidRPr="0063403F" w:rsidRDefault="007161DF" w:rsidP="00766A87">
            <w:pPr>
              <w:jc w:val="center"/>
              <w:rPr>
                <w:rFonts w:ascii="Calibri" w:hAnsi="Calibri" w:cs="Calibri"/>
                <w:b/>
                <w:bCs/>
                <w:i/>
                <w:iCs/>
                <w:color w:val="000000"/>
              </w:rPr>
            </w:pPr>
            <w:r w:rsidRPr="0063403F">
              <w:rPr>
                <w:rFonts w:ascii="Calibri" w:hAnsi="Calibri" w:cs="Calibri"/>
                <w:b/>
                <w:bCs/>
                <w:i/>
                <w:iCs/>
                <w:color w:val="000000"/>
              </w:rPr>
              <w:t>Authority</w:t>
            </w:r>
          </w:p>
        </w:tc>
        <w:tc>
          <w:tcPr>
            <w:tcW w:w="660" w:type="pct"/>
            <w:shd w:val="clear" w:color="auto" w:fill="auto"/>
            <w:vAlign w:val="center"/>
            <w:hideMark/>
          </w:tcPr>
          <w:p w:rsidR="007161DF" w:rsidRPr="0063403F" w:rsidRDefault="007161DF" w:rsidP="00766A87">
            <w:pPr>
              <w:jc w:val="center"/>
              <w:rPr>
                <w:rFonts w:ascii="Calibri" w:hAnsi="Calibri" w:cs="Calibri"/>
                <w:b/>
                <w:bCs/>
                <w:i/>
                <w:iCs/>
                <w:color w:val="000000"/>
              </w:rPr>
            </w:pPr>
            <w:r w:rsidRPr="0063403F">
              <w:rPr>
                <w:rFonts w:ascii="Calibri" w:hAnsi="Calibri" w:cs="Calibri"/>
                <w:b/>
                <w:bCs/>
                <w:i/>
                <w:iCs/>
                <w:color w:val="000000"/>
              </w:rPr>
              <w:t xml:space="preserve">Timeframe (commencement and completion deadline) Month and Year </w:t>
            </w:r>
            <w:proofErr w:type="spellStart"/>
            <w:r w:rsidRPr="0063403F">
              <w:rPr>
                <w:rFonts w:ascii="Calibri" w:hAnsi="Calibri" w:cs="Calibri"/>
                <w:b/>
                <w:bCs/>
                <w:i/>
                <w:iCs/>
                <w:color w:val="000000"/>
              </w:rPr>
              <w:t>eg</w:t>
            </w:r>
            <w:proofErr w:type="spellEnd"/>
            <w:r w:rsidRPr="0063403F">
              <w:rPr>
                <w:rFonts w:ascii="Calibri" w:hAnsi="Calibri" w:cs="Calibri"/>
                <w:b/>
                <w:bCs/>
                <w:i/>
                <w:iCs/>
                <w:color w:val="000000"/>
              </w:rPr>
              <w:t>. Feb 2015</w:t>
            </w:r>
          </w:p>
        </w:tc>
        <w:tc>
          <w:tcPr>
            <w:tcW w:w="518" w:type="pct"/>
            <w:shd w:val="clear" w:color="auto" w:fill="auto"/>
            <w:vAlign w:val="center"/>
            <w:hideMark/>
          </w:tcPr>
          <w:p w:rsidR="007161DF" w:rsidRPr="0063403F" w:rsidRDefault="007161DF" w:rsidP="00766A87">
            <w:pPr>
              <w:jc w:val="center"/>
              <w:rPr>
                <w:rFonts w:ascii="Calibri" w:hAnsi="Calibri" w:cs="Calibri"/>
                <w:b/>
                <w:bCs/>
                <w:i/>
                <w:iCs/>
                <w:color w:val="000000"/>
              </w:rPr>
            </w:pPr>
            <w:r w:rsidRPr="0063403F">
              <w:rPr>
                <w:rFonts w:ascii="Calibri" w:hAnsi="Calibri" w:cs="Calibri"/>
                <w:b/>
                <w:bCs/>
                <w:i/>
                <w:iCs/>
                <w:color w:val="000000"/>
              </w:rPr>
              <w:t>Type of evaluation</w:t>
            </w:r>
          </w:p>
        </w:tc>
        <w:tc>
          <w:tcPr>
            <w:tcW w:w="2182" w:type="pct"/>
            <w:shd w:val="clear" w:color="auto" w:fill="auto"/>
            <w:vAlign w:val="center"/>
            <w:hideMark/>
          </w:tcPr>
          <w:p w:rsidR="007161DF" w:rsidRPr="0063403F" w:rsidRDefault="007161DF" w:rsidP="00766A87">
            <w:pPr>
              <w:jc w:val="center"/>
              <w:rPr>
                <w:rFonts w:ascii="Calibri" w:hAnsi="Calibri" w:cs="Calibri"/>
                <w:b/>
                <w:bCs/>
                <w:i/>
                <w:iCs/>
                <w:color w:val="000000"/>
              </w:rPr>
            </w:pPr>
            <w:r w:rsidRPr="0063403F">
              <w:rPr>
                <w:rFonts w:ascii="Calibri" w:hAnsi="Calibri" w:cs="Calibri"/>
                <w:b/>
                <w:bCs/>
                <w:i/>
                <w:iCs/>
                <w:color w:val="000000"/>
              </w:rPr>
              <w:t>Description of evaluation (a short description of aims and work that will be undertaken, including any relevant governance arrangements and/or reporting requirements)</w:t>
            </w:r>
          </w:p>
        </w:tc>
      </w:tr>
      <w:tr w:rsidR="007161DF" w:rsidRPr="0063403F" w:rsidTr="001F51DE">
        <w:trPr>
          <w:trHeight w:val="1275"/>
        </w:trPr>
        <w:tc>
          <w:tcPr>
            <w:tcW w:w="366" w:type="pct"/>
            <w:shd w:val="clear" w:color="000000" w:fill="C6EFCE"/>
            <w:noWrap/>
            <w:vAlign w:val="center"/>
            <w:hideMark/>
          </w:tcPr>
          <w:p w:rsidR="007161DF" w:rsidRPr="00A46E76" w:rsidRDefault="007161DF" w:rsidP="0040305A">
            <w:pPr>
              <w:rPr>
                <w:rFonts w:ascii="Calibri" w:hAnsi="Calibri" w:cs="Calibri"/>
                <w:bCs/>
              </w:rPr>
            </w:pPr>
            <w:r w:rsidRPr="00A46E76">
              <w:rPr>
                <w:rFonts w:ascii="Calibri" w:hAnsi="Calibri" w:cs="Calibri"/>
                <w:bCs/>
              </w:rPr>
              <w:t>High</w:t>
            </w:r>
          </w:p>
        </w:tc>
        <w:tc>
          <w:tcPr>
            <w:tcW w:w="660" w:type="pct"/>
            <w:shd w:val="clear" w:color="auto" w:fill="auto"/>
            <w:vAlign w:val="center"/>
            <w:hideMark/>
          </w:tcPr>
          <w:p w:rsidR="007161DF" w:rsidRPr="0063403F" w:rsidRDefault="007161DF" w:rsidP="0040305A">
            <w:pPr>
              <w:rPr>
                <w:rFonts w:ascii="Calibri" w:hAnsi="Calibri" w:cs="Calibri"/>
                <w:color w:val="000000"/>
              </w:rPr>
            </w:pPr>
            <w:r w:rsidRPr="0063403F">
              <w:rPr>
                <w:rFonts w:ascii="Calibri" w:hAnsi="Calibri" w:cs="Calibri"/>
                <w:color w:val="000000"/>
              </w:rPr>
              <w:t xml:space="preserve">Indigenous Whole of Government </w:t>
            </w:r>
            <w:r>
              <w:rPr>
                <w:rFonts w:ascii="Calibri" w:hAnsi="Calibri" w:cs="Calibri"/>
                <w:color w:val="000000"/>
              </w:rPr>
              <w:t>Programme</w:t>
            </w:r>
            <w:r w:rsidRPr="0063403F">
              <w:rPr>
                <w:rFonts w:ascii="Calibri" w:hAnsi="Calibri" w:cs="Calibri"/>
                <w:color w:val="000000"/>
              </w:rPr>
              <w:t xml:space="preserve"> Framework</w:t>
            </w:r>
          </w:p>
        </w:tc>
        <w:tc>
          <w:tcPr>
            <w:tcW w:w="613" w:type="pct"/>
            <w:shd w:val="clear" w:color="auto" w:fill="auto"/>
            <w:vAlign w:val="center"/>
            <w:hideMark/>
          </w:tcPr>
          <w:p w:rsidR="007161DF" w:rsidRPr="0063403F" w:rsidRDefault="007161DF" w:rsidP="0040305A">
            <w:pPr>
              <w:rPr>
                <w:rFonts w:ascii="Calibri" w:hAnsi="Calibri" w:cs="Calibri"/>
                <w:color w:val="000000"/>
              </w:rPr>
            </w:pPr>
            <w:r w:rsidRPr="0063403F">
              <w:rPr>
                <w:rFonts w:ascii="Calibri" w:hAnsi="Calibri" w:cs="Calibri"/>
                <w:color w:val="000000"/>
              </w:rPr>
              <w:t>Government decision</w:t>
            </w:r>
          </w:p>
        </w:tc>
        <w:tc>
          <w:tcPr>
            <w:tcW w:w="660" w:type="pct"/>
            <w:shd w:val="clear" w:color="auto" w:fill="auto"/>
            <w:noWrap/>
            <w:vAlign w:val="center"/>
            <w:hideMark/>
          </w:tcPr>
          <w:p w:rsidR="007161DF" w:rsidRPr="0063403F" w:rsidRDefault="007161DF" w:rsidP="0040305A">
            <w:pPr>
              <w:rPr>
                <w:rFonts w:ascii="Calibri" w:hAnsi="Calibri" w:cs="Calibri"/>
                <w:color w:val="000000"/>
              </w:rPr>
            </w:pPr>
            <w:r w:rsidRPr="0063403F">
              <w:rPr>
                <w:rFonts w:ascii="Calibri" w:hAnsi="Calibri" w:cs="Calibri"/>
                <w:color w:val="000000"/>
              </w:rPr>
              <w:t>October 2014- June 2015</w:t>
            </w:r>
          </w:p>
        </w:tc>
        <w:tc>
          <w:tcPr>
            <w:tcW w:w="518" w:type="pct"/>
            <w:shd w:val="clear" w:color="auto" w:fill="auto"/>
            <w:noWrap/>
            <w:vAlign w:val="center"/>
            <w:hideMark/>
          </w:tcPr>
          <w:p w:rsidR="007161DF" w:rsidRPr="0063403F" w:rsidRDefault="007161DF" w:rsidP="0040305A">
            <w:pPr>
              <w:rPr>
                <w:rFonts w:ascii="Calibri" w:hAnsi="Calibri" w:cs="Calibri"/>
                <w:color w:val="000000"/>
              </w:rPr>
            </w:pPr>
            <w:r w:rsidRPr="0063403F">
              <w:rPr>
                <w:rFonts w:ascii="Calibri" w:hAnsi="Calibri" w:cs="Calibri"/>
                <w:color w:val="000000"/>
              </w:rPr>
              <w:t>Summative Evaluation</w:t>
            </w:r>
          </w:p>
        </w:tc>
        <w:tc>
          <w:tcPr>
            <w:tcW w:w="2182" w:type="pct"/>
            <w:shd w:val="clear" w:color="auto" w:fill="auto"/>
            <w:vAlign w:val="center"/>
            <w:hideMark/>
          </w:tcPr>
          <w:p w:rsidR="00DA629F" w:rsidRDefault="007161DF" w:rsidP="00DA629F">
            <w:pPr>
              <w:spacing w:after="120"/>
              <w:rPr>
                <w:rFonts w:ascii="Calibri" w:hAnsi="Calibri" w:cs="Calibri"/>
                <w:color w:val="000000"/>
              </w:rPr>
            </w:pPr>
            <w:r w:rsidRPr="0063403F">
              <w:rPr>
                <w:rFonts w:ascii="Calibri" w:hAnsi="Calibri" w:cs="Calibri"/>
                <w:color w:val="000000"/>
              </w:rPr>
              <w:t xml:space="preserve">All </w:t>
            </w:r>
            <w:r>
              <w:rPr>
                <w:rFonts w:ascii="Calibri" w:hAnsi="Calibri" w:cs="Calibri"/>
                <w:color w:val="000000"/>
              </w:rPr>
              <w:t>programme</w:t>
            </w:r>
            <w:r w:rsidRPr="0063403F">
              <w:rPr>
                <w:rFonts w:ascii="Calibri" w:hAnsi="Calibri" w:cs="Calibri"/>
                <w:color w:val="000000"/>
              </w:rPr>
              <w:t xml:space="preserve">s affecting Indigenous Australians are required to be reviewed against the Indigenous Whole of Government </w:t>
            </w:r>
            <w:r>
              <w:rPr>
                <w:rFonts w:ascii="Calibri" w:hAnsi="Calibri" w:cs="Calibri"/>
                <w:color w:val="000000"/>
              </w:rPr>
              <w:t>Programme</w:t>
            </w:r>
            <w:r w:rsidRPr="0063403F">
              <w:rPr>
                <w:rFonts w:ascii="Calibri" w:hAnsi="Calibri" w:cs="Calibri"/>
                <w:color w:val="000000"/>
              </w:rPr>
              <w:t xml:space="preserve"> Framework.</w:t>
            </w:r>
          </w:p>
          <w:p w:rsidR="00DA629F" w:rsidRDefault="007161DF" w:rsidP="00DA629F">
            <w:pPr>
              <w:spacing w:after="120"/>
              <w:rPr>
                <w:rFonts w:ascii="Calibri" w:hAnsi="Calibri" w:cs="Calibri"/>
                <w:color w:val="000000"/>
              </w:rPr>
            </w:pPr>
            <w:r w:rsidRPr="0063403F">
              <w:rPr>
                <w:rFonts w:ascii="Calibri" w:hAnsi="Calibri" w:cs="Calibri"/>
                <w:color w:val="000000"/>
              </w:rPr>
              <w:t>This is a Whole of Government review that is being coordinated by the Department of Prime Minister and Cabinet.</w:t>
            </w:r>
          </w:p>
          <w:p w:rsidR="007161DF" w:rsidRPr="0063403F" w:rsidRDefault="007161DF" w:rsidP="00DA629F">
            <w:pPr>
              <w:spacing w:after="120"/>
              <w:rPr>
                <w:rFonts w:ascii="Calibri" w:hAnsi="Calibri" w:cs="Calibri"/>
                <w:color w:val="000000"/>
              </w:rPr>
            </w:pPr>
            <w:r w:rsidRPr="0063403F">
              <w:rPr>
                <w:rFonts w:ascii="Calibri" w:hAnsi="Calibri" w:cs="Calibri"/>
                <w:color w:val="000000"/>
              </w:rPr>
              <w:t>First report due for completion by 31 December 2014.</w:t>
            </w:r>
          </w:p>
        </w:tc>
      </w:tr>
    </w:tbl>
    <w:p w:rsidR="007161DF" w:rsidRDefault="007161DF" w:rsidP="000537AD"/>
    <w:p w:rsidR="007161DF" w:rsidRDefault="007161DF" w:rsidP="000537AD">
      <w:pPr>
        <w:sectPr w:rsidR="007161DF" w:rsidSect="000537AD">
          <w:pgSz w:w="16838" w:h="11906" w:orient="landscape"/>
          <w:pgMar w:top="1134" w:right="1134" w:bottom="1134" w:left="1134" w:header="708" w:footer="708" w:gutter="0"/>
          <w:cols w:space="708"/>
          <w:titlePg/>
          <w:docGrid w:linePitch="360"/>
        </w:sectPr>
      </w:pPr>
    </w:p>
    <w:p w:rsidR="000537AD" w:rsidRPr="0040305A" w:rsidRDefault="0040305A" w:rsidP="0040305A">
      <w:pPr>
        <w:pStyle w:val="Heading2"/>
        <w:spacing w:after="120"/>
        <w:rPr>
          <w:rFonts w:asciiTheme="minorHAnsi" w:hAnsiTheme="minorHAnsi" w:cstheme="minorHAnsi"/>
          <w:sz w:val="28"/>
          <w:szCs w:val="28"/>
        </w:rPr>
      </w:pPr>
      <w:bookmarkStart w:id="12" w:name="_Toc433639347"/>
      <w:r w:rsidRPr="0040305A">
        <w:rPr>
          <w:rFonts w:asciiTheme="minorHAnsi" w:hAnsiTheme="minorHAnsi" w:cstheme="minorHAnsi"/>
          <w:sz w:val="28"/>
          <w:szCs w:val="28"/>
        </w:rPr>
        <w:lastRenderedPageBreak/>
        <w:t>Schools and Youth Cluster Evaluation Priorities</w:t>
      </w:r>
      <w:bookmarkEnd w:id="12"/>
    </w:p>
    <w:p w:rsidR="0040305A" w:rsidRPr="0040305A" w:rsidRDefault="0040305A" w:rsidP="0040305A">
      <w:pPr>
        <w:spacing w:after="120"/>
        <w:rPr>
          <w:rFonts w:asciiTheme="minorHAnsi" w:hAnsiTheme="minorHAnsi" w:cstheme="minorHAnsi"/>
          <w:i/>
          <w:iCs/>
          <w:color w:val="000000"/>
        </w:rPr>
      </w:pPr>
      <w:r w:rsidRPr="0040305A">
        <w:rPr>
          <w:rFonts w:asciiTheme="minorHAnsi" w:hAnsiTheme="minorHAnsi" w:cstheme="minorHAnsi"/>
          <w:b/>
          <w:bCs/>
          <w:color w:val="000000"/>
        </w:rPr>
        <w:t>Strategic plan goal 2: Support quality schooling</w:t>
      </w:r>
      <w:r w:rsidR="00DB79CC">
        <w:rPr>
          <w:rFonts w:asciiTheme="minorHAnsi" w:hAnsiTheme="minorHAnsi" w:cstheme="minorHAnsi"/>
          <w:b/>
          <w:bCs/>
          <w:color w:val="000000"/>
        </w:rPr>
        <w:t>:</w:t>
      </w:r>
      <w:r w:rsidRPr="0040305A">
        <w:rPr>
          <w:rFonts w:asciiTheme="minorHAnsi" w:hAnsiTheme="minorHAnsi" w:cstheme="minorHAnsi"/>
          <w:i/>
          <w:iCs/>
          <w:color w:val="000000"/>
        </w:rPr>
        <w:t xml:space="preserve"> Support a world class school education system through high quality teaching; parents’ engagement in their children’s learning; school autonomy; and a strong national curriculum.</w:t>
      </w:r>
    </w:p>
    <w:p w:rsidR="0040305A" w:rsidRPr="0040305A" w:rsidRDefault="0040305A" w:rsidP="0040305A">
      <w:pPr>
        <w:spacing w:after="120"/>
        <w:rPr>
          <w:rFonts w:asciiTheme="minorHAnsi" w:hAnsiTheme="minorHAnsi" w:cstheme="minorHAnsi"/>
        </w:rPr>
      </w:pPr>
      <w:proofErr w:type="spellStart"/>
      <w:r w:rsidRPr="0040305A">
        <w:rPr>
          <w:rFonts w:asciiTheme="minorHAnsi" w:hAnsiTheme="minorHAnsi" w:cstheme="minorHAnsi"/>
          <w:b/>
          <w:color w:val="000000"/>
        </w:rPr>
        <w:t>PBS</w:t>
      </w:r>
      <w:proofErr w:type="spellEnd"/>
      <w:r w:rsidRPr="0040305A">
        <w:rPr>
          <w:rFonts w:asciiTheme="minorHAnsi" w:hAnsiTheme="minorHAnsi" w:cstheme="minorHAnsi"/>
          <w:b/>
          <w:color w:val="000000"/>
        </w:rPr>
        <w:t xml:space="preserve"> Outcome 1:</w:t>
      </w:r>
      <w:r w:rsidRPr="0040305A">
        <w:rPr>
          <w:rFonts w:asciiTheme="minorHAnsi" w:hAnsiTheme="minorHAnsi" w:cstheme="minorHAnsi"/>
          <w:color w:val="000000"/>
        </w:rPr>
        <w:t xml:space="preserve"> Improved early learning, schooling, student educational outcomes and transitions to and from school through access to quality support, parent engagement, quality teaching and learning environments.</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Caption w:val="Schools and Youth Cluster Evaluation Priorities"/>
      </w:tblPr>
      <w:tblGrid>
        <w:gridCol w:w="1081"/>
        <w:gridCol w:w="2372"/>
        <w:gridCol w:w="1813"/>
        <w:gridCol w:w="2088"/>
        <w:gridCol w:w="1674"/>
        <w:gridCol w:w="5758"/>
      </w:tblGrid>
      <w:tr w:rsidR="0040305A" w:rsidRPr="0063403F" w:rsidTr="001F51DE">
        <w:trPr>
          <w:trHeight w:val="1621"/>
        </w:trPr>
        <w:tc>
          <w:tcPr>
            <w:tcW w:w="366" w:type="pct"/>
            <w:shd w:val="clear" w:color="auto" w:fill="auto"/>
            <w:textDirection w:val="btLr"/>
            <w:vAlign w:val="center"/>
            <w:hideMark/>
          </w:tcPr>
          <w:p w:rsidR="0040305A" w:rsidRPr="002A526D" w:rsidRDefault="0040305A" w:rsidP="00766A87">
            <w:pPr>
              <w:rPr>
                <w:rFonts w:ascii="Calibri" w:hAnsi="Calibri" w:cs="Calibri"/>
                <w:b/>
                <w:bCs/>
                <w:i/>
                <w:iCs/>
                <w:sz w:val="20"/>
                <w:szCs w:val="20"/>
              </w:rPr>
            </w:pPr>
            <w:r w:rsidRPr="002A526D">
              <w:rPr>
                <w:rFonts w:ascii="Calibri" w:hAnsi="Calibri" w:cs="Calibri"/>
                <w:b/>
                <w:bCs/>
                <w:i/>
                <w:iCs/>
                <w:sz w:val="20"/>
                <w:szCs w:val="20"/>
              </w:rPr>
              <w:t>Priority (Green=high; Orange=medium)</w:t>
            </w:r>
          </w:p>
        </w:tc>
        <w:tc>
          <w:tcPr>
            <w:tcW w:w="802" w:type="pct"/>
            <w:shd w:val="clear" w:color="auto" w:fill="auto"/>
            <w:vAlign w:val="center"/>
            <w:hideMark/>
          </w:tcPr>
          <w:p w:rsidR="0040305A" w:rsidRPr="0063403F" w:rsidRDefault="0040305A" w:rsidP="00766A87">
            <w:pPr>
              <w:jc w:val="center"/>
              <w:rPr>
                <w:rFonts w:ascii="Calibri" w:hAnsi="Calibri" w:cs="Calibri"/>
                <w:b/>
                <w:bCs/>
                <w:i/>
                <w:iCs/>
                <w:color w:val="000000"/>
              </w:rPr>
            </w:pPr>
            <w:r w:rsidRPr="0063403F">
              <w:rPr>
                <w:rFonts w:ascii="Calibri" w:hAnsi="Calibri" w:cs="Calibri"/>
                <w:b/>
                <w:bCs/>
                <w:i/>
                <w:iCs/>
                <w:color w:val="000000"/>
              </w:rPr>
              <w:t>Evaluation task (subject)</w:t>
            </w:r>
          </w:p>
        </w:tc>
        <w:tc>
          <w:tcPr>
            <w:tcW w:w="613" w:type="pct"/>
            <w:shd w:val="clear" w:color="auto" w:fill="auto"/>
            <w:vAlign w:val="center"/>
            <w:hideMark/>
          </w:tcPr>
          <w:p w:rsidR="0040305A" w:rsidRPr="0063403F" w:rsidRDefault="0040305A" w:rsidP="00766A87">
            <w:pPr>
              <w:jc w:val="center"/>
              <w:rPr>
                <w:rFonts w:ascii="Calibri" w:hAnsi="Calibri" w:cs="Calibri"/>
                <w:b/>
                <w:bCs/>
                <w:i/>
                <w:iCs/>
                <w:color w:val="000000"/>
              </w:rPr>
            </w:pPr>
            <w:r w:rsidRPr="0063403F">
              <w:rPr>
                <w:rFonts w:ascii="Calibri" w:hAnsi="Calibri" w:cs="Calibri"/>
                <w:b/>
                <w:bCs/>
                <w:i/>
                <w:iCs/>
                <w:color w:val="000000"/>
              </w:rPr>
              <w:t>Authority</w:t>
            </w:r>
          </w:p>
        </w:tc>
        <w:tc>
          <w:tcPr>
            <w:tcW w:w="706" w:type="pct"/>
            <w:shd w:val="clear" w:color="auto" w:fill="auto"/>
            <w:vAlign w:val="center"/>
            <w:hideMark/>
          </w:tcPr>
          <w:p w:rsidR="0040305A" w:rsidRPr="0063403F" w:rsidRDefault="0040305A" w:rsidP="00766A87">
            <w:pPr>
              <w:jc w:val="center"/>
              <w:rPr>
                <w:rFonts w:ascii="Calibri" w:hAnsi="Calibri" w:cs="Calibri"/>
                <w:b/>
                <w:bCs/>
                <w:i/>
                <w:iCs/>
                <w:color w:val="000000"/>
              </w:rPr>
            </w:pPr>
            <w:r w:rsidRPr="0063403F">
              <w:rPr>
                <w:rFonts w:ascii="Calibri" w:hAnsi="Calibri" w:cs="Calibri"/>
                <w:b/>
                <w:bCs/>
                <w:i/>
                <w:iCs/>
                <w:color w:val="000000"/>
              </w:rPr>
              <w:t xml:space="preserve">Timeframe (commencement and completion deadline) Month and Year </w:t>
            </w:r>
            <w:proofErr w:type="spellStart"/>
            <w:r w:rsidRPr="0063403F">
              <w:rPr>
                <w:rFonts w:ascii="Calibri" w:hAnsi="Calibri" w:cs="Calibri"/>
                <w:b/>
                <w:bCs/>
                <w:i/>
                <w:iCs/>
                <w:color w:val="000000"/>
              </w:rPr>
              <w:t>eg</w:t>
            </w:r>
            <w:proofErr w:type="spellEnd"/>
            <w:r w:rsidRPr="0063403F">
              <w:rPr>
                <w:rFonts w:ascii="Calibri" w:hAnsi="Calibri" w:cs="Calibri"/>
                <w:b/>
                <w:bCs/>
                <w:i/>
                <w:iCs/>
                <w:color w:val="000000"/>
              </w:rPr>
              <w:t>. Feb 2015</w:t>
            </w:r>
          </w:p>
        </w:tc>
        <w:tc>
          <w:tcPr>
            <w:tcW w:w="566" w:type="pct"/>
            <w:shd w:val="clear" w:color="auto" w:fill="auto"/>
            <w:vAlign w:val="center"/>
            <w:hideMark/>
          </w:tcPr>
          <w:p w:rsidR="0040305A" w:rsidRPr="0063403F" w:rsidRDefault="0040305A" w:rsidP="00766A87">
            <w:pPr>
              <w:jc w:val="center"/>
              <w:rPr>
                <w:rFonts w:ascii="Calibri" w:hAnsi="Calibri" w:cs="Calibri"/>
                <w:b/>
                <w:bCs/>
                <w:i/>
                <w:iCs/>
                <w:color w:val="000000"/>
              </w:rPr>
            </w:pPr>
            <w:r w:rsidRPr="0063403F">
              <w:rPr>
                <w:rFonts w:ascii="Calibri" w:hAnsi="Calibri" w:cs="Calibri"/>
                <w:b/>
                <w:bCs/>
                <w:i/>
                <w:iCs/>
                <w:color w:val="000000"/>
              </w:rPr>
              <w:t>Type of evaluation</w:t>
            </w:r>
          </w:p>
        </w:tc>
        <w:tc>
          <w:tcPr>
            <w:tcW w:w="1947" w:type="pct"/>
            <w:shd w:val="clear" w:color="auto" w:fill="auto"/>
            <w:vAlign w:val="center"/>
            <w:hideMark/>
          </w:tcPr>
          <w:p w:rsidR="0040305A" w:rsidRPr="0063403F" w:rsidRDefault="0040305A" w:rsidP="00766A87">
            <w:pPr>
              <w:jc w:val="center"/>
              <w:rPr>
                <w:rFonts w:ascii="Calibri" w:hAnsi="Calibri" w:cs="Calibri"/>
                <w:b/>
                <w:bCs/>
                <w:i/>
                <w:iCs/>
                <w:color w:val="000000"/>
              </w:rPr>
            </w:pPr>
            <w:r w:rsidRPr="0063403F">
              <w:rPr>
                <w:rFonts w:ascii="Calibri" w:hAnsi="Calibri" w:cs="Calibri"/>
                <w:b/>
                <w:bCs/>
                <w:i/>
                <w:iCs/>
                <w:color w:val="000000"/>
              </w:rPr>
              <w:t>Description of evaluation (a short description of aims and work that will be undertaken, including any relevant governance arrangements and/or reporting requirements)</w:t>
            </w:r>
          </w:p>
        </w:tc>
      </w:tr>
      <w:tr w:rsidR="0040305A" w:rsidRPr="0063403F" w:rsidTr="001F51DE">
        <w:trPr>
          <w:trHeight w:val="930"/>
        </w:trPr>
        <w:tc>
          <w:tcPr>
            <w:tcW w:w="366" w:type="pct"/>
            <w:shd w:val="clear" w:color="000000" w:fill="C6EFCE"/>
            <w:noWrap/>
            <w:vAlign w:val="center"/>
            <w:hideMark/>
          </w:tcPr>
          <w:p w:rsidR="0040305A" w:rsidRPr="00A46E76" w:rsidRDefault="0040305A" w:rsidP="0040305A">
            <w:pPr>
              <w:rPr>
                <w:rFonts w:ascii="Calibri" w:hAnsi="Calibri" w:cs="Calibri"/>
                <w:bCs/>
              </w:rPr>
            </w:pPr>
            <w:r w:rsidRPr="00A46E76">
              <w:rPr>
                <w:rFonts w:ascii="Calibri" w:hAnsi="Calibri" w:cs="Calibri"/>
                <w:bCs/>
              </w:rPr>
              <w:t>High</w:t>
            </w:r>
          </w:p>
        </w:tc>
        <w:tc>
          <w:tcPr>
            <w:tcW w:w="802" w:type="pct"/>
            <w:shd w:val="clear" w:color="auto" w:fill="auto"/>
            <w:vAlign w:val="center"/>
            <w:hideMark/>
          </w:tcPr>
          <w:p w:rsidR="0040305A" w:rsidRPr="0063403F" w:rsidRDefault="0040305A" w:rsidP="0040305A">
            <w:pPr>
              <w:rPr>
                <w:rFonts w:ascii="Calibri" w:hAnsi="Calibri" w:cs="Calibri"/>
                <w:color w:val="000000"/>
              </w:rPr>
            </w:pPr>
            <w:r w:rsidRPr="0063403F">
              <w:rPr>
                <w:rFonts w:ascii="Calibri" w:hAnsi="Calibri" w:cs="Calibri"/>
                <w:color w:val="000000"/>
              </w:rPr>
              <w:t>Schools Recurrent Funding</w:t>
            </w:r>
          </w:p>
        </w:tc>
        <w:tc>
          <w:tcPr>
            <w:tcW w:w="613" w:type="pct"/>
            <w:shd w:val="clear" w:color="auto" w:fill="auto"/>
            <w:vAlign w:val="center"/>
            <w:hideMark/>
          </w:tcPr>
          <w:p w:rsidR="0040305A" w:rsidRPr="0063403F" w:rsidRDefault="0040305A" w:rsidP="0040305A">
            <w:pPr>
              <w:rPr>
                <w:rFonts w:ascii="Calibri" w:hAnsi="Calibri" w:cs="Calibri"/>
                <w:color w:val="000000"/>
              </w:rPr>
            </w:pPr>
            <w:r w:rsidRPr="0063403F">
              <w:rPr>
                <w:rFonts w:ascii="Calibri" w:hAnsi="Calibri" w:cs="Calibri"/>
                <w:color w:val="000000"/>
              </w:rPr>
              <w:t>Government decision</w:t>
            </w:r>
          </w:p>
        </w:tc>
        <w:tc>
          <w:tcPr>
            <w:tcW w:w="706" w:type="pct"/>
            <w:shd w:val="clear" w:color="auto" w:fill="auto"/>
            <w:vAlign w:val="center"/>
            <w:hideMark/>
          </w:tcPr>
          <w:p w:rsidR="0040305A" w:rsidRPr="0063403F" w:rsidRDefault="0040305A" w:rsidP="0040305A">
            <w:pPr>
              <w:rPr>
                <w:rFonts w:ascii="Calibri" w:hAnsi="Calibri" w:cs="Calibri"/>
                <w:color w:val="000000"/>
              </w:rPr>
            </w:pPr>
            <w:r w:rsidRPr="0063403F">
              <w:rPr>
                <w:rFonts w:ascii="Calibri" w:hAnsi="Calibri" w:cs="Calibri"/>
                <w:color w:val="000000"/>
              </w:rPr>
              <w:t>Commencing in 2015</w:t>
            </w:r>
          </w:p>
        </w:tc>
        <w:tc>
          <w:tcPr>
            <w:tcW w:w="566" w:type="pct"/>
            <w:shd w:val="clear" w:color="auto" w:fill="auto"/>
            <w:vAlign w:val="center"/>
            <w:hideMark/>
          </w:tcPr>
          <w:p w:rsidR="0040305A" w:rsidRPr="0063403F" w:rsidRDefault="0040305A" w:rsidP="0040305A">
            <w:pPr>
              <w:rPr>
                <w:rFonts w:ascii="Calibri" w:hAnsi="Calibri" w:cs="Calibri"/>
                <w:color w:val="000000"/>
              </w:rPr>
            </w:pPr>
            <w:r w:rsidRPr="0063403F">
              <w:rPr>
                <w:rFonts w:ascii="Calibri" w:hAnsi="Calibri" w:cs="Calibri"/>
                <w:color w:val="000000"/>
              </w:rPr>
              <w:t>Process Evaluation</w:t>
            </w:r>
          </w:p>
        </w:tc>
        <w:tc>
          <w:tcPr>
            <w:tcW w:w="1947" w:type="pct"/>
            <w:shd w:val="clear" w:color="auto" w:fill="auto"/>
            <w:vAlign w:val="center"/>
            <w:hideMark/>
          </w:tcPr>
          <w:p w:rsidR="0040305A" w:rsidRPr="0063403F" w:rsidRDefault="0040305A" w:rsidP="0040305A">
            <w:pPr>
              <w:rPr>
                <w:rFonts w:ascii="Calibri" w:hAnsi="Calibri" w:cs="Calibri"/>
                <w:color w:val="000000"/>
              </w:rPr>
            </w:pPr>
            <w:r w:rsidRPr="0063403F">
              <w:rPr>
                <w:rFonts w:ascii="Calibri" w:hAnsi="Calibri" w:cs="Calibri"/>
                <w:color w:val="000000"/>
              </w:rPr>
              <w:t xml:space="preserve">As outlined in the </w:t>
            </w:r>
            <w:proofErr w:type="spellStart"/>
            <w:r w:rsidRPr="0063403F">
              <w:rPr>
                <w:rFonts w:ascii="Calibri" w:hAnsi="Calibri" w:cs="Calibri"/>
                <w:color w:val="000000"/>
              </w:rPr>
              <w:t>RIS</w:t>
            </w:r>
            <w:proofErr w:type="spellEnd"/>
            <w:r w:rsidRPr="0063403F">
              <w:rPr>
                <w:rFonts w:ascii="Calibri" w:hAnsi="Calibri" w:cs="Calibri"/>
                <w:color w:val="000000"/>
              </w:rPr>
              <w:t>, the Review will assess the implementation of the new funding arrangements from 2014, and the first 15 months of operation of the new arrangements.</w:t>
            </w:r>
          </w:p>
        </w:tc>
      </w:tr>
      <w:tr w:rsidR="0040305A" w:rsidRPr="0063403F" w:rsidTr="001F51DE">
        <w:trPr>
          <w:trHeight w:val="797"/>
        </w:trPr>
        <w:tc>
          <w:tcPr>
            <w:tcW w:w="366" w:type="pct"/>
            <w:shd w:val="clear" w:color="000000" w:fill="C6EFCE"/>
            <w:noWrap/>
            <w:vAlign w:val="center"/>
            <w:hideMark/>
          </w:tcPr>
          <w:p w:rsidR="0040305A" w:rsidRPr="00A46E76" w:rsidRDefault="0040305A" w:rsidP="0040305A">
            <w:pPr>
              <w:rPr>
                <w:rFonts w:ascii="Calibri" w:hAnsi="Calibri" w:cs="Calibri"/>
                <w:bCs/>
              </w:rPr>
            </w:pPr>
            <w:r w:rsidRPr="00A46E76">
              <w:rPr>
                <w:rFonts w:ascii="Calibri" w:hAnsi="Calibri" w:cs="Calibri"/>
                <w:bCs/>
              </w:rPr>
              <w:t> High</w:t>
            </w:r>
          </w:p>
        </w:tc>
        <w:tc>
          <w:tcPr>
            <w:tcW w:w="802" w:type="pct"/>
            <w:shd w:val="clear" w:color="auto" w:fill="auto"/>
            <w:vAlign w:val="center"/>
            <w:hideMark/>
          </w:tcPr>
          <w:p w:rsidR="0040305A" w:rsidRPr="0063403F" w:rsidRDefault="0040305A" w:rsidP="0040305A">
            <w:pPr>
              <w:rPr>
                <w:rFonts w:ascii="Calibri" w:hAnsi="Calibri" w:cs="Calibri"/>
                <w:color w:val="000000"/>
              </w:rPr>
            </w:pPr>
            <w:r w:rsidRPr="0063403F">
              <w:rPr>
                <w:rFonts w:ascii="Calibri" w:hAnsi="Calibri" w:cs="Calibri"/>
                <w:color w:val="000000"/>
              </w:rPr>
              <w:t xml:space="preserve">Internal audit – Flexible literacy for remote primary schools </w:t>
            </w:r>
            <w:r>
              <w:rPr>
                <w:rFonts w:ascii="Calibri" w:hAnsi="Calibri" w:cs="Calibri"/>
                <w:color w:val="000000"/>
              </w:rPr>
              <w:t>programme</w:t>
            </w:r>
          </w:p>
        </w:tc>
        <w:tc>
          <w:tcPr>
            <w:tcW w:w="613" w:type="pct"/>
            <w:shd w:val="clear" w:color="auto" w:fill="auto"/>
            <w:vAlign w:val="center"/>
            <w:hideMark/>
          </w:tcPr>
          <w:p w:rsidR="0040305A" w:rsidRPr="0063403F" w:rsidRDefault="0040305A" w:rsidP="0040305A">
            <w:pPr>
              <w:rPr>
                <w:rFonts w:ascii="Calibri" w:hAnsi="Calibri" w:cs="Calibri"/>
                <w:color w:val="000000"/>
              </w:rPr>
            </w:pPr>
            <w:proofErr w:type="spellStart"/>
            <w:r w:rsidRPr="0063403F">
              <w:rPr>
                <w:rFonts w:ascii="Calibri" w:hAnsi="Calibri" w:cs="Calibri"/>
                <w:color w:val="000000"/>
              </w:rPr>
              <w:t>ANAO</w:t>
            </w:r>
            <w:proofErr w:type="spellEnd"/>
          </w:p>
        </w:tc>
        <w:tc>
          <w:tcPr>
            <w:tcW w:w="706" w:type="pct"/>
            <w:shd w:val="clear" w:color="auto" w:fill="auto"/>
            <w:vAlign w:val="center"/>
            <w:hideMark/>
          </w:tcPr>
          <w:p w:rsidR="0040305A" w:rsidRPr="0063403F" w:rsidRDefault="0040305A" w:rsidP="0040305A">
            <w:pPr>
              <w:rPr>
                <w:rFonts w:ascii="Calibri" w:hAnsi="Calibri" w:cs="Calibri"/>
                <w:color w:val="000000"/>
              </w:rPr>
            </w:pPr>
            <w:r w:rsidRPr="0063403F">
              <w:rPr>
                <w:rFonts w:ascii="Calibri" w:hAnsi="Calibri" w:cs="Calibri"/>
                <w:color w:val="000000"/>
              </w:rPr>
              <w:t xml:space="preserve">2014 - 2015 </w:t>
            </w:r>
          </w:p>
        </w:tc>
        <w:tc>
          <w:tcPr>
            <w:tcW w:w="566" w:type="pct"/>
            <w:shd w:val="clear" w:color="auto" w:fill="auto"/>
            <w:vAlign w:val="center"/>
            <w:hideMark/>
          </w:tcPr>
          <w:p w:rsidR="0040305A" w:rsidRPr="0063403F" w:rsidRDefault="0040305A" w:rsidP="0040305A">
            <w:pPr>
              <w:rPr>
                <w:rFonts w:ascii="Calibri" w:hAnsi="Calibri" w:cs="Calibri"/>
                <w:color w:val="000000"/>
              </w:rPr>
            </w:pPr>
            <w:r>
              <w:rPr>
                <w:rFonts w:ascii="Calibri" w:hAnsi="Calibri" w:cs="Calibri"/>
                <w:color w:val="000000"/>
              </w:rPr>
              <w:t>Programme</w:t>
            </w:r>
            <w:r w:rsidRPr="0063403F">
              <w:rPr>
                <w:rFonts w:ascii="Calibri" w:hAnsi="Calibri" w:cs="Calibri"/>
                <w:color w:val="000000"/>
              </w:rPr>
              <w:t xml:space="preserve"> Evaluation</w:t>
            </w:r>
          </w:p>
        </w:tc>
        <w:tc>
          <w:tcPr>
            <w:tcW w:w="1947" w:type="pct"/>
            <w:shd w:val="clear" w:color="auto" w:fill="auto"/>
            <w:vAlign w:val="center"/>
            <w:hideMark/>
          </w:tcPr>
          <w:p w:rsidR="0040305A" w:rsidRPr="0063403F" w:rsidRDefault="0040305A" w:rsidP="0040305A">
            <w:pPr>
              <w:rPr>
                <w:rFonts w:ascii="Calibri" w:hAnsi="Calibri" w:cs="Calibri"/>
                <w:color w:val="000000"/>
              </w:rPr>
            </w:pPr>
            <w:r w:rsidRPr="0063403F">
              <w:rPr>
                <w:rFonts w:ascii="Calibri" w:hAnsi="Calibri" w:cs="Calibri"/>
                <w:color w:val="000000"/>
              </w:rPr>
              <w:t xml:space="preserve">Review will determine appropriate procedures and processes have been adhered from the inception of the </w:t>
            </w:r>
            <w:r>
              <w:rPr>
                <w:rFonts w:ascii="Calibri" w:hAnsi="Calibri" w:cs="Calibri"/>
                <w:color w:val="000000"/>
              </w:rPr>
              <w:t>programme</w:t>
            </w:r>
            <w:r w:rsidR="002A526D">
              <w:rPr>
                <w:rFonts w:ascii="Calibri" w:hAnsi="Calibri" w:cs="Calibri"/>
                <w:color w:val="000000"/>
              </w:rPr>
              <w:t>.</w:t>
            </w:r>
          </w:p>
        </w:tc>
      </w:tr>
      <w:tr w:rsidR="0040305A" w:rsidRPr="0063403F" w:rsidTr="001F51DE">
        <w:trPr>
          <w:trHeight w:val="1305"/>
        </w:trPr>
        <w:tc>
          <w:tcPr>
            <w:tcW w:w="366" w:type="pct"/>
            <w:shd w:val="clear" w:color="000000" w:fill="C6EFCE"/>
            <w:noWrap/>
            <w:vAlign w:val="center"/>
            <w:hideMark/>
          </w:tcPr>
          <w:p w:rsidR="0040305A" w:rsidRPr="00A46E76" w:rsidRDefault="0040305A" w:rsidP="0040305A">
            <w:pPr>
              <w:rPr>
                <w:rFonts w:ascii="Calibri" w:hAnsi="Calibri" w:cs="Calibri"/>
                <w:bCs/>
              </w:rPr>
            </w:pPr>
            <w:r w:rsidRPr="00A46E76">
              <w:rPr>
                <w:rFonts w:ascii="Calibri" w:hAnsi="Calibri" w:cs="Calibri"/>
                <w:bCs/>
              </w:rPr>
              <w:t> High</w:t>
            </w:r>
          </w:p>
        </w:tc>
        <w:tc>
          <w:tcPr>
            <w:tcW w:w="802" w:type="pct"/>
            <w:shd w:val="clear" w:color="auto" w:fill="auto"/>
            <w:vAlign w:val="center"/>
            <w:hideMark/>
          </w:tcPr>
          <w:p w:rsidR="0040305A" w:rsidRPr="0063403F" w:rsidRDefault="0040305A" w:rsidP="0040305A">
            <w:pPr>
              <w:rPr>
                <w:rFonts w:ascii="Calibri" w:hAnsi="Calibri" w:cs="Calibri"/>
                <w:color w:val="000000"/>
              </w:rPr>
            </w:pPr>
            <w:r w:rsidRPr="0063403F">
              <w:rPr>
                <w:rFonts w:ascii="Calibri" w:hAnsi="Calibri" w:cs="Calibri"/>
                <w:color w:val="000000"/>
              </w:rPr>
              <w:t>Reviews of Disabili</w:t>
            </w:r>
            <w:r w:rsidR="002A526D">
              <w:rPr>
                <w:rFonts w:ascii="Calibri" w:hAnsi="Calibri" w:cs="Calibri"/>
                <w:color w:val="000000"/>
              </w:rPr>
              <w:t>ty Standards for Education 2005</w:t>
            </w:r>
          </w:p>
        </w:tc>
        <w:tc>
          <w:tcPr>
            <w:tcW w:w="613" w:type="pct"/>
            <w:shd w:val="clear" w:color="auto" w:fill="auto"/>
            <w:vAlign w:val="center"/>
            <w:hideMark/>
          </w:tcPr>
          <w:p w:rsidR="0040305A" w:rsidRPr="0063403F" w:rsidRDefault="0040305A" w:rsidP="0040305A">
            <w:pPr>
              <w:rPr>
                <w:rFonts w:ascii="Calibri" w:hAnsi="Calibri" w:cs="Calibri"/>
                <w:color w:val="000000"/>
              </w:rPr>
            </w:pPr>
            <w:r w:rsidRPr="0063403F">
              <w:rPr>
                <w:rFonts w:ascii="Calibri" w:hAnsi="Calibri" w:cs="Calibri"/>
                <w:color w:val="000000"/>
              </w:rPr>
              <w:t>Government decision</w:t>
            </w:r>
          </w:p>
        </w:tc>
        <w:tc>
          <w:tcPr>
            <w:tcW w:w="706" w:type="pct"/>
            <w:shd w:val="clear" w:color="auto" w:fill="auto"/>
            <w:vAlign w:val="center"/>
            <w:hideMark/>
          </w:tcPr>
          <w:p w:rsidR="0040305A" w:rsidRPr="0063403F" w:rsidRDefault="0040305A" w:rsidP="0040305A">
            <w:pPr>
              <w:rPr>
                <w:rFonts w:ascii="Calibri" w:hAnsi="Calibri" w:cs="Calibri"/>
                <w:color w:val="000000"/>
              </w:rPr>
            </w:pPr>
            <w:r w:rsidRPr="0063403F">
              <w:rPr>
                <w:rFonts w:ascii="Calibri" w:hAnsi="Calibri" w:cs="Calibri"/>
                <w:color w:val="000000"/>
              </w:rPr>
              <w:t>Commencing in 2015</w:t>
            </w:r>
          </w:p>
        </w:tc>
        <w:tc>
          <w:tcPr>
            <w:tcW w:w="566" w:type="pct"/>
            <w:shd w:val="clear" w:color="auto" w:fill="auto"/>
            <w:vAlign w:val="center"/>
            <w:hideMark/>
          </w:tcPr>
          <w:p w:rsidR="0040305A" w:rsidRPr="0063403F" w:rsidRDefault="0040305A" w:rsidP="0040305A">
            <w:pPr>
              <w:rPr>
                <w:rFonts w:ascii="Calibri" w:hAnsi="Calibri" w:cs="Calibri"/>
                <w:color w:val="000000"/>
              </w:rPr>
            </w:pPr>
            <w:r w:rsidRPr="0063403F">
              <w:rPr>
                <w:rFonts w:ascii="Calibri" w:hAnsi="Calibri" w:cs="Calibri"/>
                <w:color w:val="000000"/>
              </w:rPr>
              <w:t>Policy Evaluation</w:t>
            </w:r>
          </w:p>
        </w:tc>
        <w:tc>
          <w:tcPr>
            <w:tcW w:w="1947" w:type="pct"/>
            <w:shd w:val="clear" w:color="auto" w:fill="auto"/>
            <w:vAlign w:val="center"/>
            <w:hideMark/>
          </w:tcPr>
          <w:p w:rsidR="0040305A" w:rsidRPr="0063403F" w:rsidRDefault="0040305A" w:rsidP="0040305A">
            <w:pPr>
              <w:rPr>
                <w:rFonts w:ascii="Calibri" w:hAnsi="Calibri" w:cs="Calibri"/>
                <w:color w:val="000000"/>
              </w:rPr>
            </w:pPr>
            <w:r w:rsidRPr="0063403F">
              <w:rPr>
                <w:rFonts w:ascii="Calibri" w:hAnsi="Calibri" w:cs="Calibri"/>
                <w:color w:val="000000"/>
              </w:rPr>
              <w:t>The Disability Standards for Education 2005 clarify the obligations of education and training providers under the Disability Discrimination Act 1992 (</w:t>
            </w:r>
            <w:proofErr w:type="spellStart"/>
            <w:r w:rsidRPr="0063403F">
              <w:rPr>
                <w:rFonts w:ascii="Calibri" w:hAnsi="Calibri" w:cs="Calibri"/>
                <w:color w:val="000000"/>
              </w:rPr>
              <w:t>DDA</w:t>
            </w:r>
            <w:proofErr w:type="spellEnd"/>
            <w:r w:rsidRPr="0063403F">
              <w:rPr>
                <w:rFonts w:ascii="Calibri" w:hAnsi="Calibri" w:cs="Calibri"/>
                <w:color w:val="000000"/>
              </w:rPr>
              <w:t>) and seek to ensure that students with disability can access and participate in education on the same basis as other students. The 2015 Review is to determine whether the Standards remain an efficient mechanism for Government</w:t>
            </w:r>
            <w:r w:rsidR="002A526D">
              <w:rPr>
                <w:rFonts w:ascii="Calibri" w:hAnsi="Calibri" w:cs="Calibri"/>
                <w:color w:val="000000"/>
              </w:rPr>
              <w:t>.</w:t>
            </w:r>
          </w:p>
        </w:tc>
      </w:tr>
      <w:tr w:rsidR="0040305A" w:rsidRPr="0063403F" w:rsidTr="0096625E">
        <w:trPr>
          <w:cantSplit/>
          <w:trHeight w:val="924"/>
        </w:trPr>
        <w:tc>
          <w:tcPr>
            <w:tcW w:w="366" w:type="pct"/>
            <w:shd w:val="clear" w:color="000000" w:fill="C6EFCE"/>
            <w:noWrap/>
            <w:vAlign w:val="center"/>
            <w:hideMark/>
          </w:tcPr>
          <w:p w:rsidR="0040305A" w:rsidRPr="00A46E76" w:rsidRDefault="0040305A" w:rsidP="0040305A">
            <w:pPr>
              <w:rPr>
                <w:rFonts w:ascii="Calibri" w:hAnsi="Calibri" w:cs="Calibri"/>
                <w:bCs/>
              </w:rPr>
            </w:pPr>
            <w:r w:rsidRPr="00A46E76">
              <w:rPr>
                <w:rFonts w:ascii="Calibri" w:hAnsi="Calibri" w:cs="Calibri"/>
                <w:bCs/>
              </w:rPr>
              <w:lastRenderedPageBreak/>
              <w:t>High</w:t>
            </w:r>
          </w:p>
        </w:tc>
        <w:tc>
          <w:tcPr>
            <w:tcW w:w="802" w:type="pct"/>
            <w:shd w:val="clear" w:color="auto" w:fill="auto"/>
            <w:vAlign w:val="center"/>
            <w:hideMark/>
          </w:tcPr>
          <w:p w:rsidR="0040305A" w:rsidRPr="0063403F" w:rsidRDefault="0040305A" w:rsidP="0040305A">
            <w:pPr>
              <w:rPr>
                <w:rFonts w:ascii="Calibri" w:hAnsi="Calibri" w:cs="Calibri"/>
                <w:color w:val="000000"/>
              </w:rPr>
            </w:pPr>
            <w:r w:rsidRPr="0063403F">
              <w:rPr>
                <w:rFonts w:ascii="Calibri" w:hAnsi="Calibri" w:cs="Calibri"/>
                <w:color w:val="000000"/>
              </w:rPr>
              <w:t>Education Council’s Aboriginal and Torres Strait Islander Education Action Plan 2010-2014</w:t>
            </w:r>
          </w:p>
        </w:tc>
        <w:tc>
          <w:tcPr>
            <w:tcW w:w="613" w:type="pct"/>
            <w:shd w:val="clear" w:color="auto" w:fill="auto"/>
            <w:vAlign w:val="center"/>
            <w:hideMark/>
          </w:tcPr>
          <w:p w:rsidR="0040305A" w:rsidRPr="0063403F" w:rsidRDefault="0040305A" w:rsidP="0040305A">
            <w:pPr>
              <w:rPr>
                <w:rFonts w:ascii="Calibri" w:hAnsi="Calibri" w:cs="Calibri"/>
                <w:color w:val="000000"/>
              </w:rPr>
            </w:pPr>
            <w:r w:rsidRPr="0063403F">
              <w:rPr>
                <w:rFonts w:ascii="Calibri" w:hAnsi="Calibri" w:cs="Calibri"/>
                <w:color w:val="000000"/>
              </w:rPr>
              <w:t>Government decision</w:t>
            </w:r>
          </w:p>
        </w:tc>
        <w:tc>
          <w:tcPr>
            <w:tcW w:w="706" w:type="pct"/>
            <w:shd w:val="clear" w:color="auto" w:fill="auto"/>
            <w:noWrap/>
            <w:vAlign w:val="center"/>
            <w:hideMark/>
          </w:tcPr>
          <w:p w:rsidR="0040305A" w:rsidRPr="0063403F" w:rsidRDefault="0040305A" w:rsidP="0040305A">
            <w:pPr>
              <w:rPr>
                <w:rFonts w:ascii="Calibri" w:hAnsi="Calibri" w:cs="Calibri"/>
                <w:color w:val="000000"/>
              </w:rPr>
            </w:pPr>
            <w:r w:rsidRPr="0063403F">
              <w:rPr>
                <w:rFonts w:ascii="Calibri" w:hAnsi="Calibri" w:cs="Calibri"/>
                <w:color w:val="000000"/>
              </w:rPr>
              <w:t>2011-2014</w:t>
            </w:r>
          </w:p>
        </w:tc>
        <w:tc>
          <w:tcPr>
            <w:tcW w:w="566" w:type="pct"/>
            <w:shd w:val="clear" w:color="auto" w:fill="auto"/>
            <w:vAlign w:val="center"/>
            <w:hideMark/>
          </w:tcPr>
          <w:p w:rsidR="0040305A" w:rsidRPr="0063403F" w:rsidRDefault="0040305A" w:rsidP="0040305A">
            <w:pPr>
              <w:rPr>
                <w:rFonts w:ascii="Calibri" w:hAnsi="Calibri" w:cs="Calibri"/>
                <w:color w:val="000000"/>
              </w:rPr>
            </w:pPr>
            <w:r>
              <w:rPr>
                <w:rFonts w:ascii="Calibri" w:hAnsi="Calibri" w:cs="Calibri"/>
                <w:color w:val="000000"/>
              </w:rPr>
              <w:t>Programme</w:t>
            </w:r>
            <w:r w:rsidRPr="0063403F">
              <w:rPr>
                <w:rFonts w:ascii="Calibri" w:hAnsi="Calibri" w:cs="Calibri"/>
                <w:color w:val="000000"/>
              </w:rPr>
              <w:t xml:space="preserve"> Evaluation</w:t>
            </w:r>
          </w:p>
        </w:tc>
        <w:tc>
          <w:tcPr>
            <w:tcW w:w="1947" w:type="pct"/>
            <w:shd w:val="clear" w:color="auto" w:fill="auto"/>
            <w:noWrap/>
            <w:vAlign w:val="center"/>
            <w:hideMark/>
          </w:tcPr>
          <w:p w:rsidR="0040305A" w:rsidRPr="0063403F" w:rsidRDefault="0040305A" w:rsidP="0040305A">
            <w:pPr>
              <w:rPr>
                <w:rFonts w:ascii="Calibri" w:hAnsi="Calibri" w:cs="Calibri"/>
                <w:color w:val="000000"/>
              </w:rPr>
            </w:pPr>
            <w:r w:rsidRPr="0063403F">
              <w:rPr>
                <w:rFonts w:ascii="Calibri" w:hAnsi="Calibri" w:cs="Calibri"/>
                <w:color w:val="000000"/>
              </w:rPr>
              <w:t xml:space="preserve">Aims to assess Effectiveness and the achievements resulting from the Action Plan. </w:t>
            </w:r>
            <w:proofErr w:type="spellStart"/>
            <w:r w:rsidRPr="0063403F">
              <w:rPr>
                <w:rFonts w:ascii="Calibri" w:hAnsi="Calibri" w:cs="Calibri"/>
                <w:color w:val="000000"/>
              </w:rPr>
              <w:t>AEEYSOC</w:t>
            </w:r>
            <w:proofErr w:type="spellEnd"/>
            <w:r w:rsidRPr="0063403F">
              <w:rPr>
                <w:rFonts w:ascii="Calibri" w:hAnsi="Calibri" w:cs="Calibri"/>
                <w:color w:val="000000"/>
              </w:rPr>
              <w:t xml:space="preserve"> requirement.</w:t>
            </w:r>
          </w:p>
        </w:tc>
      </w:tr>
      <w:tr w:rsidR="0040305A" w:rsidRPr="0063403F" w:rsidTr="001F51DE">
        <w:trPr>
          <w:trHeight w:val="830"/>
        </w:trPr>
        <w:tc>
          <w:tcPr>
            <w:tcW w:w="366" w:type="pct"/>
            <w:shd w:val="clear" w:color="000000" w:fill="FFCC99"/>
            <w:noWrap/>
            <w:vAlign w:val="center"/>
            <w:hideMark/>
          </w:tcPr>
          <w:p w:rsidR="0040305A" w:rsidRPr="00A46E76" w:rsidRDefault="0040305A" w:rsidP="0040305A">
            <w:pPr>
              <w:rPr>
                <w:rFonts w:ascii="Calibri" w:hAnsi="Calibri" w:cs="Calibri"/>
              </w:rPr>
            </w:pPr>
            <w:r w:rsidRPr="00A46E76">
              <w:rPr>
                <w:rFonts w:ascii="Calibri" w:hAnsi="Calibri" w:cs="Calibri"/>
              </w:rPr>
              <w:t>Medium</w:t>
            </w:r>
          </w:p>
        </w:tc>
        <w:tc>
          <w:tcPr>
            <w:tcW w:w="802" w:type="pct"/>
            <w:shd w:val="clear" w:color="auto" w:fill="auto"/>
            <w:vAlign w:val="center"/>
            <w:hideMark/>
          </w:tcPr>
          <w:p w:rsidR="0040305A" w:rsidRPr="0063403F" w:rsidRDefault="0040305A" w:rsidP="0040305A">
            <w:pPr>
              <w:rPr>
                <w:rFonts w:ascii="Calibri" w:hAnsi="Calibri" w:cs="Calibri"/>
                <w:color w:val="000000"/>
              </w:rPr>
            </w:pPr>
            <w:r w:rsidRPr="0063403F">
              <w:rPr>
                <w:rFonts w:ascii="Calibri" w:hAnsi="Calibri" w:cs="Calibri"/>
                <w:color w:val="000000"/>
              </w:rPr>
              <w:t xml:space="preserve">Parliament and Civics Education Rebate (PACER) </w:t>
            </w:r>
            <w:r>
              <w:rPr>
                <w:rFonts w:ascii="Calibri" w:hAnsi="Calibri" w:cs="Calibri"/>
                <w:color w:val="000000"/>
              </w:rPr>
              <w:t>programme</w:t>
            </w:r>
          </w:p>
        </w:tc>
        <w:tc>
          <w:tcPr>
            <w:tcW w:w="613" w:type="pct"/>
            <w:shd w:val="clear" w:color="auto" w:fill="auto"/>
            <w:vAlign w:val="center"/>
            <w:hideMark/>
          </w:tcPr>
          <w:p w:rsidR="0040305A" w:rsidRPr="0063403F" w:rsidRDefault="0040305A" w:rsidP="0040305A">
            <w:pPr>
              <w:rPr>
                <w:rFonts w:ascii="Calibri" w:hAnsi="Calibri" w:cs="Calibri"/>
                <w:color w:val="000000"/>
              </w:rPr>
            </w:pPr>
            <w:r w:rsidRPr="0063403F">
              <w:rPr>
                <w:rFonts w:ascii="Calibri" w:hAnsi="Calibri" w:cs="Calibri"/>
                <w:color w:val="000000"/>
              </w:rPr>
              <w:t>Departmental decision</w:t>
            </w:r>
          </w:p>
        </w:tc>
        <w:tc>
          <w:tcPr>
            <w:tcW w:w="706" w:type="pct"/>
            <w:shd w:val="clear" w:color="auto" w:fill="auto"/>
            <w:vAlign w:val="center"/>
            <w:hideMark/>
          </w:tcPr>
          <w:p w:rsidR="0040305A" w:rsidRPr="0063403F" w:rsidRDefault="0040305A" w:rsidP="0040305A">
            <w:pPr>
              <w:rPr>
                <w:rFonts w:ascii="Calibri" w:hAnsi="Calibri" w:cs="Calibri"/>
                <w:color w:val="000000"/>
              </w:rPr>
            </w:pPr>
            <w:r w:rsidRPr="0063403F">
              <w:rPr>
                <w:rFonts w:ascii="Calibri" w:hAnsi="Calibri" w:cs="Calibri"/>
                <w:color w:val="000000"/>
              </w:rPr>
              <w:t>January 2016 - December 2016</w:t>
            </w:r>
          </w:p>
        </w:tc>
        <w:tc>
          <w:tcPr>
            <w:tcW w:w="566" w:type="pct"/>
            <w:shd w:val="clear" w:color="auto" w:fill="auto"/>
            <w:vAlign w:val="center"/>
            <w:hideMark/>
          </w:tcPr>
          <w:p w:rsidR="0040305A" w:rsidRPr="0063403F" w:rsidRDefault="0040305A" w:rsidP="0040305A">
            <w:pPr>
              <w:rPr>
                <w:rFonts w:ascii="Calibri" w:hAnsi="Calibri" w:cs="Calibri"/>
                <w:color w:val="000000"/>
              </w:rPr>
            </w:pPr>
            <w:r>
              <w:rPr>
                <w:rFonts w:ascii="Calibri" w:hAnsi="Calibri" w:cs="Calibri"/>
                <w:color w:val="000000"/>
              </w:rPr>
              <w:t>Programme</w:t>
            </w:r>
            <w:r w:rsidRPr="0063403F">
              <w:rPr>
                <w:rFonts w:ascii="Calibri" w:hAnsi="Calibri" w:cs="Calibri"/>
                <w:color w:val="000000"/>
              </w:rPr>
              <w:t xml:space="preserve"> Evaluation</w:t>
            </w:r>
          </w:p>
        </w:tc>
        <w:tc>
          <w:tcPr>
            <w:tcW w:w="1947" w:type="pct"/>
            <w:shd w:val="clear" w:color="auto" w:fill="auto"/>
            <w:noWrap/>
            <w:vAlign w:val="center"/>
            <w:hideMark/>
          </w:tcPr>
          <w:p w:rsidR="0040305A" w:rsidRPr="0063403F" w:rsidRDefault="0040305A" w:rsidP="0040305A">
            <w:pPr>
              <w:rPr>
                <w:rFonts w:ascii="Calibri" w:hAnsi="Calibri" w:cs="Calibri"/>
                <w:color w:val="000000"/>
              </w:rPr>
            </w:pPr>
            <w:r w:rsidRPr="0063403F">
              <w:rPr>
                <w:rFonts w:ascii="Calibri" w:hAnsi="Calibri" w:cs="Calibri"/>
                <w:color w:val="000000"/>
              </w:rPr>
              <w:t xml:space="preserve">To assess </w:t>
            </w:r>
            <w:proofErr w:type="spellStart"/>
            <w:r w:rsidRPr="0063403F">
              <w:rPr>
                <w:rFonts w:ascii="Calibri" w:hAnsi="Calibri" w:cs="Calibri"/>
                <w:color w:val="000000"/>
              </w:rPr>
              <w:t>PACER’s</w:t>
            </w:r>
            <w:proofErr w:type="spellEnd"/>
            <w:r w:rsidRPr="0063403F">
              <w:rPr>
                <w:rFonts w:ascii="Calibri" w:hAnsi="Calibri" w:cs="Calibri"/>
                <w:color w:val="000000"/>
              </w:rPr>
              <w:t xml:space="preserve"> appropriateness, effectiveness, efficiency and governance.</w:t>
            </w:r>
          </w:p>
        </w:tc>
      </w:tr>
      <w:tr w:rsidR="0040305A" w:rsidRPr="0063403F" w:rsidTr="001F51DE">
        <w:trPr>
          <w:trHeight w:val="761"/>
        </w:trPr>
        <w:tc>
          <w:tcPr>
            <w:tcW w:w="366" w:type="pct"/>
            <w:shd w:val="clear" w:color="000000" w:fill="FFCC99"/>
            <w:noWrap/>
            <w:vAlign w:val="center"/>
            <w:hideMark/>
          </w:tcPr>
          <w:p w:rsidR="0040305A" w:rsidRPr="00A46E76" w:rsidRDefault="0040305A" w:rsidP="0040305A">
            <w:pPr>
              <w:rPr>
                <w:rFonts w:ascii="Calibri" w:hAnsi="Calibri" w:cs="Calibri"/>
              </w:rPr>
            </w:pPr>
            <w:r w:rsidRPr="00A46E76">
              <w:rPr>
                <w:rFonts w:ascii="Calibri" w:hAnsi="Calibri" w:cs="Calibri"/>
              </w:rPr>
              <w:t>Medium</w:t>
            </w:r>
          </w:p>
        </w:tc>
        <w:tc>
          <w:tcPr>
            <w:tcW w:w="802" w:type="pct"/>
            <w:shd w:val="clear" w:color="auto" w:fill="auto"/>
            <w:vAlign w:val="center"/>
            <w:hideMark/>
          </w:tcPr>
          <w:p w:rsidR="0040305A" w:rsidRPr="0063403F" w:rsidRDefault="0040305A" w:rsidP="0040305A">
            <w:pPr>
              <w:rPr>
                <w:rFonts w:ascii="Calibri" w:hAnsi="Calibri" w:cs="Calibri"/>
                <w:color w:val="000000"/>
              </w:rPr>
            </w:pPr>
            <w:r w:rsidRPr="0063403F">
              <w:rPr>
                <w:rFonts w:ascii="Calibri" w:hAnsi="Calibri" w:cs="Calibri"/>
                <w:color w:val="000000"/>
              </w:rPr>
              <w:t xml:space="preserve">Flexible literacy for remote primary schools </w:t>
            </w:r>
            <w:r>
              <w:rPr>
                <w:rFonts w:ascii="Calibri" w:hAnsi="Calibri" w:cs="Calibri"/>
                <w:color w:val="000000"/>
              </w:rPr>
              <w:t>programme</w:t>
            </w:r>
          </w:p>
        </w:tc>
        <w:tc>
          <w:tcPr>
            <w:tcW w:w="613" w:type="pct"/>
            <w:shd w:val="clear" w:color="auto" w:fill="auto"/>
            <w:vAlign w:val="center"/>
            <w:hideMark/>
          </w:tcPr>
          <w:p w:rsidR="0040305A" w:rsidRPr="0063403F" w:rsidRDefault="0040305A" w:rsidP="0040305A">
            <w:pPr>
              <w:rPr>
                <w:rFonts w:ascii="Calibri" w:hAnsi="Calibri" w:cs="Calibri"/>
                <w:color w:val="000000"/>
              </w:rPr>
            </w:pPr>
            <w:r w:rsidRPr="0063403F">
              <w:rPr>
                <w:rFonts w:ascii="Calibri" w:hAnsi="Calibri" w:cs="Calibri"/>
                <w:color w:val="000000"/>
              </w:rPr>
              <w:t>Government decision</w:t>
            </w:r>
          </w:p>
        </w:tc>
        <w:tc>
          <w:tcPr>
            <w:tcW w:w="706" w:type="pct"/>
            <w:shd w:val="clear" w:color="auto" w:fill="auto"/>
            <w:vAlign w:val="center"/>
            <w:hideMark/>
          </w:tcPr>
          <w:p w:rsidR="0040305A" w:rsidRPr="0063403F" w:rsidRDefault="0040305A" w:rsidP="0040305A">
            <w:pPr>
              <w:rPr>
                <w:rFonts w:ascii="Calibri" w:hAnsi="Calibri" w:cs="Calibri"/>
                <w:color w:val="000000"/>
              </w:rPr>
            </w:pPr>
            <w:r w:rsidRPr="0063403F">
              <w:rPr>
                <w:rFonts w:ascii="Calibri" w:hAnsi="Calibri" w:cs="Calibri"/>
                <w:color w:val="000000"/>
              </w:rPr>
              <w:t>2015-2017</w:t>
            </w:r>
          </w:p>
        </w:tc>
        <w:tc>
          <w:tcPr>
            <w:tcW w:w="566" w:type="pct"/>
            <w:shd w:val="clear" w:color="auto" w:fill="auto"/>
            <w:vAlign w:val="center"/>
            <w:hideMark/>
          </w:tcPr>
          <w:p w:rsidR="0040305A" w:rsidRPr="0063403F" w:rsidRDefault="0040305A" w:rsidP="0040305A">
            <w:pPr>
              <w:rPr>
                <w:rFonts w:ascii="Calibri" w:hAnsi="Calibri" w:cs="Calibri"/>
                <w:color w:val="000000"/>
              </w:rPr>
            </w:pPr>
            <w:r>
              <w:rPr>
                <w:rFonts w:ascii="Calibri" w:hAnsi="Calibri" w:cs="Calibri"/>
                <w:color w:val="000000"/>
              </w:rPr>
              <w:t>Programme</w:t>
            </w:r>
            <w:r w:rsidRPr="0063403F">
              <w:rPr>
                <w:rFonts w:ascii="Calibri" w:hAnsi="Calibri" w:cs="Calibri"/>
                <w:color w:val="000000"/>
              </w:rPr>
              <w:t xml:space="preserve"> Evaluation</w:t>
            </w:r>
          </w:p>
        </w:tc>
        <w:tc>
          <w:tcPr>
            <w:tcW w:w="1947" w:type="pct"/>
            <w:shd w:val="clear" w:color="auto" w:fill="auto"/>
            <w:noWrap/>
            <w:vAlign w:val="center"/>
            <w:hideMark/>
          </w:tcPr>
          <w:p w:rsidR="0040305A" w:rsidRPr="0063403F" w:rsidRDefault="0040305A" w:rsidP="0040305A">
            <w:pPr>
              <w:rPr>
                <w:rFonts w:ascii="Calibri" w:hAnsi="Calibri" w:cs="Calibri"/>
                <w:color w:val="000000"/>
              </w:rPr>
            </w:pPr>
            <w:r w:rsidRPr="0063403F">
              <w:rPr>
                <w:rFonts w:ascii="Calibri" w:hAnsi="Calibri" w:cs="Calibri"/>
                <w:color w:val="000000"/>
              </w:rPr>
              <w:t>Grant Agreement requirement.</w:t>
            </w:r>
          </w:p>
        </w:tc>
      </w:tr>
      <w:tr w:rsidR="0040305A" w:rsidRPr="0063403F" w:rsidTr="001F51DE">
        <w:trPr>
          <w:trHeight w:val="930"/>
        </w:trPr>
        <w:tc>
          <w:tcPr>
            <w:tcW w:w="366" w:type="pct"/>
            <w:shd w:val="clear" w:color="000000" w:fill="FFCC99"/>
            <w:noWrap/>
            <w:vAlign w:val="center"/>
            <w:hideMark/>
          </w:tcPr>
          <w:p w:rsidR="0040305A" w:rsidRPr="00A46E76" w:rsidRDefault="0040305A" w:rsidP="0040305A">
            <w:pPr>
              <w:rPr>
                <w:rFonts w:ascii="Calibri" w:hAnsi="Calibri" w:cs="Calibri"/>
              </w:rPr>
            </w:pPr>
            <w:r w:rsidRPr="00A46E76">
              <w:rPr>
                <w:rFonts w:ascii="Calibri" w:hAnsi="Calibri" w:cs="Calibri"/>
              </w:rPr>
              <w:t>Medium</w:t>
            </w:r>
          </w:p>
        </w:tc>
        <w:tc>
          <w:tcPr>
            <w:tcW w:w="802" w:type="pct"/>
            <w:shd w:val="clear" w:color="auto" w:fill="auto"/>
            <w:vAlign w:val="center"/>
            <w:hideMark/>
          </w:tcPr>
          <w:p w:rsidR="0040305A" w:rsidRPr="0063403F" w:rsidRDefault="0040305A" w:rsidP="0040305A">
            <w:pPr>
              <w:rPr>
                <w:rFonts w:ascii="Calibri" w:hAnsi="Calibri" w:cs="Calibri"/>
                <w:color w:val="000000"/>
              </w:rPr>
            </w:pPr>
            <w:r w:rsidRPr="0063403F">
              <w:rPr>
                <w:rFonts w:ascii="Calibri" w:hAnsi="Calibri" w:cs="Calibri"/>
                <w:color w:val="000000"/>
              </w:rPr>
              <w:t>The More Support for Students with Disabilities (</w:t>
            </w:r>
            <w:proofErr w:type="spellStart"/>
            <w:r w:rsidRPr="0063403F">
              <w:rPr>
                <w:rFonts w:ascii="Calibri" w:hAnsi="Calibri" w:cs="Calibri"/>
                <w:color w:val="000000"/>
              </w:rPr>
              <w:t>MSSD</w:t>
            </w:r>
            <w:proofErr w:type="spellEnd"/>
            <w:r w:rsidRPr="0063403F">
              <w:rPr>
                <w:rFonts w:ascii="Calibri" w:hAnsi="Calibri" w:cs="Calibri"/>
                <w:color w:val="000000"/>
              </w:rPr>
              <w:t>) initiative (2012-2014)</w:t>
            </w:r>
          </w:p>
        </w:tc>
        <w:tc>
          <w:tcPr>
            <w:tcW w:w="613" w:type="pct"/>
            <w:shd w:val="clear" w:color="auto" w:fill="auto"/>
            <w:vAlign w:val="center"/>
            <w:hideMark/>
          </w:tcPr>
          <w:p w:rsidR="0040305A" w:rsidRPr="0063403F" w:rsidRDefault="0040305A" w:rsidP="0040305A">
            <w:pPr>
              <w:rPr>
                <w:rFonts w:ascii="Calibri" w:hAnsi="Calibri" w:cs="Calibri"/>
                <w:color w:val="000000"/>
              </w:rPr>
            </w:pPr>
            <w:r w:rsidRPr="0063403F">
              <w:rPr>
                <w:rFonts w:ascii="Calibri" w:hAnsi="Calibri" w:cs="Calibri"/>
                <w:color w:val="000000"/>
              </w:rPr>
              <w:t>Departmental decision</w:t>
            </w:r>
          </w:p>
        </w:tc>
        <w:tc>
          <w:tcPr>
            <w:tcW w:w="706" w:type="pct"/>
            <w:shd w:val="clear" w:color="auto" w:fill="auto"/>
            <w:vAlign w:val="center"/>
            <w:hideMark/>
          </w:tcPr>
          <w:p w:rsidR="0040305A" w:rsidRPr="0063403F" w:rsidRDefault="0040305A" w:rsidP="0040305A">
            <w:pPr>
              <w:rPr>
                <w:rFonts w:ascii="Calibri" w:hAnsi="Calibri" w:cs="Calibri"/>
                <w:color w:val="000000"/>
              </w:rPr>
            </w:pPr>
            <w:r w:rsidRPr="0063403F">
              <w:rPr>
                <w:rFonts w:ascii="Calibri" w:hAnsi="Calibri" w:cs="Calibri"/>
                <w:color w:val="000000"/>
              </w:rPr>
              <w:t>2012 - June 2015</w:t>
            </w:r>
          </w:p>
        </w:tc>
        <w:tc>
          <w:tcPr>
            <w:tcW w:w="566" w:type="pct"/>
            <w:shd w:val="clear" w:color="auto" w:fill="auto"/>
            <w:vAlign w:val="center"/>
            <w:hideMark/>
          </w:tcPr>
          <w:p w:rsidR="0040305A" w:rsidRPr="0063403F" w:rsidRDefault="0040305A" w:rsidP="0040305A">
            <w:pPr>
              <w:rPr>
                <w:rFonts w:ascii="Calibri" w:hAnsi="Calibri" w:cs="Calibri"/>
                <w:color w:val="000000"/>
              </w:rPr>
            </w:pPr>
            <w:r>
              <w:rPr>
                <w:rFonts w:ascii="Calibri" w:hAnsi="Calibri" w:cs="Calibri"/>
                <w:color w:val="000000"/>
              </w:rPr>
              <w:t>Programme</w:t>
            </w:r>
            <w:r w:rsidRPr="0063403F">
              <w:rPr>
                <w:rFonts w:ascii="Calibri" w:hAnsi="Calibri" w:cs="Calibri"/>
                <w:color w:val="000000"/>
              </w:rPr>
              <w:t xml:space="preserve"> Evaluation</w:t>
            </w:r>
          </w:p>
        </w:tc>
        <w:tc>
          <w:tcPr>
            <w:tcW w:w="1947" w:type="pct"/>
            <w:shd w:val="clear" w:color="auto" w:fill="auto"/>
            <w:vAlign w:val="center"/>
            <w:hideMark/>
          </w:tcPr>
          <w:p w:rsidR="0040305A" w:rsidRPr="0063403F" w:rsidRDefault="0040305A" w:rsidP="0040305A">
            <w:pPr>
              <w:rPr>
                <w:rFonts w:ascii="Calibri" w:hAnsi="Calibri" w:cs="Calibri"/>
                <w:color w:val="000000"/>
              </w:rPr>
            </w:pPr>
            <w:r w:rsidRPr="0063403F">
              <w:rPr>
                <w:rFonts w:ascii="Calibri" w:hAnsi="Calibri" w:cs="Calibri"/>
                <w:color w:val="000000"/>
              </w:rPr>
              <w:t xml:space="preserve">The evaluation will deliver an overall assessment of the effectiveness, efficiency and appropriateness of the initiative. </w:t>
            </w:r>
            <w:proofErr w:type="spellStart"/>
            <w:r w:rsidRPr="0063403F">
              <w:rPr>
                <w:rFonts w:ascii="Calibri" w:hAnsi="Calibri" w:cs="Calibri"/>
                <w:color w:val="000000"/>
              </w:rPr>
              <w:t>MSSD</w:t>
            </w:r>
            <w:proofErr w:type="spellEnd"/>
            <w:r w:rsidRPr="0063403F">
              <w:rPr>
                <w:rFonts w:ascii="Calibri" w:hAnsi="Calibri" w:cs="Calibri"/>
                <w:color w:val="000000"/>
              </w:rPr>
              <w:t xml:space="preserve"> National Partnership Agreement</w:t>
            </w:r>
            <w:r w:rsidR="002A526D">
              <w:rPr>
                <w:rFonts w:ascii="Calibri" w:hAnsi="Calibri" w:cs="Calibri"/>
                <w:color w:val="000000"/>
              </w:rPr>
              <w:t>.</w:t>
            </w:r>
          </w:p>
        </w:tc>
      </w:tr>
      <w:tr w:rsidR="0040305A" w:rsidRPr="0063403F" w:rsidTr="001F51DE">
        <w:trPr>
          <w:trHeight w:val="2120"/>
        </w:trPr>
        <w:tc>
          <w:tcPr>
            <w:tcW w:w="366" w:type="pct"/>
            <w:shd w:val="clear" w:color="000000" w:fill="FFCC99"/>
            <w:noWrap/>
            <w:vAlign w:val="center"/>
            <w:hideMark/>
          </w:tcPr>
          <w:p w:rsidR="0040305A" w:rsidRPr="00A46E76" w:rsidRDefault="0040305A" w:rsidP="0040305A">
            <w:pPr>
              <w:rPr>
                <w:rFonts w:ascii="Calibri" w:hAnsi="Calibri" w:cs="Calibri"/>
              </w:rPr>
            </w:pPr>
            <w:r w:rsidRPr="00A46E76">
              <w:rPr>
                <w:rFonts w:ascii="Calibri" w:hAnsi="Calibri" w:cs="Calibri"/>
              </w:rPr>
              <w:t>Medium</w:t>
            </w:r>
          </w:p>
        </w:tc>
        <w:tc>
          <w:tcPr>
            <w:tcW w:w="802" w:type="pct"/>
            <w:shd w:val="clear" w:color="auto" w:fill="auto"/>
            <w:vAlign w:val="center"/>
            <w:hideMark/>
          </w:tcPr>
          <w:p w:rsidR="0040305A" w:rsidRPr="0063403F" w:rsidRDefault="0040305A" w:rsidP="0040305A">
            <w:pPr>
              <w:rPr>
                <w:rFonts w:ascii="Calibri" w:hAnsi="Calibri" w:cs="Calibri"/>
                <w:color w:val="000000"/>
              </w:rPr>
            </w:pPr>
            <w:r w:rsidRPr="0063403F">
              <w:rPr>
                <w:rFonts w:ascii="Calibri" w:hAnsi="Calibri" w:cs="Calibri"/>
                <w:color w:val="000000"/>
              </w:rPr>
              <w:t>Positive Partnerships: supporting school-aged students on the autism spectrum 2012-2015, the education component of the Helping Children with Autism package</w:t>
            </w:r>
          </w:p>
        </w:tc>
        <w:tc>
          <w:tcPr>
            <w:tcW w:w="613" w:type="pct"/>
            <w:shd w:val="clear" w:color="auto" w:fill="auto"/>
            <w:vAlign w:val="center"/>
            <w:hideMark/>
          </w:tcPr>
          <w:p w:rsidR="0040305A" w:rsidRPr="0063403F" w:rsidRDefault="0040305A" w:rsidP="0040305A">
            <w:pPr>
              <w:rPr>
                <w:rFonts w:ascii="Calibri" w:hAnsi="Calibri" w:cs="Calibri"/>
                <w:color w:val="000000"/>
              </w:rPr>
            </w:pPr>
            <w:r w:rsidRPr="0063403F">
              <w:rPr>
                <w:rFonts w:ascii="Calibri" w:hAnsi="Calibri" w:cs="Calibri"/>
                <w:color w:val="000000"/>
              </w:rPr>
              <w:t>Ministerial direction</w:t>
            </w:r>
          </w:p>
        </w:tc>
        <w:tc>
          <w:tcPr>
            <w:tcW w:w="706" w:type="pct"/>
            <w:shd w:val="clear" w:color="auto" w:fill="auto"/>
            <w:vAlign w:val="center"/>
            <w:hideMark/>
          </w:tcPr>
          <w:p w:rsidR="0040305A" w:rsidRPr="0063403F" w:rsidRDefault="0040305A" w:rsidP="0040305A">
            <w:pPr>
              <w:rPr>
                <w:rFonts w:ascii="Calibri" w:hAnsi="Calibri" w:cs="Calibri"/>
                <w:color w:val="000000"/>
              </w:rPr>
            </w:pPr>
            <w:r w:rsidRPr="0063403F">
              <w:rPr>
                <w:rFonts w:ascii="Calibri" w:hAnsi="Calibri" w:cs="Calibri"/>
                <w:color w:val="000000"/>
              </w:rPr>
              <w:t>October 2014 - February 2015</w:t>
            </w:r>
          </w:p>
        </w:tc>
        <w:tc>
          <w:tcPr>
            <w:tcW w:w="566" w:type="pct"/>
            <w:shd w:val="clear" w:color="auto" w:fill="auto"/>
            <w:vAlign w:val="center"/>
            <w:hideMark/>
          </w:tcPr>
          <w:p w:rsidR="0040305A" w:rsidRPr="0063403F" w:rsidRDefault="0040305A" w:rsidP="0040305A">
            <w:pPr>
              <w:rPr>
                <w:rFonts w:ascii="Calibri" w:hAnsi="Calibri" w:cs="Calibri"/>
                <w:color w:val="000000"/>
              </w:rPr>
            </w:pPr>
            <w:r>
              <w:rPr>
                <w:rFonts w:ascii="Calibri" w:hAnsi="Calibri" w:cs="Calibri"/>
                <w:color w:val="000000"/>
              </w:rPr>
              <w:t>Programme</w:t>
            </w:r>
            <w:r w:rsidRPr="0063403F">
              <w:rPr>
                <w:rFonts w:ascii="Calibri" w:hAnsi="Calibri" w:cs="Calibri"/>
                <w:color w:val="000000"/>
              </w:rPr>
              <w:t xml:space="preserve"> Evaluation</w:t>
            </w:r>
          </w:p>
        </w:tc>
        <w:tc>
          <w:tcPr>
            <w:tcW w:w="1947" w:type="pct"/>
            <w:shd w:val="clear" w:color="auto" w:fill="auto"/>
            <w:vAlign w:val="center"/>
            <w:hideMark/>
          </w:tcPr>
          <w:p w:rsidR="0040305A" w:rsidRPr="0063403F" w:rsidRDefault="0040305A" w:rsidP="0040305A">
            <w:pPr>
              <w:rPr>
                <w:rFonts w:ascii="Calibri" w:hAnsi="Calibri" w:cs="Calibri"/>
                <w:color w:val="000000"/>
              </w:rPr>
            </w:pPr>
            <w:r w:rsidRPr="0063403F">
              <w:rPr>
                <w:rFonts w:ascii="Calibri" w:hAnsi="Calibri" w:cs="Calibri"/>
                <w:color w:val="000000"/>
              </w:rPr>
              <w:t xml:space="preserve">Findings will be used to develop options for enhancing </w:t>
            </w:r>
            <w:r>
              <w:rPr>
                <w:rFonts w:ascii="Calibri" w:hAnsi="Calibri" w:cs="Calibri"/>
                <w:color w:val="000000"/>
              </w:rPr>
              <w:t>programme</w:t>
            </w:r>
            <w:r w:rsidRPr="0063403F">
              <w:rPr>
                <w:rFonts w:ascii="Calibri" w:hAnsi="Calibri" w:cs="Calibri"/>
                <w:color w:val="000000"/>
              </w:rPr>
              <w:t xml:space="preserve"> design and delivery and will inform the tender process for the next phase of the project. Evaluation will provide an overall assessment of the </w:t>
            </w:r>
            <w:r>
              <w:rPr>
                <w:rFonts w:ascii="Calibri" w:hAnsi="Calibri" w:cs="Calibri"/>
                <w:color w:val="000000"/>
              </w:rPr>
              <w:t>programme</w:t>
            </w:r>
            <w:r w:rsidRPr="0063403F">
              <w:rPr>
                <w:rFonts w:ascii="Calibri" w:hAnsi="Calibri" w:cs="Calibri"/>
                <w:color w:val="000000"/>
              </w:rPr>
              <w:t>’s appropriateness, effectiveness and efficiency.</w:t>
            </w:r>
          </w:p>
        </w:tc>
      </w:tr>
      <w:tr w:rsidR="0040305A" w:rsidRPr="0063403F" w:rsidTr="001F51DE">
        <w:trPr>
          <w:trHeight w:val="947"/>
        </w:trPr>
        <w:tc>
          <w:tcPr>
            <w:tcW w:w="366" w:type="pct"/>
            <w:shd w:val="clear" w:color="000000" w:fill="FFCC99"/>
            <w:noWrap/>
            <w:vAlign w:val="center"/>
            <w:hideMark/>
          </w:tcPr>
          <w:p w:rsidR="0040305A" w:rsidRPr="00A46E76" w:rsidRDefault="0040305A" w:rsidP="0040305A">
            <w:pPr>
              <w:rPr>
                <w:rFonts w:ascii="Calibri" w:hAnsi="Calibri" w:cs="Calibri"/>
              </w:rPr>
            </w:pPr>
            <w:r w:rsidRPr="00A46E76">
              <w:rPr>
                <w:rFonts w:ascii="Calibri" w:hAnsi="Calibri" w:cs="Calibri"/>
              </w:rPr>
              <w:t>Medium</w:t>
            </w:r>
          </w:p>
        </w:tc>
        <w:tc>
          <w:tcPr>
            <w:tcW w:w="802" w:type="pct"/>
            <w:shd w:val="clear" w:color="auto" w:fill="auto"/>
            <w:vAlign w:val="center"/>
            <w:hideMark/>
          </w:tcPr>
          <w:p w:rsidR="0040305A" w:rsidRPr="0063403F" w:rsidRDefault="0040305A" w:rsidP="0040305A">
            <w:pPr>
              <w:rPr>
                <w:rFonts w:ascii="Calibri" w:hAnsi="Calibri" w:cs="Calibri"/>
                <w:color w:val="000000"/>
              </w:rPr>
            </w:pPr>
            <w:r w:rsidRPr="0063403F">
              <w:rPr>
                <w:rFonts w:ascii="Calibri" w:hAnsi="Calibri" w:cs="Calibri"/>
                <w:color w:val="000000"/>
              </w:rPr>
              <w:t xml:space="preserve">National School Chaplaincy </w:t>
            </w:r>
            <w:r>
              <w:rPr>
                <w:rFonts w:ascii="Calibri" w:hAnsi="Calibri" w:cs="Calibri"/>
                <w:color w:val="000000"/>
              </w:rPr>
              <w:t>Programme</w:t>
            </w:r>
            <w:r w:rsidRPr="0063403F">
              <w:rPr>
                <w:rFonts w:ascii="Calibri" w:hAnsi="Calibri" w:cs="Calibri"/>
                <w:color w:val="000000"/>
              </w:rPr>
              <w:t xml:space="preserve"> (</w:t>
            </w:r>
            <w:proofErr w:type="spellStart"/>
            <w:r w:rsidRPr="0063403F">
              <w:rPr>
                <w:rFonts w:ascii="Calibri" w:hAnsi="Calibri" w:cs="Calibri"/>
                <w:color w:val="000000"/>
              </w:rPr>
              <w:t>NSCP</w:t>
            </w:r>
            <w:proofErr w:type="spellEnd"/>
            <w:r w:rsidRPr="0063403F">
              <w:rPr>
                <w:rFonts w:ascii="Calibri" w:hAnsi="Calibri" w:cs="Calibri"/>
                <w:color w:val="000000"/>
              </w:rPr>
              <w:t>)</w:t>
            </w:r>
          </w:p>
        </w:tc>
        <w:tc>
          <w:tcPr>
            <w:tcW w:w="613" w:type="pct"/>
            <w:shd w:val="clear" w:color="auto" w:fill="auto"/>
            <w:vAlign w:val="center"/>
            <w:hideMark/>
          </w:tcPr>
          <w:p w:rsidR="0040305A" w:rsidRPr="0063403F" w:rsidRDefault="0040305A" w:rsidP="0040305A">
            <w:pPr>
              <w:rPr>
                <w:rFonts w:ascii="Calibri" w:hAnsi="Calibri" w:cs="Calibri"/>
                <w:color w:val="000000"/>
              </w:rPr>
            </w:pPr>
            <w:r w:rsidRPr="0063403F">
              <w:rPr>
                <w:rFonts w:ascii="Calibri" w:hAnsi="Calibri" w:cs="Calibri"/>
                <w:color w:val="000000"/>
              </w:rPr>
              <w:t>Government decision</w:t>
            </w:r>
          </w:p>
        </w:tc>
        <w:tc>
          <w:tcPr>
            <w:tcW w:w="706" w:type="pct"/>
            <w:shd w:val="clear" w:color="auto" w:fill="auto"/>
            <w:vAlign w:val="center"/>
            <w:hideMark/>
          </w:tcPr>
          <w:p w:rsidR="0040305A" w:rsidRPr="0063403F" w:rsidRDefault="0040305A" w:rsidP="0040305A">
            <w:pPr>
              <w:rPr>
                <w:rFonts w:ascii="Calibri" w:hAnsi="Calibri" w:cs="Calibri"/>
                <w:color w:val="000000"/>
              </w:rPr>
            </w:pPr>
            <w:r w:rsidRPr="0063403F">
              <w:rPr>
                <w:rFonts w:ascii="Calibri" w:hAnsi="Calibri" w:cs="Calibri"/>
                <w:color w:val="000000"/>
              </w:rPr>
              <w:t>2015/2016 - 2016/2017</w:t>
            </w:r>
          </w:p>
        </w:tc>
        <w:tc>
          <w:tcPr>
            <w:tcW w:w="566" w:type="pct"/>
            <w:shd w:val="clear" w:color="auto" w:fill="auto"/>
            <w:vAlign w:val="center"/>
            <w:hideMark/>
          </w:tcPr>
          <w:p w:rsidR="0040305A" w:rsidRPr="0063403F" w:rsidRDefault="0040305A" w:rsidP="0040305A">
            <w:pPr>
              <w:rPr>
                <w:rFonts w:ascii="Calibri" w:hAnsi="Calibri" w:cs="Calibri"/>
                <w:color w:val="000000"/>
              </w:rPr>
            </w:pPr>
            <w:r>
              <w:rPr>
                <w:rFonts w:ascii="Calibri" w:hAnsi="Calibri" w:cs="Calibri"/>
                <w:color w:val="000000"/>
              </w:rPr>
              <w:t>Programme</w:t>
            </w:r>
            <w:r w:rsidRPr="0063403F">
              <w:rPr>
                <w:rFonts w:ascii="Calibri" w:hAnsi="Calibri" w:cs="Calibri"/>
                <w:color w:val="000000"/>
              </w:rPr>
              <w:t xml:space="preserve"> Evaluation</w:t>
            </w:r>
          </w:p>
        </w:tc>
        <w:tc>
          <w:tcPr>
            <w:tcW w:w="1947" w:type="pct"/>
            <w:shd w:val="clear" w:color="auto" w:fill="auto"/>
            <w:vAlign w:val="center"/>
            <w:hideMark/>
          </w:tcPr>
          <w:p w:rsidR="0040305A" w:rsidRPr="0063403F" w:rsidRDefault="0040305A" w:rsidP="0040305A">
            <w:pPr>
              <w:rPr>
                <w:rFonts w:ascii="Calibri" w:hAnsi="Calibri" w:cs="Calibri"/>
                <w:color w:val="000000"/>
              </w:rPr>
            </w:pPr>
            <w:r w:rsidRPr="0063403F">
              <w:rPr>
                <w:rFonts w:ascii="Calibri" w:hAnsi="Calibri" w:cs="Calibri"/>
                <w:color w:val="000000"/>
              </w:rPr>
              <w:t xml:space="preserve">The evaluation will describe the conduct, benefits and outcomes of the </w:t>
            </w:r>
            <w:proofErr w:type="spellStart"/>
            <w:r w:rsidRPr="0063403F">
              <w:rPr>
                <w:rFonts w:ascii="Calibri" w:hAnsi="Calibri" w:cs="Calibri"/>
                <w:color w:val="000000"/>
              </w:rPr>
              <w:t>NSCP</w:t>
            </w:r>
            <w:proofErr w:type="spellEnd"/>
            <w:r w:rsidRPr="0063403F">
              <w:rPr>
                <w:rFonts w:ascii="Calibri" w:hAnsi="Calibri" w:cs="Calibri"/>
                <w:color w:val="000000"/>
              </w:rPr>
              <w:t xml:space="preserve"> as a whole and evaluate the </w:t>
            </w:r>
            <w:proofErr w:type="spellStart"/>
            <w:r w:rsidRPr="0063403F">
              <w:rPr>
                <w:rFonts w:ascii="Calibri" w:hAnsi="Calibri" w:cs="Calibri"/>
                <w:color w:val="000000"/>
              </w:rPr>
              <w:t>NSCP</w:t>
            </w:r>
            <w:proofErr w:type="spellEnd"/>
            <w:r w:rsidRPr="0063403F">
              <w:rPr>
                <w:rFonts w:ascii="Calibri" w:hAnsi="Calibri" w:cs="Calibri"/>
                <w:color w:val="000000"/>
              </w:rPr>
              <w:t xml:space="preserve"> from the states’ perspective. National Partnership – National School Chaplaincy </w:t>
            </w:r>
            <w:r>
              <w:rPr>
                <w:rFonts w:ascii="Calibri" w:hAnsi="Calibri" w:cs="Calibri"/>
                <w:color w:val="000000"/>
              </w:rPr>
              <w:t>Programme</w:t>
            </w:r>
            <w:r w:rsidR="002A526D">
              <w:rPr>
                <w:rFonts w:ascii="Calibri" w:hAnsi="Calibri" w:cs="Calibri"/>
                <w:color w:val="000000"/>
              </w:rPr>
              <w:t>.</w:t>
            </w:r>
          </w:p>
        </w:tc>
      </w:tr>
      <w:tr w:rsidR="0040305A" w:rsidRPr="0063403F" w:rsidTr="001F51DE">
        <w:trPr>
          <w:trHeight w:val="707"/>
        </w:trPr>
        <w:tc>
          <w:tcPr>
            <w:tcW w:w="366" w:type="pct"/>
            <w:shd w:val="clear" w:color="000000" w:fill="FFCC99"/>
            <w:noWrap/>
            <w:vAlign w:val="center"/>
            <w:hideMark/>
          </w:tcPr>
          <w:p w:rsidR="0040305A" w:rsidRPr="00A46E76" w:rsidRDefault="0040305A" w:rsidP="0040305A">
            <w:pPr>
              <w:rPr>
                <w:rFonts w:ascii="Calibri" w:hAnsi="Calibri" w:cs="Calibri"/>
              </w:rPr>
            </w:pPr>
            <w:r w:rsidRPr="00A46E76">
              <w:rPr>
                <w:rFonts w:ascii="Calibri" w:hAnsi="Calibri" w:cs="Calibri"/>
              </w:rPr>
              <w:t>Medium</w:t>
            </w:r>
          </w:p>
        </w:tc>
        <w:tc>
          <w:tcPr>
            <w:tcW w:w="802" w:type="pct"/>
            <w:shd w:val="clear" w:color="auto" w:fill="auto"/>
            <w:vAlign w:val="center"/>
            <w:hideMark/>
          </w:tcPr>
          <w:p w:rsidR="0040305A" w:rsidRPr="0063403F" w:rsidRDefault="0040305A" w:rsidP="0040305A">
            <w:pPr>
              <w:rPr>
                <w:rFonts w:ascii="Calibri" w:hAnsi="Calibri" w:cs="Calibri"/>
                <w:color w:val="000000"/>
              </w:rPr>
            </w:pPr>
            <w:r w:rsidRPr="0063403F">
              <w:rPr>
                <w:rFonts w:ascii="Calibri" w:hAnsi="Calibri" w:cs="Calibri"/>
                <w:color w:val="000000"/>
              </w:rPr>
              <w:t>Independent Public Schools initiative (</w:t>
            </w:r>
            <w:proofErr w:type="spellStart"/>
            <w:r w:rsidRPr="0063403F">
              <w:rPr>
                <w:rFonts w:ascii="Calibri" w:hAnsi="Calibri" w:cs="Calibri"/>
                <w:color w:val="000000"/>
              </w:rPr>
              <w:t>IPS</w:t>
            </w:r>
            <w:proofErr w:type="spellEnd"/>
            <w:r w:rsidRPr="0063403F">
              <w:rPr>
                <w:rFonts w:ascii="Calibri" w:hAnsi="Calibri" w:cs="Calibri"/>
                <w:color w:val="000000"/>
              </w:rPr>
              <w:t>) 2013/14 – 2016/17</w:t>
            </w:r>
          </w:p>
        </w:tc>
        <w:tc>
          <w:tcPr>
            <w:tcW w:w="613" w:type="pct"/>
            <w:shd w:val="clear" w:color="auto" w:fill="auto"/>
            <w:vAlign w:val="center"/>
            <w:hideMark/>
          </w:tcPr>
          <w:p w:rsidR="0040305A" w:rsidRPr="0063403F" w:rsidRDefault="0040305A" w:rsidP="0040305A">
            <w:pPr>
              <w:rPr>
                <w:rFonts w:ascii="Calibri" w:hAnsi="Calibri" w:cs="Calibri"/>
                <w:color w:val="000000"/>
              </w:rPr>
            </w:pPr>
            <w:r w:rsidRPr="0063403F">
              <w:rPr>
                <w:rFonts w:ascii="Calibri" w:hAnsi="Calibri" w:cs="Calibri"/>
                <w:color w:val="000000"/>
              </w:rPr>
              <w:t>Government decision</w:t>
            </w:r>
          </w:p>
        </w:tc>
        <w:tc>
          <w:tcPr>
            <w:tcW w:w="706" w:type="pct"/>
            <w:shd w:val="clear" w:color="auto" w:fill="auto"/>
            <w:vAlign w:val="center"/>
            <w:hideMark/>
          </w:tcPr>
          <w:p w:rsidR="0040305A" w:rsidRPr="0063403F" w:rsidRDefault="0040305A" w:rsidP="0040305A">
            <w:pPr>
              <w:rPr>
                <w:rFonts w:ascii="Calibri" w:hAnsi="Calibri" w:cs="Calibri"/>
                <w:color w:val="000000"/>
              </w:rPr>
            </w:pPr>
            <w:r w:rsidRPr="0063403F">
              <w:rPr>
                <w:rFonts w:ascii="Calibri" w:hAnsi="Calibri" w:cs="Calibri"/>
                <w:color w:val="000000"/>
              </w:rPr>
              <w:t>2016 - 17</w:t>
            </w:r>
          </w:p>
        </w:tc>
        <w:tc>
          <w:tcPr>
            <w:tcW w:w="566" w:type="pct"/>
            <w:shd w:val="clear" w:color="auto" w:fill="auto"/>
            <w:vAlign w:val="center"/>
            <w:hideMark/>
          </w:tcPr>
          <w:p w:rsidR="0040305A" w:rsidRPr="0063403F" w:rsidRDefault="0040305A" w:rsidP="0040305A">
            <w:pPr>
              <w:rPr>
                <w:rFonts w:ascii="Calibri" w:hAnsi="Calibri" w:cs="Calibri"/>
                <w:color w:val="000000"/>
              </w:rPr>
            </w:pPr>
            <w:r>
              <w:rPr>
                <w:rFonts w:ascii="Calibri" w:hAnsi="Calibri" w:cs="Calibri"/>
                <w:color w:val="000000"/>
              </w:rPr>
              <w:t>Programme</w:t>
            </w:r>
            <w:r w:rsidRPr="0063403F">
              <w:rPr>
                <w:rFonts w:ascii="Calibri" w:hAnsi="Calibri" w:cs="Calibri"/>
                <w:color w:val="000000"/>
              </w:rPr>
              <w:t xml:space="preserve"> and policy</w:t>
            </w:r>
          </w:p>
        </w:tc>
        <w:tc>
          <w:tcPr>
            <w:tcW w:w="1947" w:type="pct"/>
            <w:shd w:val="clear" w:color="auto" w:fill="auto"/>
            <w:noWrap/>
            <w:vAlign w:val="center"/>
            <w:hideMark/>
          </w:tcPr>
          <w:p w:rsidR="0040305A" w:rsidRPr="0063403F" w:rsidRDefault="0040305A" w:rsidP="0040305A">
            <w:pPr>
              <w:rPr>
                <w:rFonts w:ascii="Calibri" w:hAnsi="Calibri" w:cs="Calibri"/>
                <w:color w:val="000000"/>
              </w:rPr>
            </w:pPr>
            <w:r w:rsidRPr="0063403F">
              <w:rPr>
                <w:rFonts w:ascii="Calibri" w:hAnsi="Calibri" w:cs="Calibri"/>
                <w:color w:val="000000"/>
              </w:rPr>
              <w:t>The evaluation will focus on activity undertaken and progress made (evidence of impact) over life of the initiative</w:t>
            </w:r>
            <w:r w:rsidR="002A526D">
              <w:rPr>
                <w:rFonts w:ascii="Calibri" w:hAnsi="Calibri" w:cs="Calibri"/>
                <w:color w:val="000000"/>
              </w:rPr>
              <w:t>.</w:t>
            </w:r>
          </w:p>
        </w:tc>
      </w:tr>
      <w:tr w:rsidR="0040305A" w:rsidRPr="0063403F" w:rsidTr="001F51DE">
        <w:trPr>
          <w:trHeight w:val="1441"/>
        </w:trPr>
        <w:tc>
          <w:tcPr>
            <w:tcW w:w="366" w:type="pct"/>
            <w:shd w:val="clear" w:color="000000" w:fill="FFCC99"/>
            <w:noWrap/>
            <w:vAlign w:val="center"/>
          </w:tcPr>
          <w:p w:rsidR="0040305A" w:rsidRPr="00A46E76" w:rsidRDefault="0040305A" w:rsidP="0040305A">
            <w:pPr>
              <w:rPr>
                <w:rFonts w:ascii="Calibri" w:hAnsi="Calibri" w:cs="Calibri"/>
              </w:rPr>
            </w:pPr>
            <w:r w:rsidRPr="00A46E76">
              <w:rPr>
                <w:rFonts w:ascii="Calibri" w:hAnsi="Calibri" w:cs="Calibri"/>
              </w:rPr>
              <w:lastRenderedPageBreak/>
              <w:t>Medium</w:t>
            </w:r>
          </w:p>
        </w:tc>
        <w:tc>
          <w:tcPr>
            <w:tcW w:w="802" w:type="pct"/>
            <w:shd w:val="clear" w:color="auto" w:fill="auto"/>
            <w:vAlign w:val="center"/>
          </w:tcPr>
          <w:p w:rsidR="0040305A" w:rsidRPr="0063403F" w:rsidRDefault="0040305A" w:rsidP="0040305A">
            <w:pPr>
              <w:rPr>
                <w:rFonts w:ascii="Calibri" w:hAnsi="Calibri" w:cs="Calibri"/>
                <w:color w:val="000000"/>
              </w:rPr>
            </w:pPr>
            <w:r w:rsidRPr="0063403F">
              <w:rPr>
                <w:rFonts w:ascii="Calibri" w:hAnsi="Calibri" w:cs="Calibri"/>
                <w:color w:val="000000"/>
              </w:rPr>
              <w:t>Internal review - National Literacy and Numeracy Week</w:t>
            </w:r>
          </w:p>
        </w:tc>
        <w:tc>
          <w:tcPr>
            <w:tcW w:w="613" w:type="pct"/>
            <w:shd w:val="clear" w:color="auto" w:fill="auto"/>
            <w:vAlign w:val="center"/>
          </w:tcPr>
          <w:p w:rsidR="0040305A" w:rsidRPr="0063403F" w:rsidRDefault="0040305A" w:rsidP="0040305A">
            <w:pPr>
              <w:rPr>
                <w:rFonts w:ascii="Calibri" w:hAnsi="Calibri" w:cs="Calibri"/>
                <w:color w:val="000000"/>
              </w:rPr>
            </w:pPr>
            <w:r w:rsidRPr="0063403F">
              <w:rPr>
                <w:rFonts w:ascii="Calibri" w:hAnsi="Calibri" w:cs="Calibri"/>
                <w:color w:val="000000"/>
              </w:rPr>
              <w:t>Departmental decision</w:t>
            </w:r>
          </w:p>
        </w:tc>
        <w:tc>
          <w:tcPr>
            <w:tcW w:w="706" w:type="pct"/>
            <w:shd w:val="clear" w:color="auto" w:fill="auto"/>
            <w:vAlign w:val="center"/>
          </w:tcPr>
          <w:p w:rsidR="0040305A" w:rsidRPr="0063403F" w:rsidRDefault="0040305A" w:rsidP="0040305A">
            <w:pPr>
              <w:rPr>
                <w:rFonts w:ascii="Calibri" w:hAnsi="Calibri" w:cs="Calibri"/>
                <w:color w:val="000000"/>
              </w:rPr>
            </w:pPr>
            <w:r w:rsidRPr="0063403F">
              <w:rPr>
                <w:rFonts w:ascii="Calibri" w:hAnsi="Calibri" w:cs="Calibri"/>
                <w:color w:val="000000"/>
              </w:rPr>
              <w:t>2015</w:t>
            </w:r>
          </w:p>
        </w:tc>
        <w:tc>
          <w:tcPr>
            <w:tcW w:w="566" w:type="pct"/>
            <w:shd w:val="clear" w:color="auto" w:fill="auto"/>
            <w:vAlign w:val="center"/>
          </w:tcPr>
          <w:p w:rsidR="0040305A" w:rsidRPr="0041043D" w:rsidRDefault="0040305A" w:rsidP="0040305A">
            <w:pPr>
              <w:rPr>
                <w:rFonts w:ascii="Calibri" w:hAnsi="Calibri" w:cs="Calibri"/>
                <w:color w:val="000000"/>
              </w:rPr>
            </w:pPr>
            <w:r w:rsidRPr="0041043D">
              <w:rPr>
                <w:rFonts w:ascii="Calibri" w:hAnsi="Calibri" w:cs="Calibri"/>
                <w:color w:val="000000"/>
              </w:rPr>
              <w:t>Policy Evaluation</w:t>
            </w:r>
          </w:p>
        </w:tc>
        <w:tc>
          <w:tcPr>
            <w:tcW w:w="1947" w:type="pct"/>
            <w:shd w:val="clear" w:color="auto" w:fill="auto"/>
            <w:vAlign w:val="center"/>
          </w:tcPr>
          <w:p w:rsidR="0040305A" w:rsidRPr="0041043D" w:rsidRDefault="0040305A" w:rsidP="0040305A">
            <w:pPr>
              <w:rPr>
                <w:rFonts w:ascii="Calibri" w:hAnsi="Calibri" w:cs="Calibri"/>
                <w:color w:val="000000"/>
              </w:rPr>
            </w:pPr>
            <w:r w:rsidRPr="0041043D">
              <w:rPr>
                <w:rFonts w:ascii="Calibri" w:hAnsi="Calibri" w:cs="Calibri"/>
                <w:color w:val="000000"/>
              </w:rPr>
              <w:t>The review aims to establish the value stakeholders place on the week and provided guidance</w:t>
            </w:r>
            <w:r w:rsidR="002A526D">
              <w:rPr>
                <w:rFonts w:ascii="Calibri" w:hAnsi="Calibri" w:cs="Calibri"/>
                <w:color w:val="000000"/>
              </w:rPr>
              <w:t xml:space="preserve"> on ways to improve the event. </w:t>
            </w:r>
            <w:r w:rsidRPr="0041043D">
              <w:rPr>
                <w:rFonts w:ascii="Calibri" w:hAnsi="Calibri" w:cs="Calibri"/>
                <w:color w:val="000000"/>
              </w:rPr>
              <w:t>The review will include a survey, stakeholder interviews, desktop review and website feedback.</w:t>
            </w:r>
          </w:p>
        </w:tc>
      </w:tr>
      <w:tr w:rsidR="0040305A" w:rsidRPr="0063403F" w:rsidTr="001F51DE">
        <w:trPr>
          <w:trHeight w:val="1441"/>
        </w:trPr>
        <w:tc>
          <w:tcPr>
            <w:tcW w:w="366" w:type="pct"/>
            <w:shd w:val="clear" w:color="000000" w:fill="FFCC99"/>
            <w:noWrap/>
            <w:vAlign w:val="center"/>
            <w:hideMark/>
          </w:tcPr>
          <w:p w:rsidR="0040305A" w:rsidRPr="00A46E76" w:rsidRDefault="0040305A" w:rsidP="0040305A">
            <w:pPr>
              <w:rPr>
                <w:rFonts w:ascii="Calibri" w:hAnsi="Calibri" w:cs="Calibri"/>
              </w:rPr>
            </w:pPr>
            <w:r w:rsidRPr="00A46E76">
              <w:rPr>
                <w:rFonts w:ascii="Calibri" w:hAnsi="Calibri" w:cs="Calibri"/>
              </w:rPr>
              <w:t>Medium</w:t>
            </w:r>
          </w:p>
        </w:tc>
        <w:tc>
          <w:tcPr>
            <w:tcW w:w="802" w:type="pct"/>
            <w:shd w:val="clear" w:color="auto" w:fill="auto"/>
            <w:vAlign w:val="center"/>
            <w:hideMark/>
          </w:tcPr>
          <w:p w:rsidR="0040305A" w:rsidRPr="0063403F" w:rsidRDefault="0040305A" w:rsidP="0040305A">
            <w:pPr>
              <w:rPr>
                <w:rFonts w:ascii="Calibri" w:hAnsi="Calibri" w:cs="Calibri"/>
                <w:color w:val="000000"/>
              </w:rPr>
            </w:pPr>
            <w:r w:rsidRPr="0063403F">
              <w:rPr>
                <w:rFonts w:ascii="Calibri" w:hAnsi="Calibri" w:cs="Calibri"/>
                <w:color w:val="000000"/>
              </w:rPr>
              <w:t xml:space="preserve">Broadband Enabled Education and Skills Services </w:t>
            </w:r>
            <w:r>
              <w:rPr>
                <w:rFonts w:ascii="Calibri" w:hAnsi="Calibri" w:cs="Calibri"/>
                <w:color w:val="000000"/>
              </w:rPr>
              <w:t>Programme</w:t>
            </w:r>
            <w:r w:rsidRPr="0063403F">
              <w:rPr>
                <w:rFonts w:ascii="Calibri" w:hAnsi="Calibri" w:cs="Calibri"/>
                <w:color w:val="000000"/>
              </w:rPr>
              <w:t xml:space="preserve"> (</w:t>
            </w:r>
            <w:proofErr w:type="spellStart"/>
            <w:r w:rsidRPr="0063403F">
              <w:rPr>
                <w:rFonts w:ascii="Calibri" w:hAnsi="Calibri" w:cs="Calibri"/>
                <w:color w:val="000000"/>
              </w:rPr>
              <w:t>BEESS</w:t>
            </w:r>
            <w:proofErr w:type="spellEnd"/>
            <w:r w:rsidRPr="0063403F">
              <w:rPr>
                <w:rFonts w:ascii="Calibri" w:hAnsi="Calibri" w:cs="Calibri"/>
                <w:color w:val="000000"/>
              </w:rPr>
              <w:t>)</w:t>
            </w:r>
          </w:p>
        </w:tc>
        <w:tc>
          <w:tcPr>
            <w:tcW w:w="613" w:type="pct"/>
            <w:shd w:val="clear" w:color="auto" w:fill="auto"/>
            <w:vAlign w:val="center"/>
            <w:hideMark/>
          </w:tcPr>
          <w:p w:rsidR="0040305A" w:rsidRPr="0063403F" w:rsidRDefault="0040305A" w:rsidP="0040305A">
            <w:pPr>
              <w:rPr>
                <w:rFonts w:ascii="Calibri" w:hAnsi="Calibri" w:cs="Calibri"/>
                <w:color w:val="000000"/>
              </w:rPr>
            </w:pPr>
            <w:r w:rsidRPr="0063403F">
              <w:rPr>
                <w:rFonts w:ascii="Calibri" w:hAnsi="Calibri" w:cs="Calibri"/>
                <w:color w:val="000000"/>
              </w:rPr>
              <w:t>Government decision</w:t>
            </w:r>
          </w:p>
        </w:tc>
        <w:tc>
          <w:tcPr>
            <w:tcW w:w="706" w:type="pct"/>
            <w:shd w:val="clear" w:color="auto" w:fill="auto"/>
            <w:vAlign w:val="center"/>
            <w:hideMark/>
          </w:tcPr>
          <w:p w:rsidR="0040305A" w:rsidRPr="0063403F" w:rsidRDefault="0040305A" w:rsidP="0040305A">
            <w:pPr>
              <w:rPr>
                <w:rFonts w:ascii="Calibri" w:hAnsi="Calibri" w:cs="Calibri"/>
                <w:color w:val="000000"/>
              </w:rPr>
            </w:pPr>
            <w:r w:rsidRPr="0063403F">
              <w:rPr>
                <w:rFonts w:ascii="Calibri" w:hAnsi="Calibri" w:cs="Calibri"/>
                <w:color w:val="000000"/>
              </w:rPr>
              <w:t>March 2015 - June 2015</w:t>
            </w:r>
          </w:p>
        </w:tc>
        <w:tc>
          <w:tcPr>
            <w:tcW w:w="566" w:type="pct"/>
            <w:shd w:val="clear" w:color="auto" w:fill="auto"/>
            <w:vAlign w:val="center"/>
            <w:hideMark/>
          </w:tcPr>
          <w:p w:rsidR="0040305A" w:rsidRPr="0063403F" w:rsidRDefault="0040305A" w:rsidP="0040305A">
            <w:pPr>
              <w:rPr>
                <w:rFonts w:ascii="Calibri" w:hAnsi="Calibri" w:cs="Calibri"/>
                <w:color w:val="000000"/>
              </w:rPr>
            </w:pPr>
            <w:r>
              <w:rPr>
                <w:rFonts w:ascii="Calibri" w:hAnsi="Calibri" w:cs="Calibri"/>
                <w:color w:val="000000"/>
              </w:rPr>
              <w:t>Programme</w:t>
            </w:r>
            <w:r w:rsidRPr="0063403F">
              <w:rPr>
                <w:rFonts w:ascii="Calibri" w:hAnsi="Calibri" w:cs="Calibri"/>
                <w:color w:val="000000"/>
              </w:rPr>
              <w:t xml:space="preserve"> Evaluation</w:t>
            </w:r>
          </w:p>
        </w:tc>
        <w:tc>
          <w:tcPr>
            <w:tcW w:w="1947" w:type="pct"/>
            <w:shd w:val="clear" w:color="auto" w:fill="auto"/>
            <w:vAlign w:val="center"/>
            <w:hideMark/>
          </w:tcPr>
          <w:p w:rsidR="0040305A" w:rsidRPr="0041043D" w:rsidRDefault="0040305A" w:rsidP="0040305A">
            <w:pPr>
              <w:rPr>
                <w:rFonts w:ascii="Calibri" w:hAnsi="Calibri" w:cs="Calibri"/>
                <w:color w:val="000000"/>
              </w:rPr>
            </w:pPr>
            <w:proofErr w:type="spellStart"/>
            <w:r w:rsidRPr="0041043D">
              <w:rPr>
                <w:rFonts w:ascii="Calibri" w:hAnsi="Calibri" w:cs="Calibri"/>
                <w:color w:val="000000"/>
              </w:rPr>
              <w:t>BEESS</w:t>
            </w:r>
            <w:proofErr w:type="spellEnd"/>
            <w:r w:rsidRPr="0041043D">
              <w:rPr>
                <w:rFonts w:ascii="Calibri" w:hAnsi="Calibri" w:cs="Calibri"/>
                <w:color w:val="000000"/>
              </w:rPr>
              <w:t xml:space="preserve"> is a series of 13 projects ($24.6 million) which develop and trial services that use broadband communications technology to provide more interactive and effective learning opportunities. Three of the 13 projects are now at the end of project evaluation stage and all but one of the remainder will be finalising in the first half of 2015.</w:t>
            </w:r>
          </w:p>
        </w:tc>
      </w:tr>
      <w:tr w:rsidR="0040305A" w:rsidRPr="0063403F" w:rsidTr="001F51DE">
        <w:trPr>
          <w:trHeight w:val="761"/>
        </w:trPr>
        <w:tc>
          <w:tcPr>
            <w:tcW w:w="366" w:type="pct"/>
            <w:shd w:val="clear" w:color="000000" w:fill="FFCC99"/>
            <w:noWrap/>
            <w:vAlign w:val="center"/>
            <w:hideMark/>
          </w:tcPr>
          <w:p w:rsidR="0040305A" w:rsidRPr="00A46E76" w:rsidRDefault="0040305A" w:rsidP="0040305A">
            <w:pPr>
              <w:rPr>
                <w:rFonts w:ascii="Calibri" w:hAnsi="Calibri" w:cs="Calibri"/>
              </w:rPr>
            </w:pPr>
            <w:r w:rsidRPr="00A46E76">
              <w:rPr>
                <w:rFonts w:ascii="Calibri" w:hAnsi="Calibri" w:cs="Calibri"/>
              </w:rPr>
              <w:t>Medium</w:t>
            </w:r>
          </w:p>
        </w:tc>
        <w:tc>
          <w:tcPr>
            <w:tcW w:w="802" w:type="pct"/>
            <w:shd w:val="clear" w:color="auto" w:fill="auto"/>
            <w:vAlign w:val="center"/>
            <w:hideMark/>
          </w:tcPr>
          <w:p w:rsidR="0040305A" w:rsidRPr="0063403F" w:rsidRDefault="0040305A" w:rsidP="0040305A">
            <w:pPr>
              <w:rPr>
                <w:rFonts w:ascii="Calibri" w:hAnsi="Calibri" w:cs="Calibri"/>
                <w:color w:val="000000"/>
              </w:rPr>
            </w:pPr>
            <w:r w:rsidRPr="0063403F">
              <w:rPr>
                <w:rFonts w:ascii="Calibri" w:hAnsi="Calibri" w:cs="Calibri"/>
                <w:color w:val="000000"/>
              </w:rPr>
              <w:t>Review of Disability Standards for Education</w:t>
            </w:r>
          </w:p>
        </w:tc>
        <w:tc>
          <w:tcPr>
            <w:tcW w:w="613" w:type="pct"/>
            <w:shd w:val="clear" w:color="auto" w:fill="auto"/>
            <w:vAlign w:val="center"/>
            <w:hideMark/>
          </w:tcPr>
          <w:p w:rsidR="0040305A" w:rsidRPr="0063403F" w:rsidRDefault="0040305A" w:rsidP="0040305A">
            <w:pPr>
              <w:rPr>
                <w:rFonts w:ascii="Calibri" w:hAnsi="Calibri" w:cs="Calibri"/>
                <w:color w:val="000000"/>
              </w:rPr>
            </w:pPr>
            <w:r w:rsidRPr="0063403F">
              <w:rPr>
                <w:rFonts w:ascii="Calibri" w:hAnsi="Calibri" w:cs="Calibri"/>
                <w:color w:val="000000"/>
              </w:rPr>
              <w:t>Ministerial direction</w:t>
            </w:r>
          </w:p>
        </w:tc>
        <w:tc>
          <w:tcPr>
            <w:tcW w:w="706" w:type="pct"/>
            <w:shd w:val="clear" w:color="auto" w:fill="auto"/>
            <w:vAlign w:val="center"/>
            <w:hideMark/>
          </w:tcPr>
          <w:p w:rsidR="0040305A" w:rsidRPr="0063403F" w:rsidRDefault="0040305A" w:rsidP="0040305A">
            <w:pPr>
              <w:rPr>
                <w:rFonts w:ascii="Calibri" w:hAnsi="Calibri" w:cs="Calibri"/>
                <w:color w:val="000000"/>
              </w:rPr>
            </w:pPr>
            <w:r w:rsidRPr="0063403F">
              <w:rPr>
                <w:rFonts w:ascii="Calibri" w:hAnsi="Calibri" w:cs="Calibri"/>
                <w:color w:val="000000"/>
              </w:rPr>
              <w:t>2015</w:t>
            </w:r>
          </w:p>
        </w:tc>
        <w:tc>
          <w:tcPr>
            <w:tcW w:w="566" w:type="pct"/>
            <w:shd w:val="clear" w:color="auto" w:fill="auto"/>
            <w:vAlign w:val="center"/>
            <w:hideMark/>
          </w:tcPr>
          <w:p w:rsidR="0040305A" w:rsidRPr="0063403F" w:rsidRDefault="0040305A" w:rsidP="0040305A">
            <w:pPr>
              <w:rPr>
                <w:rFonts w:ascii="Calibri" w:hAnsi="Calibri" w:cs="Calibri"/>
                <w:color w:val="000000"/>
              </w:rPr>
            </w:pPr>
            <w:r>
              <w:rPr>
                <w:rFonts w:ascii="Calibri" w:hAnsi="Calibri" w:cs="Calibri"/>
                <w:color w:val="000000"/>
              </w:rPr>
              <w:t>Programme</w:t>
            </w:r>
            <w:r w:rsidRPr="0063403F">
              <w:rPr>
                <w:rFonts w:ascii="Calibri" w:hAnsi="Calibri" w:cs="Calibri"/>
                <w:color w:val="000000"/>
              </w:rPr>
              <w:t xml:space="preserve"> Evaluation</w:t>
            </w:r>
          </w:p>
        </w:tc>
        <w:tc>
          <w:tcPr>
            <w:tcW w:w="1947" w:type="pct"/>
            <w:shd w:val="clear" w:color="auto" w:fill="auto"/>
            <w:vAlign w:val="center"/>
            <w:hideMark/>
          </w:tcPr>
          <w:p w:rsidR="0040305A" w:rsidRPr="0063403F" w:rsidRDefault="0040305A" w:rsidP="0040305A">
            <w:pPr>
              <w:rPr>
                <w:rFonts w:ascii="Calibri" w:hAnsi="Calibri" w:cs="Calibri"/>
                <w:color w:val="000000"/>
              </w:rPr>
            </w:pPr>
            <w:r w:rsidRPr="0063403F">
              <w:rPr>
                <w:rFonts w:ascii="Calibri" w:hAnsi="Calibri" w:cs="Calibri"/>
                <w:color w:val="000000"/>
              </w:rPr>
              <w:t>The Review will assess whether the standards are being implemented effectively and are meeting the needs of students with disability</w:t>
            </w:r>
            <w:r w:rsidR="002A526D">
              <w:rPr>
                <w:rFonts w:ascii="Calibri" w:hAnsi="Calibri" w:cs="Calibri"/>
                <w:color w:val="000000"/>
              </w:rPr>
              <w:t>.</w:t>
            </w:r>
          </w:p>
        </w:tc>
      </w:tr>
      <w:tr w:rsidR="0040305A" w:rsidRPr="0063403F" w:rsidTr="001F51DE">
        <w:trPr>
          <w:trHeight w:val="761"/>
        </w:trPr>
        <w:tc>
          <w:tcPr>
            <w:tcW w:w="366" w:type="pct"/>
            <w:shd w:val="clear" w:color="000000" w:fill="FFCC99"/>
            <w:noWrap/>
            <w:vAlign w:val="center"/>
            <w:hideMark/>
          </w:tcPr>
          <w:p w:rsidR="0040305A" w:rsidRPr="00A46E76" w:rsidRDefault="0040305A" w:rsidP="0040305A">
            <w:pPr>
              <w:rPr>
                <w:rFonts w:ascii="Calibri" w:hAnsi="Calibri" w:cs="Calibri"/>
              </w:rPr>
            </w:pPr>
            <w:r w:rsidRPr="00A46E76">
              <w:rPr>
                <w:rFonts w:ascii="Calibri" w:hAnsi="Calibri" w:cs="Calibri"/>
              </w:rPr>
              <w:t>Medium</w:t>
            </w:r>
          </w:p>
        </w:tc>
        <w:tc>
          <w:tcPr>
            <w:tcW w:w="802" w:type="pct"/>
            <w:shd w:val="clear" w:color="auto" w:fill="auto"/>
            <w:vAlign w:val="center"/>
            <w:hideMark/>
          </w:tcPr>
          <w:p w:rsidR="0040305A" w:rsidRPr="0063403F" w:rsidRDefault="0040305A" w:rsidP="0040305A">
            <w:pPr>
              <w:rPr>
                <w:rFonts w:ascii="Calibri" w:hAnsi="Calibri" w:cs="Calibri"/>
                <w:color w:val="000000"/>
              </w:rPr>
            </w:pPr>
            <w:r w:rsidRPr="0063403F">
              <w:rPr>
                <w:rFonts w:ascii="Calibri" w:hAnsi="Calibri" w:cs="Calibri"/>
                <w:color w:val="000000"/>
              </w:rPr>
              <w:t xml:space="preserve">Cohorts 6 to 8 of the Teach for Australia </w:t>
            </w:r>
            <w:r>
              <w:rPr>
                <w:rFonts w:ascii="Calibri" w:hAnsi="Calibri" w:cs="Calibri"/>
                <w:color w:val="000000"/>
              </w:rPr>
              <w:t>programme</w:t>
            </w:r>
            <w:r w:rsidRPr="0063403F">
              <w:rPr>
                <w:rFonts w:ascii="Calibri" w:hAnsi="Calibri" w:cs="Calibri"/>
                <w:color w:val="000000"/>
              </w:rPr>
              <w:t xml:space="preserve"> (2014-18)</w:t>
            </w:r>
          </w:p>
        </w:tc>
        <w:tc>
          <w:tcPr>
            <w:tcW w:w="613" w:type="pct"/>
            <w:shd w:val="clear" w:color="auto" w:fill="auto"/>
            <w:vAlign w:val="center"/>
            <w:hideMark/>
          </w:tcPr>
          <w:p w:rsidR="0040305A" w:rsidRPr="0063403F" w:rsidRDefault="0040305A" w:rsidP="0040305A">
            <w:pPr>
              <w:rPr>
                <w:rFonts w:ascii="Calibri" w:hAnsi="Calibri" w:cs="Calibri"/>
                <w:color w:val="000000"/>
              </w:rPr>
            </w:pPr>
            <w:r w:rsidRPr="0063403F">
              <w:rPr>
                <w:rFonts w:ascii="Calibri" w:hAnsi="Calibri" w:cs="Calibri"/>
                <w:color w:val="000000"/>
              </w:rPr>
              <w:t>Ministerial direction</w:t>
            </w:r>
          </w:p>
        </w:tc>
        <w:tc>
          <w:tcPr>
            <w:tcW w:w="706" w:type="pct"/>
            <w:shd w:val="clear" w:color="auto" w:fill="auto"/>
            <w:vAlign w:val="center"/>
            <w:hideMark/>
          </w:tcPr>
          <w:p w:rsidR="0040305A" w:rsidRPr="0063403F" w:rsidRDefault="0040305A" w:rsidP="0040305A">
            <w:pPr>
              <w:rPr>
                <w:rFonts w:ascii="Calibri" w:hAnsi="Calibri" w:cs="Calibri"/>
                <w:color w:val="000000"/>
              </w:rPr>
            </w:pPr>
            <w:r w:rsidRPr="0063403F">
              <w:rPr>
                <w:rFonts w:ascii="Calibri" w:hAnsi="Calibri" w:cs="Calibri"/>
                <w:color w:val="000000"/>
              </w:rPr>
              <w:t>2015/2016 - 2017/2018</w:t>
            </w:r>
          </w:p>
        </w:tc>
        <w:tc>
          <w:tcPr>
            <w:tcW w:w="566" w:type="pct"/>
            <w:shd w:val="clear" w:color="auto" w:fill="auto"/>
            <w:vAlign w:val="center"/>
            <w:hideMark/>
          </w:tcPr>
          <w:p w:rsidR="0040305A" w:rsidRPr="0063403F" w:rsidRDefault="0040305A" w:rsidP="0040305A">
            <w:pPr>
              <w:rPr>
                <w:rFonts w:ascii="Calibri" w:hAnsi="Calibri" w:cs="Calibri"/>
                <w:color w:val="000000"/>
              </w:rPr>
            </w:pPr>
            <w:r>
              <w:rPr>
                <w:rFonts w:ascii="Calibri" w:hAnsi="Calibri" w:cs="Calibri"/>
                <w:color w:val="000000"/>
              </w:rPr>
              <w:t>Programme</w:t>
            </w:r>
            <w:r w:rsidRPr="0063403F">
              <w:rPr>
                <w:rFonts w:ascii="Calibri" w:hAnsi="Calibri" w:cs="Calibri"/>
                <w:color w:val="000000"/>
              </w:rPr>
              <w:t xml:space="preserve"> Evaluation</w:t>
            </w:r>
          </w:p>
        </w:tc>
        <w:tc>
          <w:tcPr>
            <w:tcW w:w="1947" w:type="pct"/>
            <w:shd w:val="clear" w:color="auto" w:fill="auto"/>
            <w:noWrap/>
            <w:vAlign w:val="center"/>
            <w:hideMark/>
          </w:tcPr>
          <w:p w:rsidR="0040305A" w:rsidRPr="0063403F" w:rsidRDefault="0040305A" w:rsidP="0040305A">
            <w:pPr>
              <w:rPr>
                <w:rFonts w:ascii="Calibri" w:hAnsi="Calibri" w:cs="Calibri"/>
                <w:color w:val="000000"/>
              </w:rPr>
            </w:pPr>
            <w:r w:rsidRPr="0063403F">
              <w:rPr>
                <w:rFonts w:ascii="Calibri" w:hAnsi="Calibri" w:cs="Calibri"/>
                <w:color w:val="000000"/>
              </w:rPr>
              <w:t>Ministerial approval for funding included a requirement for evaluation.</w:t>
            </w:r>
          </w:p>
        </w:tc>
      </w:tr>
      <w:tr w:rsidR="0040305A" w:rsidRPr="0063403F" w:rsidTr="001F51DE">
        <w:trPr>
          <w:trHeight w:val="814"/>
        </w:trPr>
        <w:tc>
          <w:tcPr>
            <w:tcW w:w="366" w:type="pct"/>
            <w:shd w:val="clear" w:color="000000" w:fill="FFCC99"/>
            <w:noWrap/>
            <w:vAlign w:val="center"/>
            <w:hideMark/>
          </w:tcPr>
          <w:p w:rsidR="0040305A" w:rsidRPr="00A46E76" w:rsidRDefault="0040305A" w:rsidP="0040305A">
            <w:pPr>
              <w:rPr>
                <w:rFonts w:ascii="Calibri" w:hAnsi="Calibri" w:cs="Calibri"/>
              </w:rPr>
            </w:pPr>
            <w:r w:rsidRPr="00A46E76">
              <w:rPr>
                <w:rFonts w:ascii="Calibri" w:hAnsi="Calibri" w:cs="Calibri"/>
              </w:rPr>
              <w:t>Medium</w:t>
            </w:r>
          </w:p>
        </w:tc>
        <w:tc>
          <w:tcPr>
            <w:tcW w:w="802" w:type="pct"/>
            <w:shd w:val="clear" w:color="auto" w:fill="auto"/>
            <w:vAlign w:val="center"/>
            <w:hideMark/>
          </w:tcPr>
          <w:p w:rsidR="0040305A" w:rsidRPr="0063403F" w:rsidRDefault="0040305A" w:rsidP="0040305A">
            <w:pPr>
              <w:rPr>
                <w:rFonts w:ascii="Calibri" w:hAnsi="Calibri" w:cs="Calibri"/>
                <w:color w:val="000000"/>
              </w:rPr>
            </w:pPr>
            <w:r w:rsidRPr="0063403F">
              <w:rPr>
                <w:rFonts w:ascii="Calibri" w:hAnsi="Calibri" w:cs="Calibri"/>
                <w:color w:val="000000"/>
              </w:rPr>
              <w:t>Project funding of Safe Schools Coalition Australia</w:t>
            </w:r>
          </w:p>
        </w:tc>
        <w:tc>
          <w:tcPr>
            <w:tcW w:w="613" w:type="pct"/>
            <w:shd w:val="clear" w:color="auto" w:fill="auto"/>
            <w:vAlign w:val="center"/>
            <w:hideMark/>
          </w:tcPr>
          <w:p w:rsidR="0040305A" w:rsidRPr="0063403F" w:rsidRDefault="0040305A" w:rsidP="0040305A">
            <w:pPr>
              <w:rPr>
                <w:rFonts w:ascii="Calibri" w:hAnsi="Calibri" w:cs="Calibri"/>
                <w:color w:val="000000"/>
              </w:rPr>
            </w:pPr>
            <w:r w:rsidRPr="0063403F">
              <w:rPr>
                <w:rFonts w:ascii="Calibri" w:hAnsi="Calibri" w:cs="Calibri"/>
                <w:color w:val="000000"/>
              </w:rPr>
              <w:t>Departmental decision</w:t>
            </w:r>
          </w:p>
        </w:tc>
        <w:tc>
          <w:tcPr>
            <w:tcW w:w="706" w:type="pct"/>
            <w:shd w:val="clear" w:color="auto" w:fill="auto"/>
            <w:vAlign w:val="center"/>
            <w:hideMark/>
          </w:tcPr>
          <w:p w:rsidR="0040305A" w:rsidRPr="0063403F" w:rsidRDefault="0040305A" w:rsidP="0040305A">
            <w:pPr>
              <w:rPr>
                <w:rFonts w:ascii="Calibri" w:hAnsi="Calibri" w:cs="Calibri"/>
                <w:color w:val="000000"/>
              </w:rPr>
            </w:pPr>
            <w:r w:rsidRPr="0063403F">
              <w:rPr>
                <w:rFonts w:ascii="Calibri" w:hAnsi="Calibri" w:cs="Calibri"/>
                <w:color w:val="000000"/>
              </w:rPr>
              <w:t>2014-2017</w:t>
            </w:r>
          </w:p>
        </w:tc>
        <w:tc>
          <w:tcPr>
            <w:tcW w:w="566" w:type="pct"/>
            <w:shd w:val="clear" w:color="auto" w:fill="auto"/>
            <w:vAlign w:val="center"/>
            <w:hideMark/>
          </w:tcPr>
          <w:p w:rsidR="0040305A" w:rsidRPr="0063403F" w:rsidRDefault="0040305A" w:rsidP="0040305A">
            <w:pPr>
              <w:rPr>
                <w:rFonts w:ascii="Calibri" w:hAnsi="Calibri" w:cs="Calibri"/>
                <w:color w:val="000000"/>
              </w:rPr>
            </w:pPr>
            <w:r w:rsidRPr="0063403F">
              <w:rPr>
                <w:rFonts w:ascii="Calibri" w:hAnsi="Calibri" w:cs="Calibri"/>
                <w:color w:val="000000"/>
              </w:rPr>
              <w:t>Impact Evaluation</w:t>
            </w:r>
          </w:p>
        </w:tc>
        <w:tc>
          <w:tcPr>
            <w:tcW w:w="1947" w:type="pct"/>
            <w:shd w:val="clear" w:color="auto" w:fill="auto"/>
            <w:noWrap/>
            <w:vAlign w:val="center"/>
            <w:hideMark/>
          </w:tcPr>
          <w:p w:rsidR="0040305A" w:rsidRPr="0063403F" w:rsidRDefault="0040305A" w:rsidP="0040305A">
            <w:pPr>
              <w:rPr>
                <w:rFonts w:ascii="Calibri" w:hAnsi="Calibri" w:cs="Calibri"/>
                <w:color w:val="000000"/>
              </w:rPr>
            </w:pPr>
            <w:r w:rsidRPr="0063403F">
              <w:rPr>
                <w:rFonts w:ascii="Calibri" w:hAnsi="Calibri" w:cs="Calibri"/>
                <w:color w:val="000000"/>
              </w:rPr>
              <w:t> To evaluate the policy and practice impacts</w:t>
            </w:r>
            <w:r w:rsidR="002A526D">
              <w:rPr>
                <w:rFonts w:ascii="Calibri" w:hAnsi="Calibri" w:cs="Calibri"/>
                <w:color w:val="000000"/>
              </w:rPr>
              <w:t>.</w:t>
            </w:r>
          </w:p>
        </w:tc>
      </w:tr>
    </w:tbl>
    <w:p w:rsidR="0040305A" w:rsidRDefault="0040305A" w:rsidP="000537AD"/>
    <w:p w:rsidR="0040305A" w:rsidRDefault="0040305A" w:rsidP="000537AD">
      <w:pPr>
        <w:sectPr w:rsidR="0040305A" w:rsidSect="000537AD">
          <w:footerReference w:type="default" r:id="rId14"/>
          <w:pgSz w:w="16838" w:h="11906" w:orient="landscape"/>
          <w:pgMar w:top="1134" w:right="1134" w:bottom="1134" w:left="1134" w:header="708" w:footer="708" w:gutter="0"/>
          <w:cols w:space="708"/>
          <w:titlePg/>
          <w:docGrid w:linePitch="360"/>
        </w:sectPr>
      </w:pPr>
    </w:p>
    <w:p w:rsidR="003C6A91" w:rsidRPr="00DB79CC" w:rsidRDefault="00DB79CC" w:rsidP="00DB79CC">
      <w:pPr>
        <w:pStyle w:val="Heading2"/>
        <w:spacing w:after="120"/>
        <w:rPr>
          <w:rFonts w:asciiTheme="minorHAnsi" w:hAnsiTheme="minorHAnsi" w:cstheme="minorHAnsi"/>
          <w:sz w:val="28"/>
          <w:szCs w:val="28"/>
        </w:rPr>
      </w:pPr>
      <w:bookmarkStart w:id="13" w:name="_Toc433639348"/>
      <w:r w:rsidRPr="00DB79CC">
        <w:rPr>
          <w:rFonts w:asciiTheme="minorHAnsi" w:hAnsiTheme="minorHAnsi" w:cstheme="minorHAnsi"/>
          <w:sz w:val="28"/>
          <w:szCs w:val="28"/>
        </w:rPr>
        <w:lastRenderedPageBreak/>
        <w:t>Higher Education Reform and Support Cluster Evaluation Priorities</w:t>
      </w:r>
      <w:bookmarkEnd w:id="13"/>
    </w:p>
    <w:p w:rsidR="00DB79CC" w:rsidRPr="00DB79CC" w:rsidRDefault="00DB79CC" w:rsidP="00DB79CC">
      <w:pPr>
        <w:spacing w:after="120"/>
        <w:rPr>
          <w:rFonts w:asciiTheme="minorHAnsi" w:hAnsiTheme="minorHAnsi" w:cstheme="minorHAnsi"/>
          <w:i/>
          <w:iCs/>
          <w:color w:val="000000"/>
        </w:rPr>
      </w:pPr>
      <w:r w:rsidRPr="00DB79CC">
        <w:rPr>
          <w:rFonts w:asciiTheme="minorHAnsi" w:hAnsiTheme="minorHAnsi" w:cstheme="minorHAnsi"/>
          <w:b/>
          <w:bCs/>
          <w:color w:val="000000"/>
        </w:rPr>
        <w:t>Strategic plan goal 3: Excel through knowledge:</w:t>
      </w:r>
      <w:r w:rsidRPr="00DB79CC">
        <w:rPr>
          <w:rFonts w:asciiTheme="minorHAnsi" w:hAnsiTheme="minorHAnsi" w:cstheme="minorHAnsi"/>
          <w:i/>
          <w:iCs/>
          <w:color w:val="000000"/>
        </w:rPr>
        <w:t xml:space="preserve"> Enable the delivery of quality higher education, international education and research that contributes to Australia’s society and the global economy.</w:t>
      </w:r>
    </w:p>
    <w:p w:rsidR="00DB79CC" w:rsidRPr="00DB79CC" w:rsidRDefault="00DB79CC" w:rsidP="00DB79CC">
      <w:pPr>
        <w:spacing w:after="120"/>
        <w:rPr>
          <w:rFonts w:asciiTheme="minorHAnsi" w:hAnsiTheme="minorHAnsi" w:cstheme="minorHAnsi"/>
        </w:rPr>
      </w:pPr>
      <w:proofErr w:type="spellStart"/>
      <w:r w:rsidRPr="00DB79CC">
        <w:rPr>
          <w:rFonts w:asciiTheme="minorHAnsi" w:hAnsiTheme="minorHAnsi" w:cstheme="minorHAnsi"/>
          <w:b/>
          <w:color w:val="000000"/>
        </w:rPr>
        <w:t>PBS</w:t>
      </w:r>
      <w:proofErr w:type="spellEnd"/>
      <w:r w:rsidRPr="00DB79CC">
        <w:rPr>
          <w:rFonts w:asciiTheme="minorHAnsi" w:hAnsiTheme="minorHAnsi" w:cstheme="minorHAnsi"/>
          <w:b/>
          <w:color w:val="000000"/>
        </w:rPr>
        <w:t xml:space="preserve"> Outcome 2:</w:t>
      </w:r>
      <w:r w:rsidRPr="00DB79CC">
        <w:rPr>
          <w:rFonts w:asciiTheme="minorHAnsi" w:hAnsiTheme="minorHAnsi" w:cstheme="minorHAnsi"/>
          <w:color w:val="000000"/>
        </w:rPr>
        <w:t xml:space="preserve"> Promote growth in economic productivity and social wellbeing through access to quality higher education, international education, and international quality research, skills and training.</w:t>
      </w:r>
    </w:p>
    <w:tbl>
      <w:tblPr>
        <w:tblW w:w="4993"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Caption w:val="Higher Education Reform and Support Cluster Evaluation Priorities"/>
      </w:tblPr>
      <w:tblGrid>
        <w:gridCol w:w="1081"/>
        <w:gridCol w:w="1952"/>
        <w:gridCol w:w="1671"/>
        <w:gridCol w:w="2206"/>
        <w:gridCol w:w="1539"/>
        <w:gridCol w:w="6316"/>
      </w:tblGrid>
      <w:tr w:rsidR="00D86B38" w:rsidRPr="0063403F" w:rsidTr="00D86B38">
        <w:trPr>
          <w:trHeight w:val="1627"/>
        </w:trPr>
        <w:tc>
          <w:tcPr>
            <w:tcW w:w="366" w:type="pct"/>
            <w:shd w:val="clear" w:color="auto" w:fill="auto"/>
            <w:textDirection w:val="btLr"/>
            <w:vAlign w:val="center"/>
            <w:hideMark/>
          </w:tcPr>
          <w:p w:rsidR="00DB79CC" w:rsidRPr="002E5608" w:rsidRDefault="00DB79CC" w:rsidP="00766A87">
            <w:pPr>
              <w:rPr>
                <w:rFonts w:ascii="Calibri" w:hAnsi="Calibri" w:cs="Calibri"/>
                <w:b/>
                <w:bCs/>
                <w:i/>
                <w:iCs/>
                <w:color w:val="000000"/>
                <w:sz w:val="20"/>
                <w:szCs w:val="20"/>
              </w:rPr>
            </w:pPr>
            <w:r w:rsidRPr="002E5608">
              <w:rPr>
                <w:rFonts w:ascii="Calibri" w:hAnsi="Calibri" w:cs="Calibri"/>
                <w:b/>
                <w:bCs/>
                <w:i/>
                <w:iCs/>
                <w:color w:val="000000"/>
                <w:sz w:val="20"/>
                <w:szCs w:val="20"/>
              </w:rPr>
              <w:t>Priority (Green=high; Orange=medium)</w:t>
            </w:r>
          </w:p>
        </w:tc>
        <w:tc>
          <w:tcPr>
            <w:tcW w:w="661" w:type="pct"/>
            <w:shd w:val="clear" w:color="auto" w:fill="auto"/>
            <w:vAlign w:val="center"/>
            <w:hideMark/>
          </w:tcPr>
          <w:p w:rsidR="00DB79CC" w:rsidRPr="0063403F" w:rsidRDefault="00DB79CC" w:rsidP="00766A87">
            <w:pPr>
              <w:jc w:val="center"/>
              <w:rPr>
                <w:rFonts w:ascii="Calibri" w:hAnsi="Calibri" w:cs="Calibri"/>
                <w:b/>
                <w:bCs/>
                <w:i/>
                <w:iCs/>
                <w:color w:val="000000"/>
              </w:rPr>
            </w:pPr>
            <w:r w:rsidRPr="0063403F">
              <w:rPr>
                <w:rFonts w:ascii="Calibri" w:hAnsi="Calibri" w:cs="Calibri"/>
                <w:b/>
                <w:bCs/>
                <w:i/>
                <w:iCs/>
                <w:color w:val="000000"/>
              </w:rPr>
              <w:t>Evaluation task (subject)</w:t>
            </w:r>
          </w:p>
        </w:tc>
        <w:tc>
          <w:tcPr>
            <w:tcW w:w="566" w:type="pct"/>
            <w:shd w:val="clear" w:color="auto" w:fill="auto"/>
            <w:vAlign w:val="center"/>
            <w:hideMark/>
          </w:tcPr>
          <w:p w:rsidR="00DB79CC" w:rsidRPr="0063403F" w:rsidRDefault="00DB79CC" w:rsidP="00766A87">
            <w:pPr>
              <w:jc w:val="center"/>
              <w:rPr>
                <w:rFonts w:ascii="Calibri" w:hAnsi="Calibri" w:cs="Calibri"/>
                <w:b/>
                <w:bCs/>
                <w:i/>
                <w:iCs/>
                <w:color w:val="000000"/>
              </w:rPr>
            </w:pPr>
            <w:r w:rsidRPr="0063403F">
              <w:rPr>
                <w:rFonts w:ascii="Calibri" w:hAnsi="Calibri" w:cs="Calibri"/>
                <w:b/>
                <w:bCs/>
                <w:i/>
                <w:iCs/>
                <w:color w:val="000000"/>
              </w:rPr>
              <w:t>Authority</w:t>
            </w:r>
          </w:p>
        </w:tc>
        <w:tc>
          <w:tcPr>
            <w:tcW w:w="747" w:type="pct"/>
            <w:shd w:val="clear" w:color="auto" w:fill="auto"/>
            <w:vAlign w:val="center"/>
            <w:hideMark/>
          </w:tcPr>
          <w:p w:rsidR="00DB79CC" w:rsidRPr="0063403F" w:rsidRDefault="00DB79CC" w:rsidP="00766A87">
            <w:pPr>
              <w:jc w:val="center"/>
              <w:rPr>
                <w:rFonts w:ascii="Calibri" w:hAnsi="Calibri" w:cs="Calibri"/>
                <w:b/>
                <w:bCs/>
                <w:i/>
                <w:iCs/>
                <w:color w:val="000000"/>
              </w:rPr>
            </w:pPr>
            <w:r w:rsidRPr="0063403F">
              <w:rPr>
                <w:rFonts w:ascii="Calibri" w:hAnsi="Calibri" w:cs="Calibri"/>
                <w:b/>
                <w:bCs/>
                <w:i/>
                <w:iCs/>
                <w:color w:val="000000"/>
              </w:rPr>
              <w:t xml:space="preserve">Timeframe (commencement and completion deadline) Month and Year </w:t>
            </w:r>
            <w:proofErr w:type="spellStart"/>
            <w:r w:rsidRPr="0063403F">
              <w:rPr>
                <w:rFonts w:ascii="Calibri" w:hAnsi="Calibri" w:cs="Calibri"/>
                <w:b/>
                <w:bCs/>
                <w:i/>
                <w:iCs/>
                <w:color w:val="000000"/>
              </w:rPr>
              <w:t>eg</w:t>
            </w:r>
            <w:proofErr w:type="spellEnd"/>
            <w:r w:rsidRPr="0063403F">
              <w:rPr>
                <w:rFonts w:ascii="Calibri" w:hAnsi="Calibri" w:cs="Calibri"/>
                <w:b/>
                <w:bCs/>
                <w:i/>
                <w:iCs/>
                <w:color w:val="000000"/>
              </w:rPr>
              <w:t>. Feb 2015</w:t>
            </w:r>
          </w:p>
        </w:tc>
        <w:tc>
          <w:tcPr>
            <w:tcW w:w="521" w:type="pct"/>
            <w:shd w:val="clear" w:color="auto" w:fill="auto"/>
            <w:vAlign w:val="center"/>
            <w:hideMark/>
          </w:tcPr>
          <w:p w:rsidR="00DB79CC" w:rsidRPr="0063403F" w:rsidRDefault="00DB79CC" w:rsidP="00766A87">
            <w:pPr>
              <w:jc w:val="center"/>
              <w:rPr>
                <w:rFonts w:ascii="Calibri" w:hAnsi="Calibri" w:cs="Calibri"/>
                <w:b/>
                <w:bCs/>
                <w:i/>
                <w:iCs/>
                <w:color w:val="000000"/>
              </w:rPr>
            </w:pPr>
            <w:r w:rsidRPr="0063403F">
              <w:rPr>
                <w:rFonts w:ascii="Calibri" w:hAnsi="Calibri" w:cs="Calibri"/>
                <w:b/>
                <w:bCs/>
                <w:i/>
                <w:iCs/>
                <w:color w:val="000000"/>
              </w:rPr>
              <w:t>Type of evaluation</w:t>
            </w:r>
          </w:p>
        </w:tc>
        <w:tc>
          <w:tcPr>
            <w:tcW w:w="2139" w:type="pct"/>
            <w:shd w:val="clear" w:color="auto" w:fill="auto"/>
            <w:vAlign w:val="center"/>
            <w:hideMark/>
          </w:tcPr>
          <w:p w:rsidR="00DB79CC" w:rsidRPr="0063403F" w:rsidRDefault="00DB79CC" w:rsidP="00766A87">
            <w:pPr>
              <w:jc w:val="center"/>
              <w:rPr>
                <w:rFonts w:ascii="Calibri" w:hAnsi="Calibri" w:cs="Calibri"/>
                <w:b/>
                <w:bCs/>
                <w:i/>
                <w:iCs/>
                <w:color w:val="000000"/>
              </w:rPr>
            </w:pPr>
            <w:r w:rsidRPr="0063403F">
              <w:rPr>
                <w:rFonts w:ascii="Calibri" w:hAnsi="Calibri" w:cs="Calibri"/>
                <w:b/>
                <w:bCs/>
                <w:i/>
                <w:iCs/>
                <w:color w:val="000000"/>
              </w:rPr>
              <w:t>Description of evaluation (a short description of aims and work that will be undertaken, including any relevant governance arrangements and/or reporting requirements)</w:t>
            </w:r>
          </w:p>
        </w:tc>
      </w:tr>
      <w:tr w:rsidR="00D86B38" w:rsidRPr="0063403F" w:rsidTr="00D86B38">
        <w:trPr>
          <w:trHeight w:val="3098"/>
        </w:trPr>
        <w:tc>
          <w:tcPr>
            <w:tcW w:w="366" w:type="pct"/>
            <w:shd w:val="clear" w:color="000000" w:fill="C6EFCE"/>
            <w:noWrap/>
            <w:vAlign w:val="center"/>
            <w:hideMark/>
          </w:tcPr>
          <w:p w:rsidR="00DB79CC" w:rsidRPr="00A46E76" w:rsidRDefault="00DB79CC" w:rsidP="00766A87">
            <w:pPr>
              <w:rPr>
                <w:rFonts w:ascii="Calibri" w:hAnsi="Calibri" w:cs="Calibri"/>
                <w:color w:val="006100"/>
              </w:rPr>
            </w:pPr>
            <w:r w:rsidRPr="00A46E76">
              <w:rPr>
                <w:rFonts w:ascii="Calibri" w:hAnsi="Calibri" w:cs="Calibri"/>
                <w:bCs/>
              </w:rPr>
              <w:t>High</w:t>
            </w:r>
          </w:p>
        </w:tc>
        <w:tc>
          <w:tcPr>
            <w:tcW w:w="661" w:type="pct"/>
            <w:shd w:val="clear" w:color="auto" w:fill="auto"/>
            <w:vAlign w:val="center"/>
            <w:hideMark/>
          </w:tcPr>
          <w:p w:rsidR="00DB79CC" w:rsidRPr="0063403F" w:rsidRDefault="00DB79CC" w:rsidP="00766A87">
            <w:pPr>
              <w:rPr>
                <w:rFonts w:ascii="Calibri" w:hAnsi="Calibri" w:cs="Calibri"/>
                <w:color w:val="000000"/>
              </w:rPr>
            </w:pPr>
            <w:r w:rsidRPr="0063403F">
              <w:rPr>
                <w:rFonts w:ascii="Calibri" w:hAnsi="Calibri" w:cs="Calibri"/>
                <w:color w:val="000000"/>
              </w:rPr>
              <w:t>Evaluation of the International Student Strategy for Australia 2010-2014 (</w:t>
            </w:r>
            <w:proofErr w:type="spellStart"/>
            <w:r w:rsidRPr="0063403F">
              <w:rPr>
                <w:rFonts w:ascii="Calibri" w:hAnsi="Calibri" w:cs="Calibri"/>
                <w:color w:val="000000"/>
              </w:rPr>
              <w:t>ISSA</w:t>
            </w:r>
            <w:proofErr w:type="spellEnd"/>
            <w:r w:rsidRPr="0063403F">
              <w:rPr>
                <w:rFonts w:ascii="Calibri" w:hAnsi="Calibri" w:cs="Calibri"/>
                <w:color w:val="000000"/>
              </w:rPr>
              <w:t>)</w:t>
            </w:r>
          </w:p>
        </w:tc>
        <w:tc>
          <w:tcPr>
            <w:tcW w:w="566" w:type="pct"/>
            <w:shd w:val="clear" w:color="auto" w:fill="auto"/>
            <w:vAlign w:val="center"/>
            <w:hideMark/>
          </w:tcPr>
          <w:p w:rsidR="00DB79CC" w:rsidRPr="0063403F" w:rsidRDefault="00DB79CC" w:rsidP="00766A87">
            <w:pPr>
              <w:rPr>
                <w:rFonts w:ascii="Calibri" w:hAnsi="Calibri" w:cs="Calibri"/>
                <w:color w:val="000000"/>
              </w:rPr>
            </w:pPr>
            <w:r w:rsidRPr="0063403F">
              <w:rPr>
                <w:rFonts w:ascii="Calibri" w:hAnsi="Calibri" w:cs="Calibri"/>
                <w:color w:val="000000"/>
              </w:rPr>
              <w:t>Departmental decision</w:t>
            </w:r>
          </w:p>
        </w:tc>
        <w:tc>
          <w:tcPr>
            <w:tcW w:w="747" w:type="pct"/>
            <w:shd w:val="clear" w:color="auto" w:fill="auto"/>
            <w:vAlign w:val="center"/>
            <w:hideMark/>
          </w:tcPr>
          <w:p w:rsidR="00DB79CC" w:rsidRPr="0063403F" w:rsidRDefault="00DB79CC" w:rsidP="00766A87">
            <w:pPr>
              <w:rPr>
                <w:rFonts w:ascii="Calibri" w:hAnsi="Calibri" w:cs="Calibri"/>
                <w:color w:val="000000"/>
              </w:rPr>
            </w:pPr>
            <w:r w:rsidRPr="0063403F">
              <w:rPr>
                <w:rFonts w:ascii="Calibri" w:hAnsi="Calibri" w:cs="Calibri"/>
                <w:color w:val="000000"/>
              </w:rPr>
              <w:t>Commencing in 2015</w:t>
            </w:r>
          </w:p>
        </w:tc>
        <w:tc>
          <w:tcPr>
            <w:tcW w:w="521" w:type="pct"/>
            <w:shd w:val="clear" w:color="auto" w:fill="auto"/>
            <w:vAlign w:val="center"/>
            <w:hideMark/>
          </w:tcPr>
          <w:p w:rsidR="00DB79CC" w:rsidRPr="0063403F" w:rsidRDefault="00DB79CC" w:rsidP="00766A87">
            <w:pPr>
              <w:rPr>
                <w:rFonts w:ascii="Calibri" w:hAnsi="Calibri" w:cs="Calibri"/>
                <w:color w:val="000000"/>
              </w:rPr>
            </w:pPr>
            <w:r w:rsidRPr="0063403F">
              <w:rPr>
                <w:rFonts w:ascii="Calibri" w:hAnsi="Calibri" w:cs="Calibri"/>
                <w:color w:val="000000"/>
              </w:rPr>
              <w:t>Policy Evaluation</w:t>
            </w:r>
          </w:p>
        </w:tc>
        <w:tc>
          <w:tcPr>
            <w:tcW w:w="2139" w:type="pct"/>
            <w:shd w:val="clear" w:color="auto" w:fill="auto"/>
            <w:vAlign w:val="center"/>
            <w:hideMark/>
          </w:tcPr>
          <w:p w:rsidR="00DB79CC" w:rsidRPr="0063403F" w:rsidRDefault="00DB79CC" w:rsidP="002A526D">
            <w:pPr>
              <w:rPr>
                <w:rFonts w:ascii="Calibri" w:hAnsi="Calibri" w:cs="Calibri"/>
                <w:color w:val="000000"/>
              </w:rPr>
            </w:pPr>
            <w:r w:rsidRPr="0063403F">
              <w:rPr>
                <w:rFonts w:ascii="Calibri" w:hAnsi="Calibri" w:cs="Calibri"/>
                <w:color w:val="000000"/>
              </w:rPr>
              <w:t xml:space="preserve">The International Students Strategy for Australia 2010-2014 was developed collaboratively by Commonwealth, State and Territory governments through </w:t>
            </w:r>
            <w:proofErr w:type="spellStart"/>
            <w:r w:rsidRPr="0063403F">
              <w:rPr>
                <w:rFonts w:ascii="Calibri" w:hAnsi="Calibri" w:cs="Calibri"/>
                <w:color w:val="000000"/>
              </w:rPr>
              <w:t>COAG</w:t>
            </w:r>
            <w:proofErr w:type="spellEnd"/>
            <w:r>
              <w:rPr>
                <w:rFonts w:ascii="Calibri" w:hAnsi="Calibri" w:cs="Calibri"/>
                <w:color w:val="000000"/>
              </w:rPr>
              <w:t>.</w:t>
            </w:r>
            <w:r w:rsidRPr="0063403F">
              <w:rPr>
                <w:rFonts w:ascii="Calibri" w:hAnsi="Calibri" w:cs="Calibri"/>
                <w:color w:val="000000"/>
              </w:rPr>
              <w:t xml:space="preserve"> The strategy support</w:t>
            </w:r>
            <w:r>
              <w:rPr>
                <w:rFonts w:ascii="Calibri" w:hAnsi="Calibri" w:cs="Calibri"/>
                <w:color w:val="000000"/>
              </w:rPr>
              <w:t>s</w:t>
            </w:r>
            <w:r w:rsidRPr="0063403F">
              <w:rPr>
                <w:rFonts w:ascii="Calibri" w:hAnsi="Calibri" w:cs="Calibri"/>
                <w:color w:val="000000"/>
              </w:rPr>
              <w:t xml:space="preserve"> high-quality experience</w:t>
            </w:r>
            <w:r>
              <w:rPr>
                <w:rFonts w:ascii="Calibri" w:hAnsi="Calibri" w:cs="Calibri"/>
                <w:color w:val="000000"/>
              </w:rPr>
              <w:t>s</w:t>
            </w:r>
            <w:r w:rsidRPr="0063403F">
              <w:rPr>
                <w:rFonts w:ascii="Calibri" w:hAnsi="Calibri" w:cs="Calibri"/>
                <w:color w:val="000000"/>
              </w:rPr>
              <w:t xml:space="preserve"> for international students, to ensure a sustainable future for quality international education in Australia. The outcome of a formal evaluation w</w:t>
            </w:r>
            <w:r>
              <w:rPr>
                <w:rFonts w:ascii="Calibri" w:hAnsi="Calibri" w:cs="Calibri"/>
                <w:color w:val="000000"/>
              </w:rPr>
              <w:t>ill</w:t>
            </w:r>
            <w:r w:rsidRPr="0063403F">
              <w:rPr>
                <w:rFonts w:ascii="Calibri" w:hAnsi="Calibri" w:cs="Calibri"/>
                <w:color w:val="000000"/>
              </w:rPr>
              <w:t xml:space="preserve"> inform the finalisation and implementation of the National Strategy for International Education</w:t>
            </w:r>
            <w:r>
              <w:rPr>
                <w:rFonts w:ascii="Calibri" w:hAnsi="Calibri" w:cs="Calibri"/>
                <w:color w:val="000000"/>
              </w:rPr>
              <w:t xml:space="preserve">, </w:t>
            </w:r>
            <w:r w:rsidRPr="0063403F">
              <w:rPr>
                <w:rFonts w:ascii="Calibri" w:hAnsi="Calibri" w:cs="Calibri"/>
                <w:color w:val="000000"/>
              </w:rPr>
              <w:t>which will soon be released for consultation with the sector.</w:t>
            </w:r>
          </w:p>
        </w:tc>
      </w:tr>
      <w:tr w:rsidR="00D86B38" w:rsidRPr="0063403F" w:rsidTr="00D86B38">
        <w:trPr>
          <w:trHeight w:val="1547"/>
        </w:trPr>
        <w:tc>
          <w:tcPr>
            <w:tcW w:w="366" w:type="pct"/>
            <w:shd w:val="clear" w:color="000000" w:fill="C6EFCE"/>
            <w:noWrap/>
            <w:vAlign w:val="center"/>
            <w:hideMark/>
          </w:tcPr>
          <w:p w:rsidR="00DB79CC" w:rsidRPr="00A46E76" w:rsidRDefault="00DB79CC" w:rsidP="00766A87">
            <w:pPr>
              <w:rPr>
                <w:rFonts w:ascii="Calibri" w:hAnsi="Calibri" w:cs="Calibri"/>
                <w:color w:val="006100"/>
              </w:rPr>
            </w:pPr>
            <w:r w:rsidRPr="00A46E76">
              <w:rPr>
                <w:rFonts w:ascii="Calibri" w:hAnsi="Calibri" w:cs="Calibri"/>
                <w:bCs/>
              </w:rPr>
              <w:t>High</w:t>
            </w:r>
          </w:p>
        </w:tc>
        <w:tc>
          <w:tcPr>
            <w:tcW w:w="661" w:type="pct"/>
            <w:shd w:val="clear" w:color="auto" w:fill="auto"/>
            <w:vAlign w:val="center"/>
            <w:hideMark/>
          </w:tcPr>
          <w:p w:rsidR="00DB79CC" w:rsidRPr="0063403F" w:rsidRDefault="00DB79CC" w:rsidP="00766A87">
            <w:pPr>
              <w:rPr>
                <w:rFonts w:ascii="Calibri" w:hAnsi="Calibri" w:cs="Calibri"/>
                <w:color w:val="000000"/>
              </w:rPr>
            </w:pPr>
            <w:r w:rsidRPr="0063403F">
              <w:rPr>
                <w:rFonts w:ascii="Calibri" w:hAnsi="Calibri" w:cs="Calibri"/>
                <w:color w:val="000000"/>
              </w:rPr>
              <w:t xml:space="preserve">National Collaborative Research Infrastructure Strategy </w:t>
            </w:r>
            <w:r>
              <w:rPr>
                <w:rFonts w:ascii="Calibri" w:hAnsi="Calibri" w:cs="Calibri"/>
                <w:color w:val="000000"/>
              </w:rPr>
              <w:t>(</w:t>
            </w:r>
            <w:proofErr w:type="spellStart"/>
            <w:r>
              <w:rPr>
                <w:rFonts w:ascii="Calibri" w:hAnsi="Calibri" w:cs="Calibri"/>
                <w:color w:val="000000"/>
              </w:rPr>
              <w:t>NCRIS</w:t>
            </w:r>
            <w:proofErr w:type="spellEnd"/>
            <w:r>
              <w:rPr>
                <w:rFonts w:ascii="Calibri" w:hAnsi="Calibri" w:cs="Calibri"/>
                <w:color w:val="000000"/>
              </w:rPr>
              <w:t xml:space="preserve">) </w:t>
            </w:r>
            <w:r w:rsidRPr="0063403F">
              <w:rPr>
                <w:rFonts w:ascii="Calibri" w:hAnsi="Calibri" w:cs="Calibri"/>
                <w:color w:val="000000"/>
              </w:rPr>
              <w:t>Efficiency Review</w:t>
            </w:r>
          </w:p>
        </w:tc>
        <w:tc>
          <w:tcPr>
            <w:tcW w:w="566" w:type="pct"/>
            <w:shd w:val="clear" w:color="auto" w:fill="auto"/>
            <w:vAlign w:val="center"/>
            <w:hideMark/>
          </w:tcPr>
          <w:p w:rsidR="00DB79CC" w:rsidRPr="0063403F" w:rsidRDefault="00DB79CC" w:rsidP="00766A87">
            <w:pPr>
              <w:rPr>
                <w:rFonts w:ascii="Calibri" w:hAnsi="Calibri" w:cs="Calibri"/>
                <w:color w:val="000000"/>
              </w:rPr>
            </w:pPr>
            <w:r w:rsidRPr="0063403F">
              <w:rPr>
                <w:rFonts w:ascii="Calibri" w:hAnsi="Calibri" w:cs="Calibri"/>
                <w:color w:val="000000"/>
              </w:rPr>
              <w:t>Government decision</w:t>
            </w:r>
          </w:p>
        </w:tc>
        <w:tc>
          <w:tcPr>
            <w:tcW w:w="747" w:type="pct"/>
            <w:shd w:val="clear" w:color="auto" w:fill="auto"/>
            <w:vAlign w:val="center"/>
            <w:hideMark/>
          </w:tcPr>
          <w:p w:rsidR="00DB79CC" w:rsidRPr="0063403F" w:rsidRDefault="00DB79CC" w:rsidP="00766A87">
            <w:pPr>
              <w:rPr>
                <w:rFonts w:ascii="Calibri" w:hAnsi="Calibri" w:cs="Calibri"/>
                <w:color w:val="000000"/>
              </w:rPr>
            </w:pPr>
            <w:r>
              <w:rPr>
                <w:rFonts w:ascii="Calibri" w:hAnsi="Calibri" w:cs="Calibri"/>
                <w:color w:val="000000"/>
              </w:rPr>
              <w:t>Finishing</w:t>
            </w:r>
            <w:r w:rsidRPr="0063403F">
              <w:rPr>
                <w:rFonts w:ascii="Calibri" w:hAnsi="Calibri" w:cs="Calibri"/>
                <w:color w:val="000000"/>
              </w:rPr>
              <w:t xml:space="preserve"> in 2015</w:t>
            </w:r>
          </w:p>
        </w:tc>
        <w:tc>
          <w:tcPr>
            <w:tcW w:w="521" w:type="pct"/>
            <w:shd w:val="clear" w:color="auto" w:fill="auto"/>
            <w:vAlign w:val="center"/>
            <w:hideMark/>
          </w:tcPr>
          <w:p w:rsidR="00DB79CC" w:rsidRPr="0063403F" w:rsidRDefault="00DB79CC" w:rsidP="00766A87">
            <w:pPr>
              <w:rPr>
                <w:rFonts w:ascii="Calibri" w:hAnsi="Calibri" w:cs="Calibri"/>
                <w:color w:val="000000"/>
              </w:rPr>
            </w:pPr>
            <w:r>
              <w:rPr>
                <w:rFonts w:ascii="Calibri" w:hAnsi="Calibri" w:cs="Calibri"/>
                <w:color w:val="000000"/>
              </w:rPr>
              <w:t>Programme</w:t>
            </w:r>
            <w:r w:rsidRPr="0063403F">
              <w:rPr>
                <w:rFonts w:ascii="Calibri" w:hAnsi="Calibri" w:cs="Calibri"/>
                <w:color w:val="000000"/>
              </w:rPr>
              <w:t xml:space="preserve"> Evaluation</w:t>
            </w:r>
          </w:p>
        </w:tc>
        <w:tc>
          <w:tcPr>
            <w:tcW w:w="2139" w:type="pct"/>
            <w:shd w:val="clear" w:color="auto" w:fill="auto"/>
            <w:vAlign w:val="center"/>
            <w:hideMark/>
          </w:tcPr>
          <w:p w:rsidR="00DB79CC" w:rsidRPr="0063403F" w:rsidRDefault="00DB79CC" w:rsidP="00766A87">
            <w:pPr>
              <w:rPr>
                <w:rFonts w:ascii="Calibri" w:hAnsi="Calibri" w:cs="Calibri"/>
                <w:color w:val="000000"/>
              </w:rPr>
            </w:pPr>
            <w:r w:rsidRPr="0063403F">
              <w:rPr>
                <w:rFonts w:ascii="Calibri" w:hAnsi="Calibri" w:cs="Calibri"/>
                <w:color w:val="000000"/>
              </w:rPr>
              <w:t xml:space="preserve">Following call for proposals, KPMG have been engaged to undertake the review. The review will look at how efficiently existing </w:t>
            </w:r>
            <w:proofErr w:type="spellStart"/>
            <w:r w:rsidRPr="0063403F">
              <w:rPr>
                <w:rFonts w:ascii="Calibri" w:hAnsi="Calibri" w:cs="Calibri"/>
                <w:color w:val="000000"/>
              </w:rPr>
              <w:t>NCRIS</w:t>
            </w:r>
            <w:proofErr w:type="spellEnd"/>
            <w:r w:rsidRPr="0063403F">
              <w:rPr>
                <w:rFonts w:ascii="Calibri" w:hAnsi="Calibri" w:cs="Calibri"/>
                <w:color w:val="000000"/>
              </w:rPr>
              <w:t xml:space="preserve"> projects are being administered in respect of financial, governance and service delivery arrangements. The review will in</w:t>
            </w:r>
            <w:r>
              <w:rPr>
                <w:rFonts w:ascii="Calibri" w:hAnsi="Calibri" w:cs="Calibri"/>
                <w:color w:val="000000"/>
              </w:rPr>
              <w:t xml:space="preserve">form the </w:t>
            </w:r>
            <w:r w:rsidRPr="0063403F">
              <w:rPr>
                <w:rFonts w:ascii="Calibri" w:hAnsi="Calibri" w:cs="Calibri"/>
                <w:color w:val="000000"/>
              </w:rPr>
              <w:t>Review of Research Infrastructure.</w:t>
            </w:r>
          </w:p>
        </w:tc>
      </w:tr>
      <w:tr w:rsidR="00D86B38" w:rsidRPr="0063403F" w:rsidTr="00D86B38">
        <w:trPr>
          <w:trHeight w:val="1475"/>
        </w:trPr>
        <w:tc>
          <w:tcPr>
            <w:tcW w:w="366" w:type="pct"/>
            <w:shd w:val="clear" w:color="000000" w:fill="FFCC99"/>
            <w:noWrap/>
            <w:vAlign w:val="center"/>
            <w:hideMark/>
          </w:tcPr>
          <w:p w:rsidR="00DB79CC" w:rsidRPr="00A46E76" w:rsidRDefault="00DB79CC" w:rsidP="00766A87">
            <w:pPr>
              <w:rPr>
                <w:rFonts w:ascii="Calibri" w:hAnsi="Calibri" w:cs="Calibri"/>
                <w:color w:val="3F3F76"/>
              </w:rPr>
            </w:pPr>
            <w:r w:rsidRPr="00A46E76">
              <w:rPr>
                <w:rFonts w:ascii="Calibri" w:hAnsi="Calibri" w:cs="Calibri"/>
              </w:rPr>
              <w:lastRenderedPageBreak/>
              <w:t>Medium</w:t>
            </w:r>
          </w:p>
        </w:tc>
        <w:tc>
          <w:tcPr>
            <w:tcW w:w="661" w:type="pct"/>
            <w:shd w:val="clear" w:color="auto" w:fill="auto"/>
            <w:vAlign w:val="center"/>
            <w:hideMark/>
          </w:tcPr>
          <w:p w:rsidR="00DB79CC" w:rsidRPr="0063403F" w:rsidRDefault="00DB79CC" w:rsidP="00766A87">
            <w:pPr>
              <w:rPr>
                <w:rFonts w:ascii="Calibri" w:hAnsi="Calibri" w:cs="Calibri"/>
                <w:color w:val="000000"/>
              </w:rPr>
            </w:pPr>
            <w:r w:rsidRPr="0063403F">
              <w:rPr>
                <w:rFonts w:ascii="Calibri" w:hAnsi="Calibri" w:cs="Calibri"/>
                <w:color w:val="000000"/>
              </w:rPr>
              <w:t>Higher Education infrastructure</w:t>
            </w:r>
            <w:r>
              <w:rPr>
                <w:rFonts w:ascii="Calibri" w:hAnsi="Calibri" w:cs="Calibri"/>
                <w:color w:val="000000"/>
              </w:rPr>
              <w:t xml:space="preserve"> working group</w:t>
            </w:r>
          </w:p>
        </w:tc>
        <w:tc>
          <w:tcPr>
            <w:tcW w:w="566" w:type="pct"/>
            <w:shd w:val="clear" w:color="auto" w:fill="auto"/>
            <w:vAlign w:val="center"/>
            <w:hideMark/>
          </w:tcPr>
          <w:p w:rsidR="00DB79CC" w:rsidRPr="0063403F" w:rsidRDefault="00DB79CC" w:rsidP="00766A87">
            <w:pPr>
              <w:rPr>
                <w:rFonts w:ascii="Calibri" w:hAnsi="Calibri" w:cs="Calibri"/>
                <w:color w:val="000000"/>
              </w:rPr>
            </w:pPr>
            <w:r w:rsidRPr="0063403F">
              <w:rPr>
                <w:rFonts w:ascii="Calibri" w:hAnsi="Calibri" w:cs="Calibri"/>
                <w:color w:val="000000"/>
              </w:rPr>
              <w:t>Budget measure</w:t>
            </w:r>
          </w:p>
        </w:tc>
        <w:tc>
          <w:tcPr>
            <w:tcW w:w="747" w:type="pct"/>
            <w:shd w:val="clear" w:color="auto" w:fill="auto"/>
            <w:vAlign w:val="center"/>
            <w:hideMark/>
          </w:tcPr>
          <w:p w:rsidR="00DB79CC" w:rsidRPr="0063403F" w:rsidRDefault="00DB79CC" w:rsidP="00766A87">
            <w:pPr>
              <w:rPr>
                <w:rFonts w:ascii="Calibri" w:hAnsi="Calibri" w:cs="Calibri"/>
                <w:color w:val="000000"/>
              </w:rPr>
            </w:pPr>
            <w:r w:rsidRPr="0063403F">
              <w:rPr>
                <w:rFonts w:ascii="Calibri" w:hAnsi="Calibri" w:cs="Calibri"/>
                <w:color w:val="000000"/>
              </w:rPr>
              <w:t>August 2015</w:t>
            </w:r>
          </w:p>
        </w:tc>
        <w:tc>
          <w:tcPr>
            <w:tcW w:w="521" w:type="pct"/>
            <w:shd w:val="clear" w:color="auto" w:fill="auto"/>
            <w:vAlign w:val="center"/>
            <w:hideMark/>
          </w:tcPr>
          <w:p w:rsidR="00DB79CC" w:rsidRPr="0063403F" w:rsidRDefault="00DB79CC" w:rsidP="00766A87">
            <w:pPr>
              <w:rPr>
                <w:rFonts w:ascii="Calibri" w:hAnsi="Calibri" w:cs="Calibri"/>
                <w:color w:val="000000"/>
              </w:rPr>
            </w:pPr>
            <w:r w:rsidRPr="0063403F">
              <w:rPr>
                <w:rFonts w:ascii="Calibri" w:hAnsi="Calibri" w:cs="Calibri"/>
                <w:color w:val="000000"/>
              </w:rPr>
              <w:t>Formative Evaluation</w:t>
            </w:r>
          </w:p>
        </w:tc>
        <w:tc>
          <w:tcPr>
            <w:tcW w:w="2139" w:type="pct"/>
            <w:shd w:val="clear" w:color="auto" w:fill="auto"/>
            <w:vAlign w:val="center"/>
            <w:hideMark/>
          </w:tcPr>
          <w:p w:rsidR="00DB79CC" w:rsidRPr="0063403F" w:rsidRDefault="00DB79CC" w:rsidP="00766A87">
            <w:pPr>
              <w:rPr>
                <w:rFonts w:ascii="Calibri" w:hAnsi="Calibri" w:cs="Calibri"/>
                <w:color w:val="000000"/>
              </w:rPr>
            </w:pPr>
            <w:r>
              <w:rPr>
                <w:rFonts w:ascii="Calibri" w:hAnsi="Calibri" w:cs="Calibri"/>
                <w:color w:val="000000"/>
              </w:rPr>
              <w:t>T</w:t>
            </w:r>
            <w:r w:rsidRPr="0063403F">
              <w:rPr>
                <w:rFonts w:ascii="Calibri" w:hAnsi="Calibri" w:cs="Calibri"/>
                <w:color w:val="000000"/>
              </w:rPr>
              <w:t>he Minister established the Higher Education Infrastructure Working Group on 13 May 2014</w:t>
            </w:r>
            <w:r>
              <w:rPr>
                <w:rFonts w:ascii="Calibri" w:hAnsi="Calibri" w:cs="Calibri"/>
                <w:color w:val="000000"/>
              </w:rPr>
              <w:t xml:space="preserve"> to </w:t>
            </w:r>
            <w:r w:rsidRPr="0063403F">
              <w:rPr>
                <w:rFonts w:ascii="Calibri" w:hAnsi="Calibri" w:cs="Calibri"/>
                <w:color w:val="000000"/>
              </w:rPr>
              <w:t>provide an overview of existing arrangements</w:t>
            </w:r>
            <w:r>
              <w:rPr>
                <w:rFonts w:ascii="Calibri" w:hAnsi="Calibri" w:cs="Calibri"/>
                <w:color w:val="000000"/>
              </w:rPr>
              <w:t xml:space="preserve"> and </w:t>
            </w:r>
            <w:r w:rsidRPr="0063403F">
              <w:rPr>
                <w:rFonts w:ascii="Calibri" w:hAnsi="Calibri" w:cs="Calibri"/>
                <w:color w:val="000000"/>
              </w:rPr>
              <w:t>identify the capacity for universities to continue to support infrastructure investments and innovative arrangements</w:t>
            </w:r>
            <w:r>
              <w:rPr>
                <w:rFonts w:ascii="Calibri" w:hAnsi="Calibri" w:cs="Calibri"/>
                <w:color w:val="000000"/>
              </w:rPr>
              <w:t>.</w:t>
            </w:r>
          </w:p>
        </w:tc>
      </w:tr>
      <w:tr w:rsidR="00D86B38" w:rsidRPr="0063403F" w:rsidTr="00D86B38">
        <w:trPr>
          <w:trHeight w:val="988"/>
        </w:trPr>
        <w:tc>
          <w:tcPr>
            <w:tcW w:w="366" w:type="pct"/>
            <w:shd w:val="clear" w:color="000000" w:fill="FFCC99"/>
            <w:noWrap/>
            <w:vAlign w:val="center"/>
            <w:hideMark/>
          </w:tcPr>
          <w:p w:rsidR="00DB79CC" w:rsidRPr="00A46E76" w:rsidRDefault="00DB79CC" w:rsidP="00766A87">
            <w:pPr>
              <w:rPr>
                <w:rFonts w:ascii="Calibri" w:hAnsi="Calibri" w:cs="Calibri"/>
                <w:color w:val="3F3F76"/>
              </w:rPr>
            </w:pPr>
            <w:r w:rsidRPr="00A46E76">
              <w:rPr>
                <w:rFonts w:ascii="Calibri" w:hAnsi="Calibri" w:cs="Calibri"/>
              </w:rPr>
              <w:t>Medium</w:t>
            </w:r>
          </w:p>
        </w:tc>
        <w:tc>
          <w:tcPr>
            <w:tcW w:w="661" w:type="pct"/>
            <w:shd w:val="clear" w:color="auto" w:fill="auto"/>
            <w:vAlign w:val="center"/>
            <w:hideMark/>
          </w:tcPr>
          <w:p w:rsidR="00DB79CC" w:rsidRPr="0063403F" w:rsidRDefault="00DB79CC" w:rsidP="00766A87">
            <w:pPr>
              <w:rPr>
                <w:rFonts w:ascii="Calibri" w:hAnsi="Calibri" w:cs="Calibri"/>
                <w:color w:val="000000"/>
              </w:rPr>
            </w:pPr>
            <w:r w:rsidRPr="0063403F">
              <w:rPr>
                <w:rFonts w:ascii="Calibri" w:hAnsi="Calibri" w:cs="Calibri"/>
                <w:color w:val="000000"/>
              </w:rPr>
              <w:t>Review of research infrastructure</w:t>
            </w:r>
          </w:p>
        </w:tc>
        <w:tc>
          <w:tcPr>
            <w:tcW w:w="566" w:type="pct"/>
            <w:shd w:val="clear" w:color="auto" w:fill="auto"/>
            <w:vAlign w:val="center"/>
            <w:hideMark/>
          </w:tcPr>
          <w:p w:rsidR="00DB79CC" w:rsidRPr="0063403F" w:rsidRDefault="00DB79CC" w:rsidP="00766A87">
            <w:pPr>
              <w:rPr>
                <w:rFonts w:ascii="Calibri" w:hAnsi="Calibri" w:cs="Calibri"/>
                <w:color w:val="000000"/>
              </w:rPr>
            </w:pPr>
            <w:r w:rsidRPr="0063403F">
              <w:rPr>
                <w:rFonts w:ascii="Calibri" w:hAnsi="Calibri" w:cs="Calibri"/>
                <w:color w:val="000000"/>
              </w:rPr>
              <w:t>Budget measure</w:t>
            </w:r>
          </w:p>
        </w:tc>
        <w:tc>
          <w:tcPr>
            <w:tcW w:w="747" w:type="pct"/>
            <w:shd w:val="clear" w:color="auto" w:fill="auto"/>
            <w:vAlign w:val="center"/>
            <w:hideMark/>
          </w:tcPr>
          <w:p w:rsidR="00DB79CC" w:rsidRPr="0063403F" w:rsidRDefault="00DB79CC" w:rsidP="00766A87">
            <w:pPr>
              <w:rPr>
                <w:rFonts w:ascii="Calibri" w:hAnsi="Calibri" w:cs="Calibri"/>
                <w:color w:val="000000"/>
              </w:rPr>
            </w:pPr>
            <w:r w:rsidRPr="0063403F">
              <w:rPr>
                <w:rFonts w:ascii="Calibri" w:hAnsi="Calibri" w:cs="Calibri"/>
                <w:color w:val="000000"/>
              </w:rPr>
              <w:t>May 2015</w:t>
            </w:r>
          </w:p>
        </w:tc>
        <w:tc>
          <w:tcPr>
            <w:tcW w:w="521" w:type="pct"/>
            <w:shd w:val="clear" w:color="auto" w:fill="auto"/>
            <w:vAlign w:val="center"/>
            <w:hideMark/>
          </w:tcPr>
          <w:p w:rsidR="00DB79CC" w:rsidRPr="0063403F" w:rsidRDefault="00DB79CC" w:rsidP="00766A87">
            <w:pPr>
              <w:rPr>
                <w:rFonts w:ascii="Calibri" w:hAnsi="Calibri" w:cs="Calibri"/>
                <w:color w:val="000000"/>
              </w:rPr>
            </w:pPr>
            <w:r>
              <w:rPr>
                <w:rFonts w:ascii="Calibri" w:hAnsi="Calibri" w:cs="Calibri"/>
                <w:color w:val="000000"/>
              </w:rPr>
              <w:t>Programme</w:t>
            </w:r>
            <w:r w:rsidRPr="0063403F">
              <w:rPr>
                <w:rFonts w:ascii="Calibri" w:hAnsi="Calibri" w:cs="Calibri"/>
                <w:color w:val="000000"/>
              </w:rPr>
              <w:t xml:space="preserve"> Evaluation</w:t>
            </w:r>
          </w:p>
        </w:tc>
        <w:tc>
          <w:tcPr>
            <w:tcW w:w="2139" w:type="pct"/>
            <w:shd w:val="clear" w:color="auto" w:fill="auto"/>
            <w:vAlign w:val="center"/>
            <w:hideMark/>
          </w:tcPr>
          <w:p w:rsidR="00DB79CC" w:rsidRPr="0063403F" w:rsidRDefault="00DB79CC" w:rsidP="00766A87">
            <w:pPr>
              <w:rPr>
                <w:rFonts w:ascii="Calibri" w:hAnsi="Calibri" w:cs="Calibri"/>
                <w:color w:val="000000"/>
              </w:rPr>
            </w:pPr>
            <w:r w:rsidRPr="0063403F">
              <w:rPr>
                <w:rFonts w:ascii="Calibri" w:hAnsi="Calibri" w:cs="Calibri"/>
                <w:color w:val="000000"/>
              </w:rPr>
              <w:t xml:space="preserve">As a result of the second extension of </w:t>
            </w:r>
            <w:proofErr w:type="spellStart"/>
            <w:r w:rsidRPr="0063403F">
              <w:rPr>
                <w:rFonts w:ascii="Calibri" w:hAnsi="Calibri" w:cs="Calibri"/>
                <w:color w:val="000000"/>
              </w:rPr>
              <w:t>NCRIS</w:t>
            </w:r>
            <w:proofErr w:type="spellEnd"/>
            <w:r w:rsidRPr="0063403F">
              <w:rPr>
                <w:rFonts w:ascii="Calibri" w:hAnsi="Calibri" w:cs="Calibri"/>
                <w:color w:val="000000"/>
              </w:rPr>
              <w:t xml:space="preserve"> funding in the 2014 Budget, the department has been tasked with </w:t>
            </w:r>
            <w:r>
              <w:rPr>
                <w:rFonts w:ascii="Calibri" w:hAnsi="Calibri" w:cs="Calibri"/>
                <w:color w:val="000000"/>
              </w:rPr>
              <w:t xml:space="preserve">reviewing </w:t>
            </w:r>
            <w:r w:rsidRPr="0063403F">
              <w:rPr>
                <w:rFonts w:ascii="Calibri" w:hAnsi="Calibri" w:cs="Calibri"/>
                <w:color w:val="000000"/>
              </w:rPr>
              <w:t>Commonwealth funded research infrastructure</w:t>
            </w:r>
            <w:r>
              <w:rPr>
                <w:rFonts w:ascii="Calibri" w:hAnsi="Calibri" w:cs="Calibri"/>
                <w:color w:val="000000"/>
              </w:rPr>
              <w:t>.</w:t>
            </w:r>
          </w:p>
        </w:tc>
      </w:tr>
      <w:tr w:rsidR="00D86B38" w:rsidRPr="0063403F" w:rsidTr="00D86B38">
        <w:trPr>
          <w:trHeight w:val="962"/>
        </w:trPr>
        <w:tc>
          <w:tcPr>
            <w:tcW w:w="366" w:type="pct"/>
            <w:shd w:val="clear" w:color="000000" w:fill="FFCC99"/>
            <w:noWrap/>
            <w:vAlign w:val="center"/>
          </w:tcPr>
          <w:p w:rsidR="00DB79CC" w:rsidRPr="00A46E76" w:rsidRDefault="00DB79CC" w:rsidP="00766A87">
            <w:pPr>
              <w:rPr>
                <w:rFonts w:ascii="Calibri" w:hAnsi="Calibri" w:cs="Calibri"/>
                <w:color w:val="3F3F76"/>
              </w:rPr>
            </w:pPr>
            <w:r w:rsidRPr="00A46E76">
              <w:rPr>
                <w:rFonts w:ascii="Calibri" w:hAnsi="Calibri" w:cs="Calibri"/>
              </w:rPr>
              <w:t>Medium</w:t>
            </w:r>
          </w:p>
        </w:tc>
        <w:tc>
          <w:tcPr>
            <w:tcW w:w="661" w:type="pct"/>
            <w:shd w:val="clear" w:color="auto" w:fill="auto"/>
            <w:vAlign w:val="center"/>
          </w:tcPr>
          <w:p w:rsidR="00DB79CC" w:rsidRPr="0063403F" w:rsidRDefault="00DB79CC" w:rsidP="00766A87">
            <w:pPr>
              <w:rPr>
                <w:rFonts w:ascii="Calibri" w:hAnsi="Calibri" w:cs="Calibri"/>
                <w:color w:val="000000"/>
              </w:rPr>
            </w:pPr>
            <w:r>
              <w:rPr>
                <w:rFonts w:ascii="Calibri" w:hAnsi="Calibri" w:cs="Calibri"/>
                <w:color w:val="000000"/>
              </w:rPr>
              <w:t>Review of Endeavour Programme</w:t>
            </w:r>
          </w:p>
        </w:tc>
        <w:tc>
          <w:tcPr>
            <w:tcW w:w="566" w:type="pct"/>
            <w:shd w:val="clear" w:color="auto" w:fill="auto"/>
            <w:vAlign w:val="center"/>
          </w:tcPr>
          <w:p w:rsidR="00DB79CC" w:rsidRPr="002A526D" w:rsidRDefault="00DB79CC" w:rsidP="00766A87">
            <w:pPr>
              <w:rPr>
                <w:rFonts w:ascii="Calibri" w:hAnsi="Calibri" w:cs="Calibri"/>
                <w:iCs/>
                <w:color w:val="000000"/>
              </w:rPr>
            </w:pPr>
            <w:r w:rsidRPr="0063403F">
              <w:rPr>
                <w:rFonts w:ascii="Calibri" w:hAnsi="Calibri" w:cs="Calibri"/>
                <w:color w:val="000000"/>
              </w:rPr>
              <w:t>Ministerial direction</w:t>
            </w:r>
          </w:p>
        </w:tc>
        <w:tc>
          <w:tcPr>
            <w:tcW w:w="747" w:type="pct"/>
            <w:shd w:val="clear" w:color="auto" w:fill="auto"/>
            <w:vAlign w:val="center"/>
          </w:tcPr>
          <w:p w:rsidR="00DB79CC" w:rsidRPr="00674F84" w:rsidRDefault="00DB79CC" w:rsidP="00766A87">
            <w:pPr>
              <w:rPr>
                <w:rFonts w:ascii="Calibri" w:hAnsi="Calibri" w:cs="Calibri"/>
                <w:bCs/>
                <w:iCs/>
                <w:color w:val="000000"/>
              </w:rPr>
            </w:pPr>
            <w:r>
              <w:rPr>
                <w:rFonts w:ascii="Calibri" w:hAnsi="Calibri" w:cs="Calibri"/>
                <w:bCs/>
                <w:iCs/>
                <w:color w:val="000000"/>
              </w:rPr>
              <w:t>December 2014 – April 2015</w:t>
            </w:r>
          </w:p>
        </w:tc>
        <w:tc>
          <w:tcPr>
            <w:tcW w:w="521" w:type="pct"/>
            <w:shd w:val="clear" w:color="auto" w:fill="auto"/>
            <w:vAlign w:val="center"/>
          </w:tcPr>
          <w:p w:rsidR="00DB79CC" w:rsidRPr="0063403F" w:rsidRDefault="00DB79CC" w:rsidP="00766A87">
            <w:pPr>
              <w:rPr>
                <w:rFonts w:ascii="Calibri" w:hAnsi="Calibri" w:cs="Calibri"/>
                <w:color w:val="000000"/>
              </w:rPr>
            </w:pPr>
            <w:r>
              <w:rPr>
                <w:rFonts w:ascii="Calibri" w:hAnsi="Calibri" w:cs="Calibri"/>
                <w:color w:val="000000"/>
              </w:rPr>
              <w:t>Programme Evaluation</w:t>
            </w:r>
          </w:p>
        </w:tc>
        <w:tc>
          <w:tcPr>
            <w:tcW w:w="2139" w:type="pct"/>
            <w:shd w:val="clear" w:color="auto" w:fill="auto"/>
            <w:vAlign w:val="center"/>
          </w:tcPr>
          <w:p w:rsidR="00DB79CC" w:rsidRPr="0063403F" w:rsidRDefault="00DB79CC" w:rsidP="00766A87">
            <w:pPr>
              <w:rPr>
                <w:rFonts w:ascii="Calibri" w:hAnsi="Calibri" w:cs="Calibri"/>
                <w:color w:val="000000"/>
              </w:rPr>
            </w:pPr>
            <w:r w:rsidRPr="00674F84">
              <w:rPr>
                <w:rFonts w:ascii="Calibri" w:hAnsi="Calibri" w:cs="Calibri"/>
                <w:color w:val="000000"/>
              </w:rPr>
              <w:t>The evaluation will assess the relevance, effectiveness, efficiency, quality, viability and appropriateness of the programme and review the policy underpinnings to refresh, refocus and deliver on government priorities</w:t>
            </w:r>
            <w:r>
              <w:rPr>
                <w:rFonts w:ascii="Calibri" w:hAnsi="Calibri" w:cs="Calibri"/>
                <w:color w:val="000000"/>
              </w:rPr>
              <w:t>.</w:t>
            </w:r>
          </w:p>
        </w:tc>
      </w:tr>
      <w:tr w:rsidR="00D86B38" w:rsidRPr="0063403F" w:rsidTr="00D86B38">
        <w:trPr>
          <w:trHeight w:val="962"/>
        </w:trPr>
        <w:tc>
          <w:tcPr>
            <w:tcW w:w="366" w:type="pct"/>
            <w:shd w:val="clear" w:color="000000" w:fill="FFCC99"/>
            <w:noWrap/>
            <w:vAlign w:val="center"/>
          </w:tcPr>
          <w:p w:rsidR="00DB79CC" w:rsidRPr="00A46E76" w:rsidRDefault="00DB79CC" w:rsidP="00766A87">
            <w:pPr>
              <w:rPr>
                <w:rFonts w:ascii="Calibri" w:hAnsi="Calibri" w:cs="Calibri"/>
                <w:color w:val="3F3F76"/>
              </w:rPr>
            </w:pPr>
            <w:r w:rsidRPr="00A46E76">
              <w:rPr>
                <w:rFonts w:ascii="Calibri" w:hAnsi="Calibri" w:cs="Calibri"/>
              </w:rPr>
              <w:t>Medium</w:t>
            </w:r>
          </w:p>
        </w:tc>
        <w:tc>
          <w:tcPr>
            <w:tcW w:w="661" w:type="pct"/>
            <w:shd w:val="clear" w:color="auto" w:fill="auto"/>
            <w:vAlign w:val="center"/>
          </w:tcPr>
          <w:p w:rsidR="00DB79CC" w:rsidRPr="0063403F" w:rsidRDefault="00DB79CC" w:rsidP="00766A87">
            <w:pPr>
              <w:rPr>
                <w:rFonts w:ascii="Calibri" w:hAnsi="Calibri" w:cs="Calibri"/>
                <w:color w:val="000000"/>
              </w:rPr>
            </w:pPr>
            <w:r>
              <w:rPr>
                <w:rFonts w:ascii="Calibri" w:hAnsi="Calibri" w:cs="Calibri"/>
                <w:color w:val="000000"/>
              </w:rPr>
              <w:t>Tuition Protection Service (</w:t>
            </w:r>
            <w:proofErr w:type="spellStart"/>
            <w:r>
              <w:rPr>
                <w:rFonts w:ascii="Calibri" w:hAnsi="Calibri" w:cs="Calibri"/>
                <w:color w:val="000000"/>
              </w:rPr>
              <w:t>TPS</w:t>
            </w:r>
            <w:proofErr w:type="spellEnd"/>
            <w:r>
              <w:rPr>
                <w:rFonts w:ascii="Calibri" w:hAnsi="Calibri" w:cs="Calibri"/>
                <w:color w:val="000000"/>
              </w:rPr>
              <w:t>) Review</w:t>
            </w:r>
          </w:p>
        </w:tc>
        <w:tc>
          <w:tcPr>
            <w:tcW w:w="566" w:type="pct"/>
            <w:shd w:val="clear" w:color="auto" w:fill="auto"/>
            <w:vAlign w:val="center"/>
          </w:tcPr>
          <w:p w:rsidR="00DB79CC" w:rsidRPr="001173A8" w:rsidRDefault="00DB79CC" w:rsidP="00766A87">
            <w:pPr>
              <w:rPr>
                <w:rFonts w:ascii="Calibri" w:hAnsi="Calibri" w:cs="Calibri"/>
                <w:color w:val="000000"/>
              </w:rPr>
            </w:pPr>
            <w:r w:rsidRPr="001173A8">
              <w:rPr>
                <w:rFonts w:ascii="Calibri" w:hAnsi="Calibri" w:cs="Calibri"/>
                <w:color w:val="000000"/>
              </w:rPr>
              <w:t>Ministerial direction</w:t>
            </w:r>
          </w:p>
        </w:tc>
        <w:tc>
          <w:tcPr>
            <w:tcW w:w="747" w:type="pct"/>
            <w:shd w:val="clear" w:color="auto" w:fill="auto"/>
            <w:vAlign w:val="center"/>
          </w:tcPr>
          <w:p w:rsidR="00DB79CC" w:rsidRPr="00BE5AF4" w:rsidRDefault="00DB79CC" w:rsidP="00766A87">
            <w:pPr>
              <w:rPr>
                <w:rFonts w:ascii="Calibri" w:hAnsi="Calibri" w:cs="Calibri"/>
                <w:bCs/>
                <w:iCs/>
                <w:color w:val="000000"/>
              </w:rPr>
            </w:pPr>
            <w:r w:rsidRPr="00BE5AF4">
              <w:rPr>
                <w:rFonts w:ascii="Calibri" w:hAnsi="Calibri" w:cs="Calibri"/>
                <w:bCs/>
                <w:iCs/>
                <w:color w:val="000000"/>
              </w:rPr>
              <w:t>TBC</w:t>
            </w:r>
          </w:p>
        </w:tc>
        <w:tc>
          <w:tcPr>
            <w:tcW w:w="521" w:type="pct"/>
            <w:shd w:val="clear" w:color="auto" w:fill="auto"/>
            <w:vAlign w:val="center"/>
          </w:tcPr>
          <w:p w:rsidR="00DB79CC" w:rsidRPr="0063403F" w:rsidRDefault="00DB79CC" w:rsidP="00766A87">
            <w:pPr>
              <w:rPr>
                <w:rFonts w:ascii="Calibri" w:hAnsi="Calibri" w:cs="Calibri"/>
                <w:color w:val="000000"/>
              </w:rPr>
            </w:pPr>
            <w:r>
              <w:rPr>
                <w:rFonts w:ascii="Calibri" w:hAnsi="Calibri" w:cs="Calibri"/>
                <w:color w:val="000000"/>
              </w:rPr>
              <w:t>Programme Evaluation</w:t>
            </w:r>
          </w:p>
        </w:tc>
        <w:tc>
          <w:tcPr>
            <w:tcW w:w="2139" w:type="pct"/>
            <w:shd w:val="clear" w:color="auto" w:fill="auto"/>
            <w:vAlign w:val="center"/>
          </w:tcPr>
          <w:p w:rsidR="00DB79CC" w:rsidRPr="0063403F" w:rsidRDefault="00DB79CC" w:rsidP="00766A87">
            <w:pPr>
              <w:rPr>
                <w:rFonts w:ascii="Calibri" w:hAnsi="Calibri" w:cs="Calibri"/>
                <w:color w:val="000000"/>
              </w:rPr>
            </w:pPr>
            <w:r>
              <w:rPr>
                <w:rFonts w:ascii="Calibri" w:hAnsi="Calibri" w:cs="Calibri"/>
                <w:color w:val="000000"/>
              </w:rPr>
              <w:t xml:space="preserve">The evaluation will assess the governance arrangements, efficiency and effectiveness of the </w:t>
            </w:r>
            <w:proofErr w:type="spellStart"/>
            <w:r>
              <w:rPr>
                <w:rFonts w:ascii="Calibri" w:hAnsi="Calibri" w:cs="Calibri"/>
                <w:color w:val="000000"/>
              </w:rPr>
              <w:t>TPS</w:t>
            </w:r>
            <w:proofErr w:type="spellEnd"/>
            <w:r>
              <w:rPr>
                <w:rFonts w:ascii="Calibri" w:hAnsi="Calibri" w:cs="Calibri"/>
                <w:color w:val="000000"/>
              </w:rPr>
              <w:t xml:space="preserve">, including the role of the </w:t>
            </w:r>
            <w:proofErr w:type="spellStart"/>
            <w:r>
              <w:rPr>
                <w:rFonts w:ascii="Calibri" w:hAnsi="Calibri" w:cs="Calibri"/>
                <w:color w:val="000000"/>
              </w:rPr>
              <w:t>TPS</w:t>
            </w:r>
            <w:proofErr w:type="spellEnd"/>
            <w:r>
              <w:rPr>
                <w:rFonts w:ascii="Calibri" w:hAnsi="Calibri" w:cs="Calibri"/>
                <w:color w:val="000000"/>
              </w:rPr>
              <w:t xml:space="preserve"> Director and the current </w:t>
            </w:r>
            <w:proofErr w:type="spellStart"/>
            <w:r>
              <w:rPr>
                <w:rFonts w:ascii="Calibri" w:hAnsi="Calibri" w:cs="Calibri"/>
                <w:color w:val="000000"/>
              </w:rPr>
              <w:t>TPS</w:t>
            </w:r>
            <w:proofErr w:type="spellEnd"/>
            <w:r>
              <w:rPr>
                <w:rFonts w:ascii="Calibri" w:hAnsi="Calibri" w:cs="Calibri"/>
                <w:color w:val="000000"/>
              </w:rPr>
              <w:t xml:space="preserve"> Advisory Board structure.</w:t>
            </w:r>
          </w:p>
        </w:tc>
      </w:tr>
      <w:tr w:rsidR="00D86B38" w:rsidRPr="0063403F" w:rsidTr="00D86B38">
        <w:trPr>
          <w:trHeight w:val="962"/>
        </w:trPr>
        <w:tc>
          <w:tcPr>
            <w:tcW w:w="366" w:type="pct"/>
            <w:shd w:val="clear" w:color="000000" w:fill="FFCC99"/>
            <w:noWrap/>
            <w:vAlign w:val="center"/>
          </w:tcPr>
          <w:p w:rsidR="00DB79CC" w:rsidRPr="00A46E76" w:rsidRDefault="00DB79CC" w:rsidP="00766A87">
            <w:pPr>
              <w:rPr>
                <w:rFonts w:ascii="Calibri" w:hAnsi="Calibri" w:cs="Calibri"/>
                <w:color w:val="3F3F76"/>
              </w:rPr>
            </w:pPr>
            <w:r w:rsidRPr="00A46E76">
              <w:rPr>
                <w:rFonts w:ascii="Calibri" w:hAnsi="Calibri" w:cs="Calibri"/>
              </w:rPr>
              <w:t>Medium</w:t>
            </w:r>
          </w:p>
        </w:tc>
        <w:tc>
          <w:tcPr>
            <w:tcW w:w="661" w:type="pct"/>
            <w:shd w:val="clear" w:color="auto" w:fill="auto"/>
            <w:vAlign w:val="center"/>
          </w:tcPr>
          <w:p w:rsidR="00DB79CC" w:rsidRPr="0063403F" w:rsidRDefault="00DB79CC" w:rsidP="00766A87">
            <w:pPr>
              <w:rPr>
                <w:rFonts w:ascii="Calibri" w:hAnsi="Calibri" w:cs="Calibri"/>
                <w:color w:val="000000"/>
              </w:rPr>
            </w:pPr>
            <w:r>
              <w:rPr>
                <w:rFonts w:ascii="Calibri" w:hAnsi="Calibri" w:cs="Calibri"/>
                <w:color w:val="000000"/>
              </w:rPr>
              <w:t>Education Services for Overseas Students (</w:t>
            </w:r>
            <w:proofErr w:type="spellStart"/>
            <w:r>
              <w:rPr>
                <w:rFonts w:ascii="Calibri" w:hAnsi="Calibri" w:cs="Calibri"/>
                <w:color w:val="000000"/>
              </w:rPr>
              <w:t>ESOS</w:t>
            </w:r>
            <w:proofErr w:type="spellEnd"/>
            <w:r>
              <w:rPr>
                <w:rFonts w:ascii="Calibri" w:hAnsi="Calibri" w:cs="Calibri"/>
                <w:color w:val="000000"/>
              </w:rPr>
              <w:t>) Act Review</w:t>
            </w:r>
          </w:p>
        </w:tc>
        <w:tc>
          <w:tcPr>
            <w:tcW w:w="566" w:type="pct"/>
            <w:shd w:val="clear" w:color="auto" w:fill="auto"/>
            <w:vAlign w:val="center"/>
          </w:tcPr>
          <w:p w:rsidR="00DB79CC" w:rsidRPr="001173A8" w:rsidRDefault="00DB79CC" w:rsidP="00766A87">
            <w:pPr>
              <w:rPr>
                <w:rFonts w:ascii="Calibri" w:hAnsi="Calibri" w:cs="Calibri"/>
                <w:color w:val="000000"/>
              </w:rPr>
            </w:pPr>
            <w:r w:rsidRPr="001173A8">
              <w:rPr>
                <w:rFonts w:ascii="Calibri" w:hAnsi="Calibri" w:cs="Calibri"/>
                <w:color w:val="000000"/>
              </w:rPr>
              <w:t>Ministerial direction</w:t>
            </w:r>
          </w:p>
        </w:tc>
        <w:tc>
          <w:tcPr>
            <w:tcW w:w="747" w:type="pct"/>
            <w:shd w:val="clear" w:color="auto" w:fill="auto"/>
            <w:vAlign w:val="center"/>
          </w:tcPr>
          <w:p w:rsidR="00766A87" w:rsidRPr="00766A87" w:rsidRDefault="00DB79CC" w:rsidP="00766A87">
            <w:pPr>
              <w:rPr>
                <w:rFonts w:ascii="Calibri" w:hAnsi="Calibri" w:cs="Calibri"/>
                <w:color w:val="000000"/>
              </w:rPr>
            </w:pPr>
            <w:r>
              <w:rPr>
                <w:rFonts w:ascii="Calibri" w:hAnsi="Calibri" w:cs="Calibri"/>
                <w:color w:val="000000"/>
              </w:rPr>
              <w:t xml:space="preserve">2014 </w:t>
            </w:r>
            <w:r w:rsidR="00766A87">
              <w:rPr>
                <w:rFonts w:ascii="Calibri" w:hAnsi="Calibri" w:cs="Calibri"/>
                <w:color w:val="000000"/>
              </w:rPr>
              <w:t>–</w:t>
            </w:r>
            <w:r w:rsidRPr="00766A87">
              <w:rPr>
                <w:rFonts w:ascii="Calibri" w:hAnsi="Calibri" w:cs="Calibri"/>
                <w:color w:val="000000"/>
              </w:rPr>
              <w:t xml:space="preserve"> 2015</w:t>
            </w:r>
          </w:p>
        </w:tc>
        <w:tc>
          <w:tcPr>
            <w:tcW w:w="521" w:type="pct"/>
            <w:shd w:val="clear" w:color="auto" w:fill="auto"/>
            <w:vAlign w:val="center"/>
          </w:tcPr>
          <w:p w:rsidR="00DB79CC" w:rsidRPr="0063403F" w:rsidRDefault="00DB79CC" w:rsidP="00766A87">
            <w:pPr>
              <w:rPr>
                <w:rFonts w:ascii="Calibri" w:hAnsi="Calibri" w:cs="Calibri"/>
                <w:color w:val="000000"/>
              </w:rPr>
            </w:pPr>
            <w:r>
              <w:rPr>
                <w:rFonts w:ascii="Calibri" w:hAnsi="Calibri" w:cs="Calibri"/>
                <w:color w:val="000000"/>
              </w:rPr>
              <w:t>Policy Evaluation</w:t>
            </w:r>
          </w:p>
        </w:tc>
        <w:tc>
          <w:tcPr>
            <w:tcW w:w="2139" w:type="pct"/>
            <w:shd w:val="clear" w:color="auto" w:fill="auto"/>
            <w:vAlign w:val="center"/>
          </w:tcPr>
          <w:p w:rsidR="00DB79CC" w:rsidRPr="0063403F" w:rsidRDefault="00DB79CC" w:rsidP="00766A87">
            <w:pPr>
              <w:rPr>
                <w:rFonts w:ascii="Calibri" w:hAnsi="Calibri" w:cs="Calibri"/>
                <w:color w:val="000000"/>
              </w:rPr>
            </w:pPr>
            <w:r>
              <w:rPr>
                <w:rFonts w:ascii="Calibri" w:hAnsi="Calibri" w:cs="Calibri"/>
                <w:color w:val="000000"/>
              </w:rPr>
              <w:t xml:space="preserve">Review of the </w:t>
            </w:r>
            <w:proofErr w:type="spellStart"/>
            <w:r>
              <w:rPr>
                <w:rFonts w:ascii="Calibri" w:hAnsi="Calibri" w:cs="Calibri"/>
                <w:color w:val="000000"/>
              </w:rPr>
              <w:t>ESOS</w:t>
            </w:r>
            <w:proofErr w:type="spellEnd"/>
            <w:r>
              <w:rPr>
                <w:rFonts w:ascii="Calibri" w:hAnsi="Calibri" w:cs="Calibri"/>
                <w:color w:val="000000"/>
              </w:rPr>
              <w:t xml:space="preserve"> legislative framework to respond to concerns about excessive regulation, administrative burden, duplicative processes, and aspects of the standards that are not appropriate in the current international environment; noting the National Code was last updated in 2007.</w:t>
            </w:r>
          </w:p>
        </w:tc>
      </w:tr>
    </w:tbl>
    <w:p w:rsidR="00DB79CC" w:rsidRDefault="00DB79CC" w:rsidP="000537AD"/>
    <w:p w:rsidR="00DB79CC" w:rsidRDefault="00DB79CC" w:rsidP="000537AD">
      <w:pPr>
        <w:sectPr w:rsidR="00DB79CC" w:rsidSect="000537AD">
          <w:pgSz w:w="16838" w:h="11906" w:orient="landscape"/>
          <w:pgMar w:top="1134" w:right="1134" w:bottom="1134" w:left="1134" w:header="708" w:footer="708" w:gutter="0"/>
          <w:cols w:space="708"/>
          <w:titlePg/>
          <w:docGrid w:linePitch="360"/>
        </w:sectPr>
      </w:pPr>
    </w:p>
    <w:p w:rsidR="000537AD" w:rsidRPr="003F7386" w:rsidRDefault="003F7386" w:rsidP="003F7386">
      <w:pPr>
        <w:pStyle w:val="Heading2"/>
        <w:spacing w:after="120"/>
        <w:rPr>
          <w:rFonts w:asciiTheme="minorHAnsi" w:hAnsiTheme="minorHAnsi" w:cstheme="minorHAnsi"/>
          <w:sz w:val="28"/>
          <w:szCs w:val="28"/>
        </w:rPr>
      </w:pPr>
      <w:bookmarkStart w:id="14" w:name="_Toc433639349"/>
      <w:r w:rsidRPr="003F7386">
        <w:rPr>
          <w:rFonts w:asciiTheme="minorHAnsi" w:hAnsiTheme="minorHAnsi" w:cstheme="minorHAnsi"/>
          <w:sz w:val="28"/>
          <w:szCs w:val="28"/>
        </w:rPr>
        <w:lastRenderedPageBreak/>
        <w:t>Skills and Training Cluster Evaluation Priorities</w:t>
      </w:r>
      <w:bookmarkEnd w:id="14"/>
    </w:p>
    <w:p w:rsidR="003F7386" w:rsidRPr="003F7386" w:rsidRDefault="003F7386" w:rsidP="003F7386">
      <w:pPr>
        <w:spacing w:after="120"/>
        <w:rPr>
          <w:rFonts w:asciiTheme="minorHAnsi" w:hAnsiTheme="minorHAnsi" w:cstheme="minorHAnsi"/>
          <w:i/>
          <w:iCs/>
          <w:color w:val="000000"/>
        </w:rPr>
      </w:pPr>
      <w:r w:rsidRPr="0063403F">
        <w:rPr>
          <w:rFonts w:ascii="Calibri" w:hAnsi="Calibri" w:cs="Calibri"/>
          <w:b/>
          <w:bCs/>
          <w:color w:val="000000"/>
        </w:rPr>
        <w:t>Strategic plan goal</w:t>
      </w:r>
      <w:r>
        <w:rPr>
          <w:rFonts w:ascii="Calibri" w:hAnsi="Calibri" w:cs="Calibri"/>
          <w:b/>
          <w:bCs/>
          <w:color w:val="000000"/>
        </w:rPr>
        <w:t>: Building skills and capability</w:t>
      </w:r>
      <w:r>
        <w:rPr>
          <w:rStyle w:val="FootnoteReference"/>
          <w:rFonts w:ascii="Calibri" w:hAnsi="Calibri" w:cs="Calibri"/>
          <w:b/>
          <w:bCs/>
          <w:color w:val="000000"/>
        </w:rPr>
        <w:footnoteReference w:id="6"/>
      </w:r>
      <w:r>
        <w:rPr>
          <w:rFonts w:ascii="Calibri" w:hAnsi="Calibri" w:cs="Calibri"/>
          <w:b/>
          <w:bCs/>
          <w:color w:val="000000"/>
        </w:rPr>
        <w:t>:</w:t>
      </w:r>
      <w:r w:rsidRPr="003F7386">
        <w:rPr>
          <w:rFonts w:ascii="Calibri" w:hAnsi="Calibri" w:cs="Calibri"/>
          <w:i/>
          <w:iCs/>
          <w:color w:val="000000"/>
        </w:rPr>
        <w:t xml:space="preserve"> </w:t>
      </w:r>
      <w:r>
        <w:rPr>
          <w:rFonts w:ascii="Calibri" w:hAnsi="Calibri" w:cs="Calibri"/>
          <w:i/>
          <w:iCs/>
          <w:color w:val="000000"/>
        </w:rPr>
        <w:t xml:space="preserve">Ensure </w:t>
      </w:r>
      <w:r w:rsidRPr="00805AF2">
        <w:rPr>
          <w:rFonts w:ascii="Calibri" w:hAnsi="Calibri" w:cs="Calibri"/>
          <w:i/>
          <w:iCs/>
          <w:color w:val="000000"/>
        </w:rPr>
        <w:t xml:space="preserve">skills and training </w:t>
      </w:r>
      <w:r>
        <w:rPr>
          <w:rFonts w:ascii="Calibri" w:hAnsi="Calibri" w:cs="Calibri"/>
          <w:i/>
          <w:iCs/>
          <w:color w:val="000000"/>
        </w:rPr>
        <w:t xml:space="preserve">are </w:t>
      </w:r>
      <w:r w:rsidRPr="00805AF2">
        <w:rPr>
          <w:rFonts w:ascii="Calibri" w:hAnsi="Calibri" w:cs="Calibri"/>
          <w:i/>
          <w:iCs/>
          <w:color w:val="000000"/>
        </w:rPr>
        <w:t>tailored</w:t>
      </w:r>
      <w:r>
        <w:rPr>
          <w:rFonts w:ascii="Calibri" w:hAnsi="Calibri" w:cs="Calibri"/>
          <w:i/>
          <w:iCs/>
          <w:color w:val="000000"/>
        </w:rPr>
        <w:t xml:space="preserve"> </w:t>
      </w:r>
      <w:r w:rsidRPr="00805AF2">
        <w:rPr>
          <w:rFonts w:ascii="Calibri" w:hAnsi="Calibri" w:cs="Calibri"/>
          <w:i/>
          <w:iCs/>
          <w:color w:val="000000"/>
        </w:rPr>
        <w:t>to the needs of current and</w:t>
      </w:r>
      <w:r>
        <w:rPr>
          <w:rFonts w:ascii="Calibri" w:hAnsi="Calibri" w:cs="Calibri"/>
          <w:i/>
          <w:iCs/>
          <w:color w:val="000000"/>
        </w:rPr>
        <w:t xml:space="preserve"> </w:t>
      </w:r>
      <w:r w:rsidRPr="00805AF2">
        <w:rPr>
          <w:rFonts w:ascii="Calibri" w:hAnsi="Calibri" w:cs="Calibri"/>
          <w:i/>
          <w:iCs/>
          <w:color w:val="000000"/>
        </w:rPr>
        <w:t>emerging industries, and</w:t>
      </w:r>
      <w:r>
        <w:rPr>
          <w:rFonts w:ascii="Calibri" w:hAnsi="Calibri" w:cs="Calibri"/>
          <w:i/>
          <w:iCs/>
          <w:color w:val="000000"/>
        </w:rPr>
        <w:t xml:space="preserve"> enable </w:t>
      </w:r>
      <w:r w:rsidRPr="00805AF2">
        <w:rPr>
          <w:rFonts w:ascii="Calibri" w:hAnsi="Calibri" w:cs="Calibri"/>
          <w:i/>
          <w:iCs/>
          <w:color w:val="000000"/>
        </w:rPr>
        <w:t>training pathways that are</w:t>
      </w:r>
      <w:r>
        <w:rPr>
          <w:rFonts w:ascii="Calibri" w:hAnsi="Calibri" w:cs="Calibri"/>
          <w:i/>
          <w:iCs/>
          <w:color w:val="000000"/>
        </w:rPr>
        <w:t xml:space="preserve"> </w:t>
      </w:r>
      <w:r w:rsidRPr="00805AF2">
        <w:rPr>
          <w:rFonts w:ascii="Calibri" w:hAnsi="Calibri" w:cs="Calibri"/>
          <w:i/>
          <w:iCs/>
          <w:color w:val="000000"/>
        </w:rPr>
        <w:t>responsive to the</w:t>
      </w:r>
      <w:r>
        <w:rPr>
          <w:rFonts w:ascii="Calibri" w:hAnsi="Calibri" w:cs="Calibri"/>
          <w:i/>
          <w:iCs/>
          <w:color w:val="000000"/>
        </w:rPr>
        <w:t xml:space="preserve"> </w:t>
      </w:r>
      <w:r w:rsidRPr="00805AF2">
        <w:rPr>
          <w:rFonts w:ascii="Calibri" w:hAnsi="Calibri" w:cs="Calibri"/>
          <w:i/>
          <w:iCs/>
          <w:color w:val="000000"/>
        </w:rPr>
        <w:t>needs of workers wishing</w:t>
      </w:r>
      <w:r>
        <w:rPr>
          <w:rFonts w:ascii="Calibri" w:hAnsi="Calibri" w:cs="Calibri"/>
          <w:i/>
          <w:iCs/>
          <w:color w:val="000000"/>
        </w:rPr>
        <w:t xml:space="preserve"> </w:t>
      </w:r>
      <w:r w:rsidRPr="00805AF2">
        <w:rPr>
          <w:rFonts w:ascii="Calibri" w:hAnsi="Calibri" w:cs="Calibri"/>
          <w:i/>
          <w:iCs/>
          <w:color w:val="000000"/>
        </w:rPr>
        <w:t>to enhance their skills</w:t>
      </w:r>
      <w:r>
        <w:rPr>
          <w:rFonts w:ascii="Calibri" w:hAnsi="Calibri" w:cs="Calibri"/>
          <w:i/>
          <w:iCs/>
          <w:color w:val="000000"/>
        </w:rPr>
        <w:t>.</w:t>
      </w:r>
    </w:p>
    <w:p w:rsidR="003F7386" w:rsidRPr="003F7386" w:rsidRDefault="003F7386" w:rsidP="003F7386">
      <w:pPr>
        <w:spacing w:after="120"/>
        <w:rPr>
          <w:rFonts w:asciiTheme="minorHAnsi" w:hAnsiTheme="minorHAnsi" w:cstheme="minorHAnsi"/>
          <w:iCs/>
          <w:color w:val="000000"/>
        </w:rPr>
      </w:pPr>
      <w:proofErr w:type="spellStart"/>
      <w:r w:rsidRPr="003F7386">
        <w:rPr>
          <w:rFonts w:asciiTheme="minorHAnsi" w:hAnsiTheme="minorHAnsi" w:cstheme="minorHAnsi"/>
          <w:b/>
          <w:iCs/>
          <w:color w:val="000000"/>
        </w:rPr>
        <w:t>PBS</w:t>
      </w:r>
      <w:proofErr w:type="spellEnd"/>
      <w:r w:rsidRPr="003F7386">
        <w:rPr>
          <w:rFonts w:asciiTheme="minorHAnsi" w:hAnsiTheme="minorHAnsi" w:cstheme="minorHAnsi"/>
          <w:b/>
          <w:iCs/>
          <w:color w:val="000000"/>
        </w:rPr>
        <w:t xml:space="preserve"> Outcome 2</w:t>
      </w:r>
      <w:r w:rsidRPr="003F7386">
        <w:rPr>
          <w:rFonts w:asciiTheme="minorHAnsi" w:hAnsiTheme="minorHAnsi" w:cstheme="minorHAnsi"/>
          <w:iCs/>
          <w:color w:val="000000"/>
        </w:rPr>
        <w:t>: Promote growth in economic productivity and social wellbeing through access to quality higher education, international education, and international quality research, skills and training.</w:t>
      </w:r>
    </w:p>
    <w:tbl>
      <w:tblPr>
        <w:tblW w:w="5045"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Caption w:val="Skills and Training Cluster Evaluation Priorities"/>
      </w:tblPr>
      <w:tblGrid>
        <w:gridCol w:w="1088"/>
        <w:gridCol w:w="1932"/>
        <w:gridCol w:w="1694"/>
        <w:gridCol w:w="2392"/>
        <w:gridCol w:w="1508"/>
        <w:gridCol w:w="6281"/>
        <w:gridCol w:w="18"/>
        <w:gridCol w:w="6"/>
      </w:tblGrid>
      <w:tr w:rsidR="003F7386" w:rsidRPr="0063403F" w:rsidTr="00D86B38">
        <w:trPr>
          <w:trHeight w:val="1785"/>
        </w:trPr>
        <w:tc>
          <w:tcPr>
            <w:tcW w:w="1087" w:type="dxa"/>
            <w:shd w:val="clear" w:color="auto" w:fill="auto"/>
            <w:textDirection w:val="btLr"/>
            <w:vAlign w:val="center"/>
            <w:hideMark/>
          </w:tcPr>
          <w:p w:rsidR="003F7386" w:rsidRPr="002E5608" w:rsidRDefault="003F7386" w:rsidP="00766A87">
            <w:pPr>
              <w:rPr>
                <w:rFonts w:ascii="Calibri" w:hAnsi="Calibri" w:cs="Calibri"/>
                <w:i/>
                <w:iCs/>
                <w:color w:val="000000"/>
                <w:sz w:val="20"/>
                <w:szCs w:val="20"/>
              </w:rPr>
            </w:pPr>
            <w:r w:rsidRPr="002E5608">
              <w:rPr>
                <w:rFonts w:ascii="Calibri" w:hAnsi="Calibri" w:cs="Calibri"/>
                <w:b/>
                <w:i/>
                <w:iCs/>
                <w:color w:val="000000"/>
                <w:sz w:val="20"/>
                <w:szCs w:val="20"/>
              </w:rPr>
              <w:t xml:space="preserve">Priority </w:t>
            </w:r>
            <w:r w:rsidRPr="002E5608">
              <w:rPr>
                <w:rFonts w:ascii="Calibri" w:hAnsi="Calibri" w:cs="Calibri"/>
                <w:b/>
                <w:bCs/>
                <w:i/>
                <w:iCs/>
                <w:color w:val="000000"/>
                <w:sz w:val="20"/>
                <w:szCs w:val="20"/>
              </w:rPr>
              <w:t>(Green=high; Orange=medium</w:t>
            </w:r>
            <w:r w:rsidRPr="002E5608">
              <w:rPr>
                <w:rFonts w:ascii="Calibri" w:hAnsi="Calibri" w:cs="Calibri"/>
                <w:i/>
                <w:iCs/>
                <w:color w:val="000000"/>
                <w:sz w:val="20"/>
                <w:szCs w:val="20"/>
              </w:rPr>
              <w:t>)</w:t>
            </w:r>
          </w:p>
        </w:tc>
        <w:tc>
          <w:tcPr>
            <w:tcW w:w="1932" w:type="dxa"/>
            <w:shd w:val="clear" w:color="auto" w:fill="auto"/>
            <w:vAlign w:val="center"/>
            <w:hideMark/>
          </w:tcPr>
          <w:p w:rsidR="003F7386" w:rsidRPr="0063403F" w:rsidRDefault="003F7386" w:rsidP="00766A87">
            <w:pPr>
              <w:jc w:val="center"/>
              <w:rPr>
                <w:rFonts w:ascii="Calibri" w:hAnsi="Calibri" w:cs="Calibri"/>
                <w:b/>
                <w:bCs/>
                <w:i/>
                <w:iCs/>
                <w:color w:val="000000"/>
              </w:rPr>
            </w:pPr>
            <w:r w:rsidRPr="0063403F">
              <w:rPr>
                <w:rFonts w:ascii="Calibri" w:hAnsi="Calibri" w:cs="Calibri"/>
                <w:b/>
                <w:bCs/>
                <w:i/>
                <w:iCs/>
                <w:color w:val="000000"/>
              </w:rPr>
              <w:t>Evaluation task (subject)</w:t>
            </w:r>
          </w:p>
        </w:tc>
        <w:tc>
          <w:tcPr>
            <w:tcW w:w="1694" w:type="dxa"/>
            <w:shd w:val="clear" w:color="auto" w:fill="auto"/>
            <w:vAlign w:val="center"/>
            <w:hideMark/>
          </w:tcPr>
          <w:p w:rsidR="003F7386" w:rsidRPr="0063403F" w:rsidRDefault="003F7386" w:rsidP="00766A87">
            <w:pPr>
              <w:jc w:val="center"/>
              <w:rPr>
                <w:rFonts w:ascii="Calibri" w:hAnsi="Calibri" w:cs="Calibri"/>
                <w:b/>
                <w:bCs/>
                <w:i/>
                <w:iCs/>
                <w:color w:val="000000"/>
              </w:rPr>
            </w:pPr>
            <w:r w:rsidRPr="0063403F">
              <w:rPr>
                <w:rFonts w:ascii="Calibri" w:hAnsi="Calibri" w:cs="Calibri"/>
                <w:b/>
                <w:bCs/>
                <w:i/>
                <w:iCs/>
                <w:color w:val="000000"/>
              </w:rPr>
              <w:t>Authority</w:t>
            </w:r>
          </w:p>
        </w:tc>
        <w:tc>
          <w:tcPr>
            <w:tcW w:w="2392" w:type="dxa"/>
            <w:shd w:val="clear" w:color="auto" w:fill="auto"/>
            <w:vAlign w:val="center"/>
            <w:hideMark/>
          </w:tcPr>
          <w:p w:rsidR="003F7386" w:rsidRPr="0063403F" w:rsidRDefault="003F7386" w:rsidP="00766A87">
            <w:pPr>
              <w:jc w:val="center"/>
              <w:rPr>
                <w:rFonts w:ascii="Calibri" w:hAnsi="Calibri" w:cs="Calibri"/>
                <w:b/>
                <w:bCs/>
                <w:i/>
                <w:iCs/>
                <w:color w:val="000000"/>
              </w:rPr>
            </w:pPr>
            <w:r w:rsidRPr="0063403F">
              <w:rPr>
                <w:rFonts w:ascii="Calibri" w:hAnsi="Calibri" w:cs="Calibri"/>
                <w:b/>
                <w:bCs/>
                <w:i/>
                <w:iCs/>
                <w:color w:val="000000"/>
              </w:rPr>
              <w:t xml:space="preserve">Timeframe (commencement and completion deadline) Month and Year </w:t>
            </w:r>
            <w:proofErr w:type="spellStart"/>
            <w:r w:rsidRPr="0063403F">
              <w:rPr>
                <w:rFonts w:ascii="Calibri" w:hAnsi="Calibri" w:cs="Calibri"/>
                <w:b/>
                <w:bCs/>
                <w:i/>
                <w:iCs/>
                <w:color w:val="000000"/>
              </w:rPr>
              <w:t>eg</w:t>
            </w:r>
            <w:proofErr w:type="spellEnd"/>
            <w:r w:rsidRPr="0063403F">
              <w:rPr>
                <w:rFonts w:ascii="Calibri" w:hAnsi="Calibri" w:cs="Calibri"/>
                <w:b/>
                <w:bCs/>
                <w:i/>
                <w:iCs/>
                <w:color w:val="000000"/>
              </w:rPr>
              <w:t>. Feb 2015</w:t>
            </w:r>
          </w:p>
        </w:tc>
        <w:tc>
          <w:tcPr>
            <w:tcW w:w="1508" w:type="dxa"/>
            <w:shd w:val="clear" w:color="auto" w:fill="auto"/>
            <w:vAlign w:val="center"/>
            <w:hideMark/>
          </w:tcPr>
          <w:p w:rsidR="003F7386" w:rsidRPr="0063403F" w:rsidRDefault="003F7386" w:rsidP="00766A87">
            <w:pPr>
              <w:jc w:val="center"/>
              <w:rPr>
                <w:rFonts w:ascii="Calibri" w:hAnsi="Calibri" w:cs="Calibri"/>
                <w:b/>
                <w:bCs/>
                <w:i/>
                <w:iCs/>
                <w:color w:val="000000"/>
              </w:rPr>
            </w:pPr>
            <w:r w:rsidRPr="0063403F">
              <w:rPr>
                <w:rFonts w:ascii="Calibri" w:hAnsi="Calibri" w:cs="Calibri"/>
                <w:b/>
                <w:bCs/>
                <w:i/>
                <w:iCs/>
                <w:color w:val="000000"/>
              </w:rPr>
              <w:t>Type of evaluation</w:t>
            </w:r>
          </w:p>
        </w:tc>
        <w:tc>
          <w:tcPr>
            <w:tcW w:w="6305" w:type="dxa"/>
            <w:gridSpan w:val="3"/>
            <w:shd w:val="clear" w:color="auto" w:fill="auto"/>
            <w:vAlign w:val="center"/>
            <w:hideMark/>
          </w:tcPr>
          <w:p w:rsidR="003F7386" w:rsidRPr="0063403F" w:rsidRDefault="003F7386" w:rsidP="00766A87">
            <w:pPr>
              <w:jc w:val="center"/>
              <w:rPr>
                <w:rFonts w:ascii="Calibri" w:hAnsi="Calibri" w:cs="Calibri"/>
                <w:b/>
                <w:bCs/>
                <w:i/>
                <w:iCs/>
                <w:color w:val="000000"/>
              </w:rPr>
            </w:pPr>
            <w:r w:rsidRPr="0063403F">
              <w:rPr>
                <w:rFonts w:ascii="Calibri" w:hAnsi="Calibri" w:cs="Calibri"/>
                <w:b/>
                <w:bCs/>
                <w:i/>
                <w:iCs/>
                <w:color w:val="000000"/>
              </w:rPr>
              <w:t>Description of evaluation (a short description of aims and work that will be undertaken, including any relevant governance arrangements and/or reporting requirements)</w:t>
            </w:r>
          </w:p>
        </w:tc>
      </w:tr>
      <w:tr w:rsidR="003F7386" w:rsidRPr="0063403F" w:rsidTr="00D86B38">
        <w:trPr>
          <w:trHeight w:val="1773"/>
        </w:trPr>
        <w:tc>
          <w:tcPr>
            <w:tcW w:w="1087" w:type="dxa"/>
            <w:shd w:val="clear" w:color="000000" w:fill="C6EFCE"/>
            <w:noWrap/>
            <w:vAlign w:val="center"/>
          </w:tcPr>
          <w:p w:rsidR="003F7386" w:rsidRPr="00A46E76" w:rsidRDefault="003F7386" w:rsidP="00766A87">
            <w:pPr>
              <w:rPr>
                <w:rFonts w:ascii="Calibri" w:hAnsi="Calibri" w:cs="Calibri"/>
                <w:color w:val="006100"/>
                <w:sz w:val="20"/>
                <w:szCs w:val="20"/>
              </w:rPr>
            </w:pPr>
            <w:r w:rsidRPr="00A46E76">
              <w:rPr>
                <w:rFonts w:ascii="Calibri" w:hAnsi="Calibri" w:cs="Calibri"/>
                <w:bCs/>
              </w:rPr>
              <w:t>High</w:t>
            </w:r>
          </w:p>
        </w:tc>
        <w:tc>
          <w:tcPr>
            <w:tcW w:w="1932" w:type="dxa"/>
            <w:shd w:val="clear" w:color="auto" w:fill="auto"/>
            <w:vAlign w:val="center"/>
          </w:tcPr>
          <w:p w:rsidR="003F7386" w:rsidRPr="0063403F" w:rsidRDefault="003F7386" w:rsidP="00766A87">
            <w:pPr>
              <w:rPr>
                <w:rFonts w:ascii="Calibri" w:hAnsi="Calibri" w:cs="Calibri"/>
                <w:color w:val="000000"/>
              </w:rPr>
            </w:pPr>
            <w:r>
              <w:rPr>
                <w:rFonts w:ascii="Calibri" w:hAnsi="Calibri" w:cs="Calibri"/>
                <w:color w:val="000000"/>
              </w:rPr>
              <w:t>International Training and Assessment Courses (</w:t>
            </w:r>
            <w:proofErr w:type="spellStart"/>
            <w:r>
              <w:rPr>
                <w:rFonts w:ascii="Calibri" w:hAnsi="Calibri" w:cs="Calibri"/>
                <w:color w:val="000000"/>
              </w:rPr>
              <w:t>ITAC</w:t>
            </w:r>
            <w:proofErr w:type="spellEnd"/>
            <w:r>
              <w:rPr>
                <w:rFonts w:ascii="Calibri" w:hAnsi="Calibri" w:cs="Calibri"/>
                <w:color w:val="000000"/>
              </w:rPr>
              <w:t>) India Pilot</w:t>
            </w:r>
          </w:p>
        </w:tc>
        <w:tc>
          <w:tcPr>
            <w:tcW w:w="1694" w:type="dxa"/>
            <w:shd w:val="clear" w:color="auto" w:fill="auto"/>
            <w:vAlign w:val="center"/>
          </w:tcPr>
          <w:p w:rsidR="003F7386" w:rsidRDefault="003F7386" w:rsidP="00DA629F">
            <w:pPr>
              <w:spacing w:after="120"/>
              <w:rPr>
                <w:rFonts w:ascii="Calibri" w:hAnsi="Calibri" w:cs="Calibri"/>
                <w:color w:val="000000"/>
              </w:rPr>
            </w:pPr>
            <w:r>
              <w:rPr>
                <w:rFonts w:ascii="Calibri" w:hAnsi="Calibri" w:cs="Calibri"/>
                <w:color w:val="000000"/>
              </w:rPr>
              <w:t>Evaluat</w:t>
            </w:r>
            <w:r w:rsidR="00766A87">
              <w:rPr>
                <w:rFonts w:ascii="Calibri" w:hAnsi="Calibri" w:cs="Calibri"/>
                <w:color w:val="000000"/>
              </w:rPr>
              <w:t>ion of pilot programme planned</w:t>
            </w:r>
          </w:p>
          <w:p w:rsidR="003F7386" w:rsidRPr="0063403F" w:rsidRDefault="003F7386" w:rsidP="00766A87">
            <w:pPr>
              <w:rPr>
                <w:rFonts w:ascii="Calibri" w:hAnsi="Calibri" w:cs="Calibri"/>
                <w:color w:val="000000"/>
              </w:rPr>
            </w:pPr>
            <w:r>
              <w:rPr>
                <w:rFonts w:ascii="Calibri" w:hAnsi="Calibri" w:cs="Calibri"/>
                <w:color w:val="000000"/>
              </w:rPr>
              <w:t>Currently has BM level approval</w:t>
            </w:r>
          </w:p>
        </w:tc>
        <w:tc>
          <w:tcPr>
            <w:tcW w:w="2392" w:type="dxa"/>
            <w:shd w:val="clear" w:color="auto" w:fill="auto"/>
            <w:vAlign w:val="center"/>
          </w:tcPr>
          <w:p w:rsidR="003F7386" w:rsidRPr="0063403F" w:rsidRDefault="003F7386" w:rsidP="00766A87">
            <w:pPr>
              <w:rPr>
                <w:rFonts w:ascii="Calibri" w:hAnsi="Calibri" w:cs="Calibri"/>
                <w:color w:val="000000"/>
              </w:rPr>
            </w:pPr>
            <w:r>
              <w:rPr>
                <w:rFonts w:ascii="Calibri" w:hAnsi="Calibri" w:cs="Calibri"/>
                <w:color w:val="000000"/>
              </w:rPr>
              <w:t>Expected completion late 2015</w:t>
            </w:r>
          </w:p>
        </w:tc>
        <w:tc>
          <w:tcPr>
            <w:tcW w:w="1508" w:type="dxa"/>
            <w:shd w:val="clear" w:color="auto" w:fill="auto"/>
            <w:vAlign w:val="center"/>
          </w:tcPr>
          <w:p w:rsidR="003F7386" w:rsidRPr="0063403F" w:rsidRDefault="003F7386" w:rsidP="00766A87">
            <w:pPr>
              <w:rPr>
                <w:rFonts w:ascii="Calibri" w:hAnsi="Calibri" w:cs="Calibri"/>
                <w:color w:val="000000"/>
              </w:rPr>
            </w:pPr>
            <w:r>
              <w:rPr>
                <w:rFonts w:ascii="Calibri" w:hAnsi="Calibri" w:cs="Calibri"/>
                <w:color w:val="000000"/>
              </w:rPr>
              <w:t>Formative</w:t>
            </w:r>
          </w:p>
        </w:tc>
        <w:tc>
          <w:tcPr>
            <w:tcW w:w="6305" w:type="dxa"/>
            <w:gridSpan w:val="3"/>
            <w:shd w:val="clear" w:color="auto" w:fill="auto"/>
            <w:vAlign w:val="center"/>
          </w:tcPr>
          <w:p w:rsidR="003F7386" w:rsidRDefault="003F7386" w:rsidP="00DA629F">
            <w:pPr>
              <w:spacing w:after="120"/>
              <w:rPr>
                <w:rFonts w:ascii="Calibri" w:hAnsi="Calibri" w:cs="Calibri"/>
                <w:color w:val="000000"/>
              </w:rPr>
            </w:pPr>
            <w:r>
              <w:rPr>
                <w:rFonts w:ascii="Calibri" w:hAnsi="Calibri" w:cs="Calibri"/>
                <w:color w:val="000000"/>
              </w:rPr>
              <w:t xml:space="preserve">Engaging an external evaluator to survey </w:t>
            </w:r>
            <w:proofErr w:type="spellStart"/>
            <w:r>
              <w:rPr>
                <w:rFonts w:ascii="Calibri" w:hAnsi="Calibri" w:cs="Calibri"/>
                <w:color w:val="000000"/>
              </w:rPr>
              <w:t>RTOs</w:t>
            </w:r>
            <w:proofErr w:type="spellEnd"/>
            <w:r>
              <w:rPr>
                <w:rFonts w:ascii="Calibri" w:hAnsi="Calibri" w:cs="Calibri"/>
                <w:color w:val="000000"/>
              </w:rPr>
              <w:t xml:space="preserve">, industry, and students to determine whether a small-group pilot of the </w:t>
            </w:r>
            <w:proofErr w:type="spellStart"/>
            <w:r>
              <w:rPr>
                <w:rFonts w:ascii="Calibri" w:hAnsi="Calibri" w:cs="Calibri"/>
                <w:color w:val="000000"/>
              </w:rPr>
              <w:t>ITAC</w:t>
            </w:r>
            <w:proofErr w:type="spellEnd"/>
            <w:r>
              <w:rPr>
                <w:rFonts w:ascii="Calibri" w:hAnsi="Calibri" w:cs="Calibri"/>
                <w:color w:val="000000"/>
              </w:rPr>
              <w:t xml:space="preserve"> has been effective, and recommend improvements </w:t>
            </w:r>
            <w:r w:rsidR="00DA629F">
              <w:rPr>
                <w:rFonts w:ascii="Calibri" w:hAnsi="Calibri" w:cs="Calibri"/>
                <w:color w:val="000000"/>
              </w:rPr>
              <w:t>to inform a future rollout.</w:t>
            </w:r>
          </w:p>
          <w:p w:rsidR="003F7386" w:rsidRDefault="003F7386" w:rsidP="00DA629F">
            <w:pPr>
              <w:spacing w:after="120"/>
              <w:rPr>
                <w:rFonts w:ascii="Calibri" w:hAnsi="Calibri" w:cs="Calibri"/>
                <w:color w:val="000000"/>
              </w:rPr>
            </w:pPr>
            <w:r>
              <w:rPr>
                <w:rFonts w:ascii="Calibri" w:hAnsi="Calibri" w:cs="Calibri"/>
                <w:color w:val="000000"/>
              </w:rPr>
              <w:t xml:space="preserve">Detailed report to be provided two months after the completion of delivery of the first </w:t>
            </w:r>
            <w:proofErr w:type="spellStart"/>
            <w:r>
              <w:rPr>
                <w:rFonts w:ascii="Calibri" w:hAnsi="Calibri" w:cs="Calibri"/>
                <w:color w:val="000000"/>
              </w:rPr>
              <w:t>ITAC</w:t>
            </w:r>
            <w:proofErr w:type="spellEnd"/>
            <w:r>
              <w:rPr>
                <w:rFonts w:ascii="Calibri" w:hAnsi="Calibri" w:cs="Calibri"/>
                <w:color w:val="000000"/>
              </w:rPr>
              <w:t xml:space="preserve"> courses and prior to the Ministerial launch of </w:t>
            </w:r>
            <w:proofErr w:type="spellStart"/>
            <w:r>
              <w:rPr>
                <w:rFonts w:ascii="Calibri" w:hAnsi="Calibri" w:cs="Calibri"/>
                <w:color w:val="000000"/>
              </w:rPr>
              <w:t>ITAC</w:t>
            </w:r>
            <w:proofErr w:type="spellEnd"/>
            <w:r>
              <w:rPr>
                <w:rFonts w:ascii="Calibri" w:hAnsi="Calibri" w:cs="Calibri"/>
                <w:color w:val="000000"/>
              </w:rPr>
              <w:t xml:space="preserve"> in India. This will be followed up with a six-month-value tracking survey of students and employers.</w:t>
            </w:r>
          </w:p>
          <w:p w:rsidR="003F7386" w:rsidRPr="0063403F" w:rsidRDefault="003F7386" w:rsidP="00766A87">
            <w:pPr>
              <w:rPr>
                <w:rFonts w:ascii="Calibri" w:hAnsi="Calibri" w:cs="Calibri"/>
                <w:color w:val="000000"/>
              </w:rPr>
            </w:pPr>
            <w:r>
              <w:rPr>
                <w:rFonts w:ascii="Calibri" w:hAnsi="Calibri" w:cs="Calibri"/>
                <w:color w:val="000000"/>
              </w:rPr>
              <w:t>The procurement and contract management of the evaluation will be handled by Innovation and Business Skills Australia, with oversight and assistance from the Department.</w:t>
            </w:r>
          </w:p>
        </w:tc>
      </w:tr>
      <w:tr w:rsidR="003F7386" w:rsidRPr="0063403F" w:rsidTr="00D86B38">
        <w:trPr>
          <w:trHeight w:val="1773"/>
        </w:trPr>
        <w:tc>
          <w:tcPr>
            <w:tcW w:w="1087" w:type="dxa"/>
            <w:shd w:val="clear" w:color="000000" w:fill="C6EFCE"/>
            <w:noWrap/>
            <w:vAlign w:val="center"/>
          </w:tcPr>
          <w:p w:rsidR="003F7386" w:rsidRPr="00A46E76" w:rsidRDefault="003F7386" w:rsidP="00766A87">
            <w:pPr>
              <w:rPr>
                <w:rFonts w:ascii="Calibri" w:hAnsi="Calibri" w:cs="Calibri"/>
                <w:color w:val="006100"/>
                <w:sz w:val="20"/>
                <w:szCs w:val="20"/>
              </w:rPr>
            </w:pPr>
            <w:r w:rsidRPr="00A46E76">
              <w:rPr>
                <w:rFonts w:ascii="Calibri" w:hAnsi="Calibri" w:cs="Calibri"/>
                <w:bCs/>
              </w:rPr>
              <w:lastRenderedPageBreak/>
              <w:t>High</w:t>
            </w:r>
          </w:p>
        </w:tc>
        <w:tc>
          <w:tcPr>
            <w:tcW w:w="1932" w:type="dxa"/>
            <w:shd w:val="clear" w:color="auto" w:fill="auto"/>
            <w:vAlign w:val="center"/>
          </w:tcPr>
          <w:p w:rsidR="003F7386" w:rsidRPr="0063403F" w:rsidRDefault="003F7386" w:rsidP="00766A87">
            <w:pPr>
              <w:rPr>
                <w:rFonts w:ascii="Calibri" w:hAnsi="Calibri" w:cs="Calibri"/>
                <w:color w:val="000000"/>
              </w:rPr>
            </w:pPr>
            <w:r>
              <w:rPr>
                <w:rFonts w:ascii="Calibri" w:hAnsi="Calibri" w:cs="Calibri"/>
                <w:color w:val="000000"/>
              </w:rPr>
              <w:t>Youth Employment Pathways and Training for Employment Scholarships pilot programmes</w:t>
            </w:r>
          </w:p>
        </w:tc>
        <w:tc>
          <w:tcPr>
            <w:tcW w:w="1694" w:type="dxa"/>
            <w:shd w:val="clear" w:color="auto" w:fill="auto"/>
            <w:vAlign w:val="center"/>
          </w:tcPr>
          <w:p w:rsidR="003F7386" w:rsidRPr="0063403F" w:rsidRDefault="003F7386" w:rsidP="00766A87">
            <w:pPr>
              <w:rPr>
                <w:rFonts w:ascii="Calibri" w:hAnsi="Calibri" w:cs="Calibri"/>
                <w:color w:val="000000"/>
              </w:rPr>
            </w:pPr>
            <w:r>
              <w:rPr>
                <w:rFonts w:ascii="Calibri" w:hAnsi="Calibri" w:cs="Calibri"/>
                <w:color w:val="000000"/>
              </w:rPr>
              <w:t>Government decision</w:t>
            </w:r>
          </w:p>
        </w:tc>
        <w:tc>
          <w:tcPr>
            <w:tcW w:w="2392" w:type="dxa"/>
            <w:shd w:val="clear" w:color="auto" w:fill="auto"/>
            <w:vAlign w:val="center"/>
          </w:tcPr>
          <w:p w:rsidR="003F7386" w:rsidRPr="0063403F" w:rsidRDefault="003F7386" w:rsidP="00766A87">
            <w:pPr>
              <w:rPr>
                <w:rFonts w:ascii="Calibri" w:hAnsi="Calibri" w:cs="Calibri"/>
                <w:color w:val="000000"/>
              </w:rPr>
            </w:pPr>
            <w:r>
              <w:rPr>
                <w:rFonts w:ascii="Calibri" w:hAnsi="Calibri" w:cs="Calibri"/>
                <w:color w:val="000000"/>
              </w:rPr>
              <w:t>May 2015 – February 2016</w:t>
            </w:r>
          </w:p>
        </w:tc>
        <w:tc>
          <w:tcPr>
            <w:tcW w:w="1508" w:type="dxa"/>
            <w:shd w:val="clear" w:color="auto" w:fill="auto"/>
            <w:vAlign w:val="center"/>
          </w:tcPr>
          <w:p w:rsidR="003F7386" w:rsidRPr="0063403F" w:rsidRDefault="003F7386" w:rsidP="00766A87">
            <w:pPr>
              <w:rPr>
                <w:rFonts w:ascii="Calibri" w:hAnsi="Calibri" w:cs="Calibri"/>
                <w:color w:val="000000"/>
              </w:rPr>
            </w:pPr>
            <w:r w:rsidRPr="004D44DD">
              <w:rPr>
                <w:rFonts w:ascii="Calibri" w:hAnsi="Calibri" w:cs="Calibri"/>
                <w:color w:val="000000"/>
              </w:rPr>
              <w:t>Evaluation of pilot programmes to inform government on the future of the programmes</w:t>
            </w:r>
          </w:p>
        </w:tc>
        <w:tc>
          <w:tcPr>
            <w:tcW w:w="6305" w:type="dxa"/>
            <w:gridSpan w:val="3"/>
            <w:shd w:val="clear" w:color="auto" w:fill="auto"/>
            <w:vAlign w:val="center"/>
          </w:tcPr>
          <w:p w:rsidR="003F7386" w:rsidRDefault="003F7386" w:rsidP="00766A87">
            <w:pPr>
              <w:rPr>
                <w:rFonts w:ascii="Calibri" w:hAnsi="Calibri"/>
              </w:rPr>
            </w:pPr>
            <w:r>
              <w:rPr>
                <w:rFonts w:ascii="Calibri" w:hAnsi="Calibri"/>
              </w:rPr>
              <w:t>A contractor will be engaged to provide two separate Evaluation Reports, one for each of the pilot programmes, which determines to what extent they have met their policy objectives. The evaluation will also:</w:t>
            </w:r>
          </w:p>
          <w:p w:rsidR="003F7386" w:rsidRPr="00926E5C" w:rsidRDefault="003F7386" w:rsidP="00766A87">
            <w:pPr>
              <w:numPr>
                <w:ilvl w:val="0"/>
                <w:numId w:val="30"/>
              </w:numPr>
              <w:tabs>
                <w:tab w:val="clear" w:pos="360"/>
                <w:tab w:val="num" w:pos="720"/>
              </w:tabs>
              <w:ind w:left="720"/>
              <w:rPr>
                <w:rFonts w:ascii="Calibri" w:hAnsi="Calibri"/>
              </w:rPr>
            </w:pPr>
            <w:r w:rsidRPr="00926E5C">
              <w:rPr>
                <w:rFonts w:ascii="Calibri" w:hAnsi="Calibri"/>
              </w:rPr>
              <w:t>provide information on programme performance</w:t>
            </w:r>
          </w:p>
          <w:p w:rsidR="003F7386" w:rsidRPr="00926E5C" w:rsidRDefault="003F7386" w:rsidP="00766A87">
            <w:pPr>
              <w:numPr>
                <w:ilvl w:val="0"/>
                <w:numId w:val="30"/>
              </w:numPr>
              <w:tabs>
                <w:tab w:val="clear" w:pos="360"/>
                <w:tab w:val="num" w:pos="720"/>
              </w:tabs>
              <w:ind w:left="720"/>
              <w:rPr>
                <w:rFonts w:ascii="Calibri" w:hAnsi="Calibri"/>
              </w:rPr>
            </w:pPr>
            <w:r w:rsidRPr="00926E5C">
              <w:rPr>
                <w:rFonts w:ascii="Calibri" w:hAnsi="Calibri"/>
              </w:rPr>
              <w:t>highlight inconsistencies and challenges that may be embedded in the design of the programmes</w:t>
            </w:r>
          </w:p>
          <w:p w:rsidR="003F7386" w:rsidRPr="00926E5C" w:rsidRDefault="003F7386" w:rsidP="00766A87">
            <w:pPr>
              <w:numPr>
                <w:ilvl w:val="0"/>
                <w:numId w:val="30"/>
              </w:numPr>
              <w:tabs>
                <w:tab w:val="clear" w:pos="360"/>
                <w:tab w:val="num" w:pos="720"/>
              </w:tabs>
              <w:ind w:left="720"/>
              <w:rPr>
                <w:rFonts w:ascii="Calibri" w:hAnsi="Calibri"/>
              </w:rPr>
            </w:pPr>
            <w:r w:rsidRPr="00926E5C">
              <w:rPr>
                <w:rFonts w:ascii="Calibri" w:hAnsi="Calibri"/>
              </w:rPr>
              <w:t>provide evidence of the impact of the pilots to skills funding policy</w:t>
            </w:r>
          </w:p>
          <w:p w:rsidR="003F7386" w:rsidRPr="00926E5C" w:rsidRDefault="003F7386" w:rsidP="00766A87">
            <w:pPr>
              <w:numPr>
                <w:ilvl w:val="0"/>
                <w:numId w:val="30"/>
              </w:numPr>
              <w:tabs>
                <w:tab w:val="clear" w:pos="360"/>
                <w:tab w:val="num" w:pos="720"/>
              </w:tabs>
              <w:ind w:left="720"/>
              <w:rPr>
                <w:rFonts w:ascii="Calibri" w:hAnsi="Calibri"/>
              </w:rPr>
            </w:pPr>
            <w:r w:rsidRPr="00926E5C">
              <w:rPr>
                <w:rFonts w:ascii="Calibri" w:hAnsi="Calibri"/>
              </w:rPr>
              <w:t>identify unintended consequences (both good and bad) of the programmes’ operation</w:t>
            </w:r>
          </w:p>
          <w:p w:rsidR="003F7386" w:rsidRPr="0063403F" w:rsidRDefault="003F7386" w:rsidP="00766A87">
            <w:pPr>
              <w:numPr>
                <w:ilvl w:val="0"/>
                <w:numId w:val="30"/>
              </w:numPr>
              <w:tabs>
                <w:tab w:val="clear" w:pos="360"/>
                <w:tab w:val="num" w:pos="720"/>
              </w:tabs>
              <w:ind w:left="720"/>
              <w:rPr>
                <w:rFonts w:ascii="Calibri" w:hAnsi="Calibri" w:cs="Calibri"/>
                <w:color w:val="000000"/>
              </w:rPr>
            </w:pPr>
            <w:proofErr w:type="gramStart"/>
            <w:r w:rsidRPr="00926E5C">
              <w:rPr>
                <w:rFonts w:ascii="Calibri" w:hAnsi="Calibri"/>
              </w:rPr>
              <w:t>make</w:t>
            </w:r>
            <w:proofErr w:type="gramEnd"/>
            <w:r w:rsidRPr="00926E5C">
              <w:rPr>
                <w:rFonts w:ascii="Calibri" w:hAnsi="Calibri"/>
              </w:rPr>
              <w:t xml:space="preserve"> recommendations on national implementation.</w:t>
            </w:r>
          </w:p>
        </w:tc>
      </w:tr>
      <w:tr w:rsidR="003F7386" w:rsidRPr="0063403F" w:rsidTr="00D86B38">
        <w:trPr>
          <w:gridAfter w:val="1"/>
          <w:wAfter w:w="6" w:type="dxa"/>
          <w:trHeight w:val="1773"/>
        </w:trPr>
        <w:tc>
          <w:tcPr>
            <w:tcW w:w="1087" w:type="dxa"/>
            <w:shd w:val="clear" w:color="000000" w:fill="C6EFCE"/>
            <w:noWrap/>
            <w:vAlign w:val="center"/>
          </w:tcPr>
          <w:p w:rsidR="003F7386" w:rsidRPr="00A46E76" w:rsidRDefault="003F7386" w:rsidP="00766A87">
            <w:pPr>
              <w:rPr>
                <w:rFonts w:ascii="Calibri" w:hAnsi="Calibri" w:cs="Calibri"/>
                <w:color w:val="006100"/>
                <w:sz w:val="20"/>
                <w:szCs w:val="20"/>
              </w:rPr>
            </w:pPr>
            <w:r w:rsidRPr="00A46E76">
              <w:rPr>
                <w:rFonts w:ascii="Calibri" w:hAnsi="Calibri" w:cs="Calibri"/>
                <w:bCs/>
              </w:rPr>
              <w:t>High</w:t>
            </w:r>
          </w:p>
        </w:tc>
        <w:tc>
          <w:tcPr>
            <w:tcW w:w="1932" w:type="dxa"/>
            <w:shd w:val="clear" w:color="auto" w:fill="auto"/>
            <w:vAlign w:val="center"/>
          </w:tcPr>
          <w:p w:rsidR="003F7386" w:rsidRPr="0063403F" w:rsidRDefault="003F7386" w:rsidP="00766A87">
            <w:pPr>
              <w:rPr>
                <w:rFonts w:ascii="Calibri" w:hAnsi="Calibri" w:cs="Calibri"/>
                <w:color w:val="000000"/>
              </w:rPr>
            </w:pPr>
            <w:r>
              <w:rPr>
                <w:rFonts w:ascii="Calibri" w:hAnsi="Calibri" w:cs="Calibri"/>
                <w:color w:val="000000"/>
              </w:rPr>
              <w:t>New Arrangements for Training Product Development for Australian Industry</w:t>
            </w:r>
          </w:p>
        </w:tc>
        <w:tc>
          <w:tcPr>
            <w:tcW w:w="1694" w:type="dxa"/>
            <w:shd w:val="clear" w:color="auto" w:fill="auto"/>
            <w:vAlign w:val="center"/>
          </w:tcPr>
          <w:p w:rsidR="003F7386" w:rsidRPr="0063403F" w:rsidRDefault="003F7386" w:rsidP="00766A87">
            <w:pPr>
              <w:rPr>
                <w:rFonts w:ascii="Calibri" w:hAnsi="Calibri" w:cs="Calibri"/>
                <w:color w:val="000000"/>
              </w:rPr>
            </w:pPr>
            <w:r>
              <w:rPr>
                <w:rFonts w:ascii="Calibri" w:hAnsi="Calibri" w:cs="Calibri"/>
                <w:color w:val="000000"/>
              </w:rPr>
              <w:t xml:space="preserve">In line with the </w:t>
            </w:r>
            <w:proofErr w:type="spellStart"/>
            <w:r>
              <w:rPr>
                <w:rFonts w:ascii="Calibri" w:hAnsi="Calibri" w:cs="Calibri"/>
                <w:color w:val="000000"/>
              </w:rPr>
              <w:t>Cwth</w:t>
            </w:r>
            <w:proofErr w:type="spellEnd"/>
            <w:r>
              <w:rPr>
                <w:rFonts w:ascii="Calibri" w:hAnsi="Calibri" w:cs="Calibri"/>
                <w:color w:val="000000"/>
              </w:rPr>
              <w:t xml:space="preserve"> Grants Rules and Guidelines (</w:t>
            </w:r>
            <w:proofErr w:type="spellStart"/>
            <w:r>
              <w:rPr>
                <w:rFonts w:ascii="Calibri" w:hAnsi="Calibri" w:cs="Calibri"/>
                <w:color w:val="000000"/>
              </w:rPr>
              <w:t>CGRGs</w:t>
            </w:r>
            <w:proofErr w:type="spellEnd"/>
            <w:r>
              <w:rPr>
                <w:rFonts w:ascii="Calibri" w:hAnsi="Calibri" w:cs="Calibri"/>
                <w:color w:val="000000"/>
              </w:rPr>
              <w:t>) mandatory requirements for review and evaluation strategies</w:t>
            </w:r>
          </w:p>
        </w:tc>
        <w:tc>
          <w:tcPr>
            <w:tcW w:w="2392" w:type="dxa"/>
            <w:shd w:val="clear" w:color="auto" w:fill="auto"/>
            <w:vAlign w:val="center"/>
          </w:tcPr>
          <w:p w:rsidR="003F7386" w:rsidRPr="0063403F" w:rsidRDefault="003F7386" w:rsidP="00766A87">
            <w:pPr>
              <w:rPr>
                <w:rFonts w:ascii="Calibri" w:hAnsi="Calibri" w:cs="Calibri"/>
                <w:color w:val="000000"/>
              </w:rPr>
            </w:pPr>
            <w:r>
              <w:rPr>
                <w:rFonts w:ascii="Calibri" w:hAnsi="Calibri" w:cs="Calibri"/>
                <w:color w:val="000000"/>
              </w:rPr>
              <w:t>Commence late 2017</w:t>
            </w:r>
          </w:p>
        </w:tc>
        <w:tc>
          <w:tcPr>
            <w:tcW w:w="1508" w:type="dxa"/>
            <w:shd w:val="clear" w:color="auto" w:fill="auto"/>
            <w:vAlign w:val="center"/>
          </w:tcPr>
          <w:p w:rsidR="003F7386" w:rsidRPr="0063403F" w:rsidRDefault="003F7386" w:rsidP="00766A87">
            <w:pPr>
              <w:rPr>
                <w:rFonts w:ascii="Calibri" w:hAnsi="Calibri" w:cs="Calibri"/>
                <w:color w:val="000000"/>
              </w:rPr>
            </w:pPr>
            <w:r>
              <w:rPr>
                <w:rFonts w:ascii="Calibri" w:hAnsi="Calibri" w:cs="Calibri"/>
                <w:color w:val="000000"/>
              </w:rPr>
              <w:t>Review</w:t>
            </w:r>
          </w:p>
        </w:tc>
        <w:tc>
          <w:tcPr>
            <w:tcW w:w="6299" w:type="dxa"/>
            <w:gridSpan w:val="2"/>
            <w:shd w:val="clear" w:color="auto" w:fill="auto"/>
            <w:vAlign w:val="center"/>
          </w:tcPr>
          <w:p w:rsidR="003F7386" w:rsidRDefault="003F7386" w:rsidP="00DA629F">
            <w:pPr>
              <w:spacing w:after="120"/>
              <w:rPr>
                <w:rFonts w:ascii="Calibri" w:hAnsi="Calibri" w:cs="Calibri"/>
                <w:color w:val="000000"/>
              </w:rPr>
            </w:pPr>
            <w:r>
              <w:rPr>
                <w:rFonts w:ascii="Calibri" w:hAnsi="Calibri" w:cs="Calibri"/>
                <w:color w:val="000000"/>
              </w:rPr>
              <w:t>To evaluate the outcomes of the new arrangements against agreed Key Performance Indicators for the programme.</w:t>
            </w:r>
          </w:p>
          <w:p w:rsidR="003F7386" w:rsidRPr="0063403F" w:rsidRDefault="003F7386" w:rsidP="00766A87">
            <w:pPr>
              <w:rPr>
                <w:rFonts w:ascii="Calibri" w:hAnsi="Calibri" w:cs="Calibri"/>
                <w:color w:val="000000"/>
              </w:rPr>
            </w:pPr>
            <w:r>
              <w:rPr>
                <w:rFonts w:ascii="Calibri" w:hAnsi="Calibri" w:cs="Calibri"/>
                <w:color w:val="000000"/>
              </w:rPr>
              <w:t>Evaluation may include the effectiveness of the new arrangements within the national training system, taking into account the number of endorsed training packages and sectoral coverage.</w:t>
            </w:r>
          </w:p>
        </w:tc>
      </w:tr>
      <w:tr w:rsidR="003F7386" w:rsidRPr="0063403F" w:rsidTr="00D86B38">
        <w:trPr>
          <w:gridAfter w:val="2"/>
          <w:wAfter w:w="24" w:type="dxa"/>
          <w:cantSplit/>
          <w:trHeight w:val="1773"/>
        </w:trPr>
        <w:tc>
          <w:tcPr>
            <w:tcW w:w="1087" w:type="dxa"/>
            <w:shd w:val="clear" w:color="000000" w:fill="C6EFCE"/>
            <w:noWrap/>
            <w:vAlign w:val="center"/>
          </w:tcPr>
          <w:p w:rsidR="003F7386" w:rsidRPr="00A46E76" w:rsidRDefault="003F7386" w:rsidP="00766A87">
            <w:pPr>
              <w:rPr>
                <w:rFonts w:ascii="Calibri" w:hAnsi="Calibri" w:cs="Calibri"/>
                <w:color w:val="006100"/>
                <w:sz w:val="20"/>
                <w:szCs w:val="20"/>
              </w:rPr>
            </w:pPr>
            <w:r w:rsidRPr="00A46E76">
              <w:rPr>
                <w:rFonts w:ascii="Calibri" w:hAnsi="Calibri" w:cs="Calibri"/>
                <w:bCs/>
              </w:rPr>
              <w:lastRenderedPageBreak/>
              <w:t>High</w:t>
            </w:r>
          </w:p>
        </w:tc>
        <w:tc>
          <w:tcPr>
            <w:tcW w:w="1932" w:type="dxa"/>
            <w:shd w:val="clear" w:color="auto" w:fill="auto"/>
            <w:vAlign w:val="center"/>
          </w:tcPr>
          <w:p w:rsidR="003F7386" w:rsidRPr="0063403F" w:rsidRDefault="003F7386" w:rsidP="00B442AE">
            <w:pPr>
              <w:rPr>
                <w:rFonts w:ascii="Calibri" w:hAnsi="Calibri" w:cs="Calibri"/>
                <w:color w:val="000000"/>
              </w:rPr>
            </w:pPr>
            <w:r>
              <w:rPr>
                <w:rFonts w:ascii="Calibri" w:hAnsi="Calibri" w:cs="Calibri"/>
                <w:color w:val="000000"/>
              </w:rPr>
              <w:t>Trade Support Loans – Short-term evaluation</w:t>
            </w:r>
          </w:p>
        </w:tc>
        <w:tc>
          <w:tcPr>
            <w:tcW w:w="1694" w:type="dxa"/>
            <w:shd w:val="clear" w:color="auto" w:fill="auto"/>
            <w:vAlign w:val="center"/>
          </w:tcPr>
          <w:p w:rsidR="003F7386" w:rsidRPr="0063403F" w:rsidRDefault="003F7386" w:rsidP="00766A87">
            <w:pPr>
              <w:rPr>
                <w:rFonts w:ascii="Calibri" w:hAnsi="Calibri" w:cs="Calibri"/>
                <w:color w:val="000000"/>
              </w:rPr>
            </w:pPr>
            <w:r>
              <w:rPr>
                <w:rFonts w:ascii="Calibri" w:hAnsi="Calibri" w:cs="Calibri"/>
                <w:color w:val="000000"/>
              </w:rPr>
              <w:t>Government decision</w:t>
            </w:r>
          </w:p>
        </w:tc>
        <w:tc>
          <w:tcPr>
            <w:tcW w:w="2392" w:type="dxa"/>
            <w:shd w:val="clear" w:color="auto" w:fill="auto"/>
            <w:vAlign w:val="center"/>
          </w:tcPr>
          <w:p w:rsidR="003F7386" w:rsidRDefault="003F7386" w:rsidP="00DA629F">
            <w:pPr>
              <w:spacing w:after="120"/>
              <w:rPr>
                <w:rFonts w:ascii="Calibri" w:hAnsi="Calibri" w:cs="Calibri"/>
                <w:color w:val="000000"/>
              </w:rPr>
            </w:pPr>
            <w:r w:rsidRPr="006D36F7">
              <w:rPr>
                <w:rFonts w:ascii="Calibri" w:hAnsi="Calibri" w:cs="Calibri"/>
                <w:b/>
                <w:color w:val="000000"/>
              </w:rPr>
              <w:t>Commencement</w:t>
            </w:r>
            <w:r>
              <w:rPr>
                <w:rFonts w:ascii="Calibri" w:hAnsi="Calibri" w:cs="Calibri"/>
                <w:color w:val="000000"/>
              </w:rPr>
              <w:t xml:space="preserve"> – Now</w:t>
            </w:r>
          </w:p>
          <w:p w:rsidR="003F7386" w:rsidRPr="0063403F" w:rsidRDefault="003F7386" w:rsidP="00766A87">
            <w:pPr>
              <w:rPr>
                <w:rFonts w:ascii="Calibri" w:hAnsi="Calibri" w:cs="Calibri"/>
                <w:color w:val="000000"/>
              </w:rPr>
            </w:pPr>
            <w:r w:rsidRPr="006D36F7">
              <w:rPr>
                <w:rFonts w:ascii="Calibri" w:hAnsi="Calibri" w:cs="Calibri"/>
                <w:b/>
                <w:color w:val="000000"/>
              </w:rPr>
              <w:t>Completion</w:t>
            </w:r>
            <w:r>
              <w:rPr>
                <w:rFonts w:ascii="Calibri" w:hAnsi="Calibri" w:cs="Calibri"/>
                <w:color w:val="000000"/>
              </w:rPr>
              <w:t xml:space="preserve"> – June 2015</w:t>
            </w:r>
          </w:p>
        </w:tc>
        <w:tc>
          <w:tcPr>
            <w:tcW w:w="1508" w:type="dxa"/>
            <w:shd w:val="clear" w:color="auto" w:fill="auto"/>
            <w:vAlign w:val="center"/>
          </w:tcPr>
          <w:p w:rsidR="003F7386" w:rsidRPr="0063403F" w:rsidRDefault="003F7386" w:rsidP="00766A87">
            <w:pPr>
              <w:rPr>
                <w:rFonts w:ascii="Calibri" w:hAnsi="Calibri" w:cs="Calibri"/>
                <w:color w:val="000000"/>
              </w:rPr>
            </w:pPr>
            <w:r>
              <w:rPr>
                <w:rFonts w:ascii="Calibri" w:hAnsi="Calibri" w:cs="Calibri"/>
                <w:color w:val="000000"/>
              </w:rPr>
              <w:t xml:space="preserve">Formative </w:t>
            </w:r>
          </w:p>
        </w:tc>
        <w:tc>
          <w:tcPr>
            <w:tcW w:w="6281" w:type="dxa"/>
            <w:shd w:val="clear" w:color="auto" w:fill="auto"/>
            <w:vAlign w:val="center"/>
          </w:tcPr>
          <w:p w:rsidR="003F7386" w:rsidRDefault="003F7386" w:rsidP="00766A87">
            <w:pPr>
              <w:rPr>
                <w:rFonts w:ascii="Calibri" w:hAnsi="Calibri"/>
              </w:rPr>
            </w:pPr>
            <w:r>
              <w:rPr>
                <w:rFonts w:ascii="Calibri" w:hAnsi="Calibri" w:cs="Calibri"/>
              </w:rPr>
              <w:t xml:space="preserve">An internal evaluation will be undertaken within existing departmental resources within the first year of </w:t>
            </w:r>
            <w:r w:rsidRPr="00604BD4">
              <w:rPr>
                <w:rFonts w:ascii="Calibri" w:hAnsi="Calibri" w:cs="Calibri"/>
              </w:rPr>
              <w:t xml:space="preserve">the implementation of the initiative </w:t>
            </w:r>
            <w:r>
              <w:rPr>
                <w:rFonts w:ascii="Calibri" w:hAnsi="Calibri" w:cs="Calibri"/>
              </w:rPr>
              <w:t xml:space="preserve">to ensure </w:t>
            </w:r>
            <w:r>
              <w:rPr>
                <w:rFonts w:ascii="Calibri" w:hAnsi="Calibri"/>
              </w:rPr>
              <w:t>policy objectives have been met and to inform national implementation considerations. The evaluation will identify:</w:t>
            </w:r>
          </w:p>
          <w:p w:rsidR="003F7386" w:rsidRDefault="003F7386" w:rsidP="00766A87">
            <w:pPr>
              <w:pStyle w:val="ListParagraph"/>
              <w:numPr>
                <w:ilvl w:val="0"/>
                <w:numId w:val="31"/>
              </w:numPr>
              <w:ind w:left="714" w:hanging="357"/>
              <w:contextualSpacing w:val="0"/>
              <w:rPr>
                <w:rFonts w:ascii="Calibri" w:hAnsi="Calibri" w:cs="Calibri"/>
              </w:rPr>
            </w:pPr>
            <w:r w:rsidRPr="003D567E">
              <w:rPr>
                <w:rFonts w:ascii="Calibri" w:hAnsi="Calibri" w:cs="Calibri"/>
              </w:rPr>
              <w:t xml:space="preserve">progress and </w:t>
            </w:r>
            <w:r>
              <w:rPr>
                <w:rFonts w:ascii="Calibri" w:hAnsi="Calibri" w:cs="Calibri"/>
              </w:rPr>
              <w:t>performance information</w:t>
            </w:r>
          </w:p>
          <w:p w:rsidR="003F7386" w:rsidRPr="0098083D" w:rsidRDefault="003F7386" w:rsidP="00766A87">
            <w:pPr>
              <w:pStyle w:val="ListParagraph"/>
              <w:numPr>
                <w:ilvl w:val="0"/>
                <w:numId w:val="31"/>
              </w:numPr>
              <w:ind w:left="714" w:hanging="357"/>
              <w:contextualSpacing w:val="0"/>
              <w:rPr>
                <w:rFonts w:ascii="Calibri" w:hAnsi="Calibri" w:cs="Calibri"/>
              </w:rPr>
            </w:pPr>
            <w:r w:rsidRPr="0098083D">
              <w:rPr>
                <w:rFonts w:ascii="Calibri" w:hAnsi="Calibri"/>
              </w:rPr>
              <w:t xml:space="preserve">any evidence of the impact of the programme including </w:t>
            </w:r>
            <w:r w:rsidRPr="0098083D">
              <w:rPr>
                <w:rFonts w:ascii="Calibri" w:hAnsi="Calibri" w:cs="Calibri"/>
              </w:rPr>
              <w:t>unintended consequences (both good and bad) of the programme</w:t>
            </w:r>
            <w:r>
              <w:rPr>
                <w:rFonts w:ascii="Calibri" w:hAnsi="Calibri" w:cs="Calibri"/>
              </w:rPr>
              <w:t>’s</w:t>
            </w:r>
            <w:r w:rsidRPr="0098083D">
              <w:rPr>
                <w:rFonts w:ascii="Calibri" w:hAnsi="Calibri" w:cs="Calibri"/>
              </w:rPr>
              <w:t xml:space="preserve"> operation, noting the programme is less than 12 months old</w:t>
            </w:r>
          </w:p>
          <w:p w:rsidR="003F7386" w:rsidRPr="0063403F" w:rsidRDefault="003F7386" w:rsidP="00766A87">
            <w:pPr>
              <w:pStyle w:val="ListParagraph"/>
              <w:numPr>
                <w:ilvl w:val="0"/>
                <w:numId w:val="31"/>
              </w:numPr>
              <w:ind w:left="714" w:hanging="357"/>
              <w:contextualSpacing w:val="0"/>
              <w:rPr>
                <w:rFonts w:ascii="Calibri" w:hAnsi="Calibri" w:cs="Calibri"/>
                <w:color w:val="000000"/>
              </w:rPr>
            </w:pPr>
            <w:proofErr w:type="gramStart"/>
            <w:r>
              <w:rPr>
                <w:rFonts w:ascii="Calibri" w:hAnsi="Calibri" w:cs="Calibri"/>
              </w:rPr>
              <w:t>suggestions</w:t>
            </w:r>
            <w:proofErr w:type="gramEnd"/>
            <w:r>
              <w:rPr>
                <w:rFonts w:ascii="Calibri" w:hAnsi="Calibri" w:cs="Calibri"/>
              </w:rPr>
              <w:t xml:space="preserve"> for improvement to implementation of measures.</w:t>
            </w:r>
          </w:p>
        </w:tc>
      </w:tr>
      <w:tr w:rsidR="003F7386" w:rsidRPr="0063403F" w:rsidTr="00D86B38">
        <w:trPr>
          <w:gridAfter w:val="2"/>
          <w:wAfter w:w="24" w:type="dxa"/>
          <w:trHeight w:val="1773"/>
        </w:trPr>
        <w:tc>
          <w:tcPr>
            <w:tcW w:w="1087" w:type="dxa"/>
            <w:shd w:val="clear" w:color="000000" w:fill="C6EFCE"/>
            <w:noWrap/>
            <w:vAlign w:val="center"/>
          </w:tcPr>
          <w:p w:rsidR="003F7386" w:rsidRPr="00A46E76" w:rsidRDefault="003F7386" w:rsidP="00766A87">
            <w:pPr>
              <w:rPr>
                <w:rFonts w:ascii="Calibri" w:hAnsi="Calibri" w:cs="Calibri"/>
                <w:color w:val="006100"/>
                <w:sz w:val="20"/>
                <w:szCs w:val="20"/>
              </w:rPr>
            </w:pPr>
            <w:r w:rsidRPr="00A46E76">
              <w:rPr>
                <w:rFonts w:ascii="Calibri" w:hAnsi="Calibri" w:cs="Calibri"/>
                <w:bCs/>
              </w:rPr>
              <w:t>High</w:t>
            </w:r>
          </w:p>
        </w:tc>
        <w:tc>
          <w:tcPr>
            <w:tcW w:w="1932" w:type="dxa"/>
            <w:shd w:val="clear" w:color="auto" w:fill="auto"/>
            <w:vAlign w:val="center"/>
          </w:tcPr>
          <w:p w:rsidR="003F7386" w:rsidRPr="0063403F" w:rsidRDefault="003F7386" w:rsidP="00766A87">
            <w:pPr>
              <w:rPr>
                <w:rFonts w:ascii="Calibri" w:hAnsi="Calibri" w:cs="Calibri"/>
                <w:color w:val="000000"/>
              </w:rPr>
            </w:pPr>
            <w:r>
              <w:rPr>
                <w:rFonts w:ascii="Calibri" w:hAnsi="Calibri" w:cs="Calibri"/>
                <w:color w:val="000000"/>
              </w:rPr>
              <w:t>VET consumer information needs</w:t>
            </w:r>
          </w:p>
        </w:tc>
        <w:tc>
          <w:tcPr>
            <w:tcW w:w="1694" w:type="dxa"/>
            <w:shd w:val="clear" w:color="auto" w:fill="auto"/>
            <w:vAlign w:val="center"/>
          </w:tcPr>
          <w:p w:rsidR="003F7386" w:rsidRPr="0063403F" w:rsidRDefault="003F7386" w:rsidP="00766A87">
            <w:pPr>
              <w:rPr>
                <w:rFonts w:ascii="Calibri" w:hAnsi="Calibri" w:cs="Calibri"/>
                <w:color w:val="000000"/>
              </w:rPr>
            </w:pPr>
            <w:r>
              <w:rPr>
                <w:rFonts w:ascii="Calibri" w:hAnsi="Calibri" w:cs="Calibri"/>
                <w:color w:val="000000"/>
              </w:rPr>
              <w:t>TBC</w:t>
            </w:r>
          </w:p>
        </w:tc>
        <w:tc>
          <w:tcPr>
            <w:tcW w:w="2392" w:type="dxa"/>
            <w:shd w:val="clear" w:color="auto" w:fill="auto"/>
            <w:vAlign w:val="center"/>
          </w:tcPr>
          <w:p w:rsidR="003F7386" w:rsidRPr="0063403F" w:rsidRDefault="003F7386" w:rsidP="00766A87">
            <w:pPr>
              <w:rPr>
                <w:rFonts w:ascii="Calibri" w:hAnsi="Calibri" w:cs="Calibri"/>
                <w:color w:val="000000"/>
              </w:rPr>
            </w:pPr>
            <w:r>
              <w:rPr>
                <w:rFonts w:ascii="Calibri" w:hAnsi="Calibri" w:cs="Calibri"/>
                <w:color w:val="000000"/>
              </w:rPr>
              <w:t>Commence in early May 2015 with completion in late June 2015 (TBC)</w:t>
            </w:r>
          </w:p>
        </w:tc>
        <w:tc>
          <w:tcPr>
            <w:tcW w:w="1508" w:type="dxa"/>
            <w:shd w:val="clear" w:color="auto" w:fill="auto"/>
            <w:vAlign w:val="center"/>
          </w:tcPr>
          <w:p w:rsidR="003F7386" w:rsidRPr="0063403F" w:rsidRDefault="003F7386" w:rsidP="00766A87">
            <w:pPr>
              <w:rPr>
                <w:rFonts w:ascii="Calibri" w:hAnsi="Calibri" w:cs="Calibri"/>
                <w:color w:val="000000"/>
              </w:rPr>
            </w:pPr>
            <w:r w:rsidRPr="00BD6AEF">
              <w:rPr>
                <w:rFonts w:ascii="Calibri" w:hAnsi="Calibri" w:cs="Calibri"/>
                <w:color w:val="000000"/>
              </w:rPr>
              <w:t>Ex-ante Evaluation</w:t>
            </w:r>
          </w:p>
        </w:tc>
        <w:tc>
          <w:tcPr>
            <w:tcW w:w="6281" w:type="dxa"/>
            <w:shd w:val="clear" w:color="auto" w:fill="auto"/>
            <w:vAlign w:val="center"/>
          </w:tcPr>
          <w:p w:rsidR="003F7386" w:rsidRPr="0063403F" w:rsidRDefault="003F7386" w:rsidP="00766A87">
            <w:pPr>
              <w:rPr>
                <w:rFonts w:ascii="Calibri" w:hAnsi="Calibri" w:cs="Calibri"/>
                <w:color w:val="000000"/>
              </w:rPr>
            </w:pPr>
            <w:r>
              <w:rPr>
                <w:rFonts w:ascii="Calibri" w:hAnsi="Calibri" w:cs="Calibri"/>
                <w:color w:val="000000"/>
              </w:rPr>
              <w:t xml:space="preserve">This evaluation will focus on what information VET users use currently, need and want to make informed choices about what and where they study. It is anticipated that outcomes from this work will result in improvements to the quality of consumer information available to and used by VET consumers and that this will help drive greater competition and innovation among </w:t>
            </w:r>
            <w:proofErr w:type="spellStart"/>
            <w:r>
              <w:rPr>
                <w:rFonts w:ascii="Calibri" w:hAnsi="Calibri" w:cs="Calibri"/>
                <w:color w:val="000000"/>
              </w:rPr>
              <w:t>RTOs</w:t>
            </w:r>
            <w:proofErr w:type="spellEnd"/>
            <w:r>
              <w:rPr>
                <w:rFonts w:ascii="Calibri" w:hAnsi="Calibri" w:cs="Calibri"/>
                <w:color w:val="000000"/>
              </w:rPr>
              <w:t xml:space="preserve"> in the sector.</w:t>
            </w:r>
          </w:p>
        </w:tc>
      </w:tr>
      <w:tr w:rsidR="003F7386" w:rsidRPr="0063403F" w:rsidTr="00D86B38">
        <w:trPr>
          <w:gridAfter w:val="2"/>
          <w:wAfter w:w="24" w:type="dxa"/>
          <w:trHeight w:val="1773"/>
        </w:trPr>
        <w:tc>
          <w:tcPr>
            <w:tcW w:w="1087" w:type="dxa"/>
            <w:shd w:val="clear" w:color="000000" w:fill="C6EFCE"/>
            <w:noWrap/>
            <w:vAlign w:val="center"/>
          </w:tcPr>
          <w:p w:rsidR="003F7386" w:rsidRPr="00A46E76" w:rsidRDefault="003F7386" w:rsidP="00766A87">
            <w:pPr>
              <w:rPr>
                <w:rFonts w:ascii="Calibri" w:hAnsi="Calibri" w:cs="Calibri"/>
                <w:color w:val="006100"/>
                <w:sz w:val="20"/>
                <w:szCs w:val="20"/>
              </w:rPr>
            </w:pPr>
            <w:r w:rsidRPr="00A46E76">
              <w:rPr>
                <w:rFonts w:ascii="Calibri" w:hAnsi="Calibri" w:cs="Calibri"/>
                <w:bCs/>
              </w:rPr>
              <w:t>High</w:t>
            </w:r>
          </w:p>
        </w:tc>
        <w:tc>
          <w:tcPr>
            <w:tcW w:w="1932" w:type="dxa"/>
            <w:shd w:val="clear" w:color="auto" w:fill="auto"/>
            <w:vAlign w:val="center"/>
          </w:tcPr>
          <w:p w:rsidR="003F7386" w:rsidRPr="00313C9C" w:rsidRDefault="003F7386" w:rsidP="00766A87">
            <w:pPr>
              <w:rPr>
                <w:rFonts w:ascii="Calibri" w:hAnsi="Calibri" w:cs="Calibri"/>
                <w:color w:val="000000"/>
              </w:rPr>
            </w:pPr>
            <w:r w:rsidRPr="00313C9C">
              <w:rPr>
                <w:rFonts w:ascii="Calibri" w:hAnsi="Calibri" w:cs="Calibri"/>
                <w:color w:val="000000"/>
              </w:rPr>
              <w:t>National Partnership Agreement on Skills Reform</w:t>
            </w:r>
          </w:p>
        </w:tc>
        <w:tc>
          <w:tcPr>
            <w:tcW w:w="1694" w:type="dxa"/>
            <w:shd w:val="clear" w:color="auto" w:fill="auto"/>
            <w:vAlign w:val="center"/>
          </w:tcPr>
          <w:p w:rsidR="003F7386" w:rsidRPr="00313C9C" w:rsidRDefault="003F7386" w:rsidP="00766A87">
            <w:pPr>
              <w:rPr>
                <w:rFonts w:ascii="Calibri" w:hAnsi="Calibri" w:cs="Calibri"/>
                <w:color w:val="000000"/>
              </w:rPr>
            </w:pPr>
            <w:r w:rsidRPr="00313C9C">
              <w:rPr>
                <w:rFonts w:ascii="Calibri" w:hAnsi="Calibri" w:cs="Calibri"/>
                <w:color w:val="000000"/>
              </w:rPr>
              <w:t>National Partnership clause 54</w:t>
            </w:r>
          </w:p>
        </w:tc>
        <w:tc>
          <w:tcPr>
            <w:tcW w:w="2392" w:type="dxa"/>
            <w:shd w:val="clear" w:color="auto" w:fill="auto"/>
            <w:vAlign w:val="center"/>
          </w:tcPr>
          <w:p w:rsidR="003F7386" w:rsidRPr="00313C9C" w:rsidRDefault="003F7386" w:rsidP="00766A87">
            <w:pPr>
              <w:rPr>
                <w:rFonts w:ascii="Calibri" w:hAnsi="Calibri" w:cs="Calibri"/>
                <w:color w:val="000000"/>
              </w:rPr>
            </w:pPr>
            <w:r w:rsidRPr="00313C9C">
              <w:rPr>
                <w:rFonts w:ascii="Calibri" w:hAnsi="Calibri" w:cs="Calibri"/>
                <w:color w:val="000000"/>
              </w:rPr>
              <w:t>Commence May/June 2015 with completion around the end of 2015</w:t>
            </w:r>
          </w:p>
        </w:tc>
        <w:tc>
          <w:tcPr>
            <w:tcW w:w="1508" w:type="dxa"/>
            <w:shd w:val="clear" w:color="auto" w:fill="auto"/>
            <w:vAlign w:val="center"/>
          </w:tcPr>
          <w:p w:rsidR="003F7386" w:rsidRPr="00313C9C" w:rsidRDefault="003F7386" w:rsidP="00766A87">
            <w:pPr>
              <w:rPr>
                <w:rFonts w:ascii="Calibri" w:hAnsi="Calibri" w:cs="Calibri"/>
                <w:color w:val="000000"/>
              </w:rPr>
            </w:pPr>
            <w:r w:rsidRPr="00313C9C">
              <w:rPr>
                <w:rFonts w:ascii="Calibri" w:hAnsi="Calibri" w:cs="Calibri"/>
                <w:color w:val="000000"/>
              </w:rPr>
              <w:t>Review</w:t>
            </w:r>
          </w:p>
        </w:tc>
        <w:tc>
          <w:tcPr>
            <w:tcW w:w="6281" w:type="dxa"/>
            <w:shd w:val="clear" w:color="auto" w:fill="auto"/>
            <w:vAlign w:val="center"/>
          </w:tcPr>
          <w:p w:rsidR="003F7386" w:rsidRPr="00313C9C" w:rsidRDefault="003F7386" w:rsidP="00766A87">
            <w:pPr>
              <w:rPr>
                <w:rFonts w:ascii="Calibri" w:hAnsi="Calibri" w:cs="Calibri"/>
              </w:rPr>
            </w:pPr>
            <w:r w:rsidRPr="00313C9C">
              <w:rPr>
                <w:rFonts w:ascii="Calibri" w:hAnsi="Calibri" w:cs="Calibri"/>
              </w:rPr>
              <w:t xml:space="preserve">The review will consider whether the reform measures implemented under the National </w:t>
            </w:r>
            <w:proofErr w:type="spellStart"/>
            <w:r w:rsidRPr="00313C9C">
              <w:rPr>
                <w:rFonts w:ascii="Calibri" w:hAnsi="Calibri" w:cs="Calibri"/>
              </w:rPr>
              <w:t>Parternship</w:t>
            </w:r>
            <w:proofErr w:type="spellEnd"/>
            <w:r w:rsidRPr="00313C9C">
              <w:rPr>
                <w:rFonts w:ascii="Calibri" w:hAnsi="Calibri" w:cs="Calibri"/>
              </w:rPr>
              <w:t xml:space="preserve"> Agreement have contributed to achieving the outcomes specified in the agreement, including increasing </w:t>
            </w:r>
            <w:proofErr w:type="spellStart"/>
            <w:r w:rsidRPr="00313C9C">
              <w:rPr>
                <w:rFonts w:ascii="Calibri" w:hAnsi="Calibri" w:cs="Calibri"/>
              </w:rPr>
              <w:t>accessability</w:t>
            </w:r>
            <w:proofErr w:type="spellEnd"/>
            <w:r w:rsidRPr="00313C9C">
              <w:rPr>
                <w:rFonts w:ascii="Calibri" w:hAnsi="Calibri" w:cs="Calibri"/>
              </w:rPr>
              <w:t>, equity, transparency, quality and efficiency of the VET system.</w:t>
            </w:r>
          </w:p>
        </w:tc>
      </w:tr>
      <w:tr w:rsidR="003F7386" w:rsidRPr="0063403F" w:rsidTr="00D86B38">
        <w:trPr>
          <w:gridAfter w:val="2"/>
          <w:wAfter w:w="24" w:type="dxa"/>
          <w:cantSplit/>
          <w:trHeight w:val="1118"/>
        </w:trPr>
        <w:tc>
          <w:tcPr>
            <w:tcW w:w="1087" w:type="dxa"/>
            <w:shd w:val="clear" w:color="000000" w:fill="FFCC99"/>
            <w:noWrap/>
            <w:vAlign w:val="center"/>
          </w:tcPr>
          <w:p w:rsidR="003F7386" w:rsidRPr="00A46E76" w:rsidRDefault="003F7386" w:rsidP="00766A87">
            <w:pPr>
              <w:rPr>
                <w:rFonts w:ascii="Calibri" w:hAnsi="Calibri" w:cs="Calibri"/>
                <w:color w:val="3F3F76"/>
              </w:rPr>
            </w:pPr>
            <w:r w:rsidRPr="00A46E76">
              <w:rPr>
                <w:rFonts w:ascii="Calibri" w:hAnsi="Calibri" w:cs="Calibri"/>
              </w:rPr>
              <w:lastRenderedPageBreak/>
              <w:t>Medium</w:t>
            </w:r>
          </w:p>
        </w:tc>
        <w:tc>
          <w:tcPr>
            <w:tcW w:w="1932" w:type="dxa"/>
            <w:shd w:val="clear" w:color="auto" w:fill="auto"/>
            <w:vAlign w:val="center"/>
          </w:tcPr>
          <w:p w:rsidR="003F7386" w:rsidRPr="0063403F" w:rsidRDefault="003F7386" w:rsidP="00766A87">
            <w:pPr>
              <w:rPr>
                <w:rFonts w:ascii="Calibri" w:hAnsi="Calibri" w:cs="Calibri"/>
                <w:color w:val="000000"/>
              </w:rPr>
            </w:pPr>
            <w:r>
              <w:rPr>
                <w:rFonts w:ascii="Calibri" w:hAnsi="Calibri" w:cs="Calibri"/>
                <w:color w:val="000000"/>
              </w:rPr>
              <w:t>Trade Support Loans Long-term evaluation</w:t>
            </w:r>
          </w:p>
        </w:tc>
        <w:tc>
          <w:tcPr>
            <w:tcW w:w="1694" w:type="dxa"/>
            <w:shd w:val="clear" w:color="auto" w:fill="auto"/>
            <w:vAlign w:val="center"/>
          </w:tcPr>
          <w:p w:rsidR="003F7386" w:rsidRPr="0063403F" w:rsidRDefault="003F7386" w:rsidP="00766A87">
            <w:pPr>
              <w:rPr>
                <w:rFonts w:ascii="Calibri" w:hAnsi="Calibri" w:cs="Calibri"/>
                <w:color w:val="000000"/>
              </w:rPr>
            </w:pPr>
            <w:r>
              <w:rPr>
                <w:rFonts w:ascii="Calibri" w:hAnsi="Calibri" w:cs="Calibri"/>
                <w:color w:val="000000"/>
              </w:rPr>
              <w:t>Government decision</w:t>
            </w:r>
          </w:p>
        </w:tc>
        <w:tc>
          <w:tcPr>
            <w:tcW w:w="2392" w:type="dxa"/>
            <w:shd w:val="clear" w:color="auto" w:fill="auto"/>
            <w:vAlign w:val="center"/>
          </w:tcPr>
          <w:p w:rsidR="003F7386" w:rsidRDefault="003F7386" w:rsidP="00DA629F">
            <w:pPr>
              <w:spacing w:after="120"/>
              <w:rPr>
                <w:rFonts w:ascii="Calibri" w:hAnsi="Calibri" w:cs="Calibri"/>
                <w:color w:val="000000"/>
              </w:rPr>
            </w:pPr>
            <w:r w:rsidRPr="006D36F7">
              <w:rPr>
                <w:rFonts w:ascii="Calibri" w:hAnsi="Calibri" w:cs="Calibri"/>
                <w:b/>
                <w:color w:val="000000"/>
              </w:rPr>
              <w:t>Commencement</w:t>
            </w:r>
            <w:r>
              <w:rPr>
                <w:rFonts w:ascii="Calibri" w:hAnsi="Calibri" w:cs="Calibri"/>
                <w:color w:val="000000"/>
              </w:rPr>
              <w:t xml:space="preserve"> – June 2016</w:t>
            </w:r>
          </w:p>
          <w:p w:rsidR="003F7386" w:rsidRPr="0063403F" w:rsidRDefault="003F7386" w:rsidP="00766A87">
            <w:pPr>
              <w:rPr>
                <w:rFonts w:ascii="Calibri" w:hAnsi="Calibri" w:cs="Calibri"/>
                <w:color w:val="000000"/>
              </w:rPr>
            </w:pPr>
            <w:r w:rsidRPr="006D36F7">
              <w:rPr>
                <w:rFonts w:ascii="Calibri" w:hAnsi="Calibri" w:cs="Calibri"/>
                <w:b/>
                <w:color w:val="000000"/>
              </w:rPr>
              <w:t>Completion</w:t>
            </w:r>
            <w:r>
              <w:rPr>
                <w:rFonts w:ascii="Calibri" w:hAnsi="Calibri" w:cs="Calibri"/>
                <w:color w:val="000000"/>
              </w:rPr>
              <w:t xml:space="preserve"> – June 2017</w:t>
            </w:r>
          </w:p>
        </w:tc>
        <w:tc>
          <w:tcPr>
            <w:tcW w:w="1508" w:type="dxa"/>
            <w:shd w:val="clear" w:color="auto" w:fill="auto"/>
            <w:vAlign w:val="center"/>
          </w:tcPr>
          <w:p w:rsidR="003F7386" w:rsidRDefault="003F7386" w:rsidP="00D86B38">
            <w:pPr>
              <w:spacing w:after="120"/>
              <w:rPr>
                <w:rFonts w:ascii="Calibri" w:hAnsi="Calibri" w:cs="Calibri"/>
                <w:color w:val="000000"/>
              </w:rPr>
            </w:pPr>
            <w:r>
              <w:rPr>
                <w:rFonts w:ascii="Calibri" w:hAnsi="Calibri" w:cs="Calibri"/>
                <w:color w:val="000000"/>
              </w:rPr>
              <w:t xml:space="preserve">Impact/ Outcome evaluation </w:t>
            </w:r>
          </w:p>
          <w:p w:rsidR="003F7386" w:rsidRPr="0063403F" w:rsidRDefault="003F7386" w:rsidP="00766A87">
            <w:pPr>
              <w:rPr>
                <w:rFonts w:ascii="Calibri" w:hAnsi="Calibri" w:cs="Calibri"/>
                <w:color w:val="000000"/>
              </w:rPr>
            </w:pPr>
            <w:r>
              <w:rPr>
                <w:rFonts w:ascii="Calibri" w:hAnsi="Calibri" w:cs="Calibri"/>
                <w:color w:val="000000"/>
              </w:rPr>
              <w:t>External provider to be engaged</w:t>
            </w:r>
          </w:p>
        </w:tc>
        <w:tc>
          <w:tcPr>
            <w:tcW w:w="6281" w:type="dxa"/>
            <w:shd w:val="clear" w:color="auto" w:fill="auto"/>
            <w:vAlign w:val="center"/>
          </w:tcPr>
          <w:p w:rsidR="003F7386" w:rsidRPr="006D36F7" w:rsidRDefault="003F7386" w:rsidP="00766A87">
            <w:pPr>
              <w:rPr>
                <w:rFonts w:ascii="Calibri" w:hAnsi="Calibri" w:cs="Calibri"/>
              </w:rPr>
            </w:pPr>
            <w:r w:rsidRPr="006D36F7">
              <w:rPr>
                <w:rFonts w:ascii="Calibri" w:hAnsi="Calibri" w:cs="Calibri"/>
              </w:rPr>
              <w:t>In the 2016</w:t>
            </w:r>
            <w:r>
              <w:rPr>
                <w:rFonts w:ascii="Calibri" w:hAnsi="Calibri" w:cs="Calibri"/>
              </w:rPr>
              <w:t>–</w:t>
            </w:r>
            <w:r w:rsidRPr="006D36F7">
              <w:rPr>
                <w:rFonts w:ascii="Calibri" w:hAnsi="Calibri" w:cs="Calibri"/>
              </w:rPr>
              <w:t>17 financial year an evaluation will be undertaken to determine the performance of the Trade Support Loans programme including:</w:t>
            </w:r>
          </w:p>
          <w:p w:rsidR="003F7386" w:rsidRPr="006D36F7" w:rsidRDefault="003F7386" w:rsidP="00766A87">
            <w:pPr>
              <w:pStyle w:val="ListParagraph"/>
              <w:numPr>
                <w:ilvl w:val="0"/>
                <w:numId w:val="31"/>
              </w:numPr>
              <w:ind w:left="357" w:hanging="357"/>
              <w:contextualSpacing w:val="0"/>
              <w:rPr>
                <w:rFonts w:ascii="Calibri" w:hAnsi="Calibri" w:cs="Calibri"/>
              </w:rPr>
            </w:pPr>
            <w:r w:rsidRPr="006D36F7">
              <w:rPr>
                <w:rFonts w:ascii="Calibri" w:hAnsi="Calibri" w:cs="Calibri"/>
              </w:rPr>
              <w:t>an assessment of impact and outcomes of the initiative</w:t>
            </w:r>
          </w:p>
          <w:p w:rsidR="003F7386" w:rsidRPr="006D36F7" w:rsidRDefault="003F7386" w:rsidP="00766A87">
            <w:pPr>
              <w:pStyle w:val="ListParagraph"/>
              <w:numPr>
                <w:ilvl w:val="0"/>
                <w:numId w:val="31"/>
              </w:numPr>
              <w:ind w:left="357" w:hanging="357"/>
              <w:contextualSpacing w:val="0"/>
              <w:rPr>
                <w:rFonts w:ascii="Calibri" w:hAnsi="Calibri" w:cs="Calibri"/>
              </w:rPr>
            </w:pPr>
            <w:r w:rsidRPr="006D36F7">
              <w:rPr>
                <w:rFonts w:ascii="Calibri" w:hAnsi="Calibri" w:cs="Calibri"/>
              </w:rPr>
              <w:t xml:space="preserve">baseline data (quantitative and qualitative) </w:t>
            </w:r>
          </w:p>
          <w:p w:rsidR="003F7386" w:rsidRPr="006D36F7" w:rsidRDefault="003F7386" w:rsidP="00766A87">
            <w:pPr>
              <w:pStyle w:val="ListParagraph"/>
              <w:numPr>
                <w:ilvl w:val="0"/>
                <w:numId w:val="31"/>
              </w:numPr>
              <w:ind w:left="357" w:hanging="357"/>
              <w:contextualSpacing w:val="0"/>
              <w:rPr>
                <w:rFonts w:ascii="Calibri" w:hAnsi="Calibri" w:cs="Calibri"/>
              </w:rPr>
            </w:pPr>
            <w:r w:rsidRPr="006D36F7">
              <w:rPr>
                <w:rFonts w:ascii="Calibri" w:hAnsi="Calibri" w:cs="Calibri"/>
              </w:rPr>
              <w:t>update on completion rates across groups</w:t>
            </w:r>
          </w:p>
          <w:p w:rsidR="003F7386" w:rsidRDefault="003F7386" w:rsidP="00766A87">
            <w:pPr>
              <w:pStyle w:val="ListParagraph"/>
              <w:numPr>
                <w:ilvl w:val="0"/>
                <w:numId w:val="31"/>
              </w:numPr>
              <w:ind w:left="357" w:hanging="357"/>
              <w:contextualSpacing w:val="0"/>
              <w:rPr>
                <w:rFonts w:ascii="Calibri" w:hAnsi="Calibri" w:cs="Calibri"/>
              </w:rPr>
            </w:pPr>
            <w:r w:rsidRPr="00EA123F">
              <w:rPr>
                <w:rFonts w:ascii="Calibri" w:hAnsi="Calibri" w:cs="Calibri"/>
              </w:rPr>
              <w:t>positive and negative unintended consequences</w:t>
            </w:r>
          </w:p>
          <w:p w:rsidR="003F7386" w:rsidRPr="00EA123F" w:rsidRDefault="003F7386" w:rsidP="00766A87">
            <w:pPr>
              <w:pStyle w:val="ListParagraph"/>
              <w:numPr>
                <w:ilvl w:val="0"/>
                <w:numId w:val="31"/>
              </w:numPr>
              <w:ind w:left="357" w:hanging="357"/>
              <w:contextualSpacing w:val="0"/>
              <w:rPr>
                <w:rFonts w:ascii="Calibri" w:hAnsi="Calibri" w:cs="Calibri"/>
              </w:rPr>
            </w:pPr>
            <w:r w:rsidRPr="00EA123F">
              <w:rPr>
                <w:rFonts w:ascii="Calibri" w:hAnsi="Calibri" w:cs="Calibri"/>
              </w:rPr>
              <w:t>key issues that arose during the programme period</w:t>
            </w:r>
          </w:p>
          <w:p w:rsidR="003F7386" w:rsidRPr="006D36F7" w:rsidRDefault="003F7386" w:rsidP="00DA629F">
            <w:pPr>
              <w:pStyle w:val="ListParagraph"/>
              <w:numPr>
                <w:ilvl w:val="0"/>
                <w:numId w:val="31"/>
              </w:numPr>
              <w:spacing w:after="120"/>
              <w:ind w:left="357" w:hanging="357"/>
              <w:contextualSpacing w:val="0"/>
              <w:rPr>
                <w:rFonts w:ascii="Calibri" w:hAnsi="Calibri" w:cs="Calibri"/>
              </w:rPr>
            </w:pPr>
            <w:proofErr w:type="gramStart"/>
            <w:r w:rsidRPr="006D36F7">
              <w:rPr>
                <w:rFonts w:ascii="Calibri" w:hAnsi="Calibri" w:cs="Calibri"/>
              </w:rPr>
              <w:t>key</w:t>
            </w:r>
            <w:proofErr w:type="gramEnd"/>
            <w:r w:rsidRPr="006D36F7">
              <w:rPr>
                <w:rFonts w:ascii="Calibri" w:hAnsi="Calibri" w:cs="Calibri"/>
              </w:rPr>
              <w:t xml:space="preserve"> lessons and suggested actions to improve the overall performance of future work.</w:t>
            </w:r>
          </w:p>
          <w:p w:rsidR="003F7386" w:rsidRPr="006D36F7" w:rsidRDefault="003F7386" w:rsidP="00766A87">
            <w:pPr>
              <w:rPr>
                <w:rFonts w:ascii="Calibri" w:hAnsi="Calibri" w:cs="Calibri"/>
              </w:rPr>
            </w:pPr>
            <w:r w:rsidRPr="006D36F7">
              <w:rPr>
                <w:rFonts w:ascii="Calibri" w:hAnsi="Calibri" w:cs="Calibri"/>
              </w:rPr>
              <w:t>The department will engage an external provider to undertake this review.</w:t>
            </w:r>
          </w:p>
        </w:tc>
      </w:tr>
      <w:tr w:rsidR="003F7386" w:rsidRPr="0063403F" w:rsidTr="00D86B38">
        <w:trPr>
          <w:gridAfter w:val="2"/>
          <w:wAfter w:w="24" w:type="dxa"/>
          <w:trHeight w:val="1118"/>
        </w:trPr>
        <w:tc>
          <w:tcPr>
            <w:tcW w:w="1087" w:type="dxa"/>
            <w:shd w:val="clear" w:color="000000" w:fill="FFCC99"/>
            <w:noWrap/>
            <w:vAlign w:val="center"/>
          </w:tcPr>
          <w:p w:rsidR="003F7386" w:rsidRPr="00A46E76" w:rsidRDefault="003F7386" w:rsidP="00766A87">
            <w:pPr>
              <w:rPr>
                <w:rFonts w:ascii="Calibri" w:hAnsi="Calibri" w:cs="Calibri"/>
                <w:color w:val="3F3F76"/>
              </w:rPr>
            </w:pPr>
            <w:r w:rsidRPr="00A46E76">
              <w:rPr>
                <w:rFonts w:ascii="Calibri" w:hAnsi="Calibri" w:cs="Calibri"/>
              </w:rPr>
              <w:t>Medium</w:t>
            </w:r>
          </w:p>
        </w:tc>
        <w:tc>
          <w:tcPr>
            <w:tcW w:w="1932" w:type="dxa"/>
            <w:shd w:val="clear" w:color="auto" w:fill="auto"/>
            <w:vAlign w:val="center"/>
          </w:tcPr>
          <w:p w:rsidR="003F7386" w:rsidRPr="0063403F" w:rsidRDefault="003F7386" w:rsidP="00766A87">
            <w:pPr>
              <w:rPr>
                <w:rFonts w:ascii="Calibri" w:hAnsi="Calibri" w:cs="Calibri"/>
                <w:color w:val="000000"/>
              </w:rPr>
            </w:pPr>
            <w:r>
              <w:rPr>
                <w:rFonts w:ascii="Calibri" w:hAnsi="Calibri" w:cs="Calibri"/>
                <w:color w:val="000000"/>
              </w:rPr>
              <w:t>Industry Skills Fund evaluation</w:t>
            </w:r>
          </w:p>
        </w:tc>
        <w:tc>
          <w:tcPr>
            <w:tcW w:w="1694" w:type="dxa"/>
            <w:shd w:val="clear" w:color="auto" w:fill="auto"/>
            <w:vAlign w:val="center"/>
          </w:tcPr>
          <w:p w:rsidR="003F7386" w:rsidRPr="0063403F" w:rsidRDefault="003F7386" w:rsidP="00766A87">
            <w:pPr>
              <w:rPr>
                <w:rFonts w:ascii="Calibri" w:hAnsi="Calibri" w:cs="Calibri"/>
                <w:color w:val="000000"/>
              </w:rPr>
            </w:pPr>
            <w:r>
              <w:rPr>
                <w:rFonts w:ascii="Calibri" w:hAnsi="Calibri" w:cs="Calibri"/>
                <w:color w:val="000000"/>
              </w:rPr>
              <w:t>Programme Governance Committee approved evaluation strategy (when in Department of Industry)</w:t>
            </w:r>
          </w:p>
        </w:tc>
        <w:tc>
          <w:tcPr>
            <w:tcW w:w="2392" w:type="dxa"/>
            <w:shd w:val="clear" w:color="auto" w:fill="auto"/>
            <w:vAlign w:val="center"/>
          </w:tcPr>
          <w:p w:rsidR="003F7386" w:rsidRDefault="003F7386" w:rsidP="00DA629F">
            <w:pPr>
              <w:spacing w:after="120"/>
              <w:rPr>
                <w:rFonts w:ascii="Calibri" w:hAnsi="Calibri" w:cs="Calibri"/>
                <w:color w:val="000000"/>
              </w:rPr>
            </w:pPr>
            <w:r>
              <w:rPr>
                <w:rFonts w:ascii="Calibri" w:hAnsi="Calibri" w:cs="Calibri"/>
                <w:color w:val="000000"/>
              </w:rPr>
              <w:t>2015: Commence d</w:t>
            </w:r>
            <w:r w:rsidR="00DA629F">
              <w:rPr>
                <w:rFonts w:ascii="Calibri" w:hAnsi="Calibri" w:cs="Calibri"/>
                <w:color w:val="000000"/>
              </w:rPr>
              <w:t>ata gathering</w:t>
            </w:r>
          </w:p>
          <w:p w:rsidR="003F7386" w:rsidRPr="0063403F" w:rsidRDefault="003F7386" w:rsidP="00766A87">
            <w:pPr>
              <w:rPr>
                <w:rFonts w:ascii="Calibri" w:hAnsi="Calibri" w:cs="Calibri"/>
                <w:color w:val="000000"/>
              </w:rPr>
            </w:pPr>
            <w:r>
              <w:rPr>
                <w:rFonts w:ascii="Calibri" w:hAnsi="Calibri" w:cs="Calibri"/>
                <w:color w:val="000000"/>
              </w:rPr>
              <w:t>2016–17: In-depth studies</w:t>
            </w:r>
          </w:p>
        </w:tc>
        <w:tc>
          <w:tcPr>
            <w:tcW w:w="1508" w:type="dxa"/>
            <w:shd w:val="clear" w:color="auto" w:fill="auto"/>
            <w:vAlign w:val="center"/>
          </w:tcPr>
          <w:p w:rsidR="003F7386" w:rsidRPr="0063403F" w:rsidRDefault="003F7386" w:rsidP="00766A87">
            <w:pPr>
              <w:rPr>
                <w:rFonts w:ascii="Calibri" w:hAnsi="Calibri" w:cs="Calibri"/>
                <w:color w:val="000000"/>
              </w:rPr>
            </w:pPr>
            <w:r>
              <w:rPr>
                <w:rFonts w:ascii="Calibri" w:hAnsi="Calibri" w:cs="Calibri"/>
                <w:color w:val="000000"/>
              </w:rPr>
              <w:t>Impact</w:t>
            </w:r>
          </w:p>
        </w:tc>
        <w:tc>
          <w:tcPr>
            <w:tcW w:w="6281" w:type="dxa"/>
            <w:shd w:val="clear" w:color="auto" w:fill="auto"/>
            <w:vAlign w:val="center"/>
          </w:tcPr>
          <w:p w:rsidR="003F7386" w:rsidRPr="0063403F" w:rsidRDefault="003F7386" w:rsidP="00766A87">
            <w:pPr>
              <w:rPr>
                <w:rFonts w:ascii="Calibri" w:hAnsi="Calibri" w:cs="Calibri"/>
                <w:color w:val="000000"/>
              </w:rPr>
            </w:pPr>
            <w:r>
              <w:rPr>
                <w:rFonts w:ascii="Calibri" w:hAnsi="Calibri" w:cs="Calibri"/>
                <w:color w:val="000000"/>
              </w:rPr>
              <w:t>It is envisioned that a</w:t>
            </w:r>
            <w:r w:rsidRPr="003B796D">
              <w:rPr>
                <w:rFonts w:ascii="Calibri" w:hAnsi="Calibri" w:cs="Calibri"/>
                <w:color w:val="000000"/>
              </w:rPr>
              <w:t xml:space="preserve"> multi-dimensional approach will be adopted for the evaluation of the Industry Skills Fund, focusing on skills advice evaluation reporting, outcomes reporting, an Australian Bureau of Statistics (ABS) programme impact study, and a post project evaluation study. In order to provide information of value to VET/skills policy, the evaluation </w:t>
            </w:r>
            <w:r>
              <w:rPr>
                <w:rFonts w:ascii="Calibri" w:hAnsi="Calibri" w:cs="Calibri"/>
                <w:color w:val="000000"/>
              </w:rPr>
              <w:t>intends to also include</w:t>
            </w:r>
            <w:r w:rsidRPr="003B796D">
              <w:rPr>
                <w:rFonts w:ascii="Calibri" w:hAnsi="Calibri" w:cs="Calibri"/>
                <w:color w:val="000000"/>
              </w:rPr>
              <w:t xml:space="preserve"> post programme analysis of learner data and outcomes.</w:t>
            </w:r>
          </w:p>
        </w:tc>
      </w:tr>
      <w:tr w:rsidR="003F7386" w:rsidRPr="0063403F" w:rsidTr="00D86B38">
        <w:trPr>
          <w:gridAfter w:val="2"/>
          <w:wAfter w:w="24" w:type="dxa"/>
          <w:trHeight w:val="1118"/>
        </w:trPr>
        <w:tc>
          <w:tcPr>
            <w:tcW w:w="1087" w:type="dxa"/>
            <w:shd w:val="clear" w:color="000000" w:fill="FFCC99"/>
            <w:noWrap/>
            <w:vAlign w:val="center"/>
          </w:tcPr>
          <w:p w:rsidR="003F7386" w:rsidRPr="00A46E76" w:rsidRDefault="003F7386" w:rsidP="00766A87">
            <w:pPr>
              <w:rPr>
                <w:rFonts w:ascii="Calibri" w:hAnsi="Calibri" w:cs="Calibri"/>
                <w:color w:val="3F3F76"/>
              </w:rPr>
            </w:pPr>
            <w:r w:rsidRPr="00A46E76">
              <w:rPr>
                <w:rFonts w:ascii="Calibri" w:hAnsi="Calibri" w:cs="Calibri"/>
              </w:rPr>
              <w:t>Medium</w:t>
            </w:r>
          </w:p>
        </w:tc>
        <w:tc>
          <w:tcPr>
            <w:tcW w:w="1932" w:type="dxa"/>
            <w:shd w:val="clear" w:color="auto" w:fill="auto"/>
            <w:vAlign w:val="center"/>
          </w:tcPr>
          <w:p w:rsidR="003F7386" w:rsidRPr="0063403F" w:rsidRDefault="003F7386" w:rsidP="00766A87">
            <w:pPr>
              <w:rPr>
                <w:rFonts w:ascii="Calibri" w:hAnsi="Calibri" w:cs="Calibri"/>
                <w:color w:val="000000"/>
              </w:rPr>
            </w:pPr>
            <w:r>
              <w:rPr>
                <w:rFonts w:ascii="Calibri" w:hAnsi="Calibri" w:cs="Calibri"/>
                <w:color w:val="000000"/>
              </w:rPr>
              <w:t xml:space="preserve">Unique Student Identifier scheme (a </w:t>
            </w:r>
            <w:proofErr w:type="spellStart"/>
            <w:r>
              <w:rPr>
                <w:rFonts w:ascii="Calibri" w:hAnsi="Calibri" w:cs="Calibri"/>
                <w:color w:val="000000"/>
              </w:rPr>
              <w:t>COAG</w:t>
            </w:r>
            <w:proofErr w:type="spellEnd"/>
            <w:r>
              <w:rPr>
                <w:rFonts w:ascii="Calibri" w:hAnsi="Calibri" w:cs="Calibri"/>
                <w:color w:val="000000"/>
              </w:rPr>
              <w:t xml:space="preserve"> initiative)</w:t>
            </w:r>
          </w:p>
        </w:tc>
        <w:tc>
          <w:tcPr>
            <w:tcW w:w="1694" w:type="dxa"/>
            <w:shd w:val="clear" w:color="auto" w:fill="auto"/>
            <w:vAlign w:val="center"/>
          </w:tcPr>
          <w:p w:rsidR="003F7386" w:rsidRPr="0063403F" w:rsidRDefault="003F7386" w:rsidP="00766A87">
            <w:pPr>
              <w:rPr>
                <w:rFonts w:ascii="Calibri" w:hAnsi="Calibri" w:cs="Calibri"/>
                <w:color w:val="000000"/>
              </w:rPr>
            </w:pPr>
            <w:r>
              <w:rPr>
                <w:rFonts w:ascii="Calibri" w:hAnsi="Calibri" w:cs="Calibri"/>
                <w:color w:val="000000"/>
              </w:rPr>
              <w:t xml:space="preserve">Department on behalf of </w:t>
            </w:r>
            <w:proofErr w:type="spellStart"/>
            <w:r>
              <w:rPr>
                <w:rFonts w:ascii="Calibri" w:hAnsi="Calibri" w:cs="Calibri"/>
                <w:color w:val="000000"/>
              </w:rPr>
              <w:t>COAG</w:t>
            </w:r>
            <w:proofErr w:type="spellEnd"/>
          </w:p>
        </w:tc>
        <w:tc>
          <w:tcPr>
            <w:tcW w:w="2392" w:type="dxa"/>
            <w:shd w:val="clear" w:color="auto" w:fill="auto"/>
            <w:vAlign w:val="center"/>
          </w:tcPr>
          <w:p w:rsidR="003F7386" w:rsidRPr="0063403F" w:rsidRDefault="003F7386" w:rsidP="00766A87">
            <w:pPr>
              <w:rPr>
                <w:rFonts w:ascii="Calibri" w:hAnsi="Calibri" w:cs="Calibri"/>
                <w:color w:val="000000"/>
              </w:rPr>
            </w:pPr>
            <w:r>
              <w:rPr>
                <w:rFonts w:ascii="Calibri" w:hAnsi="Calibri" w:cs="Calibri"/>
                <w:color w:val="000000"/>
              </w:rPr>
              <w:t>Latter half of 2016</w:t>
            </w:r>
          </w:p>
        </w:tc>
        <w:tc>
          <w:tcPr>
            <w:tcW w:w="1508" w:type="dxa"/>
            <w:shd w:val="clear" w:color="auto" w:fill="auto"/>
            <w:vAlign w:val="center"/>
          </w:tcPr>
          <w:p w:rsidR="003F7386" w:rsidRPr="0063403F" w:rsidRDefault="003F7386" w:rsidP="00766A87">
            <w:pPr>
              <w:rPr>
                <w:rFonts w:ascii="Calibri" w:hAnsi="Calibri" w:cs="Calibri"/>
                <w:color w:val="000000"/>
              </w:rPr>
            </w:pPr>
            <w:r>
              <w:rPr>
                <w:rFonts w:ascii="Calibri" w:hAnsi="Calibri" w:cs="Calibri"/>
                <w:color w:val="000000"/>
              </w:rPr>
              <w:t>Process evaluation</w:t>
            </w:r>
          </w:p>
        </w:tc>
        <w:tc>
          <w:tcPr>
            <w:tcW w:w="6281" w:type="dxa"/>
            <w:shd w:val="clear" w:color="auto" w:fill="auto"/>
            <w:vAlign w:val="center"/>
          </w:tcPr>
          <w:p w:rsidR="003F7386" w:rsidRPr="0063403F" w:rsidRDefault="003F7386" w:rsidP="00766A87">
            <w:pPr>
              <w:rPr>
                <w:rFonts w:ascii="Calibri" w:hAnsi="Calibri" w:cs="Calibri"/>
                <w:color w:val="000000"/>
              </w:rPr>
            </w:pPr>
            <w:r>
              <w:rPr>
                <w:rFonts w:ascii="Calibri" w:hAnsi="Calibri" w:cs="Calibri"/>
                <w:color w:val="000000"/>
              </w:rPr>
              <w:t xml:space="preserve">A post-implementation review of the </w:t>
            </w:r>
            <w:r w:rsidRPr="0077065F">
              <w:rPr>
                <w:rFonts w:ascii="Calibri" w:hAnsi="Calibri" w:cs="Calibri"/>
                <w:color w:val="000000"/>
              </w:rPr>
              <w:t>operation of governance arrangements administer</w:t>
            </w:r>
            <w:r>
              <w:rPr>
                <w:rFonts w:ascii="Calibri" w:hAnsi="Calibri" w:cs="Calibri"/>
                <w:color w:val="000000"/>
              </w:rPr>
              <w:t>ing</w:t>
            </w:r>
            <w:r w:rsidRPr="0077065F">
              <w:rPr>
                <w:rFonts w:ascii="Calibri" w:hAnsi="Calibri" w:cs="Calibri"/>
                <w:color w:val="000000"/>
              </w:rPr>
              <w:t xml:space="preserve"> the </w:t>
            </w:r>
            <w:proofErr w:type="spellStart"/>
            <w:r w:rsidRPr="0077065F">
              <w:rPr>
                <w:rFonts w:ascii="Calibri" w:hAnsi="Calibri" w:cs="Calibri"/>
                <w:color w:val="000000"/>
              </w:rPr>
              <w:t>USI</w:t>
            </w:r>
            <w:proofErr w:type="spellEnd"/>
            <w:r w:rsidRPr="0077065F">
              <w:rPr>
                <w:rFonts w:ascii="Calibri" w:hAnsi="Calibri" w:cs="Calibri"/>
                <w:color w:val="000000"/>
              </w:rPr>
              <w:t xml:space="preserve"> </w:t>
            </w:r>
            <w:r>
              <w:rPr>
                <w:rFonts w:ascii="Calibri" w:hAnsi="Calibri" w:cs="Calibri"/>
                <w:color w:val="000000"/>
              </w:rPr>
              <w:t xml:space="preserve">scheme and training record </w:t>
            </w:r>
            <w:r w:rsidRPr="0077065F">
              <w:rPr>
                <w:rFonts w:ascii="Calibri" w:hAnsi="Calibri" w:cs="Calibri"/>
                <w:color w:val="000000"/>
              </w:rPr>
              <w:t>transcript</w:t>
            </w:r>
            <w:r>
              <w:rPr>
                <w:rFonts w:ascii="Calibri" w:hAnsi="Calibri" w:cs="Calibri"/>
                <w:color w:val="000000"/>
              </w:rPr>
              <w:t xml:space="preserve"> service.</w:t>
            </w:r>
          </w:p>
        </w:tc>
      </w:tr>
      <w:tr w:rsidR="003F7386" w:rsidRPr="0063403F" w:rsidTr="00D86B38">
        <w:trPr>
          <w:gridAfter w:val="2"/>
          <w:wAfter w:w="24" w:type="dxa"/>
          <w:trHeight w:val="1118"/>
        </w:trPr>
        <w:tc>
          <w:tcPr>
            <w:tcW w:w="1087" w:type="dxa"/>
            <w:shd w:val="clear" w:color="000000" w:fill="FFCC99"/>
            <w:noWrap/>
            <w:vAlign w:val="center"/>
          </w:tcPr>
          <w:p w:rsidR="003F7386" w:rsidRPr="00A46E76" w:rsidRDefault="003F7386" w:rsidP="00766A87">
            <w:pPr>
              <w:rPr>
                <w:rFonts w:ascii="Calibri" w:hAnsi="Calibri" w:cs="Calibri"/>
                <w:color w:val="3F3F76"/>
              </w:rPr>
            </w:pPr>
            <w:r w:rsidRPr="00A46E76">
              <w:rPr>
                <w:rFonts w:ascii="Calibri" w:hAnsi="Calibri" w:cs="Calibri"/>
              </w:rPr>
              <w:t>Medium</w:t>
            </w:r>
          </w:p>
        </w:tc>
        <w:tc>
          <w:tcPr>
            <w:tcW w:w="1932" w:type="dxa"/>
            <w:shd w:val="clear" w:color="auto" w:fill="auto"/>
            <w:vAlign w:val="center"/>
          </w:tcPr>
          <w:p w:rsidR="003F7386" w:rsidRPr="0063403F" w:rsidRDefault="003F7386" w:rsidP="00766A87">
            <w:pPr>
              <w:rPr>
                <w:rFonts w:ascii="Calibri" w:hAnsi="Calibri" w:cs="Calibri"/>
                <w:color w:val="000000"/>
              </w:rPr>
            </w:pPr>
            <w:r>
              <w:rPr>
                <w:rFonts w:ascii="Calibri" w:hAnsi="Calibri" w:cs="Calibri"/>
                <w:color w:val="000000"/>
              </w:rPr>
              <w:t>National Training Complaints Hotline</w:t>
            </w:r>
          </w:p>
        </w:tc>
        <w:tc>
          <w:tcPr>
            <w:tcW w:w="1694" w:type="dxa"/>
            <w:shd w:val="clear" w:color="auto" w:fill="auto"/>
            <w:vAlign w:val="center"/>
          </w:tcPr>
          <w:p w:rsidR="003F7386" w:rsidRPr="0063403F" w:rsidRDefault="003F7386" w:rsidP="00766A87">
            <w:pPr>
              <w:rPr>
                <w:rFonts w:ascii="Calibri" w:hAnsi="Calibri" w:cs="Calibri"/>
                <w:color w:val="000000"/>
              </w:rPr>
            </w:pPr>
            <w:r>
              <w:rPr>
                <w:rFonts w:ascii="Calibri" w:hAnsi="Calibri" w:cs="Calibri"/>
                <w:color w:val="000000"/>
              </w:rPr>
              <w:t>Skills Senior Officials</w:t>
            </w:r>
          </w:p>
        </w:tc>
        <w:tc>
          <w:tcPr>
            <w:tcW w:w="2392" w:type="dxa"/>
            <w:shd w:val="clear" w:color="auto" w:fill="auto"/>
            <w:vAlign w:val="center"/>
          </w:tcPr>
          <w:p w:rsidR="003F7386" w:rsidRPr="0063403F" w:rsidRDefault="003F7386" w:rsidP="00766A87">
            <w:pPr>
              <w:rPr>
                <w:rFonts w:ascii="Calibri" w:hAnsi="Calibri" w:cs="Calibri"/>
                <w:color w:val="000000"/>
              </w:rPr>
            </w:pPr>
            <w:r>
              <w:rPr>
                <w:rFonts w:ascii="Calibri" w:hAnsi="Calibri" w:cs="Calibri"/>
                <w:color w:val="000000"/>
              </w:rPr>
              <w:t xml:space="preserve">Exact timeframes to be confirmed. Likely to commence in </w:t>
            </w:r>
            <w:proofErr w:type="spellStart"/>
            <w:r>
              <w:rPr>
                <w:rFonts w:ascii="Calibri" w:hAnsi="Calibri" w:cs="Calibri"/>
                <w:color w:val="000000"/>
              </w:rPr>
              <w:t>mid 2015</w:t>
            </w:r>
            <w:proofErr w:type="spellEnd"/>
            <w:r>
              <w:rPr>
                <w:rFonts w:ascii="Calibri" w:hAnsi="Calibri" w:cs="Calibri"/>
                <w:color w:val="000000"/>
              </w:rPr>
              <w:t>, and continue for approx. 4-6 weeks</w:t>
            </w:r>
          </w:p>
        </w:tc>
        <w:tc>
          <w:tcPr>
            <w:tcW w:w="1508" w:type="dxa"/>
            <w:shd w:val="clear" w:color="auto" w:fill="auto"/>
            <w:vAlign w:val="center"/>
          </w:tcPr>
          <w:p w:rsidR="003F7386" w:rsidRPr="0063403F" w:rsidRDefault="003F7386" w:rsidP="00766A87">
            <w:pPr>
              <w:rPr>
                <w:rFonts w:ascii="Calibri" w:hAnsi="Calibri" w:cs="Calibri"/>
                <w:color w:val="000000"/>
              </w:rPr>
            </w:pPr>
            <w:r>
              <w:rPr>
                <w:rFonts w:ascii="Calibri" w:hAnsi="Calibri" w:cs="Calibri"/>
                <w:color w:val="000000"/>
              </w:rPr>
              <w:t>Programme Evaluation</w:t>
            </w:r>
          </w:p>
        </w:tc>
        <w:tc>
          <w:tcPr>
            <w:tcW w:w="6281" w:type="dxa"/>
            <w:shd w:val="clear" w:color="auto" w:fill="auto"/>
            <w:vAlign w:val="center"/>
          </w:tcPr>
          <w:p w:rsidR="003F7386" w:rsidRPr="0063403F" w:rsidRDefault="003F7386" w:rsidP="00766A87">
            <w:pPr>
              <w:rPr>
                <w:rFonts w:ascii="Calibri" w:hAnsi="Calibri" w:cs="Calibri"/>
                <w:color w:val="000000"/>
              </w:rPr>
            </w:pPr>
            <w:r>
              <w:rPr>
                <w:rFonts w:ascii="Calibri" w:hAnsi="Calibri" w:cs="Calibri"/>
                <w:color w:val="000000"/>
              </w:rPr>
              <w:t>Planned review to ensure the Hotline</w:t>
            </w:r>
            <w:r w:rsidRPr="00763F66">
              <w:rPr>
                <w:rFonts w:ascii="Calibri" w:hAnsi="Calibri" w:cs="Calibri"/>
                <w:color w:val="000000"/>
              </w:rPr>
              <w:t xml:space="preserve"> is operating as efficiently and effectively as possible. The review </w:t>
            </w:r>
            <w:r>
              <w:rPr>
                <w:rFonts w:ascii="Calibri" w:hAnsi="Calibri" w:cs="Calibri"/>
                <w:color w:val="000000"/>
              </w:rPr>
              <w:t>is</w:t>
            </w:r>
            <w:r w:rsidRPr="00763F66">
              <w:rPr>
                <w:rFonts w:ascii="Calibri" w:hAnsi="Calibri" w:cs="Calibri"/>
                <w:color w:val="000000"/>
              </w:rPr>
              <w:t xml:space="preserve"> </w:t>
            </w:r>
            <w:r>
              <w:rPr>
                <w:rFonts w:ascii="Calibri" w:hAnsi="Calibri" w:cs="Calibri"/>
                <w:color w:val="000000"/>
              </w:rPr>
              <w:t>also expected to c</w:t>
            </w:r>
            <w:r w:rsidRPr="00763F66">
              <w:rPr>
                <w:rFonts w:ascii="Calibri" w:hAnsi="Calibri" w:cs="Calibri"/>
                <w:color w:val="000000"/>
              </w:rPr>
              <w:t>onsider whether there are any gaps in the management of training complaints by the Commonwealth and how these gaps can be addressed</w:t>
            </w:r>
            <w:r>
              <w:rPr>
                <w:rFonts w:ascii="Calibri" w:hAnsi="Calibri" w:cs="Calibri"/>
                <w:color w:val="000000"/>
              </w:rPr>
              <w:t>.</w:t>
            </w:r>
          </w:p>
        </w:tc>
      </w:tr>
    </w:tbl>
    <w:p w:rsidR="003F7386" w:rsidRDefault="003F7386" w:rsidP="000537AD"/>
    <w:p w:rsidR="003F7386" w:rsidRDefault="003F7386" w:rsidP="000537AD">
      <w:pPr>
        <w:sectPr w:rsidR="003F7386" w:rsidSect="000537AD">
          <w:pgSz w:w="16838" w:h="11906" w:orient="landscape"/>
          <w:pgMar w:top="1134" w:right="1134" w:bottom="1134" w:left="1134" w:header="708" w:footer="708" w:gutter="0"/>
          <w:cols w:space="708"/>
          <w:titlePg/>
          <w:docGrid w:linePitch="360"/>
        </w:sectPr>
      </w:pPr>
    </w:p>
    <w:p w:rsidR="000537AD" w:rsidRPr="00FA197D" w:rsidRDefault="000537AD" w:rsidP="000537AD">
      <w:pPr>
        <w:pStyle w:val="Heading2"/>
        <w:rPr>
          <w:rFonts w:ascii="Calibri" w:hAnsi="Calibri" w:cs="Calibri"/>
          <w:sz w:val="28"/>
          <w:szCs w:val="28"/>
        </w:rPr>
      </w:pPr>
      <w:bookmarkStart w:id="15" w:name="_Toc433639350"/>
      <w:r w:rsidRPr="00FA197D">
        <w:rPr>
          <w:rFonts w:ascii="Calibri" w:hAnsi="Calibri" w:cs="Calibri"/>
          <w:sz w:val="28"/>
          <w:szCs w:val="28"/>
        </w:rPr>
        <w:lastRenderedPageBreak/>
        <w:t>A</w:t>
      </w:r>
      <w:bookmarkStart w:id="16" w:name="Attachment1"/>
      <w:bookmarkEnd w:id="16"/>
      <w:r w:rsidRPr="00FA197D">
        <w:rPr>
          <w:rFonts w:ascii="Calibri" w:hAnsi="Calibri" w:cs="Calibri"/>
          <w:sz w:val="28"/>
          <w:szCs w:val="28"/>
        </w:rPr>
        <w:t>ttachment 1: Terms and Definitions</w:t>
      </w:r>
      <w:bookmarkEnd w:id="15"/>
    </w:p>
    <w:tbl>
      <w:tblPr>
        <w:tblStyle w:val="TableGrid"/>
        <w:tblW w:w="0" w:type="auto"/>
        <w:tblLook w:val="04A0" w:firstRow="1" w:lastRow="0" w:firstColumn="1" w:lastColumn="0" w:noHBand="0" w:noVBand="1"/>
      </w:tblPr>
      <w:tblGrid>
        <w:gridCol w:w="2093"/>
        <w:gridCol w:w="7087"/>
      </w:tblGrid>
      <w:tr w:rsidR="000537AD" w:rsidTr="000537AD">
        <w:tc>
          <w:tcPr>
            <w:tcW w:w="2093" w:type="dxa"/>
          </w:tcPr>
          <w:p w:rsidR="000537AD" w:rsidRPr="005F2004" w:rsidRDefault="000537AD" w:rsidP="000537AD">
            <w:pPr>
              <w:rPr>
                <w:rFonts w:asciiTheme="minorHAnsi" w:hAnsiTheme="minorHAnsi" w:cstheme="minorHAnsi"/>
                <w:b/>
                <w:sz w:val="18"/>
                <w:szCs w:val="18"/>
              </w:rPr>
            </w:pPr>
            <w:r w:rsidRPr="005F2004">
              <w:rPr>
                <w:rFonts w:asciiTheme="minorHAnsi" w:hAnsiTheme="minorHAnsi" w:cstheme="minorHAnsi"/>
                <w:b/>
                <w:sz w:val="18"/>
                <w:szCs w:val="18"/>
              </w:rPr>
              <w:t>Appropriateness</w:t>
            </w:r>
          </w:p>
        </w:tc>
        <w:tc>
          <w:tcPr>
            <w:tcW w:w="7087" w:type="dxa"/>
          </w:tcPr>
          <w:p w:rsidR="000537AD" w:rsidRPr="005F2004" w:rsidRDefault="000537AD" w:rsidP="000537AD">
            <w:pPr>
              <w:rPr>
                <w:rFonts w:asciiTheme="minorHAnsi" w:hAnsiTheme="minorHAnsi" w:cstheme="minorHAnsi"/>
                <w:sz w:val="18"/>
                <w:szCs w:val="18"/>
              </w:rPr>
            </w:pPr>
            <w:r w:rsidRPr="005F2004">
              <w:rPr>
                <w:rFonts w:asciiTheme="minorHAnsi" w:hAnsiTheme="minorHAnsi" w:cstheme="minorHAnsi"/>
                <w:sz w:val="18"/>
                <w:szCs w:val="18"/>
              </w:rPr>
              <w:t xml:space="preserve">An appropriate </w:t>
            </w:r>
            <w:r>
              <w:rPr>
                <w:rFonts w:asciiTheme="minorHAnsi" w:hAnsiTheme="minorHAnsi" w:cstheme="minorHAnsi"/>
                <w:sz w:val="18"/>
                <w:szCs w:val="18"/>
              </w:rPr>
              <w:t>programme</w:t>
            </w:r>
            <w:r w:rsidRPr="005F2004">
              <w:rPr>
                <w:rFonts w:asciiTheme="minorHAnsi" w:hAnsiTheme="minorHAnsi" w:cstheme="minorHAnsi"/>
                <w:sz w:val="18"/>
                <w:szCs w:val="18"/>
              </w:rPr>
              <w:t xml:space="preserve"> is one:</w:t>
            </w:r>
          </w:p>
          <w:p w:rsidR="000537AD" w:rsidRPr="005F2004" w:rsidRDefault="000537AD" w:rsidP="000537AD">
            <w:pPr>
              <w:pStyle w:val="ListParagraph"/>
              <w:numPr>
                <w:ilvl w:val="0"/>
                <w:numId w:val="24"/>
              </w:numPr>
              <w:spacing w:after="120"/>
              <w:rPr>
                <w:rFonts w:asciiTheme="minorHAnsi" w:hAnsiTheme="minorHAnsi" w:cstheme="minorHAnsi"/>
                <w:sz w:val="18"/>
                <w:szCs w:val="18"/>
              </w:rPr>
            </w:pPr>
            <w:r w:rsidRPr="005F2004">
              <w:rPr>
                <w:rFonts w:asciiTheme="minorHAnsi" w:hAnsiTheme="minorHAnsi" w:cstheme="minorHAnsi"/>
                <w:sz w:val="18"/>
                <w:szCs w:val="18"/>
              </w:rPr>
              <w:t xml:space="preserve">for which there is an identified need in the community </w:t>
            </w:r>
          </w:p>
          <w:p w:rsidR="000537AD" w:rsidRPr="005F2004" w:rsidRDefault="000537AD" w:rsidP="000537AD">
            <w:pPr>
              <w:pStyle w:val="ListParagraph"/>
              <w:numPr>
                <w:ilvl w:val="0"/>
                <w:numId w:val="24"/>
              </w:numPr>
              <w:spacing w:after="120"/>
              <w:rPr>
                <w:rFonts w:asciiTheme="minorHAnsi" w:hAnsiTheme="minorHAnsi" w:cstheme="minorHAnsi"/>
                <w:sz w:val="18"/>
                <w:szCs w:val="18"/>
              </w:rPr>
            </w:pPr>
            <w:r w:rsidRPr="005F2004">
              <w:rPr>
                <w:rFonts w:asciiTheme="minorHAnsi" w:hAnsiTheme="minorHAnsi" w:cstheme="minorHAnsi"/>
                <w:sz w:val="18"/>
                <w:szCs w:val="18"/>
              </w:rPr>
              <w:t>where addressing that need is consistent with current government objectives, and</w:t>
            </w:r>
          </w:p>
          <w:p w:rsidR="000537AD" w:rsidRPr="005F2004" w:rsidRDefault="000537AD" w:rsidP="000537AD">
            <w:pPr>
              <w:pStyle w:val="ListParagraph"/>
              <w:numPr>
                <w:ilvl w:val="0"/>
                <w:numId w:val="24"/>
              </w:numPr>
              <w:spacing w:after="120"/>
              <w:rPr>
                <w:rFonts w:asciiTheme="minorHAnsi" w:hAnsiTheme="minorHAnsi" w:cstheme="minorHAnsi"/>
                <w:sz w:val="18"/>
                <w:szCs w:val="18"/>
              </w:rPr>
            </w:pPr>
            <w:proofErr w:type="gramStart"/>
            <w:r w:rsidRPr="005F2004">
              <w:rPr>
                <w:rFonts w:asciiTheme="minorHAnsi" w:hAnsiTheme="minorHAnsi" w:cstheme="minorHAnsi"/>
                <w:sz w:val="18"/>
                <w:szCs w:val="18"/>
              </w:rPr>
              <w:t>for</w:t>
            </w:r>
            <w:proofErr w:type="gramEnd"/>
            <w:r w:rsidRPr="005F2004">
              <w:rPr>
                <w:rFonts w:asciiTheme="minorHAnsi" w:hAnsiTheme="minorHAnsi" w:cstheme="minorHAnsi"/>
                <w:sz w:val="18"/>
                <w:szCs w:val="18"/>
              </w:rPr>
              <w:t xml:space="preserve"> which there is a strong causal link between the </w:t>
            </w:r>
            <w:r>
              <w:rPr>
                <w:rFonts w:asciiTheme="minorHAnsi" w:hAnsiTheme="minorHAnsi" w:cstheme="minorHAnsi"/>
                <w:sz w:val="18"/>
                <w:szCs w:val="18"/>
              </w:rPr>
              <w:t>programme</w:t>
            </w:r>
            <w:r w:rsidRPr="005F2004">
              <w:rPr>
                <w:rFonts w:asciiTheme="minorHAnsi" w:hAnsiTheme="minorHAnsi" w:cstheme="minorHAnsi"/>
                <w:sz w:val="18"/>
                <w:szCs w:val="18"/>
              </w:rPr>
              <w:t xml:space="preserve"> strategy and the desired outcomes.</w:t>
            </w:r>
          </w:p>
        </w:tc>
      </w:tr>
      <w:tr w:rsidR="000537AD" w:rsidTr="000537AD">
        <w:tc>
          <w:tcPr>
            <w:tcW w:w="2093" w:type="dxa"/>
          </w:tcPr>
          <w:p w:rsidR="000537AD" w:rsidRPr="005F2004" w:rsidRDefault="000537AD" w:rsidP="000537AD">
            <w:pPr>
              <w:rPr>
                <w:rFonts w:asciiTheme="minorHAnsi" w:hAnsiTheme="minorHAnsi" w:cstheme="minorHAnsi"/>
                <w:b/>
                <w:sz w:val="18"/>
                <w:szCs w:val="18"/>
              </w:rPr>
            </w:pPr>
            <w:r w:rsidRPr="005F2004">
              <w:rPr>
                <w:rFonts w:asciiTheme="minorHAnsi" w:hAnsiTheme="minorHAnsi" w:cstheme="minorHAnsi"/>
                <w:b/>
                <w:sz w:val="18"/>
                <w:szCs w:val="18"/>
              </w:rPr>
              <w:t>Design</w:t>
            </w:r>
          </w:p>
        </w:tc>
        <w:tc>
          <w:tcPr>
            <w:tcW w:w="7087" w:type="dxa"/>
          </w:tcPr>
          <w:p w:rsidR="000537AD" w:rsidRPr="005F2004" w:rsidRDefault="000537AD" w:rsidP="000537AD">
            <w:pPr>
              <w:rPr>
                <w:rFonts w:asciiTheme="minorHAnsi" w:hAnsiTheme="minorHAnsi" w:cstheme="minorHAnsi"/>
                <w:sz w:val="18"/>
                <w:szCs w:val="18"/>
              </w:rPr>
            </w:pPr>
            <w:r w:rsidRPr="005F2004">
              <w:rPr>
                <w:rFonts w:asciiTheme="minorHAnsi" w:hAnsiTheme="minorHAnsi" w:cstheme="minorHAnsi"/>
                <w:sz w:val="18"/>
                <w:szCs w:val="18"/>
              </w:rPr>
              <w:t xml:space="preserve">See </w:t>
            </w:r>
            <w:r w:rsidRPr="005F2004">
              <w:rPr>
                <w:rFonts w:asciiTheme="minorHAnsi" w:hAnsiTheme="minorHAnsi" w:cstheme="minorHAnsi"/>
                <w:i/>
                <w:sz w:val="18"/>
                <w:szCs w:val="18"/>
              </w:rPr>
              <w:t>Evaluation Design</w:t>
            </w:r>
            <w:r w:rsidRPr="005F2004">
              <w:rPr>
                <w:rFonts w:asciiTheme="minorHAnsi" w:hAnsiTheme="minorHAnsi" w:cstheme="minorHAnsi"/>
                <w:sz w:val="18"/>
                <w:szCs w:val="18"/>
              </w:rPr>
              <w:t xml:space="preserve"> and </w:t>
            </w:r>
            <w:r w:rsidRPr="005F2004">
              <w:rPr>
                <w:rFonts w:asciiTheme="minorHAnsi" w:hAnsiTheme="minorHAnsi" w:cstheme="minorHAnsi"/>
                <w:i/>
                <w:sz w:val="18"/>
                <w:szCs w:val="18"/>
              </w:rPr>
              <w:t>Implementation Design</w:t>
            </w:r>
          </w:p>
        </w:tc>
      </w:tr>
      <w:tr w:rsidR="000537AD" w:rsidTr="000537AD">
        <w:tc>
          <w:tcPr>
            <w:tcW w:w="2093" w:type="dxa"/>
          </w:tcPr>
          <w:p w:rsidR="000537AD" w:rsidRPr="005F2004" w:rsidRDefault="000537AD" w:rsidP="000537AD">
            <w:pPr>
              <w:rPr>
                <w:rFonts w:asciiTheme="minorHAnsi" w:hAnsiTheme="minorHAnsi" w:cstheme="minorHAnsi"/>
                <w:b/>
                <w:sz w:val="18"/>
                <w:szCs w:val="18"/>
              </w:rPr>
            </w:pPr>
            <w:r w:rsidRPr="005F2004">
              <w:rPr>
                <w:rFonts w:asciiTheme="minorHAnsi" w:hAnsiTheme="minorHAnsi" w:cstheme="minorHAnsi"/>
                <w:b/>
                <w:sz w:val="18"/>
                <w:szCs w:val="18"/>
              </w:rPr>
              <w:t>Effectiveness</w:t>
            </w:r>
          </w:p>
        </w:tc>
        <w:tc>
          <w:tcPr>
            <w:tcW w:w="7087" w:type="dxa"/>
          </w:tcPr>
          <w:p w:rsidR="000537AD" w:rsidRPr="005F2004" w:rsidRDefault="000537AD" w:rsidP="000537AD">
            <w:pPr>
              <w:rPr>
                <w:rFonts w:asciiTheme="minorHAnsi" w:hAnsiTheme="minorHAnsi" w:cstheme="minorHAnsi"/>
                <w:sz w:val="18"/>
                <w:szCs w:val="18"/>
              </w:rPr>
            </w:pPr>
            <w:r w:rsidRPr="005F2004">
              <w:rPr>
                <w:rFonts w:asciiTheme="minorHAnsi" w:hAnsiTheme="minorHAnsi" w:cstheme="minorHAnsi"/>
                <w:sz w:val="18"/>
                <w:szCs w:val="18"/>
              </w:rPr>
              <w:t xml:space="preserve">The extent to which the </w:t>
            </w:r>
            <w:r>
              <w:rPr>
                <w:rFonts w:asciiTheme="minorHAnsi" w:hAnsiTheme="minorHAnsi" w:cstheme="minorHAnsi"/>
                <w:sz w:val="18"/>
                <w:szCs w:val="18"/>
              </w:rPr>
              <w:t>programme</w:t>
            </w:r>
            <w:r w:rsidRPr="005F2004">
              <w:rPr>
                <w:rFonts w:asciiTheme="minorHAnsi" w:hAnsiTheme="minorHAnsi" w:cstheme="minorHAnsi"/>
                <w:sz w:val="18"/>
                <w:szCs w:val="18"/>
              </w:rPr>
              <w:t xml:space="preserve"> has achieved its objectives. The effectiveness of a </w:t>
            </w:r>
            <w:r>
              <w:rPr>
                <w:rFonts w:asciiTheme="minorHAnsi" w:hAnsiTheme="minorHAnsi" w:cstheme="minorHAnsi"/>
                <w:sz w:val="18"/>
                <w:szCs w:val="18"/>
              </w:rPr>
              <w:t>programme</w:t>
            </w:r>
            <w:r w:rsidRPr="005F2004">
              <w:rPr>
                <w:rFonts w:asciiTheme="minorHAnsi" w:hAnsiTheme="minorHAnsi" w:cstheme="minorHAnsi"/>
                <w:sz w:val="18"/>
                <w:szCs w:val="18"/>
              </w:rPr>
              <w:t xml:space="preserve"> should be distinguished from the adequacy of the administration of the </w:t>
            </w:r>
            <w:r>
              <w:rPr>
                <w:rFonts w:asciiTheme="minorHAnsi" w:hAnsiTheme="minorHAnsi" w:cstheme="minorHAnsi"/>
                <w:sz w:val="18"/>
                <w:szCs w:val="18"/>
              </w:rPr>
              <w:t>programme</w:t>
            </w:r>
            <w:r w:rsidRPr="005F2004">
              <w:rPr>
                <w:rFonts w:asciiTheme="minorHAnsi" w:hAnsiTheme="minorHAnsi" w:cstheme="minorHAnsi"/>
                <w:sz w:val="18"/>
                <w:szCs w:val="18"/>
              </w:rPr>
              <w:t>, which concerns efficiency.</w:t>
            </w:r>
          </w:p>
        </w:tc>
      </w:tr>
      <w:tr w:rsidR="000537AD" w:rsidTr="000537AD">
        <w:tc>
          <w:tcPr>
            <w:tcW w:w="2093" w:type="dxa"/>
          </w:tcPr>
          <w:p w:rsidR="000537AD" w:rsidRPr="005F2004" w:rsidRDefault="000537AD" w:rsidP="000537AD">
            <w:pPr>
              <w:rPr>
                <w:rFonts w:asciiTheme="minorHAnsi" w:hAnsiTheme="minorHAnsi" w:cstheme="minorHAnsi"/>
                <w:b/>
                <w:sz w:val="18"/>
                <w:szCs w:val="18"/>
              </w:rPr>
            </w:pPr>
            <w:r w:rsidRPr="005F2004">
              <w:rPr>
                <w:rFonts w:asciiTheme="minorHAnsi" w:hAnsiTheme="minorHAnsi" w:cstheme="minorHAnsi"/>
                <w:b/>
                <w:sz w:val="18"/>
                <w:szCs w:val="18"/>
              </w:rPr>
              <w:t>Efficiency</w:t>
            </w:r>
          </w:p>
        </w:tc>
        <w:tc>
          <w:tcPr>
            <w:tcW w:w="7087" w:type="dxa"/>
          </w:tcPr>
          <w:p w:rsidR="000537AD" w:rsidRPr="005F2004" w:rsidRDefault="000537AD" w:rsidP="000537AD">
            <w:pPr>
              <w:rPr>
                <w:rFonts w:asciiTheme="minorHAnsi" w:hAnsiTheme="minorHAnsi" w:cstheme="minorHAnsi"/>
                <w:sz w:val="18"/>
                <w:szCs w:val="18"/>
              </w:rPr>
            </w:pPr>
            <w:r w:rsidRPr="005F2004">
              <w:rPr>
                <w:rFonts w:asciiTheme="minorHAnsi" w:hAnsiTheme="minorHAnsi" w:cstheme="minorHAnsi"/>
                <w:sz w:val="18"/>
                <w:szCs w:val="18"/>
              </w:rPr>
              <w:t xml:space="preserve">Efficiency relates to minimising </w:t>
            </w:r>
            <w:r>
              <w:rPr>
                <w:rFonts w:asciiTheme="minorHAnsi" w:hAnsiTheme="minorHAnsi" w:cstheme="minorHAnsi"/>
                <w:sz w:val="18"/>
                <w:szCs w:val="18"/>
              </w:rPr>
              <w:t>programme</w:t>
            </w:r>
            <w:r w:rsidRPr="005F2004">
              <w:rPr>
                <w:rFonts w:asciiTheme="minorHAnsi" w:hAnsiTheme="minorHAnsi" w:cstheme="minorHAnsi"/>
                <w:sz w:val="18"/>
                <w:szCs w:val="18"/>
              </w:rPr>
              <w:t xml:space="preserve"> inputs for a given level of </w:t>
            </w:r>
            <w:r>
              <w:rPr>
                <w:rFonts w:asciiTheme="minorHAnsi" w:hAnsiTheme="minorHAnsi" w:cstheme="minorHAnsi"/>
                <w:sz w:val="18"/>
                <w:szCs w:val="18"/>
              </w:rPr>
              <w:t>programme</w:t>
            </w:r>
            <w:r w:rsidRPr="005F2004">
              <w:rPr>
                <w:rFonts w:asciiTheme="minorHAnsi" w:hAnsiTheme="minorHAnsi" w:cstheme="minorHAnsi"/>
                <w:sz w:val="18"/>
                <w:szCs w:val="18"/>
              </w:rPr>
              <w:t xml:space="preserve"> outputs, or to the extent to which </w:t>
            </w:r>
            <w:r>
              <w:rPr>
                <w:rFonts w:asciiTheme="minorHAnsi" w:hAnsiTheme="minorHAnsi" w:cstheme="minorHAnsi"/>
                <w:sz w:val="18"/>
                <w:szCs w:val="18"/>
              </w:rPr>
              <w:t>programme</w:t>
            </w:r>
            <w:r w:rsidRPr="005F2004">
              <w:rPr>
                <w:rFonts w:asciiTheme="minorHAnsi" w:hAnsiTheme="minorHAnsi" w:cstheme="minorHAnsi"/>
                <w:sz w:val="18"/>
                <w:szCs w:val="18"/>
              </w:rPr>
              <w:t xml:space="preserve"> outputs are maximised for a given level of inputs. Efficiency is concerned with the processes (activities/strategies/operations) by which a </w:t>
            </w:r>
            <w:r>
              <w:rPr>
                <w:rFonts w:asciiTheme="minorHAnsi" w:hAnsiTheme="minorHAnsi" w:cstheme="minorHAnsi"/>
                <w:sz w:val="18"/>
                <w:szCs w:val="18"/>
              </w:rPr>
              <w:t>programme</w:t>
            </w:r>
            <w:r w:rsidRPr="005F2004">
              <w:rPr>
                <w:rFonts w:asciiTheme="minorHAnsi" w:hAnsiTheme="minorHAnsi" w:cstheme="minorHAnsi"/>
                <w:sz w:val="18"/>
                <w:szCs w:val="18"/>
              </w:rPr>
              <w:t xml:space="preserve"> is delivered and which produce the outputs of the </w:t>
            </w:r>
            <w:r>
              <w:rPr>
                <w:rFonts w:asciiTheme="minorHAnsi" w:hAnsiTheme="minorHAnsi" w:cstheme="minorHAnsi"/>
                <w:sz w:val="18"/>
                <w:szCs w:val="18"/>
              </w:rPr>
              <w:t>programme</w:t>
            </w:r>
            <w:r w:rsidRPr="005F2004">
              <w:rPr>
                <w:rFonts w:asciiTheme="minorHAnsi" w:hAnsiTheme="minorHAnsi" w:cstheme="minorHAnsi"/>
                <w:sz w:val="18"/>
                <w:szCs w:val="18"/>
              </w:rPr>
              <w:t>.</w:t>
            </w:r>
          </w:p>
        </w:tc>
      </w:tr>
      <w:tr w:rsidR="000537AD" w:rsidTr="000537AD">
        <w:tc>
          <w:tcPr>
            <w:tcW w:w="2093" w:type="dxa"/>
          </w:tcPr>
          <w:p w:rsidR="000537AD" w:rsidRPr="005F2004" w:rsidRDefault="000537AD" w:rsidP="000537AD">
            <w:pPr>
              <w:rPr>
                <w:rFonts w:asciiTheme="minorHAnsi" w:hAnsiTheme="minorHAnsi" w:cstheme="minorHAnsi"/>
                <w:b/>
                <w:sz w:val="18"/>
                <w:szCs w:val="18"/>
              </w:rPr>
            </w:pPr>
            <w:r w:rsidRPr="005F2004">
              <w:rPr>
                <w:rFonts w:asciiTheme="minorHAnsi" w:hAnsiTheme="minorHAnsi" w:cstheme="minorHAnsi"/>
                <w:b/>
                <w:sz w:val="18"/>
                <w:szCs w:val="18"/>
              </w:rPr>
              <w:t>Evaluation Design</w:t>
            </w:r>
          </w:p>
        </w:tc>
        <w:tc>
          <w:tcPr>
            <w:tcW w:w="7087" w:type="dxa"/>
          </w:tcPr>
          <w:p w:rsidR="000537AD" w:rsidRPr="005F2004" w:rsidRDefault="000537AD" w:rsidP="000537AD">
            <w:pPr>
              <w:rPr>
                <w:rFonts w:asciiTheme="minorHAnsi" w:hAnsiTheme="minorHAnsi" w:cstheme="minorHAnsi"/>
                <w:sz w:val="18"/>
                <w:szCs w:val="18"/>
              </w:rPr>
            </w:pPr>
            <w:r w:rsidRPr="005F2004">
              <w:rPr>
                <w:rFonts w:asciiTheme="minorHAnsi" w:hAnsiTheme="minorHAnsi" w:cstheme="minorHAnsi"/>
                <w:sz w:val="18"/>
                <w:szCs w:val="18"/>
              </w:rPr>
              <w:t xml:space="preserve">The research method(s) used to collect and analyse data with the purpose of achieving the objectives of the evaluation. Evaluation designs include longitudinal studies, cohort-sequential designs, </w:t>
            </w:r>
            <w:proofErr w:type="gramStart"/>
            <w:r w:rsidRPr="005F2004">
              <w:rPr>
                <w:rFonts w:asciiTheme="minorHAnsi" w:hAnsiTheme="minorHAnsi" w:cstheme="minorHAnsi"/>
                <w:sz w:val="18"/>
                <w:szCs w:val="18"/>
              </w:rPr>
              <w:t>regression</w:t>
            </w:r>
            <w:proofErr w:type="gramEnd"/>
            <w:r w:rsidRPr="005F2004">
              <w:rPr>
                <w:rFonts w:asciiTheme="minorHAnsi" w:hAnsiTheme="minorHAnsi" w:cstheme="minorHAnsi"/>
                <w:sz w:val="18"/>
                <w:szCs w:val="18"/>
              </w:rPr>
              <w:t>-discontinuity designs and matched samples designs.</w:t>
            </w:r>
          </w:p>
        </w:tc>
      </w:tr>
      <w:tr w:rsidR="000537AD" w:rsidTr="000537AD">
        <w:tc>
          <w:tcPr>
            <w:tcW w:w="2093" w:type="dxa"/>
          </w:tcPr>
          <w:p w:rsidR="000537AD" w:rsidRPr="005F2004" w:rsidRDefault="000537AD" w:rsidP="000537AD">
            <w:pPr>
              <w:rPr>
                <w:rFonts w:asciiTheme="minorHAnsi" w:hAnsiTheme="minorHAnsi" w:cstheme="minorHAnsi"/>
                <w:b/>
                <w:sz w:val="18"/>
                <w:szCs w:val="18"/>
              </w:rPr>
            </w:pPr>
            <w:r w:rsidRPr="005F2004">
              <w:rPr>
                <w:rFonts w:asciiTheme="minorHAnsi" w:hAnsiTheme="minorHAnsi" w:cstheme="minorHAnsi"/>
                <w:b/>
                <w:sz w:val="18"/>
                <w:szCs w:val="18"/>
              </w:rPr>
              <w:t>Ex-ante Evaluation</w:t>
            </w:r>
          </w:p>
        </w:tc>
        <w:tc>
          <w:tcPr>
            <w:tcW w:w="7087" w:type="dxa"/>
          </w:tcPr>
          <w:p w:rsidR="000537AD" w:rsidRPr="005F2004" w:rsidRDefault="000537AD" w:rsidP="000537AD">
            <w:pPr>
              <w:rPr>
                <w:rFonts w:asciiTheme="minorHAnsi" w:hAnsiTheme="minorHAnsi" w:cstheme="minorHAnsi"/>
                <w:sz w:val="18"/>
                <w:szCs w:val="18"/>
              </w:rPr>
            </w:pPr>
            <w:r w:rsidRPr="005F2004">
              <w:rPr>
                <w:rFonts w:asciiTheme="minorHAnsi" w:hAnsiTheme="minorHAnsi" w:cstheme="minorHAnsi"/>
                <w:sz w:val="18"/>
                <w:szCs w:val="18"/>
              </w:rPr>
              <w:t xml:space="preserve">Ex-ante means "before the event". The aim of an ex-ante evaluation is to examine a </w:t>
            </w:r>
            <w:r>
              <w:rPr>
                <w:rFonts w:asciiTheme="minorHAnsi" w:hAnsiTheme="minorHAnsi" w:cstheme="minorHAnsi"/>
                <w:sz w:val="18"/>
                <w:szCs w:val="18"/>
              </w:rPr>
              <w:t>programme</w:t>
            </w:r>
            <w:r w:rsidRPr="005F2004">
              <w:rPr>
                <w:rFonts w:asciiTheme="minorHAnsi" w:hAnsiTheme="minorHAnsi" w:cstheme="minorHAnsi"/>
                <w:sz w:val="18"/>
                <w:szCs w:val="18"/>
              </w:rPr>
              <w:t xml:space="preserve"> before roll-out and to identify any aspects of the </w:t>
            </w:r>
            <w:r>
              <w:rPr>
                <w:rFonts w:asciiTheme="minorHAnsi" w:hAnsiTheme="minorHAnsi" w:cstheme="minorHAnsi"/>
                <w:sz w:val="18"/>
                <w:szCs w:val="18"/>
              </w:rPr>
              <w:t>programme</w:t>
            </w:r>
            <w:r w:rsidRPr="005F2004">
              <w:rPr>
                <w:rFonts w:asciiTheme="minorHAnsi" w:hAnsiTheme="minorHAnsi" w:cstheme="minorHAnsi"/>
                <w:sz w:val="18"/>
                <w:szCs w:val="18"/>
              </w:rPr>
              <w:t xml:space="preserve">’s future performance that can be seen as likely to be problematic. </w:t>
            </w:r>
          </w:p>
          <w:p w:rsidR="000537AD" w:rsidRPr="005F2004" w:rsidRDefault="000537AD" w:rsidP="000537AD">
            <w:pPr>
              <w:rPr>
                <w:rFonts w:asciiTheme="minorHAnsi" w:hAnsiTheme="minorHAnsi" w:cstheme="minorHAnsi"/>
                <w:sz w:val="18"/>
                <w:szCs w:val="18"/>
              </w:rPr>
            </w:pPr>
            <w:r w:rsidRPr="005F2004">
              <w:rPr>
                <w:rFonts w:asciiTheme="minorHAnsi" w:hAnsiTheme="minorHAnsi" w:cstheme="minorHAnsi"/>
                <w:sz w:val="18"/>
                <w:szCs w:val="18"/>
              </w:rPr>
              <w:t xml:space="preserve">Ex-ante evaluation can be used to support policy and </w:t>
            </w:r>
            <w:r>
              <w:rPr>
                <w:rFonts w:asciiTheme="minorHAnsi" w:hAnsiTheme="minorHAnsi" w:cstheme="minorHAnsi"/>
                <w:sz w:val="18"/>
                <w:szCs w:val="18"/>
              </w:rPr>
              <w:t>programme</w:t>
            </w:r>
            <w:r w:rsidRPr="005F2004">
              <w:rPr>
                <w:rFonts w:asciiTheme="minorHAnsi" w:hAnsiTheme="minorHAnsi" w:cstheme="minorHAnsi"/>
                <w:sz w:val="18"/>
                <w:szCs w:val="18"/>
              </w:rPr>
              <w:t xml:space="preserve"> development by assessing whether:</w:t>
            </w:r>
          </w:p>
          <w:p w:rsidR="000537AD" w:rsidRPr="005F2004" w:rsidRDefault="000537AD" w:rsidP="000537AD">
            <w:pPr>
              <w:pStyle w:val="ListParagraph"/>
              <w:numPr>
                <w:ilvl w:val="0"/>
                <w:numId w:val="24"/>
              </w:numPr>
              <w:spacing w:after="120"/>
              <w:rPr>
                <w:rFonts w:asciiTheme="minorHAnsi" w:hAnsiTheme="minorHAnsi" w:cstheme="minorHAnsi"/>
                <w:sz w:val="18"/>
                <w:szCs w:val="18"/>
              </w:rPr>
            </w:pPr>
            <w:r w:rsidRPr="005F2004">
              <w:rPr>
                <w:rFonts w:asciiTheme="minorHAnsi" w:hAnsiTheme="minorHAnsi" w:cstheme="minorHAnsi"/>
                <w:sz w:val="18"/>
                <w:szCs w:val="18"/>
              </w:rPr>
              <w:t>need has been correctly identified</w:t>
            </w:r>
          </w:p>
          <w:p w:rsidR="000537AD" w:rsidRPr="005F2004" w:rsidRDefault="000537AD" w:rsidP="000537AD">
            <w:pPr>
              <w:pStyle w:val="ListParagraph"/>
              <w:numPr>
                <w:ilvl w:val="0"/>
                <w:numId w:val="24"/>
              </w:numPr>
              <w:spacing w:after="120"/>
              <w:rPr>
                <w:rFonts w:asciiTheme="minorHAnsi" w:hAnsiTheme="minorHAnsi" w:cstheme="minorHAnsi"/>
                <w:sz w:val="18"/>
                <w:szCs w:val="18"/>
              </w:rPr>
            </w:pPr>
            <w:r w:rsidRPr="005F2004">
              <w:rPr>
                <w:rFonts w:asciiTheme="minorHAnsi" w:hAnsiTheme="minorHAnsi" w:cstheme="minorHAnsi"/>
                <w:sz w:val="18"/>
                <w:szCs w:val="18"/>
              </w:rPr>
              <w:t xml:space="preserve">the strategy and objectives for the proposed </w:t>
            </w:r>
            <w:r>
              <w:rPr>
                <w:rFonts w:asciiTheme="minorHAnsi" w:hAnsiTheme="minorHAnsi" w:cstheme="minorHAnsi"/>
                <w:sz w:val="18"/>
                <w:szCs w:val="18"/>
              </w:rPr>
              <w:t>programme</w:t>
            </w:r>
            <w:r w:rsidRPr="005F2004">
              <w:rPr>
                <w:rFonts w:asciiTheme="minorHAnsi" w:hAnsiTheme="minorHAnsi" w:cstheme="minorHAnsi"/>
                <w:sz w:val="18"/>
                <w:szCs w:val="18"/>
              </w:rPr>
              <w:t xml:space="preserve"> are relevant to the need (appropriateness)</w:t>
            </w:r>
          </w:p>
          <w:p w:rsidR="000537AD" w:rsidRPr="005F2004" w:rsidRDefault="000537AD" w:rsidP="000537AD">
            <w:pPr>
              <w:pStyle w:val="ListParagraph"/>
              <w:numPr>
                <w:ilvl w:val="0"/>
                <w:numId w:val="24"/>
              </w:numPr>
              <w:spacing w:after="120"/>
              <w:rPr>
                <w:rFonts w:asciiTheme="minorHAnsi" w:hAnsiTheme="minorHAnsi" w:cstheme="minorHAnsi"/>
                <w:sz w:val="18"/>
                <w:szCs w:val="18"/>
              </w:rPr>
            </w:pPr>
            <w:r w:rsidRPr="005F2004">
              <w:rPr>
                <w:rFonts w:asciiTheme="minorHAnsi" w:hAnsiTheme="minorHAnsi" w:cstheme="minorHAnsi"/>
                <w:sz w:val="18"/>
                <w:szCs w:val="18"/>
              </w:rPr>
              <w:t xml:space="preserve">the </w:t>
            </w:r>
            <w:r>
              <w:rPr>
                <w:rFonts w:asciiTheme="minorHAnsi" w:hAnsiTheme="minorHAnsi" w:cstheme="minorHAnsi"/>
                <w:sz w:val="18"/>
                <w:szCs w:val="18"/>
              </w:rPr>
              <w:t>programme</w:t>
            </w:r>
            <w:r w:rsidRPr="005F2004">
              <w:rPr>
                <w:rFonts w:asciiTheme="minorHAnsi" w:hAnsiTheme="minorHAnsi" w:cstheme="minorHAnsi"/>
                <w:sz w:val="18"/>
                <w:szCs w:val="18"/>
              </w:rPr>
              <w:t xml:space="preserve"> logic linking the activities of the </w:t>
            </w:r>
            <w:r>
              <w:rPr>
                <w:rFonts w:asciiTheme="minorHAnsi" w:hAnsiTheme="minorHAnsi" w:cstheme="minorHAnsi"/>
                <w:sz w:val="18"/>
                <w:szCs w:val="18"/>
              </w:rPr>
              <w:t>programme</w:t>
            </w:r>
            <w:r w:rsidRPr="005F2004">
              <w:rPr>
                <w:rFonts w:asciiTheme="minorHAnsi" w:hAnsiTheme="minorHAnsi" w:cstheme="minorHAnsi"/>
                <w:sz w:val="18"/>
                <w:szCs w:val="18"/>
              </w:rPr>
              <w:t xml:space="preserve"> to its ultimate expected outcomes is realistic and supported by evidence (likely effectiveness)</w:t>
            </w:r>
          </w:p>
          <w:p w:rsidR="000537AD" w:rsidRPr="005F2004" w:rsidRDefault="000537AD" w:rsidP="000537AD">
            <w:pPr>
              <w:pStyle w:val="ListParagraph"/>
              <w:numPr>
                <w:ilvl w:val="0"/>
                <w:numId w:val="24"/>
              </w:numPr>
              <w:spacing w:after="120"/>
              <w:rPr>
                <w:rFonts w:asciiTheme="minorHAnsi" w:hAnsiTheme="minorHAnsi" w:cstheme="minorHAnsi"/>
                <w:sz w:val="18"/>
                <w:szCs w:val="18"/>
              </w:rPr>
            </w:pPr>
            <w:proofErr w:type="gramStart"/>
            <w:r w:rsidRPr="005F2004">
              <w:rPr>
                <w:rFonts w:asciiTheme="minorHAnsi" w:hAnsiTheme="minorHAnsi" w:cstheme="minorHAnsi"/>
                <w:sz w:val="18"/>
                <w:szCs w:val="18"/>
              </w:rPr>
              <w:t>the</w:t>
            </w:r>
            <w:proofErr w:type="gramEnd"/>
            <w:r w:rsidRPr="005F2004">
              <w:rPr>
                <w:rFonts w:asciiTheme="minorHAnsi" w:hAnsiTheme="minorHAnsi" w:cstheme="minorHAnsi"/>
                <w:sz w:val="18"/>
                <w:szCs w:val="18"/>
              </w:rPr>
              <w:t xml:space="preserve"> </w:t>
            </w:r>
            <w:r>
              <w:rPr>
                <w:rFonts w:asciiTheme="minorHAnsi" w:hAnsiTheme="minorHAnsi" w:cstheme="minorHAnsi"/>
                <w:sz w:val="18"/>
                <w:szCs w:val="18"/>
              </w:rPr>
              <w:t>programme</w:t>
            </w:r>
            <w:r w:rsidRPr="005F2004">
              <w:rPr>
                <w:rFonts w:asciiTheme="minorHAnsi" w:hAnsiTheme="minorHAnsi" w:cstheme="minorHAnsi"/>
                <w:sz w:val="18"/>
                <w:szCs w:val="18"/>
              </w:rPr>
              <w:t xml:space="preserve"> design and planned activities are in line with the resources available (likely efficiency).</w:t>
            </w:r>
          </w:p>
        </w:tc>
      </w:tr>
      <w:tr w:rsidR="000537AD" w:rsidTr="000537AD">
        <w:tc>
          <w:tcPr>
            <w:tcW w:w="2093" w:type="dxa"/>
          </w:tcPr>
          <w:p w:rsidR="000537AD" w:rsidRPr="005F2004" w:rsidRDefault="000537AD" w:rsidP="000537AD">
            <w:pPr>
              <w:rPr>
                <w:rFonts w:asciiTheme="minorHAnsi" w:hAnsiTheme="minorHAnsi" w:cstheme="minorHAnsi"/>
                <w:b/>
                <w:sz w:val="18"/>
                <w:szCs w:val="18"/>
              </w:rPr>
            </w:pPr>
            <w:r w:rsidRPr="005F2004">
              <w:rPr>
                <w:rFonts w:asciiTheme="minorHAnsi" w:hAnsiTheme="minorHAnsi" w:cstheme="minorHAnsi"/>
                <w:b/>
                <w:sz w:val="18"/>
                <w:szCs w:val="18"/>
              </w:rPr>
              <w:t>Ex-post Evaluation</w:t>
            </w:r>
          </w:p>
        </w:tc>
        <w:tc>
          <w:tcPr>
            <w:tcW w:w="7087" w:type="dxa"/>
          </w:tcPr>
          <w:p w:rsidR="000537AD" w:rsidRPr="005F2004" w:rsidRDefault="000537AD" w:rsidP="000537AD">
            <w:pPr>
              <w:rPr>
                <w:rFonts w:asciiTheme="minorHAnsi" w:hAnsiTheme="minorHAnsi" w:cstheme="minorHAnsi"/>
                <w:sz w:val="18"/>
                <w:szCs w:val="18"/>
              </w:rPr>
            </w:pPr>
            <w:r w:rsidRPr="005F2004">
              <w:rPr>
                <w:rFonts w:asciiTheme="minorHAnsi" w:hAnsiTheme="minorHAnsi" w:cstheme="minorHAnsi"/>
                <w:sz w:val="18"/>
                <w:szCs w:val="18"/>
              </w:rPr>
              <w:t xml:space="preserve">Ex-post (or ex post facto) means “after the fact”. An ex-post evaluation is one that examines a </w:t>
            </w:r>
            <w:r>
              <w:rPr>
                <w:rFonts w:asciiTheme="minorHAnsi" w:hAnsiTheme="minorHAnsi" w:cstheme="minorHAnsi"/>
                <w:sz w:val="18"/>
                <w:szCs w:val="18"/>
              </w:rPr>
              <w:t>programme</w:t>
            </w:r>
            <w:r w:rsidRPr="005F2004">
              <w:rPr>
                <w:rFonts w:asciiTheme="minorHAnsi" w:hAnsiTheme="minorHAnsi" w:cstheme="minorHAnsi"/>
                <w:sz w:val="18"/>
                <w:szCs w:val="18"/>
              </w:rPr>
              <w:t>’s past performance.</w:t>
            </w:r>
          </w:p>
        </w:tc>
      </w:tr>
      <w:tr w:rsidR="000537AD" w:rsidTr="000537AD">
        <w:tc>
          <w:tcPr>
            <w:tcW w:w="2093" w:type="dxa"/>
          </w:tcPr>
          <w:p w:rsidR="000537AD" w:rsidRPr="005F2004" w:rsidRDefault="000537AD" w:rsidP="000537AD">
            <w:pPr>
              <w:rPr>
                <w:rFonts w:asciiTheme="minorHAnsi" w:hAnsiTheme="minorHAnsi" w:cstheme="minorHAnsi"/>
                <w:b/>
                <w:sz w:val="18"/>
                <w:szCs w:val="18"/>
              </w:rPr>
            </w:pPr>
            <w:r w:rsidRPr="005F2004">
              <w:rPr>
                <w:rFonts w:asciiTheme="minorHAnsi" w:hAnsiTheme="minorHAnsi" w:cstheme="minorHAnsi"/>
                <w:b/>
                <w:sz w:val="18"/>
                <w:szCs w:val="18"/>
              </w:rPr>
              <w:t>Formative Evaluation</w:t>
            </w:r>
          </w:p>
        </w:tc>
        <w:tc>
          <w:tcPr>
            <w:tcW w:w="7087" w:type="dxa"/>
          </w:tcPr>
          <w:p w:rsidR="000537AD" w:rsidRPr="005F2004" w:rsidRDefault="000537AD" w:rsidP="000537AD">
            <w:pPr>
              <w:rPr>
                <w:rFonts w:asciiTheme="minorHAnsi" w:hAnsiTheme="minorHAnsi" w:cstheme="minorHAnsi"/>
                <w:sz w:val="18"/>
                <w:szCs w:val="18"/>
              </w:rPr>
            </w:pPr>
            <w:r w:rsidRPr="005F2004">
              <w:rPr>
                <w:rFonts w:asciiTheme="minorHAnsi" w:hAnsiTheme="minorHAnsi" w:cstheme="minorHAnsi"/>
                <w:sz w:val="18"/>
                <w:szCs w:val="18"/>
              </w:rPr>
              <w:t xml:space="preserve">Formative evaluation takes place before or shortly after the implementation of a </w:t>
            </w:r>
            <w:r>
              <w:rPr>
                <w:rFonts w:asciiTheme="minorHAnsi" w:hAnsiTheme="minorHAnsi" w:cstheme="minorHAnsi"/>
                <w:sz w:val="18"/>
                <w:szCs w:val="18"/>
              </w:rPr>
              <w:t>programme</w:t>
            </w:r>
            <w:r w:rsidRPr="005F2004">
              <w:rPr>
                <w:rFonts w:asciiTheme="minorHAnsi" w:hAnsiTheme="minorHAnsi" w:cstheme="minorHAnsi"/>
                <w:sz w:val="18"/>
                <w:szCs w:val="18"/>
              </w:rPr>
              <w:t xml:space="preserve">. Formative evaluation aims to improve the design and performance of </w:t>
            </w:r>
            <w:r>
              <w:rPr>
                <w:rFonts w:asciiTheme="minorHAnsi" w:hAnsiTheme="minorHAnsi" w:cstheme="minorHAnsi"/>
                <w:sz w:val="18"/>
                <w:szCs w:val="18"/>
              </w:rPr>
              <w:t>programme</w:t>
            </w:r>
            <w:r w:rsidRPr="005F2004">
              <w:rPr>
                <w:rFonts w:asciiTheme="minorHAnsi" w:hAnsiTheme="minorHAnsi" w:cstheme="minorHAnsi"/>
                <w:sz w:val="18"/>
                <w:szCs w:val="18"/>
              </w:rPr>
              <w:t>s.</w:t>
            </w:r>
          </w:p>
        </w:tc>
      </w:tr>
      <w:tr w:rsidR="000537AD" w:rsidTr="000537AD">
        <w:tc>
          <w:tcPr>
            <w:tcW w:w="2093" w:type="dxa"/>
          </w:tcPr>
          <w:p w:rsidR="000537AD" w:rsidRPr="005F2004" w:rsidRDefault="000537AD" w:rsidP="000537AD">
            <w:pPr>
              <w:rPr>
                <w:rFonts w:asciiTheme="minorHAnsi" w:hAnsiTheme="minorHAnsi" w:cstheme="minorHAnsi"/>
                <w:b/>
                <w:sz w:val="18"/>
                <w:szCs w:val="18"/>
              </w:rPr>
            </w:pPr>
            <w:r w:rsidRPr="005F2004">
              <w:rPr>
                <w:rFonts w:asciiTheme="minorHAnsi" w:hAnsiTheme="minorHAnsi" w:cstheme="minorHAnsi"/>
                <w:b/>
                <w:sz w:val="18"/>
                <w:szCs w:val="18"/>
              </w:rPr>
              <w:t>Impact</w:t>
            </w:r>
          </w:p>
        </w:tc>
        <w:tc>
          <w:tcPr>
            <w:tcW w:w="7087" w:type="dxa"/>
          </w:tcPr>
          <w:p w:rsidR="000537AD" w:rsidRPr="005F2004" w:rsidRDefault="000537AD" w:rsidP="000537AD">
            <w:pPr>
              <w:rPr>
                <w:rFonts w:asciiTheme="minorHAnsi" w:hAnsiTheme="minorHAnsi" w:cstheme="minorHAnsi"/>
                <w:sz w:val="18"/>
                <w:szCs w:val="18"/>
              </w:rPr>
            </w:pPr>
            <w:r w:rsidRPr="005F2004">
              <w:rPr>
                <w:rFonts w:asciiTheme="minorHAnsi" w:hAnsiTheme="minorHAnsi" w:cstheme="minorHAnsi"/>
                <w:sz w:val="18"/>
                <w:szCs w:val="18"/>
              </w:rPr>
              <w:t xml:space="preserve">See </w:t>
            </w:r>
            <w:r w:rsidRPr="005F2004">
              <w:rPr>
                <w:rFonts w:asciiTheme="minorHAnsi" w:hAnsiTheme="minorHAnsi" w:cstheme="minorHAnsi"/>
                <w:i/>
                <w:sz w:val="18"/>
                <w:szCs w:val="18"/>
              </w:rPr>
              <w:t>Outcome</w:t>
            </w:r>
            <w:r w:rsidRPr="005F2004">
              <w:rPr>
                <w:rFonts w:asciiTheme="minorHAnsi" w:hAnsiTheme="minorHAnsi" w:cstheme="minorHAnsi"/>
                <w:sz w:val="18"/>
                <w:szCs w:val="18"/>
              </w:rPr>
              <w:t>.</w:t>
            </w:r>
          </w:p>
        </w:tc>
      </w:tr>
      <w:tr w:rsidR="000537AD" w:rsidTr="000537AD">
        <w:tc>
          <w:tcPr>
            <w:tcW w:w="2093" w:type="dxa"/>
          </w:tcPr>
          <w:p w:rsidR="000537AD" w:rsidRPr="005F2004" w:rsidRDefault="000537AD" w:rsidP="000537AD">
            <w:pPr>
              <w:rPr>
                <w:rFonts w:asciiTheme="minorHAnsi" w:hAnsiTheme="minorHAnsi" w:cstheme="minorHAnsi"/>
                <w:b/>
                <w:sz w:val="18"/>
                <w:szCs w:val="18"/>
              </w:rPr>
            </w:pPr>
            <w:r w:rsidRPr="005F2004">
              <w:rPr>
                <w:rFonts w:asciiTheme="minorHAnsi" w:hAnsiTheme="minorHAnsi" w:cstheme="minorHAnsi"/>
                <w:b/>
                <w:sz w:val="18"/>
                <w:szCs w:val="18"/>
              </w:rPr>
              <w:t>Impact Evaluation</w:t>
            </w:r>
          </w:p>
        </w:tc>
        <w:tc>
          <w:tcPr>
            <w:tcW w:w="7087" w:type="dxa"/>
          </w:tcPr>
          <w:p w:rsidR="000537AD" w:rsidRPr="005F2004" w:rsidRDefault="000537AD" w:rsidP="000537AD">
            <w:pPr>
              <w:rPr>
                <w:rFonts w:asciiTheme="minorHAnsi" w:hAnsiTheme="minorHAnsi" w:cstheme="minorHAnsi"/>
                <w:sz w:val="18"/>
                <w:szCs w:val="18"/>
              </w:rPr>
            </w:pPr>
            <w:r w:rsidRPr="005F2004">
              <w:rPr>
                <w:rFonts w:asciiTheme="minorHAnsi" w:hAnsiTheme="minorHAnsi" w:cstheme="minorHAnsi"/>
                <w:sz w:val="18"/>
                <w:szCs w:val="18"/>
              </w:rPr>
              <w:t xml:space="preserve">Also, Outcome Evaluation. An evaluation which has a focus on the extent to which a </w:t>
            </w:r>
            <w:r>
              <w:rPr>
                <w:rFonts w:asciiTheme="minorHAnsi" w:hAnsiTheme="minorHAnsi" w:cstheme="minorHAnsi"/>
                <w:sz w:val="18"/>
                <w:szCs w:val="18"/>
              </w:rPr>
              <w:t>programme</w:t>
            </w:r>
            <w:r w:rsidRPr="005F2004">
              <w:rPr>
                <w:rFonts w:asciiTheme="minorHAnsi" w:hAnsiTheme="minorHAnsi" w:cstheme="minorHAnsi"/>
                <w:sz w:val="18"/>
                <w:szCs w:val="18"/>
              </w:rPr>
              <w:t xml:space="preserve"> has caused the effects, or brought about the results, that were intended. </w:t>
            </w:r>
          </w:p>
        </w:tc>
      </w:tr>
      <w:tr w:rsidR="000537AD" w:rsidTr="000537AD">
        <w:tc>
          <w:tcPr>
            <w:tcW w:w="2093" w:type="dxa"/>
          </w:tcPr>
          <w:p w:rsidR="000537AD" w:rsidRPr="005F2004" w:rsidRDefault="000537AD" w:rsidP="000537AD">
            <w:pPr>
              <w:rPr>
                <w:rFonts w:asciiTheme="minorHAnsi" w:hAnsiTheme="minorHAnsi" w:cstheme="minorHAnsi"/>
                <w:b/>
                <w:sz w:val="18"/>
                <w:szCs w:val="18"/>
              </w:rPr>
            </w:pPr>
            <w:r w:rsidRPr="005F2004">
              <w:rPr>
                <w:rFonts w:asciiTheme="minorHAnsi" w:hAnsiTheme="minorHAnsi" w:cstheme="minorHAnsi"/>
                <w:b/>
                <w:sz w:val="18"/>
                <w:szCs w:val="18"/>
              </w:rPr>
              <w:t>Implementation Design</w:t>
            </w:r>
          </w:p>
        </w:tc>
        <w:tc>
          <w:tcPr>
            <w:tcW w:w="7087" w:type="dxa"/>
          </w:tcPr>
          <w:p w:rsidR="000537AD" w:rsidRPr="005F2004" w:rsidRDefault="000537AD" w:rsidP="000537AD">
            <w:pPr>
              <w:rPr>
                <w:rFonts w:asciiTheme="minorHAnsi" w:hAnsiTheme="minorHAnsi" w:cstheme="minorHAnsi"/>
                <w:sz w:val="18"/>
                <w:szCs w:val="18"/>
              </w:rPr>
            </w:pPr>
            <w:r w:rsidRPr="005F2004">
              <w:rPr>
                <w:rFonts w:asciiTheme="minorHAnsi" w:hAnsiTheme="minorHAnsi" w:cstheme="minorHAnsi"/>
                <w:sz w:val="18"/>
                <w:szCs w:val="18"/>
              </w:rPr>
              <w:t xml:space="preserve">A structured approach to rolling-out a </w:t>
            </w:r>
            <w:r>
              <w:rPr>
                <w:rFonts w:asciiTheme="minorHAnsi" w:hAnsiTheme="minorHAnsi" w:cstheme="minorHAnsi"/>
                <w:sz w:val="18"/>
                <w:szCs w:val="18"/>
              </w:rPr>
              <w:t>programme</w:t>
            </w:r>
            <w:r w:rsidRPr="005F2004">
              <w:rPr>
                <w:rFonts w:asciiTheme="minorHAnsi" w:hAnsiTheme="minorHAnsi" w:cstheme="minorHAnsi"/>
                <w:sz w:val="18"/>
                <w:szCs w:val="18"/>
              </w:rPr>
              <w:t xml:space="preserve"> in a manner that facilitates the assessment of </w:t>
            </w:r>
            <w:r>
              <w:rPr>
                <w:rFonts w:asciiTheme="minorHAnsi" w:hAnsiTheme="minorHAnsi" w:cstheme="minorHAnsi"/>
                <w:sz w:val="18"/>
                <w:szCs w:val="18"/>
              </w:rPr>
              <w:t>programme</w:t>
            </w:r>
            <w:r w:rsidRPr="005F2004">
              <w:rPr>
                <w:rFonts w:asciiTheme="minorHAnsi" w:hAnsiTheme="minorHAnsi" w:cstheme="minorHAnsi"/>
                <w:sz w:val="18"/>
                <w:szCs w:val="18"/>
              </w:rPr>
              <w:t xml:space="preserve"> impact. The ability to obtain good evaluation evidence is as much constrained by the implementation design of the </w:t>
            </w:r>
            <w:r>
              <w:rPr>
                <w:rFonts w:asciiTheme="minorHAnsi" w:hAnsiTheme="minorHAnsi" w:cstheme="minorHAnsi"/>
                <w:sz w:val="18"/>
                <w:szCs w:val="18"/>
              </w:rPr>
              <w:t>programme</w:t>
            </w:r>
            <w:r w:rsidRPr="005F2004">
              <w:rPr>
                <w:rFonts w:asciiTheme="minorHAnsi" w:hAnsiTheme="minorHAnsi" w:cstheme="minorHAnsi"/>
                <w:sz w:val="18"/>
                <w:szCs w:val="18"/>
              </w:rPr>
              <w:t xml:space="preserve"> as it is by the design of the evaluation. Examples of issues which should be addressed in the implementation design include:</w:t>
            </w:r>
          </w:p>
          <w:p w:rsidR="000537AD" w:rsidRPr="005F2004" w:rsidRDefault="000537AD" w:rsidP="000537AD">
            <w:pPr>
              <w:pStyle w:val="ListParagraph"/>
              <w:numPr>
                <w:ilvl w:val="0"/>
                <w:numId w:val="24"/>
              </w:numPr>
              <w:spacing w:after="120"/>
              <w:rPr>
                <w:rFonts w:asciiTheme="minorHAnsi" w:hAnsiTheme="minorHAnsi" w:cstheme="minorHAnsi"/>
                <w:sz w:val="18"/>
                <w:szCs w:val="18"/>
              </w:rPr>
            </w:pPr>
            <w:r w:rsidRPr="005F2004">
              <w:rPr>
                <w:rFonts w:asciiTheme="minorHAnsi" w:hAnsiTheme="minorHAnsi" w:cstheme="minorHAnsi"/>
                <w:sz w:val="18"/>
                <w:szCs w:val="18"/>
              </w:rPr>
              <w:t xml:space="preserve">Establishing baseline data </w:t>
            </w:r>
          </w:p>
          <w:p w:rsidR="000537AD" w:rsidRPr="005F2004" w:rsidRDefault="000537AD" w:rsidP="000537AD">
            <w:pPr>
              <w:pStyle w:val="ListParagraph"/>
              <w:numPr>
                <w:ilvl w:val="0"/>
                <w:numId w:val="24"/>
              </w:numPr>
              <w:spacing w:after="120"/>
              <w:rPr>
                <w:rFonts w:asciiTheme="minorHAnsi" w:hAnsiTheme="minorHAnsi" w:cstheme="minorHAnsi"/>
                <w:sz w:val="18"/>
                <w:szCs w:val="18"/>
              </w:rPr>
            </w:pPr>
            <w:r w:rsidRPr="005F2004">
              <w:rPr>
                <w:rFonts w:asciiTheme="minorHAnsi" w:hAnsiTheme="minorHAnsi" w:cstheme="minorHAnsi"/>
                <w:sz w:val="18"/>
                <w:szCs w:val="18"/>
              </w:rPr>
              <w:t xml:space="preserve">Developing the </w:t>
            </w:r>
            <w:r>
              <w:rPr>
                <w:rFonts w:asciiTheme="minorHAnsi" w:hAnsiTheme="minorHAnsi" w:cstheme="minorHAnsi"/>
                <w:sz w:val="18"/>
                <w:szCs w:val="18"/>
              </w:rPr>
              <w:t>programme</w:t>
            </w:r>
            <w:r w:rsidRPr="005F2004">
              <w:rPr>
                <w:rFonts w:asciiTheme="minorHAnsi" w:hAnsiTheme="minorHAnsi" w:cstheme="minorHAnsi"/>
                <w:sz w:val="18"/>
                <w:szCs w:val="18"/>
              </w:rPr>
              <w:t xml:space="preserve"> logic, including identifying the </w:t>
            </w:r>
            <w:r w:rsidRPr="005F2004">
              <w:rPr>
                <w:rFonts w:asciiTheme="minorHAnsi" w:hAnsiTheme="minorHAnsi" w:cstheme="minorHAnsi"/>
                <w:sz w:val="18"/>
                <w:szCs w:val="18"/>
              </w:rPr>
              <w:br/>
              <w:t>short-, medium- and long-term indices on which change can be expected to be detected</w:t>
            </w:r>
          </w:p>
          <w:p w:rsidR="000537AD" w:rsidRPr="005F2004" w:rsidRDefault="000537AD" w:rsidP="000537AD">
            <w:pPr>
              <w:pStyle w:val="ListParagraph"/>
              <w:numPr>
                <w:ilvl w:val="0"/>
                <w:numId w:val="24"/>
              </w:numPr>
              <w:spacing w:after="120"/>
              <w:rPr>
                <w:rFonts w:asciiTheme="minorHAnsi" w:hAnsiTheme="minorHAnsi" w:cstheme="minorHAnsi"/>
                <w:sz w:val="18"/>
                <w:szCs w:val="18"/>
              </w:rPr>
            </w:pPr>
            <w:r w:rsidRPr="005F2004">
              <w:rPr>
                <w:rFonts w:asciiTheme="minorHAnsi" w:hAnsiTheme="minorHAnsi" w:cstheme="minorHAnsi"/>
                <w:sz w:val="18"/>
                <w:szCs w:val="18"/>
              </w:rPr>
              <w:t xml:space="preserve">Designing, running and analysing a pilot of the </w:t>
            </w:r>
            <w:r>
              <w:rPr>
                <w:rFonts w:asciiTheme="minorHAnsi" w:hAnsiTheme="minorHAnsi" w:cstheme="minorHAnsi"/>
                <w:sz w:val="18"/>
                <w:szCs w:val="18"/>
              </w:rPr>
              <w:t>programme</w:t>
            </w:r>
            <w:r w:rsidRPr="005F2004">
              <w:rPr>
                <w:rFonts w:asciiTheme="minorHAnsi" w:hAnsiTheme="minorHAnsi" w:cstheme="minorHAnsi"/>
                <w:sz w:val="18"/>
                <w:szCs w:val="18"/>
              </w:rPr>
              <w:t xml:space="preserve"> intervention</w:t>
            </w:r>
          </w:p>
          <w:p w:rsidR="000537AD" w:rsidRPr="005F2004" w:rsidRDefault="000537AD" w:rsidP="000537AD">
            <w:pPr>
              <w:pStyle w:val="ListParagraph"/>
              <w:numPr>
                <w:ilvl w:val="0"/>
                <w:numId w:val="24"/>
              </w:numPr>
              <w:spacing w:after="120"/>
              <w:rPr>
                <w:rFonts w:asciiTheme="minorHAnsi" w:hAnsiTheme="minorHAnsi" w:cstheme="minorHAnsi"/>
                <w:sz w:val="18"/>
                <w:szCs w:val="18"/>
              </w:rPr>
            </w:pPr>
            <w:r w:rsidRPr="005F2004">
              <w:rPr>
                <w:rFonts w:asciiTheme="minorHAnsi" w:hAnsiTheme="minorHAnsi" w:cstheme="minorHAnsi"/>
                <w:sz w:val="18"/>
                <w:szCs w:val="18"/>
              </w:rPr>
              <w:t xml:space="preserve">Developing a roll-out design with a corresponding data collection process to allow change to be tracked and an argument for the causal impact of the </w:t>
            </w:r>
            <w:r>
              <w:rPr>
                <w:rFonts w:asciiTheme="minorHAnsi" w:hAnsiTheme="minorHAnsi" w:cstheme="minorHAnsi"/>
                <w:sz w:val="18"/>
                <w:szCs w:val="18"/>
              </w:rPr>
              <w:t>programme</w:t>
            </w:r>
            <w:r w:rsidRPr="005F2004">
              <w:rPr>
                <w:rFonts w:asciiTheme="minorHAnsi" w:hAnsiTheme="minorHAnsi" w:cstheme="minorHAnsi"/>
                <w:sz w:val="18"/>
                <w:szCs w:val="18"/>
              </w:rPr>
              <w:t xml:space="preserve"> to be established, for example, staged roll-outs.</w:t>
            </w:r>
          </w:p>
        </w:tc>
      </w:tr>
      <w:tr w:rsidR="000537AD" w:rsidTr="000537AD">
        <w:tc>
          <w:tcPr>
            <w:tcW w:w="2093" w:type="dxa"/>
          </w:tcPr>
          <w:p w:rsidR="000537AD" w:rsidRPr="002B4484" w:rsidRDefault="000537AD" w:rsidP="000537AD">
            <w:pPr>
              <w:rPr>
                <w:rFonts w:asciiTheme="minorHAnsi" w:hAnsiTheme="minorHAnsi" w:cstheme="minorHAnsi"/>
                <w:b/>
                <w:sz w:val="18"/>
                <w:szCs w:val="18"/>
              </w:rPr>
            </w:pPr>
            <w:r w:rsidRPr="002B4484">
              <w:rPr>
                <w:rFonts w:asciiTheme="minorHAnsi" w:hAnsiTheme="minorHAnsi" w:cstheme="minorHAnsi"/>
                <w:b/>
                <w:sz w:val="18"/>
                <w:szCs w:val="18"/>
              </w:rPr>
              <w:t>Input</w:t>
            </w:r>
          </w:p>
        </w:tc>
        <w:tc>
          <w:tcPr>
            <w:tcW w:w="7087" w:type="dxa"/>
          </w:tcPr>
          <w:p w:rsidR="000537AD" w:rsidRPr="002B4484" w:rsidRDefault="000537AD" w:rsidP="000537AD">
            <w:pPr>
              <w:rPr>
                <w:rFonts w:asciiTheme="minorHAnsi" w:hAnsiTheme="minorHAnsi" w:cstheme="minorHAnsi"/>
                <w:sz w:val="18"/>
                <w:szCs w:val="18"/>
              </w:rPr>
            </w:pPr>
            <w:r w:rsidRPr="002B4484">
              <w:rPr>
                <w:rFonts w:asciiTheme="minorHAnsi" w:hAnsiTheme="minorHAnsi" w:cstheme="minorHAnsi"/>
                <w:sz w:val="18"/>
                <w:szCs w:val="18"/>
              </w:rPr>
              <w:t xml:space="preserve">All the resources needed to deliver a </w:t>
            </w:r>
            <w:r>
              <w:rPr>
                <w:rFonts w:asciiTheme="minorHAnsi" w:hAnsiTheme="minorHAnsi" w:cstheme="minorHAnsi"/>
                <w:sz w:val="18"/>
                <w:szCs w:val="18"/>
              </w:rPr>
              <w:t>programme</w:t>
            </w:r>
            <w:r w:rsidRPr="002B4484">
              <w:rPr>
                <w:rFonts w:asciiTheme="minorHAnsi" w:hAnsiTheme="minorHAnsi" w:cstheme="minorHAnsi"/>
                <w:sz w:val="18"/>
                <w:szCs w:val="18"/>
              </w:rPr>
              <w:t xml:space="preserve">. Inputs include funding, in-kind contributions, staff and volunteer time, venue, and equipment. </w:t>
            </w:r>
          </w:p>
        </w:tc>
      </w:tr>
      <w:tr w:rsidR="000537AD" w:rsidTr="000537AD">
        <w:tc>
          <w:tcPr>
            <w:tcW w:w="2093" w:type="dxa"/>
          </w:tcPr>
          <w:p w:rsidR="000537AD" w:rsidRPr="002B4484" w:rsidRDefault="000537AD" w:rsidP="000537AD">
            <w:pPr>
              <w:rPr>
                <w:rFonts w:asciiTheme="minorHAnsi" w:hAnsiTheme="minorHAnsi" w:cstheme="minorHAnsi"/>
                <w:b/>
                <w:sz w:val="18"/>
                <w:szCs w:val="18"/>
              </w:rPr>
            </w:pPr>
            <w:r w:rsidRPr="002B4484">
              <w:rPr>
                <w:rFonts w:asciiTheme="minorHAnsi" w:hAnsiTheme="minorHAnsi" w:cstheme="minorHAnsi"/>
                <w:b/>
                <w:sz w:val="18"/>
                <w:szCs w:val="18"/>
              </w:rPr>
              <w:t>Outcome</w:t>
            </w:r>
          </w:p>
        </w:tc>
        <w:tc>
          <w:tcPr>
            <w:tcW w:w="7087" w:type="dxa"/>
          </w:tcPr>
          <w:p w:rsidR="000537AD" w:rsidRPr="002B4484" w:rsidRDefault="000537AD" w:rsidP="000537AD">
            <w:pPr>
              <w:rPr>
                <w:rFonts w:asciiTheme="minorHAnsi" w:hAnsiTheme="minorHAnsi" w:cstheme="minorHAnsi"/>
                <w:sz w:val="18"/>
                <w:szCs w:val="18"/>
              </w:rPr>
            </w:pPr>
            <w:r w:rsidRPr="002B4484">
              <w:rPr>
                <w:rFonts w:asciiTheme="minorHAnsi" w:hAnsiTheme="minorHAnsi" w:cstheme="minorHAnsi"/>
                <w:sz w:val="18"/>
                <w:szCs w:val="18"/>
              </w:rPr>
              <w:t xml:space="preserve">All the impacts or consequences of the </w:t>
            </w:r>
            <w:r>
              <w:rPr>
                <w:rFonts w:asciiTheme="minorHAnsi" w:hAnsiTheme="minorHAnsi" w:cstheme="minorHAnsi"/>
                <w:sz w:val="18"/>
                <w:szCs w:val="18"/>
              </w:rPr>
              <w:t>programme</w:t>
            </w:r>
            <w:r w:rsidRPr="002B4484">
              <w:rPr>
                <w:rFonts w:asciiTheme="minorHAnsi" w:hAnsiTheme="minorHAnsi" w:cstheme="minorHAnsi"/>
                <w:sz w:val="18"/>
                <w:szCs w:val="18"/>
              </w:rPr>
              <w:t xml:space="preserve"> beyond its direct outputs. Outcomes are often delayed or long-term and they may be intended or unintended. Long-term policy-relevant outcomes are frequently called impacts. Unintended positive or negative outcomes of </w:t>
            </w:r>
            <w:r>
              <w:rPr>
                <w:rFonts w:asciiTheme="minorHAnsi" w:hAnsiTheme="minorHAnsi" w:cstheme="minorHAnsi"/>
                <w:sz w:val="18"/>
                <w:szCs w:val="18"/>
              </w:rPr>
              <w:t>programme</w:t>
            </w:r>
            <w:r w:rsidRPr="002B4484">
              <w:rPr>
                <w:rFonts w:asciiTheme="minorHAnsi" w:hAnsiTheme="minorHAnsi" w:cstheme="minorHAnsi"/>
                <w:sz w:val="18"/>
                <w:szCs w:val="18"/>
              </w:rPr>
              <w:t>s are routinely examined in evaluations.</w:t>
            </w:r>
          </w:p>
          <w:p w:rsidR="000537AD" w:rsidRPr="002B4484" w:rsidRDefault="000537AD" w:rsidP="000537AD">
            <w:pPr>
              <w:rPr>
                <w:rFonts w:asciiTheme="minorHAnsi" w:hAnsiTheme="minorHAnsi" w:cstheme="minorHAnsi"/>
                <w:sz w:val="18"/>
                <w:szCs w:val="18"/>
              </w:rPr>
            </w:pPr>
            <w:r w:rsidRPr="002B4484">
              <w:rPr>
                <w:rFonts w:asciiTheme="minorHAnsi" w:hAnsiTheme="minorHAnsi" w:cstheme="minorHAnsi"/>
                <w:sz w:val="18"/>
                <w:szCs w:val="18"/>
              </w:rPr>
              <w:t xml:space="preserve">Outcomes should be distinguished from outputs; for example, the output of a training </w:t>
            </w:r>
            <w:r>
              <w:rPr>
                <w:rFonts w:asciiTheme="minorHAnsi" w:hAnsiTheme="minorHAnsi" w:cstheme="minorHAnsi"/>
                <w:sz w:val="18"/>
                <w:szCs w:val="18"/>
              </w:rPr>
              <w:t>programme</w:t>
            </w:r>
            <w:r w:rsidRPr="002B4484">
              <w:rPr>
                <w:rFonts w:asciiTheme="minorHAnsi" w:hAnsiTheme="minorHAnsi" w:cstheme="minorHAnsi"/>
                <w:sz w:val="18"/>
                <w:szCs w:val="18"/>
              </w:rPr>
              <w:t xml:space="preserve"> may be a skills training course, while the (desired) outcome is employment. As specific outcomes can result from multiple factors, the causal relationships between a </w:t>
            </w:r>
            <w:r>
              <w:rPr>
                <w:rFonts w:asciiTheme="minorHAnsi" w:hAnsiTheme="minorHAnsi" w:cstheme="minorHAnsi"/>
                <w:sz w:val="18"/>
                <w:szCs w:val="18"/>
              </w:rPr>
              <w:t>programme</w:t>
            </w:r>
            <w:r w:rsidRPr="002B4484">
              <w:rPr>
                <w:rFonts w:asciiTheme="minorHAnsi" w:hAnsiTheme="minorHAnsi" w:cstheme="minorHAnsi"/>
                <w:sz w:val="18"/>
                <w:szCs w:val="18"/>
              </w:rPr>
              <w:t xml:space="preserve"> and observed outcomes must be demonstrated before they can be claimed as </w:t>
            </w:r>
            <w:r>
              <w:rPr>
                <w:rFonts w:asciiTheme="minorHAnsi" w:hAnsiTheme="minorHAnsi" w:cstheme="minorHAnsi"/>
                <w:i/>
                <w:sz w:val="18"/>
                <w:szCs w:val="18"/>
              </w:rPr>
              <w:t>programme</w:t>
            </w:r>
            <w:r w:rsidRPr="002B4484">
              <w:rPr>
                <w:rFonts w:asciiTheme="minorHAnsi" w:hAnsiTheme="minorHAnsi" w:cstheme="minorHAnsi"/>
                <w:i/>
                <w:sz w:val="18"/>
                <w:szCs w:val="18"/>
              </w:rPr>
              <w:t xml:space="preserve"> outcomes</w:t>
            </w:r>
            <w:r w:rsidRPr="002B4484">
              <w:rPr>
                <w:rFonts w:asciiTheme="minorHAnsi" w:hAnsiTheme="minorHAnsi" w:cstheme="minorHAnsi"/>
                <w:sz w:val="18"/>
                <w:szCs w:val="18"/>
              </w:rPr>
              <w:t>.</w:t>
            </w:r>
          </w:p>
        </w:tc>
      </w:tr>
      <w:tr w:rsidR="000537AD" w:rsidTr="000537AD">
        <w:tc>
          <w:tcPr>
            <w:tcW w:w="2093" w:type="dxa"/>
          </w:tcPr>
          <w:p w:rsidR="000537AD" w:rsidRPr="002B4484" w:rsidRDefault="000537AD" w:rsidP="000537AD">
            <w:pPr>
              <w:rPr>
                <w:rFonts w:asciiTheme="minorHAnsi" w:hAnsiTheme="minorHAnsi" w:cstheme="minorHAnsi"/>
                <w:b/>
                <w:sz w:val="18"/>
                <w:szCs w:val="18"/>
              </w:rPr>
            </w:pPr>
            <w:r w:rsidRPr="002B4484">
              <w:rPr>
                <w:rFonts w:asciiTheme="minorHAnsi" w:hAnsiTheme="minorHAnsi" w:cstheme="minorHAnsi"/>
                <w:b/>
                <w:sz w:val="18"/>
                <w:szCs w:val="18"/>
              </w:rPr>
              <w:t>Output</w:t>
            </w:r>
          </w:p>
        </w:tc>
        <w:tc>
          <w:tcPr>
            <w:tcW w:w="7087" w:type="dxa"/>
          </w:tcPr>
          <w:p w:rsidR="000537AD" w:rsidRPr="002B4484" w:rsidRDefault="000537AD" w:rsidP="000537AD">
            <w:pPr>
              <w:rPr>
                <w:rFonts w:asciiTheme="minorHAnsi" w:hAnsiTheme="minorHAnsi" w:cstheme="minorHAnsi"/>
                <w:sz w:val="18"/>
                <w:szCs w:val="18"/>
              </w:rPr>
            </w:pPr>
            <w:r w:rsidRPr="002B4484">
              <w:rPr>
                <w:rFonts w:asciiTheme="minorHAnsi" w:hAnsiTheme="minorHAnsi" w:cstheme="minorHAnsi"/>
                <w:sz w:val="18"/>
                <w:szCs w:val="18"/>
              </w:rPr>
              <w:t xml:space="preserve">The products or services which are produced and delivered by a </w:t>
            </w:r>
            <w:r>
              <w:rPr>
                <w:rFonts w:asciiTheme="minorHAnsi" w:hAnsiTheme="minorHAnsi" w:cstheme="minorHAnsi"/>
                <w:sz w:val="18"/>
                <w:szCs w:val="18"/>
              </w:rPr>
              <w:t>programme</w:t>
            </w:r>
            <w:r w:rsidRPr="002B4484">
              <w:rPr>
                <w:rFonts w:asciiTheme="minorHAnsi" w:hAnsiTheme="minorHAnsi" w:cstheme="minorHAnsi"/>
                <w:sz w:val="18"/>
                <w:szCs w:val="18"/>
              </w:rPr>
              <w:t xml:space="preserve">. </w:t>
            </w:r>
          </w:p>
          <w:p w:rsidR="000537AD" w:rsidRPr="002B4484" w:rsidRDefault="000537AD" w:rsidP="000537AD">
            <w:pPr>
              <w:rPr>
                <w:rFonts w:asciiTheme="minorHAnsi" w:hAnsiTheme="minorHAnsi" w:cstheme="minorHAnsi"/>
                <w:sz w:val="18"/>
                <w:szCs w:val="18"/>
              </w:rPr>
            </w:pPr>
            <w:r w:rsidRPr="002B4484">
              <w:rPr>
                <w:rFonts w:asciiTheme="minorHAnsi" w:hAnsiTheme="minorHAnsi" w:cstheme="minorHAnsi"/>
                <w:sz w:val="18"/>
                <w:szCs w:val="18"/>
              </w:rPr>
              <w:lastRenderedPageBreak/>
              <w:t xml:space="preserve">Output (e.g., the number of courses run) and throughput (e.g., the number of attendees) measures are often more readily identifiable than outcomes but are not, by themselves, measures of the achievement of objectives. But, without outputs the </w:t>
            </w:r>
            <w:r>
              <w:rPr>
                <w:rFonts w:asciiTheme="minorHAnsi" w:hAnsiTheme="minorHAnsi" w:cstheme="minorHAnsi"/>
                <w:sz w:val="18"/>
                <w:szCs w:val="18"/>
              </w:rPr>
              <w:t>programme</w:t>
            </w:r>
            <w:r w:rsidRPr="002B4484">
              <w:rPr>
                <w:rFonts w:asciiTheme="minorHAnsi" w:hAnsiTheme="minorHAnsi" w:cstheme="minorHAnsi"/>
                <w:sz w:val="18"/>
                <w:szCs w:val="18"/>
              </w:rPr>
              <w:t xml:space="preserve"> cannot achieve its desired outcomes, so showing that the </w:t>
            </w:r>
            <w:r>
              <w:rPr>
                <w:rFonts w:asciiTheme="minorHAnsi" w:hAnsiTheme="minorHAnsi" w:cstheme="minorHAnsi"/>
                <w:sz w:val="18"/>
                <w:szCs w:val="18"/>
              </w:rPr>
              <w:t>programme</w:t>
            </w:r>
            <w:r w:rsidRPr="002B4484">
              <w:rPr>
                <w:rFonts w:asciiTheme="minorHAnsi" w:hAnsiTheme="minorHAnsi" w:cstheme="minorHAnsi"/>
                <w:sz w:val="18"/>
                <w:szCs w:val="18"/>
              </w:rPr>
              <w:t xml:space="preserve"> has achieved a sufficient level of outputs is a first step towards showing that it has the capacity to deliver the desired outcomes. This can be an important step early in the life of a </w:t>
            </w:r>
            <w:r>
              <w:rPr>
                <w:rFonts w:asciiTheme="minorHAnsi" w:hAnsiTheme="minorHAnsi" w:cstheme="minorHAnsi"/>
                <w:sz w:val="18"/>
                <w:szCs w:val="18"/>
              </w:rPr>
              <w:t>programme</w:t>
            </w:r>
            <w:r w:rsidRPr="002B4484">
              <w:rPr>
                <w:rFonts w:asciiTheme="minorHAnsi" w:hAnsiTheme="minorHAnsi" w:cstheme="minorHAnsi"/>
                <w:sz w:val="18"/>
                <w:szCs w:val="18"/>
              </w:rPr>
              <w:t xml:space="preserve"> if the desired change on the outcome variable is anticipated to take several years to manifest.</w:t>
            </w:r>
          </w:p>
        </w:tc>
      </w:tr>
      <w:tr w:rsidR="000537AD" w:rsidTr="000537AD">
        <w:tc>
          <w:tcPr>
            <w:tcW w:w="2093" w:type="dxa"/>
          </w:tcPr>
          <w:p w:rsidR="000537AD" w:rsidRPr="002B4484" w:rsidRDefault="000537AD" w:rsidP="000537AD">
            <w:pPr>
              <w:rPr>
                <w:rFonts w:asciiTheme="minorHAnsi" w:hAnsiTheme="minorHAnsi" w:cstheme="minorHAnsi"/>
                <w:b/>
                <w:sz w:val="18"/>
                <w:szCs w:val="18"/>
              </w:rPr>
            </w:pPr>
            <w:r w:rsidRPr="002B4484">
              <w:rPr>
                <w:rFonts w:asciiTheme="minorHAnsi" w:hAnsiTheme="minorHAnsi" w:cstheme="minorHAnsi"/>
                <w:b/>
                <w:sz w:val="18"/>
                <w:szCs w:val="18"/>
              </w:rPr>
              <w:lastRenderedPageBreak/>
              <w:t>Performance Information</w:t>
            </w:r>
          </w:p>
        </w:tc>
        <w:tc>
          <w:tcPr>
            <w:tcW w:w="7087" w:type="dxa"/>
          </w:tcPr>
          <w:p w:rsidR="000537AD" w:rsidRPr="002B4484" w:rsidRDefault="000537AD" w:rsidP="000537AD">
            <w:pPr>
              <w:rPr>
                <w:rFonts w:asciiTheme="minorHAnsi" w:hAnsiTheme="minorHAnsi" w:cstheme="minorHAnsi"/>
                <w:sz w:val="18"/>
                <w:szCs w:val="18"/>
              </w:rPr>
            </w:pPr>
            <w:r w:rsidRPr="002B4484">
              <w:rPr>
                <w:rFonts w:asciiTheme="minorHAnsi" w:hAnsiTheme="minorHAnsi" w:cstheme="minorHAnsi"/>
                <w:sz w:val="18"/>
                <w:szCs w:val="18"/>
              </w:rPr>
              <w:t xml:space="preserve">Evidence about performance that is collected and used systematically. Effective performance information should enable judgments to be made on the extent to which </w:t>
            </w:r>
            <w:r>
              <w:rPr>
                <w:rFonts w:asciiTheme="minorHAnsi" w:hAnsiTheme="minorHAnsi" w:cstheme="minorHAnsi"/>
                <w:sz w:val="18"/>
                <w:szCs w:val="18"/>
              </w:rPr>
              <w:t>programme</w:t>
            </w:r>
            <w:r w:rsidRPr="002B4484">
              <w:rPr>
                <w:rFonts w:asciiTheme="minorHAnsi" w:hAnsiTheme="minorHAnsi" w:cstheme="minorHAnsi"/>
                <w:sz w:val="18"/>
                <w:szCs w:val="18"/>
              </w:rPr>
              <w:t xml:space="preserve"> activities are achieving the desired results.</w:t>
            </w:r>
          </w:p>
        </w:tc>
      </w:tr>
      <w:tr w:rsidR="000537AD" w:rsidTr="000537AD">
        <w:tc>
          <w:tcPr>
            <w:tcW w:w="2093" w:type="dxa"/>
          </w:tcPr>
          <w:p w:rsidR="000537AD" w:rsidRPr="002B4484" w:rsidRDefault="000537AD" w:rsidP="000537AD">
            <w:pPr>
              <w:rPr>
                <w:rFonts w:asciiTheme="minorHAnsi" w:hAnsiTheme="minorHAnsi" w:cstheme="minorHAnsi"/>
                <w:b/>
                <w:sz w:val="18"/>
                <w:szCs w:val="18"/>
              </w:rPr>
            </w:pPr>
            <w:r w:rsidRPr="002B4484">
              <w:rPr>
                <w:rFonts w:asciiTheme="minorHAnsi" w:hAnsiTheme="minorHAnsi" w:cstheme="minorHAnsi"/>
                <w:b/>
                <w:sz w:val="18"/>
                <w:szCs w:val="18"/>
              </w:rPr>
              <w:t>Pilot</w:t>
            </w:r>
          </w:p>
        </w:tc>
        <w:tc>
          <w:tcPr>
            <w:tcW w:w="7087" w:type="dxa"/>
          </w:tcPr>
          <w:p w:rsidR="000537AD" w:rsidRPr="002B4484" w:rsidRDefault="000537AD" w:rsidP="000537AD">
            <w:pPr>
              <w:rPr>
                <w:rFonts w:asciiTheme="minorHAnsi" w:hAnsiTheme="minorHAnsi" w:cstheme="minorHAnsi"/>
                <w:sz w:val="18"/>
                <w:szCs w:val="18"/>
              </w:rPr>
            </w:pPr>
            <w:r w:rsidRPr="002B4484">
              <w:rPr>
                <w:rFonts w:asciiTheme="minorHAnsi" w:hAnsiTheme="minorHAnsi" w:cstheme="minorHAnsi"/>
                <w:sz w:val="18"/>
                <w:szCs w:val="18"/>
              </w:rPr>
              <w:t xml:space="preserve">Also known as a </w:t>
            </w:r>
            <w:r w:rsidRPr="002B4484">
              <w:rPr>
                <w:rFonts w:asciiTheme="minorHAnsi" w:hAnsiTheme="minorHAnsi" w:cstheme="minorHAnsi"/>
                <w:i/>
                <w:sz w:val="18"/>
                <w:szCs w:val="18"/>
              </w:rPr>
              <w:t>trial</w:t>
            </w:r>
            <w:r w:rsidRPr="002B4484">
              <w:rPr>
                <w:rFonts w:asciiTheme="minorHAnsi" w:hAnsiTheme="minorHAnsi" w:cstheme="minorHAnsi"/>
                <w:sz w:val="18"/>
                <w:szCs w:val="18"/>
              </w:rPr>
              <w:t xml:space="preserve"> in the scientific sense of a formal </w:t>
            </w:r>
            <w:r w:rsidRPr="002B4484">
              <w:rPr>
                <w:rFonts w:asciiTheme="minorHAnsi" w:hAnsiTheme="minorHAnsi" w:cstheme="minorHAnsi"/>
                <w:i/>
                <w:sz w:val="18"/>
                <w:szCs w:val="18"/>
              </w:rPr>
              <w:t>test</w:t>
            </w:r>
            <w:r w:rsidRPr="002B4484">
              <w:rPr>
                <w:rFonts w:asciiTheme="minorHAnsi" w:hAnsiTheme="minorHAnsi" w:cstheme="minorHAnsi"/>
                <w:sz w:val="18"/>
                <w:szCs w:val="18"/>
              </w:rPr>
              <w:t xml:space="preserve">. To pilot a </w:t>
            </w:r>
            <w:r>
              <w:rPr>
                <w:rFonts w:asciiTheme="minorHAnsi" w:hAnsiTheme="minorHAnsi" w:cstheme="minorHAnsi"/>
                <w:sz w:val="18"/>
                <w:szCs w:val="18"/>
              </w:rPr>
              <w:t>programme</w:t>
            </w:r>
            <w:r w:rsidRPr="002B4484">
              <w:rPr>
                <w:rFonts w:asciiTheme="minorHAnsi" w:hAnsiTheme="minorHAnsi" w:cstheme="minorHAnsi"/>
                <w:sz w:val="18"/>
                <w:szCs w:val="18"/>
              </w:rPr>
              <w:t xml:space="preserve"> involves running a trial of the planned intervention using a scientific design and contrasting the outcomes of a group who receive the intervention with an appropriate control group or counterfactual. The aim in designing a pilot </w:t>
            </w:r>
            <w:r>
              <w:rPr>
                <w:rFonts w:asciiTheme="minorHAnsi" w:hAnsiTheme="minorHAnsi" w:cstheme="minorHAnsi"/>
                <w:sz w:val="18"/>
                <w:szCs w:val="18"/>
              </w:rPr>
              <w:t>programme</w:t>
            </w:r>
            <w:r w:rsidRPr="002B4484">
              <w:rPr>
                <w:rFonts w:asciiTheme="minorHAnsi" w:hAnsiTheme="minorHAnsi" w:cstheme="minorHAnsi"/>
                <w:sz w:val="18"/>
                <w:szCs w:val="18"/>
              </w:rPr>
              <w:t xml:space="preserve"> is to eliminate other explanations for observed change so that the only credible conclusion is that the intervention was causally responsible for the change.</w:t>
            </w:r>
          </w:p>
        </w:tc>
      </w:tr>
      <w:tr w:rsidR="000537AD" w:rsidTr="000537AD">
        <w:tc>
          <w:tcPr>
            <w:tcW w:w="2093" w:type="dxa"/>
          </w:tcPr>
          <w:p w:rsidR="000537AD" w:rsidRPr="002B4484" w:rsidRDefault="000537AD" w:rsidP="000537AD">
            <w:pPr>
              <w:rPr>
                <w:rFonts w:asciiTheme="minorHAnsi" w:hAnsiTheme="minorHAnsi" w:cstheme="minorHAnsi"/>
                <w:b/>
                <w:sz w:val="18"/>
                <w:szCs w:val="18"/>
              </w:rPr>
            </w:pPr>
            <w:r w:rsidRPr="002B4484">
              <w:rPr>
                <w:rFonts w:asciiTheme="minorHAnsi" w:hAnsiTheme="minorHAnsi" w:cstheme="minorHAnsi"/>
                <w:b/>
                <w:sz w:val="18"/>
                <w:szCs w:val="18"/>
              </w:rPr>
              <w:t>Process Evaluation</w:t>
            </w:r>
          </w:p>
        </w:tc>
        <w:tc>
          <w:tcPr>
            <w:tcW w:w="7087" w:type="dxa"/>
          </w:tcPr>
          <w:p w:rsidR="000537AD" w:rsidRPr="002B4484" w:rsidRDefault="000537AD" w:rsidP="000537AD">
            <w:pPr>
              <w:rPr>
                <w:rFonts w:asciiTheme="minorHAnsi" w:hAnsiTheme="minorHAnsi" w:cstheme="minorHAnsi"/>
                <w:sz w:val="18"/>
                <w:szCs w:val="18"/>
              </w:rPr>
            </w:pPr>
            <w:r w:rsidRPr="00973B5E">
              <w:rPr>
                <w:rFonts w:asciiTheme="minorHAnsi" w:hAnsiTheme="minorHAnsi" w:cstheme="minorHAnsi"/>
                <w:sz w:val="18"/>
                <w:szCs w:val="18"/>
              </w:rPr>
              <w:t>Process evaluation looks at the development and implementation of a particular program</w:t>
            </w:r>
            <w:r>
              <w:rPr>
                <w:rFonts w:asciiTheme="minorHAnsi" w:hAnsiTheme="minorHAnsi" w:cstheme="minorHAnsi"/>
                <w:sz w:val="18"/>
                <w:szCs w:val="18"/>
              </w:rPr>
              <w:t>me</w:t>
            </w:r>
            <w:r w:rsidRPr="00973B5E">
              <w:rPr>
                <w:rFonts w:asciiTheme="minorHAnsi" w:hAnsiTheme="minorHAnsi" w:cstheme="minorHAnsi"/>
                <w:sz w:val="18"/>
                <w:szCs w:val="18"/>
              </w:rPr>
              <w:t>. This type of evaluation aims to establish if quantifiable targets have been achieved and strategies implemented as planned, for example, post implementation reviews and ANAO audits</w:t>
            </w:r>
            <w:r>
              <w:rPr>
                <w:rFonts w:cstheme="minorHAnsi"/>
                <w:sz w:val="18"/>
                <w:szCs w:val="18"/>
              </w:rPr>
              <w:t>.</w:t>
            </w:r>
          </w:p>
        </w:tc>
      </w:tr>
      <w:tr w:rsidR="000537AD" w:rsidTr="000537AD">
        <w:tc>
          <w:tcPr>
            <w:tcW w:w="2093" w:type="dxa"/>
          </w:tcPr>
          <w:p w:rsidR="000537AD" w:rsidRPr="002B4484" w:rsidRDefault="000537AD" w:rsidP="000537AD">
            <w:pPr>
              <w:rPr>
                <w:rFonts w:asciiTheme="minorHAnsi" w:hAnsiTheme="minorHAnsi" w:cstheme="minorHAnsi"/>
                <w:b/>
                <w:sz w:val="18"/>
                <w:szCs w:val="18"/>
              </w:rPr>
            </w:pPr>
            <w:r>
              <w:rPr>
                <w:rFonts w:asciiTheme="minorHAnsi" w:hAnsiTheme="minorHAnsi" w:cstheme="minorHAnsi"/>
                <w:b/>
                <w:sz w:val="18"/>
                <w:szCs w:val="18"/>
              </w:rPr>
              <w:t>Programme</w:t>
            </w:r>
            <w:r w:rsidRPr="002B4484">
              <w:rPr>
                <w:rFonts w:asciiTheme="minorHAnsi" w:hAnsiTheme="minorHAnsi" w:cstheme="minorHAnsi"/>
                <w:b/>
                <w:sz w:val="18"/>
                <w:szCs w:val="18"/>
              </w:rPr>
              <w:t xml:space="preserve"> Logic</w:t>
            </w:r>
          </w:p>
        </w:tc>
        <w:tc>
          <w:tcPr>
            <w:tcW w:w="7087" w:type="dxa"/>
          </w:tcPr>
          <w:p w:rsidR="000537AD" w:rsidRPr="002B4484" w:rsidRDefault="000537AD" w:rsidP="000537AD">
            <w:pPr>
              <w:rPr>
                <w:rFonts w:asciiTheme="minorHAnsi" w:hAnsiTheme="minorHAnsi" w:cstheme="minorHAnsi"/>
                <w:sz w:val="18"/>
                <w:szCs w:val="18"/>
              </w:rPr>
            </w:pPr>
            <w:r w:rsidRPr="002B4484">
              <w:rPr>
                <w:rFonts w:asciiTheme="minorHAnsi" w:hAnsiTheme="minorHAnsi" w:cstheme="minorHAnsi"/>
                <w:sz w:val="18"/>
                <w:szCs w:val="18"/>
              </w:rPr>
              <w:t xml:space="preserve">An explanation or description of the chain of effects connecting activities undertaken by a </w:t>
            </w:r>
            <w:r>
              <w:rPr>
                <w:rFonts w:asciiTheme="minorHAnsi" w:hAnsiTheme="minorHAnsi" w:cstheme="minorHAnsi"/>
                <w:sz w:val="18"/>
                <w:szCs w:val="18"/>
              </w:rPr>
              <w:t>programme</w:t>
            </w:r>
            <w:r w:rsidRPr="002B4484">
              <w:rPr>
                <w:rFonts w:asciiTheme="minorHAnsi" w:hAnsiTheme="minorHAnsi" w:cstheme="minorHAnsi"/>
                <w:sz w:val="18"/>
                <w:szCs w:val="18"/>
              </w:rPr>
              <w:t xml:space="preserve"> to the final long-term outcomes desired by government. The </w:t>
            </w:r>
            <w:r>
              <w:rPr>
                <w:rFonts w:asciiTheme="minorHAnsi" w:hAnsiTheme="minorHAnsi" w:cstheme="minorHAnsi"/>
                <w:sz w:val="18"/>
                <w:szCs w:val="18"/>
              </w:rPr>
              <w:t>Programme</w:t>
            </w:r>
            <w:r w:rsidRPr="002B4484">
              <w:rPr>
                <w:rFonts w:asciiTheme="minorHAnsi" w:hAnsiTheme="minorHAnsi" w:cstheme="minorHAnsi"/>
                <w:sz w:val="18"/>
                <w:szCs w:val="18"/>
              </w:rPr>
              <w:t xml:space="preserve"> Logic describes a </w:t>
            </w:r>
            <w:r>
              <w:rPr>
                <w:rFonts w:asciiTheme="minorHAnsi" w:hAnsiTheme="minorHAnsi" w:cstheme="minorHAnsi"/>
                <w:sz w:val="18"/>
                <w:szCs w:val="18"/>
              </w:rPr>
              <w:t>programme</w:t>
            </w:r>
            <w:r w:rsidRPr="002B4484">
              <w:rPr>
                <w:rFonts w:asciiTheme="minorHAnsi" w:hAnsiTheme="minorHAnsi" w:cstheme="minorHAnsi"/>
                <w:sz w:val="18"/>
                <w:szCs w:val="18"/>
              </w:rPr>
              <w:t xml:space="preserve">’s expected performance and establishes a logical sequence through which the causal action of the </w:t>
            </w:r>
            <w:r>
              <w:rPr>
                <w:rFonts w:asciiTheme="minorHAnsi" w:hAnsiTheme="minorHAnsi" w:cstheme="minorHAnsi"/>
                <w:sz w:val="18"/>
                <w:szCs w:val="18"/>
              </w:rPr>
              <w:t>programme</w:t>
            </w:r>
            <w:r w:rsidRPr="002B4484">
              <w:rPr>
                <w:rFonts w:asciiTheme="minorHAnsi" w:hAnsiTheme="minorHAnsi" w:cstheme="minorHAnsi"/>
                <w:sz w:val="18"/>
                <w:szCs w:val="18"/>
              </w:rPr>
              <w:t xml:space="preserve"> in reaching its objectives can be mapped. The </w:t>
            </w:r>
            <w:r>
              <w:rPr>
                <w:rFonts w:asciiTheme="minorHAnsi" w:hAnsiTheme="minorHAnsi" w:cstheme="minorHAnsi"/>
                <w:sz w:val="18"/>
                <w:szCs w:val="18"/>
              </w:rPr>
              <w:t>Programme</w:t>
            </w:r>
            <w:r w:rsidRPr="002B4484">
              <w:rPr>
                <w:rFonts w:asciiTheme="minorHAnsi" w:hAnsiTheme="minorHAnsi" w:cstheme="minorHAnsi"/>
                <w:sz w:val="18"/>
                <w:szCs w:val="18"/>
              </w:rPr>
              <w:t xml:space="preserve"> Logic is not intended to demonstrate how a </w:t>
            </w:r>
            <w:r>
              <w:rPr>
                <w:rFonts w:asciiTheme="minorHAnsi" w:hAnsiTheme="minorHAnsi" w:cstheme="minorHAnsi"/>
                <w:sz w:val="18"/>
                <w:szCs w:val="18"/>
              </w:rPr>
              <w:t>programme</w:t>
            </w:r>
            <w:r w:rsidRPr="002B4484">
              <w:rPr>
                <w:rFonts w:asciiTheme="minorHAnsi" w:hAnsiTheme="minorHAnsi" w:cstheme="minorHAnsi"/>
                <w:sz w:val="18"/>
                <w:szCs w:val="18"/>
              </w:rPr>
              <w:t xml:space="preserve"> will be implemented. Instead, it is a conceptual map of how the activities of a </w:t>
            </w:r>
            <w:r>
              <w:rPr>
                <w:rFonts w:asciiTheme="minorHAnsi" w:hAnsiTheme="minorHAnsi" w:cstheme="minorHAnsi"/>
                <w:sz w:val="18"/>
                <w:szCs w:val="18"/>
              </w:rPr>
              <w:t>programme</w:t>
            </w:r>
            <w:r w:rsidRPr="002B4484">
              <w:rPr>
                <w:rFonts w:asciiTheme="minorHAnsi" w:hAnsiTheme="minorHAnsi" w:cstheme="minorHAnsi"/>
                <w:sz w:val="18"/>
                <w:szCs w:val="18"/>
              </w:rPr>
              <w:t xml:space="preserve"> will bring about the changes it is aimed at achieving.</w:t>
            </w:r>
          </w:p>
        </w:tc>
      </w:tr>
      <w:tr w:rsidR="000537AD" w:rsidTr="000537AD">
        <w:tc>
          <w:tcPr>
            <w:tcW w:w="2093" w:type="dxa"/>
          </w:tcPr>
          <w:p w:rsidR="000537AD" w:rsidRPr="002B4484" w:rsidRDefault="000537AD" w:rsidP="000537AD">
            <w:pPr>
              <w:rPr>
                <w:rFonts w:asciiTheme="minorHAnsi" w:hAnsiTheme="minorHAnsi" w:cstheme="minorHAnsi"/>
                <w:b/>
                <w:sz w:val="18"/>
                <w:szCs w:val="18"/>
              </w:rPr>
            </w:pPr>
            <w:r>
              <w:rPr>
                <w:rFonts w:asciiTheme="minorHAnsi" w:hAnsiTheme="minorHAnsi" w:cstheme="minorHAnsi"/>
                <w:b/>
                <w:sz w:val="18"/>
                <w:szCs w:val="18"/>
              </w:rPr>
              <w:t>Programme</w:t>
            </w:r>
            <w:r w:rsidRPr="002B4484">
              <w:rPr>
                <w:rFonts w:asciiTheme="minorHAnsi" w:hAnsiTheme="minorHAnsi" w:cstheme="minorHAnsi"/>
                <w:b/>
                <w:sz w:val="18"/>
                <w:szCs w:val="18"/>
              </w:rPr>
              <w:t xml:space="preserve"> Evaluation</w:t>
            </w:r>
          </w:p>
        </w:tc>
        <w:tc>
          <w:tcPr>
            <w:tcW w:w="7087" w:type="dxa"/>
          </w:tcPr>
          <w:p w:rsidR="000537AD" w:rsidRPr="002B4484" w:rsidRDefault="000537AD" w:rsidP="000537AD">
            <w:pPr>
              <w:rPr>
                <w:rFonts w:asciiTheme="minorHAnsi" w:hAnsiTheme="minorHAnsi" w:cstheme="minorHAnsi"/>
                <w:sz w:val="18"/>
                <w:szCs w:val="18"/>
              </w:rPr>
            </w:pPr>
            <w:r w:rsidRPr="002B4484">
              <w:rPr>
                <w:rFonts w:asciiTheme="minorHAnsi" w:hAnsiTheme="minorHAnsi" w:cstheme="minorHAnsi"/>
                <w:sz w:val="18"/>
                <w:szCs w:val="18"/>
              </w:rPr>
              <w:t xml:space="preserve">The systematic and objective assessment of a government </w:t>
            </w:r>
            <w:r>
              <w:rPr>
                <w:rFonts w:asciiTheme="minorHAnsi" w:hAnsiTheme="minorHAnsi" w:cstheme="minorHAnsi"/>
                <w:sz w:val="18"/>
                <w:szCs w:val="18"/>
              </w:rPr>
              <w:t>programme</w:t>
            </w:r>
            <w:r w:rsidRPr="002B4484">
              <w:rPr>
                <w:rFonts w:asciiTheme="minorHAnsi" w:hAnsiTheme="minorHAnsi" w:cstheme="minorHAnsi"/>
                <w:sz w:val="18"/>
                <w:szCs w:val="18"/>
              </w:rPr>
              <w:t xml:space="preserve">, or parts of a </w:t>
            </w:r>
            <w:r>
              <w:rPr>
                <w:rFonts w:asciiTheme="minorHAnsi" w:hAnsiTheme="minorHAnsi" w:cstheme="minorHAnsi"/>
                <w:sz w:val="18"/>
                <w:szCs w:val="18"/>
              </w:rPr>
              <w:t>programme</w:t>
            </w:r>
            <w:r w:rsidRPr="002B4484">
              <w:rPr>
                <w:rFonts w:asciiTheme="minorHAnsi" w:hAnsiTheme="minorHAnsi" w:cstheme="minorHAnsi"/>
                <w:sz w:val="18"/>
                <w:szCs w:val="18"/>
              </w:rPr>
              <w:t>, to assist the Government and other decision makers to:</w:t>
            </w:r>
          </w:p>
          <w:p w:rsidR="000537AD" w:rsidRPr="002B4484" w:rsidRDefault="000537AD" w:rsidP="000537AD">
            <w:pPr>
              <w:pStyle w:val="ListParagraph"/>
              <w:numPr>
                <w:ilvl w:val="0"/>
                <w:numId w:val="24"/>
              </w:numPr>
              <w:spacing w:after="120"/>
              <w:rPr>
                <w:rFonts w:asciiTheme="minorHAnsi" w:hAnsiTheme="minorHAnsi" w:cstheme="minorHAnsi"/>
                <w:sz w:val="18"/>
                <w:szCs w:val="18"/>
              </w:rPr>
            </w:pPr>
            <w:r w:rsidRPr="002B4484">
              <w:rPr>
                <w:rFonts w:asciiTheme="minorHAnsi" w:hAnsiTheme="minorHAnsi" w:cstheme="minorHAnsi"/>
                <w:sz w:val="18"/>
                <w:szCs w:val="18"/>
              </w:rPr>
              <w:t xml:space="preserve">assess the continued relevance and priority of </w:t>
            </w:r>
            <w:r>
              <w:rPr>
                <w:rFonts w:asciiTheme="minorHAnsi" w:hAnsiTheme="minorHAnsi" w:cstheme="minorHAnsi"/>
                <w:sz w:val="18"/>
                <w:szCs w:val="18"/>
              </w:rPr>
              <w:t>programme</w:t>
            </w:r>
            <w:r w:rsidRPr="002B4484">
              <w:rPr>
                <w:rFonts w:asciiTheme="minorHAnsi" w:hAnsiTheme="minorHAnsi" w:cstheme="minorHAnsi"/>
                <w:sz w:val="18"/>
                <w:szCs w:val="18"/>
              </w:rPr>
              <w:t xml:space="preserve"> objectives in the light of current circumstances, including government policy changes (that is, the appropriateness of the </w:t>
            </w:r>
            <w:r>
              <w:rPr>
                <w:rFonts w:asciiTheme="minorHAnsi" w:hAnsiTheme="minorHAnsi" w:cstheme="minorHAnsi"/>
                <w:sz w:val="18"/>
                <w:szCs w:val="18"/>
              </w:rPr>
              <w:t>programme</w:t>
            </w:r>
            <w:r w:rsidRPr="002B4484">
              <w:rPr>
                <w:rFonts w:asciiTheme="minorHAnsi" w:hAnsiTheme="minorHAnsi" w:cstheme="minorHAnsi"/>
                <w:sz w:val="18"/>
                <w:szCs w:val="18"/>
              </w:rPr>
              <w:t>);</w:t>
            </w:r>
          </w:p>
          <w:p w:rsidR="000537AD" w:rsidRPr="002B4484" w:rsidRDefault="000537AD" w:rsidP="000537AD">
            <w:pPr>
              <w:pStyle w:val="ListParagraph"/>
              <w:numPr>
                <w:ilvl w:val="0"/>
                <w:numId w:val="24"/>
              </w:numPr>
              <w:spacing w:after="120"/>
              <w:rPr>
                <w:rFonts w:asciiTheme="minorHAnsi" w:hAnsiTheme="minorHAnsi" w:cstheme="minorHAnsi"/>
                <w:sz w:val="18"/>
                <w:szCs w:val="18"/>
              </w:rPr>
            </w:pPr>
            <w:r w:rsidRPr="002B4484">
              <w:rPr>
                <w:rFonts w:asciiTheme="minorHAnsi" w:hAnsiTheme="minorHAnsi" w:cstheme="minorHAnsi"/>
                <w:sz w:val="18"/>
                <w:szCs w:val="18"/>
              </w:rPr>
              <w:t xml:space="preserve">test whether the </w:t>
            </w:r>
            <w:r>
              <w:rPr>
                <w:rFonts w:asciiTheme="minorHAnsi" w:hAnsiTheme="minorHAnsi" w:cstheme="minorHAnsi"/>
                <w:sz w:val="18"/>
                <w:szCs w:val="18"/>
              </w:rPr>
              <w:t>programme</w:t>
            </w:r>
            <w:r w:rsidRPr="002B4484">
              <w:rPr>
                <w:rFonts w:asciiTheme="minorHAnsi" w:hAnsiTheme="minorHAnsi" w:cstheme="minorHAnsi"/>
                <w:sz w:val="18"/>
                <w:szCs w:val="18"/>
              </w:rPr>
              <w:t xml:space="preserve"> outcomes achieve stated objectives (that is, its effectiveness); and</w:t>
            </w:r>
          </w:p>
          <w:p w:rsidR="000537AD" w:rsidRPr="002B4484" w:rsidRDefault="000537AD" w:rsidP="000537AD">
            <w:pPr>
              <w:pStyle w:val="ListParagraph"/>
              <w:numPr>
                <w:ilvl w:val="0"/>
                <w:numId w:val="24"/>
              </w:numPr>
              <w:spacing w:after="120"/>
              <w:rPr>
                <w:rFonts w:asciiTheme="minorHAnsi" w:hAnsiTheme="minorHAnsi" w:cstheme="minorHAnsi"/>
                <w:sz w:val="18"/>
                <w:szCs w:val="18"/>
              </w:rPr>
            </w:pPr>
            <w:proofErr w:type="gramStart"/>
            <w:r w:rsidRPr="002B4484">
              <w:rPr>
                <w:rFonts w:asciiTheme="minorHAnsi" w:hAnsiTheme="minorHAnsi" w:cstheme="minorHAnsi"/>
                <w:sz w:val="18"/>
                <w:szCs w:val="18"/>
              </w:rPr>
              <w:t>ascertain</w:t>
            </w:r>
            <w:proofErr w:type="gramEnd"/>
            <w:r w:rsidRPr="002B4484">
              <w:rPr>
                <w:rFonts w:asciiTheme="minorHAnsi" w:hAnsiTheme="minorHAnsi" w:cstheme="minorHAnsi"/>
                <w:sz w:val="18"/>
                <w:szCs w:val="18"/>
              </w:rPr>
              <w:t xml:space="preserve"> whether there are better ways of achieving these objectives (that is, its efficiency).</w:t>
            </w:r>
          </w:p>
        </w:tc>
      </w:tr>
      <w:tr w:rsidR="000537AD" w:rsidTr="000537AD">
        <w:tc>
          <w:tcPr>
            <w:tcW w:w="2093" w:type="dxa"/>
          </w:tcPr>
          <w:p w:rsidR="000537AD" w:rsidRPr="002B4484" w:rsidRDefault="000537AD" w:rsidP="000537AD">
            <w:pPr>
              <w:rPr>
                <w:rFonts w:asciiTheme="minorHAnsi" w:hAnsiTheme="minorHAnsi" w:cstheme="minorHAnsi"/>
                <w:b/>
                <w:sz w:val="18"/>
                <w:szCs w:val="18"/>
              </w:rPr>
            </w:pPr>
            <w:proofErr w:type="spellStart"/>
            <w:r w:rsidRPr="002B4484">
              <w:rPr>
                <w:rFonts w:asciiTheme="minorHAnsi" w:hAnsiTheme="minorHAnsi" w:cstheme="minorHAnsi"/>
                <w:b/>
                <w:sz w:val="18"/>
                <w:szCs w:val="18"/>
              </w:rPr>
              <w:t>RCT</w:t>
            </w:r>
            <w:proofErr w:type="spellEnd"/>
          </w:p>
        </w:tc>
        <w:tc>
          <w:tcPr>
            <w:tcW w:w="7087" w:type="dxa"/>
          </w:tcPr>
          <w:p w:rsidR="000537AD" w:rsidRPr="002B4484" w:rsidRDefault="000537AD" w:rsidP="000537AD">
            <w:pPr>
              <w:rPr>
                <w:rFonts w:asciiTheme="minorHAnsi" w:hAnsiTheme="minorHAnsi" w:cstheme="minorHAnsi"/>
                <w:sz w:val="18"/>
                <w:szCs w:val="18"/>
              </w:rPr>
            </w:pPr>
            <w:r w:rsidRPr="002B4484">
              <w:rPr>
                <w:rFonts w:asciiTheme="minorHAnsi" w:hAnsiTheme="minorHAnsi" w:cstheme="minorHAnsi"/>
                <w:sz w:val="18"/>
                <w:szCs w:val="18"/>
              </w:rPr>
              <w:t xml:space="preserve">Randomised Control Trial. The use of a scientific design in which participants are randomly allocated to receive the </w:t>
            </w:r>
            <w:r>
              <w:rPr>
                <w:rFonts w:asciiTheme="minorHAnsi" w:hAnsiTheme="minorHAnsi" w:cstheme="minorHAnsi"/>
                <w:sz w:val="18"/>
                <w:szCs w:val="18"/>
              </w:rPr>
              <w:t>programme</w:t>
            </w:r>
            <w:r w:rsidRPr="002B4484">
              <w:rPr>
                <w:rFonts w:asciiTheme="minorHAnsi" w:hAnsiTheme="minorHAnsi" w:cstheme="minorHAnsi"/>
                <w:sz w:val="18"/>
                <w:szCs w:val="18"/>
              </w:rPr>
              <w:t xml:space="preserve"> intervention, or to a control condition (in which they do not receive the </w:t>
            </w:r>
            <w:r>
              <w:rPr>
                <w:rFonts w:asciiTheme="minorHAnsi" w:hAnsiTheme="minorHAnsi" w:cstheme="minorHAnsi"/>
                <w:sz w:val="18"/>
                <w:szCs w:val="18"/>
              </w:rPr>
              <w:t>programme</w:t>
            </w:r>
            <w:r w:rsidRPr="002B4484">
              <w:rPr>
                <w:rFonts w:asciiTheme="minorHAnsi" w:hAnsiTheme="minorHAnsi" w:cstheme="minorHAnsi"/>
                <w:sz w:val="18"/>
                <w:szCs w:val="18"/>
              </w:rPr>
              <w:t xml:space="preserve"> intervention), or to some other comparison condition that excludes the specific ingredients of the intervention that are presumed to be responsible for change. </w:t>
            </w:r>
          </w:p>
        </w:tc>
      </w:tr>
      <w:tr w:rsidR="000537AD" w:rsidTr="000537AD">
        <w:tc>
          <w:tcPr>
            <w:tcW w:w="2093" w:type="dxa"/>
          </w:tcPr>
          <w:p w:rsidR="000537AD" w:rsidRPr="002B4484" w:rsidRDefault="000537AD" w:rsidP="000537AD">
            <w:pPr>
              <w:rPr>
                <w:rFonts w:asciiTheme="minorHAnsi" w:hAnsiTheme="minorHAnsi" w:cstheme="minorHAnsi"/>
                <w:b/>
                <w:sz w:val="18"/>
                <w:szCs w:val="18"/>
              </w:rPr>
            </w:pPr>
            <w:r w:rsidRPr="002B4484">
              <w:rPr>
                <w:rFonts w:asciiTheme="minorHAnsi" w:hAnsiTheme="minorHAnsi" w:cstheme="minorHAnsi"/>
                <w:b/>
                <w:sz w:val="18"/>
                <w:szCs w:val="18"/>
              </w:rPr>
              <w:t>Summative Evaluation</w:t>
            </w:r>
          </w:p>
        </w:tc>
        <w:tc>
          <w:tcPr>
            <w:tcW w:w="7087" w:type="dxa"/>
          </w:tcPr>
          <w:p w:rsidR="000537AD" w:rsidRPr="002B4484" w:rsidRDefault="000537AD" w:rsidP="000537AD">
            <w:pPr>
              <w:rPr>
                <w:rFonts w:asciiTheme="minorHAnsi" w:hAnsiTheme="minorHAnsi" w:cstheme="minorHAnsi"/>
                <w:sz w:val="18"/>
                <w:szCs w:val="18"/>
              </w:rPr>
            </w:pPr>
            <w:r w:rsidRPr="002B4484">
              <w:rPr>
                <w:rFonts w:asciiTheme="minorHAnsi" w:hAnsiTheme="minorHAnsi" w:cstheme="minorHAnsi"/>
                <w:sz w:val="18"/>
                <w:szCs w:val="18"/>
              </w:rPr>
              <w:t xml:space="preserve">Summative evaluation looks at the impact of a </w:t>
            </w:r>
            <w:r>
              <w:rPr>
                <w:rFonts w:asciiTheme="minorHAnsi" w:hAnsiTheme="minorHAnsi" w:cstheme="minorHAnsi"/>
                <w:sz w:val="18"/>
                <w:szCs w:val="18"/>
              </w:rPr>
              <w:t>programme</w:t>
            </w:r>
            <w:r w:rsidRPr="002B4484">
              <w:rPr>
                <w:rFonts w:asciiTheme="minorHAnsi" w:hAnsiTheme="minorHAnsi" w:cstheme="minorHAnsi"/>
                <w:sz w:val="18"/>
                <w:szCs w:val="18"/>
              </w:rPr>
              <w:t xml:space="preserve"> on the target group. This type of evaluation aims to discover what outcomes have been achieved and what causal contribution the </w:t>
            </w:r>
            <w:r>
              <w:rPr>
                <w:rFonts w:asciiTheme="minorHAnsi" w:hAnsiTheme="minorHAnsi" w:cstheme="minorHAnsi"/>
                <w:sz w:val="18"/>
                <w:szCs w:val="18"/>
              </w:rPr>
              <w:t>programme</w:t>
            </w:r>
            <w:r w:rsidRPr="002B4484">
              <w:rPr>
                <w:rFonts w:asciiTheme="minorHAnsi" w:hAnsiTheme="minorHAnsi" w:cstheme="minorHAnsi"/>
                <w:sz w:val="18"/>
                <w:szCs w:val="18"/>
              </w:rPr>
              <w:t xml:space="preserve"> has made to achieving those outcomes.</w:t>
            </w:r>
          </w:p>
        </w:tc>
      </w:tr>
    </w:tbl>
    <w:p w:rsidR="000537AD" w:rsidRDefault="000537AD" w:rsidP="00232313">
      <w:pPr>
        <w:pStyle w:val="NoSpacing"/>
      </w:pPr>
      <w:bookmarkStart w:id="17" w:name="_Attachment_2:_Links"/>
      <w:bookmarkEnd w:id="17"/>
    </w:p>
    <w:p w:rsidR="000537AD" w:rsidRDefault="000537AD" w:rsidP="00232313">
      <w:pPr>
        <w:pStyle w:val="NoSpacing"/>
        <w:sectPr w:rsidR="000537AD" w:rsidSect="000537AD">
          <w:footerReference w:type="default" r:id="rId15"/>
          <w:pgSz w:w="11906" w:h="16838"/>
          <w:pgMar w:top="1440" w:right="1440" w:bottom="1440" w:left="1440" w:header="708" w:footer="708" w:gutter="0"/>
          <w:cols w:space="708"/>
          <w:docGrid w:linePitch="360"/>
        </w:sectPr>
      </w:pPr>
    </w:p>
    <w:p w:rsidR="000537AD" w:rsidRPr="00A95AB2" w:rsidRDefault="000537AD" w:rsidP="000537AD">
      <w:pPr>
        <w:pStyle w:val="Heading2"/>
        <w:rPr>
          <w:rFonts w:asciiTheme="minorHAnsi" w:hAnsiTheme="minorHAnsi" w:cstheme="minorHAnsi"/>
          <w:sz w:val="22"/>
          <w:szCs w:val="22"/>
        </w:rPr>
      </w:pPr>
      <w:bookmarkStart w:id="18" w:name="_Toc433639351"/>
      <w:r w:rsidRPr="00A95AB2">
        <w:rPr>
          <w:rFonts w:asciiTheme="minorHAnsi" w:hAnsiTheme="minorHAnsi" w:cstheme="minorHAnsi"/>
          <w:sz w:val="22"/>
          <w:szCs w:val="22"/>
        </w:rPr>
        <w:lastRenderedPageBreak/>
        <w:t>A</w:t>
      </w:r>
      <w:bookmarkStart w:id="19" w:name="Attachment2"/>
      <w:bookmarkEnd w:id="19"/>
      <w:r w:rsidRPr="00A95AB2">
        <w:rPr>
          <w:rFonts w:asciiTheme="minorHAnsi" w:hAnsiTheme="minorHAnsi" w:cstheme="minorHAnsi"/>
          <w:sz w:val="22"/>
          <w:szCs w:val="22"/>
        </w:rPr>
        <w:t>ttachment 2: Other resources</w:t>
      </w:r>
      <w:bookmarkEnd w:id="18"/>
    </w:p>
    <w:p w:rsidR="000537AD" w:rsidRPr="00A95AB2" w:rsidRDefault="000537AD" w:rsidP="002B7379">
      <w:pPr>
        <w:spacing w:before="240"/>
        <w:rPr>
          <w:rFonts w:asciiTheme="minorHAnsi" w:hAnsiTheme="minorHAnsi" w:cstheme="minorHAnsi"/>
          <w:sz w:val="22"/>
          <w:szCs w:val="22"/>
        </w:rPr>
      </w:pPr>
      <w:r w:rsidRPr="00A95AB2">
        <w:rPr>
          <w:rFonts w:asciiTheme="minorHAnsi" w:hAnsiTheme="minorHAnsi" w:cstheme="minorHAnsi"/>
          <w:sz w:val="22"/>
          <w:szCs w:val="22"/>
        </w:rPr>
        <w:t>Publications from other Australian jurisdictions:</w:t>
      </w:r>
    </w:p>
    <w:p w:rsidR="000537AD" w:rsidRPr="002B7379" w:rsidRDefault="000537AD" w:rsidP="004E3931">
      <w:pPr>
        <w:pStyle w:val="ListParagraph"/>
        <w:numPr>
          <w:ilvl w:val="0"/>
          <w:numId w:val="33"/>
        </w:numPr>
        <w:spacing w:after="60"/>
        <w:rPr>
          <w:rFonts w:asciiTheme="minorHAnsi" w:hAnsiTheme="minorHAnsi" w:cstheme="minorHAnsi"/>
          <w:sz w:val="22"/>
          <w:szCs w:val="22"/>
        </w:rPr>
      </w:pPr>
      <w:r w:rsidRPr="004E3931">
        <w:rPr>
          <w:rFonts w:asciiTheme="minorHAnsi" w:hAnsiTheme="minorHAnsi" w:cstheme="minorHAnsi"/>
          <w:sz w:val="22"/>
          <w:szCs w:val="22"/>
        </w:rPr>
        <w:t>ACT Government Evaluation Policy and Guidelines</w:t>
      </w:r>
      <w:r w:rsidRPr="002B7379">
        <w:rPr>
          <w:rFonts w:asciiTheme="minorHAnsi" w:hAnsiTheme="minorHAnsi" w:cstheme="minorHAnsi"/>
          <w:sz w:val="22"/>
          <w:szCs w:val="22"/>
        </w:rPr>
        <w:t xml:space="preserve"> </w:t>
      </w:r>
      <w:r w:rsidR="004E3931">
        <w:rPr>
          <w:rFonts w:asciiTheme="minorHAnsi" w:hAnsiTheme="minorHAnsi" w:cstheme="minorHAnsi"/>
          <w:sz w:val="22"/>
          <w:szCs w:val="22"/>
        </w:rPr>
        <w:t>(</w:t>
      </w:r>
      <w:hyperlink r:id="rId16" w:history="1">
        <w:r w:rsidR="00D207AF">
          <w:rPr>
            <w:rStyle w:val="Hyperlink"/>
            <w:rFonts w:asciiTheme="minorHAnsi" w:hAnsiTheme="minorHAnsi" w:cstheme="minorHAnsi"/>
            <w:sz w:val="22"/>
            <w:szCs w:val="22"/>
          </w:rPr>
          <w:t>http://www.cmd.act.gov.au/</w:t>
        </w:r>
      </w:hyperlink>
      <w:r w:rsidR="004E3931">
        <w:rPr>
          <w:rFonts w:asciiTheme="minorHAnsi" w:hAnsiTheme="minorHAnsi" w:cstheme="minorHAnsi"/>
          <w:sz w:val="22"/>
          <w:szCs w:val="22"/>
        </w:rPr>
        <w:t>)</w:t>
      </w:r>
    </w:p>
    <w:p w:rsidR="000537AD" w:rsidRPr="002B7379" w:rsidRDefault="000537AD" w:rsidP="004E3931">
      <w:pPr>
        <w:pStyle w:val="ListParagraph"/>
        <w:numPr>
          <w:ilvl w:val="0"/>
          <w:numId w:val="33"/>
        </w:numPr>
        <w:spacing w:after="60"/>
        <w:rPr>
          <w:rFonts w:asciiTheme="minorHAnsi" w:hAnsiTheme="minorHAnsi" w:cstheme="minorHAnsi"/>
          <w:sz w:val="22"/>
          <w:szCs w:val="22"/>
        </w:rPr>
      </w:pPr>
      <w:r w:rsidRPr="004E3931">
        <w:rPr>
          <w:rFonts w:asciiTheme="minorHAnsi" w:hAnsiTheme="minorHAnsi" w:cstheme="minorHAnsi"/>
          <w:sz w:val="22"/>
          <w:szCs w:val="22"/>
        </w:rPr>
        <w:t>Evaluation in the NSW Government</w:t>
      </w:r>
      <w:r w:rsidRPr="002B7379">
        <w:rPr>
          <w:rFonts w:asciiTheme="minorHAnsi" w:hAnsiTheme="minorHAnsi" w:cstheme="minorHAnsi"/>
          <w:sz w:val="22"/>
          <w:szCs w:val="22"/>
        </w:rPr>
        <w:t>, Premier and Cabinet</w:t>
      </w:r>
      <w:r w:rsidR="004E3931">
        <w:rPr>
          <w:rFonts w:asciiTheme="minorHAnsi" w:hAnsiTheme="minorHAnsi" w:cstheme="minorHAnsi"/>
          <w:sz w:val="22"/>
          <w:szCs w:val="22"/>
        </w:rPr>
        <w:t xml:space="preserve"> (</w:t>
      </w:r>
      <w:hyperlink r:id="rId17" w:history="1">
        <w:r w:rsidR="00D207AF" w:rsidRPr="00843AB6">
          <w:rPr>
            <w:rStyle w:val="Hyperlink"/>
            <w:rFonts w:asciiTheme="minorHAnsi" w:hAnsiTheme="minorHAnsi" w:cstheme="minorHAnsi"/>
            <w:sz w:val="22"/>
            <w:szCs w:val="22"/>
          </w:rPr>
          <w:t>http://www.dpc.nsw.gov.au/</w:t>
        </w:r>
      </w:hyperlink>
      <w:r w:rsidR="004E3931">
        <w:rPr>
          <w:rFonts w:asciiTheme="minorHAnsi" w:hAnsiTheme="minorHAnsi" w:cstheme="minorHAnsi"/>
          <w:sz w:val="22"/>
          <w:szCs w:val="22"/>
        </w:rPr>
        <w:t>)</w:t>
      </w:r>
    </w:p>
    <w:p w:rsidR="000537AD" w:rsidRPr="004E3931" w:rsidRDefault="000537AD" w:rsidP="004E3931">
      <w:pPr>
        <w:pStyle w:val="ListParagraph"/>
        <w:numPr>
          <w:ilvl w:val="0"/>
          <w:numId w:val="33"/>
        </w:numPr>
        <w:spacing w:after="60"/>
        <w:rPr>
          <w:rFonts w:asciiTheme="minorHAnsi" w:hAnsiTheme="minorHAnsi" w:cstheme="minorHAnsi"/>
          <w:sz w:val="22"/>
          <w:szCs w:val="22"/>
        </w:rPr>
      </w:pPr>
      <w:r w:rsidRPr="004E3931">
        <w:rPr>
          <w:rFonts w:asciiTheme="minorHAnsi" w:hAnsiTheme="minorHAnsi" w:cstheme="minorHAnsi"/>
          <w:sz w:val="22"/>
          <w:szCs w:val="22"/>
        </w:rPr>
        <w:t>Evaluation Guide, Western Australia</w:t>
      </w:r>
      <w:r w:rsidR="004E3931">
        <w:rPr>
          <w:rFonts w:asciiTheme="minorHAnsi" w:hAnsiTheme="minorHAnsi" w:cstheme="minorHAnsi"/>
          <w:sz w:val="22"/>
          <w:szCs w:val="22"/>
        </w:rPr>
        <w:t xml:space="preserve"> (</w:t>
      </w:r>
      <w:hyperlink r:id="rId18" w:history="1">
        <w:r w:rsidR="004E3931" w:rsidRPr="00843AB6">
          <w:rPr>
            <w:rStyle w:val="Hyperlink"/>
            <w:rFonts w:asciiTheme="minorHAnsi" w:hAnsiTheme="minorHAnsi" w:cstheme="minorHAnsi"/>
            <w:sz w:val="22"/>
            <w:szCs w:val="22"/>
          </w:rPr>
          <w:t>http://www.treasury.wa.gov.au/</w:t>
        </w:r>
      </w:hyperlink>
      <w:r w:rsidR="004E3931">
        <w:rPr>
          <w:rFonts w:asciiTheme="minorHAnsi" w:hAnsiTheme="minorHAnsi" w:cstheme="minorHAnsi"/>
          <w:sz w:val="22"/>
          <w:szCs w:val="22"/>
        </w:rPr>
        <w:t>)</w:t>
      </w:r>
    </w:p>
    <w:p w:rsidR="000537AD" w:rsidRPr="00A95AB2" w:rsidRDefault="000537AD" w:rsidP="002B7379">
      <w:pPr>
        <w:spacing w:before="240"/>
        <w:rPr>
          <w:rFonts w:asciiTheme="minorHAnsi" w:hAnsiTheme="minorHAnsi" w:cstheme="minorHAnsi"/>
          <w:sz w:val="22"/>
          <w:szCs w:val="22"/>
        </w:rPr>
      </w:pPr>
      <w:r w:rsidRPr="00A95AB2">
        <w:rPr>
          <w:rFonts w:asciiTheme="minorHAnsi" w:hAnsiTheme="minorHAnsi" w:cstheme="minorHAnsi"/>
          <w:sz w:val="22"/>
          <w:szCs w:val="22"/>
        </w:rPr>
        <w:t>Publications from the Productivity Commission</w:t>
      </w:r>
      <w:r w:rsidR="00D207AF">
        <w:rPr>
          <w:rFonts w:asciiTheme="minorHAnsi" w:hAnsiTheme="minorHAnsi" w:cstheme="minorHAnsi"/>
          <w:sz w:val="22"/>
          <w:szCs w:val="22"/>
        </w:rPr>
        <w:t xml:space="preserve"> (</w:t>
      </w:r>
      <w:hyperlink r:id="rId19" w:history="1">
        <w:r w:rsidR="00D207AF" w:rsidRPr="00843AB6">
          <w:rPr>
            <w:rStyle w:val="Hyperlink"/>
            <w:rFonts w:asciiTheme="minorHAnsi" w:hAnsiTheme="minorHAnsi" w:cstheme="minorHAnsi"/>
            <w:sz w:val="22"/>
            <w:szCs w:val="22"/>
          </w:rPr>
          <w:t>http://www.pc.gov.au/</w:t>
        </w:r>
      </w:hyperlink>
      <w:r w:rsidR="00D207AF">
        <w:rPr>
          <w:rFonts w:asciiTheme="minorHAnsi" w:hAnsiTheme="minorHAnsi" w:cstheme="minorHAnsi"/>
          <w:sz w:val="22"/>
          <w:szCs w:val="22"/>
        </w:rPr>
        <w:t>)</w:t>
      </w:r>
      <w:r w:rsidRPr="00A95AB2">
        <w:rPr>
          <w:rFonts w:asciiTheme="minorHAnsi" w:hAnsiTheme="minorHAnsi" w:cstheme="minorHAnsi"/>
          <w:sz w:val="22"/>
          <w:szCs w:val="22"/>
        </w:rPr>
        <w:t>:</w:t>
      </w:r>
    </w:p>
    <w:p w:rsidR="000537AD" w:rsidRPr="002B7379" w:rsidRDefault="000537AD" w:rsidP="004E3931">
      <w:pPr>
        <w:pStyle w:val="ListParagraph"/>
        <w:numPr>
          <w:ilvl w:val="0"/>
          <w:numId w:val="33"/>
        </w:numPr>
        <w:spacing w:after="60"/>
        <w:rPr>
          <w:rFonts w:asciiTheme="minorHAnsi" w:hAnsiTheme="minorHAnsi" w:cstheme="minorHAnsi"/>
          <w:sz w:val="22"/>
          <w:szCs w:val="22"/>
        </w:rPr>
      </w:pPr>
      <w:r w:rsidRPr="004E3931">
        <w:rPr>
          <w:rFonts w:asciiTheme="minorHAnsi" w:hAnsiTheme="minorHAnsi" w:cstheme="minorHAnsi"/>
          <w:sz w:val="22"/>
          <w:szCs w:val="22"/>
        </w:rPr>
        <w:t>Identifying and Evaluating Regulation Reforms</w:t>
      </w:r>
      <w:r w:rsidRPr="002B7379">
        <w:rPr>
          <w:rFonts w:asciiTheme="minorHAnsi" w:hAnsiTheme="minorHAnsi" w:cstheme="minorHAnsi"/>
          <w:sz w:val="22"/>
          <w:szCs w:val="22"/>
        </w:rPr>
        <w:t>, Appendix I</w:t>
      </w:r>
    </w:p>
    <w:p w:rsidR="000537AD" w:rsidRPr="002B7379" w:rsidRDefault="000537AD" w:rsidP="000537AD">
      <w:pPr>
        <w:pStyle w:val="ListParagraph"/>
        <w:numPr>
          <w:ilvl w:val="0"/>
          <w:numId w:val="33"/>
        </w:numPr>
        <w:spacing w:after="60"/>
        <w:rPr>
          <w:rFonts w:asciiTheme="minorHAnsi" w:hAnsiTheme="minorHAnsi" w:cstheme="minorHAnsi"/>
          <w:sz w:val="22"/>
          <w:szCs w:val="22"/>
        </w:rPr>
      </w:pPr>
      <w:r w:rsidRPr="004E3931">
        <w:rPr>
          <w:rFonts w:asciiTheme="minorHAnsi" w:hAnsiTheme="minorHAnsi" w:cstheme="minorHAnsi"/>
          <w:sz w:val="22"/>
          <w:szCs w:val="22"/>
        </w:rPr>
        <w:t>Designing evaluation strategies</w:t>
      </w:r>
    </w:p>
    <w:p w:rsidR="000537AD" w:rsidRPr="00A95AB2" w:rsidRDefault="000537AD" w:rsidP="002B7379">
      <w:pPr>
        <w:spacing w:before="240"/>
        <w:rPr>
          <w:rFonts w:asciiTheme="minorHAnsi" w:hAnsiTheme="minorHAnsi" w:cstheme="minorHAnsi"/>
          <w:sz w:val="22"/>
          <w:szCs w:val="22"/>
        </w:rPr>
      </w:pPr>
      <w:r w:rsidRPr="00A95AB2">
        <w:rPr>
          <w:rFonts w:asciiTheme="minorHAnsi" w:hAnsiTheme="minorHAnsi" w:cstheme="minorHAnsi"/>
          <w:sz w:val="22"/>
          <w:szCs w:val="22"/>
        </w:rPr>
        <w:t xml:space="preserve">Publications from the </w:t>
      </w:r>
      <w:proofErr w:type="spellStart"/>
      <w:r w:rsidRPr="00A95AB2">
        <w:rPr>
          <w:rFonts w:asciiTheme="minorHAnsi" w:hAnsiTheme="minorHAnsi" w:cstheme="minorHAnsi"/>
          <w:sz w:val="22"/>
          <w:szCs w:val="22"/>
        </w:rPr>
        <w:t>ANAO</w:t>
      </w:r>
      <w:proofErr w:type="spellEnd"/>
      <w:r w:rsidR="00D207AF">
        <w:rPr>
          <w:rFonts w:asciiTheme="minorHAnsi" w:hAnsiTheme="minorHAnsi" w:cstheme="minorHAnsi"/>
          <w:sz w:val="22"/>
          <w:szCs w:val="22"/>
        </w:rPr>
        <w:t xml:space="preserve"> (</w:t>
      </w:r>
      <w:hyperlink r:id="rId20" w:history="1">
        <w:r w:rsidR="00D207AF" w:rsidRPr="00843AB6">
          <w:rPr>
            <w:rStyle w:val="Hyperlink"/>
            <w:rFonts w:asciiTheme="minorHAnsi" w:hAnsiTheme="minorHAnsi" w:cstheme="minorHAnsi"/>
            <w:sz w:val="22"/>
            <w:szCs w:val="22"/>
          </w:rPr>
          <w:t>http://www.anao.gov.au</w:t>
        </w:r>
      </w:hyperlink>
      <w:r w:rsidR="00D207AF">
        <w:rPr>
          <w:rFonts w:asciiTheme="minorHAnsi" w:hAnsiTheme="minorHAnsi" w:cstheme="minorHAnsi"/>
          <w:sz w:val="22"/>
          <w:szCs w:val="22"/>
        </w:rPr>
        <w:t>):</w:t>
      </w:r>
    </w:p>
    <w:p w:rsidR="000537AD" w:rsidRPr="002B7379" w:rsidRDefault="000537AD" w:rsidP="004E3931">
      <w:pPr>
        <w:pStyle w:val="ListParagraph"/>
        <w:numPr>
          <w:ilvl w:val="0"/>
          <w:numId w:val="33"/>
        </w:numPr>
        <w:spacing w:after="60"/>
        <w:rPr>
          <w:rFonts w:asciiTheme="minorHAnsi" w:hAnsiTheme="minorHAnsi" w:cstheme="minorHAnsi"/>
          <w:sz w:val="22"/>
          <w:szCs w:val="22"/>
        </w:rPr>
      </w:pPr>
      <w:r w:rsidRPr="004E3931">
        <w:rPr>
          <w:rFonts w:asciiTheme="minorHAnsi" w:hAnsiTheme="minorHAnsi" w:cstheme="minorHAnsi"/>
          <w:sz w:val="22"/>
          <w:szCs w:val="22"/>
        </w:rPr>
        <w:t>Successful Implementation of Policy Initiatives.</w:t>
      </w:r>
      <w:r w:rsidRPr="002B7379">
        <w:rPr>
          <w:rFonts w:asciiTheme="minorHAnsi" w:hAnsiTheme="minorHAnsi" w:cstheme="minorHAnsi"/>
          <w:sz w:val="22"/>
          <w:szCs w:val="22"/>
        </w:rPr>
        <w:t xml:space="preserve"> Better Practice Guide, October 2014</w:t>
      </w:r>
    </w:p>
    <w:p w:rsidR="000537AD" w:rsidRPr="002B7379" w:rsidRDefault="000537AD" w:rsidP="004E3931">
      <w:pPr>
        <w:pStyle w:val="ListParagraph"/>
        <w:numPr>
          <w:ilvl w:val="0"/>
          <w:numId w:val="33"/>
        </w:numPr>
        <w:spacing w:after="60"/>
        <w:rPr>
          <w:rFonts w:asciiTheme="minorHAnsi" w:hAnsiTheme="minorHAnsi" w:cstheme="minorHAnsi"/>
          <w:sz w:val="22"/>
          <w:szCs w:val="22"/>
        </w:rPr>
      </w:pPr>
      <w:r w:rsidRPr="004E3931">
        <w:rPr>
          <w:rFonts w:asciiTheme="minorHAnsi" w:hAnsiTheme="minorHAnsi" w:cstheme="minorHAnsi"/>
          <w:sz w:val="22"/>
          <w:szCs w:val="22"/>
        </w:rPr>
        <w:t>Public Sector Governance: Strengthening performance through good governance</w:t>
      </w:r>
      <w:r w:rsidRPr="002B7379">
        <w:rPr>
          <w:rFonts w:asciiTheme="minorHAnsi" w:hAnsiTheme="minorHAnsi" w:cstheme="minorHAnsi"/>
          <w:sz w:val="22"/>
          <w:szCs w:val="22"/>
        </w:rPr>
        <w:t>. Better Practice G</w:t>
      </w:r>
      <w:r w:rsidR="00D207AF">
        <w:rPr>
          <w:rFonts w:asciiTheme="minorHAnsi" w:hAnsiTheme="minorHAnsi" w:cstheme="minorHAnsi"/>
          <w:sz w:val="22"/>
          <w:szCs w:val="22"/>
        </w:rPr>
        <w:t>uide, June 2014</w:t>
      </w:r>
    </w:p>
    <w:p w:rsidR="000537AD" w:rsidRPr="002B7379" w:rsidRDefault="000537AD" w:rsidP="004E3931">
      <w:pPr>
        <w:pStyle w:val="ListParagraph"/>
        <w:numPr>
          <w:ilvl w:val="0"/>
          <w:numId w:val="33"/>
        </w:numPr>
        <w:spacing w:after="60"/>
        <w:rPr>
          <w:rFonts w:asciiTheme="minorHAnsi" w:hAnsiTheme="minorHAnsi" w:cstheme="minorHAnsi"/>
          <w:sz w:val="22"/>
          <w:szCs w:val="22"/>
        </w:rPr>
      </w:pPr>
      <w:r w:rsidRPr="004E3931">
        <w:rPr>
          <w:rFonts w:asciiTheme="minorHAnsi" w:hAnsiTheme="minorHAnsi" w:cstheme="minorHAnsi"/>
          <w:sz w:val="22"/>
          <w:szCs w:val="22"/>
        </w:rPr>
        <w:t xml:space="preserve">Implementation of </w:t>
      </w:r>
      <w:proofErr w:type="spellStart"/>
      <w:r w:rsidRPr="004E3931">
        <w:rPr>
          <w:rFonts w:asciiTheme="minorHAnsi" w:hAnsiTheme="minorHAnsi" w:cstheme="minorHAnsi"/>
          <w:sz w:val="22"/>
          <w:szCs w:val="22"/>
        </w:rPr>
        <w:t>Programmeme</w:t>
      </w:r>
      <w:proofErr w:type="spellEnd"/>
      <w:r w:rsidRPr="004E3931">
        <w:rPr>
          <w:rFonts w:asciiTheme="minorHAnsi" w:hAnsiTheme="minorHAnsi" w:cstheme="minorHAnsi"/>
          <w:sz w:val="22"/>
          <w:szCs w:val="22"/>
        </w:rPr>
        <w:t xml:space="preserve"> and Policy Initiatives: Making implementation matter</w:t>
      </w:r>
    </w:p>
    <w:p w:rsidR="000537AD" w:rsidRPr="00A95AB2" w:rsidRDefault="000537AD" w:rsidP="002B7379">
      <w:pPr>
        <w:spacing w:before="240"/>
        <w:rPr>
          <w:rFonts w:asciiTheme="minorHAnsi" w:hAnsiTheme="minorHAnsi" w:cstheme="minorHAnsi"/>
          <w:sz w:val="22"/>
          <w:szCs w:val="22"/>
        </w:rPr>
      </w:pPr>
      <w:r w:rsidRPr="00A95AB2">
        <w:rPr>
          <w:rFonts w:asciiTheme="minorHAnsi" w:hAnsiTheme="minorHAnsi" w:cstheme="minorHAnsi"/>
          <w:sz w:val="22"/>
          <w:szCs w:val="22"/>
        </w:rPr>
        <w:t>Publications from the United Kingdom</w:t>
      </w:r>
      <w:r w:rsidR="00D207AF" w:rsidRPr="00D207AF">
        <w:t xml:space="preserve"> </w:t>
      </w:r>
      <w:r w:rsidR="00D207AF">
        <w:t>(</w:t>
      </w:r>
      <w:hyperlink r:id="rId21" w:history="1">
        <w:r w:rsidR="00D207AF" w:rsidRPr="00843AB6">
          <w:rPr>
            <w:rStyle w:val="Hyperlink"/>
            <w:rFonts w:asciiTheme="minorHAnsi" w:hAnsiTheme="minorHAnsi" w:cstheme="minorHAnsi"/>
            <w:sz w:val="22"/>
            <w:szCs w:val="22"/>
          </w:rPr>
          <w:t>https://www.gov.uk</w:t>
        </w:r>
      </w:hyperlink>
      <w:r w:rsidR="00D207AF">
        <w:rPr>
          <w:rFonts w:asciiTheme="minorHAnsi" w:hAnsiTheme="minorHAnsi" w:cstheme="minorHAnsi"/>
          <w:sz w:val="22"/>
          <w:szCs w:val="22"/>
        </w:rPr>
        <w:t>)</w:t>
      </w:r>
      <w:r w:rsidRPr="00A95AB2">
        <w:rPr>
          <w:rFonts w:asciiTheme="minorHAnsi" w:hAnsiTheme="minorHAnsi" w:cstheme="minorHAnsi"/>
          <w:sz w:val="22"/>
          <w:szCs w:val="22"/>
        </w:rPr>
        <w:t>:</w:t>
      </w:r>
    </w:p>
    <w:p w:rsidR="00D207AF" w:rsidRPr="00D207AF" w:rsidRDefault="000537AD" w:rsidP="0096746B">
      <w:pPr>
        <w:pStyle w:val="ListParagraph"/>
        <w:numPr>
          <w:ilvl w:val="0"/>
          <w:numId w:val="33"/>
        </w:numPr>
        <w:spacing w:after="60"/>
        <w:rPr>
          <w:rStyle w:val="Hyperlink"/>
          <w:color w:val="auto"/>
          <w:u w:val="none"/>
        </w:rPr>
      </w:pPr>
      <w:r w:rsidRPr="00D207AF">
        <w:rPr>
          <w:rStyle w:val="Hyperlink"/>
          <w:rFonts w:asciiTheme="minorHAnsi" w:hAnsiTheme="minorHAnsi" w:cstheme="minorHAnsi"/>
          <w:color w:val="auto"/>
          <w:sz w:val="22"/>
          <w:szCs w:val="22"/>
          <w:u w:val="none"/>
        </w:rPr>
        <w:t>The Magenta Book: Guidance for evaluation</w:t>
      </w:r>
      <w:r w:rsidR="0096746B" w:rsidRPr="00D207AF">
        <w:rPr>
          <w:rStyle w:val="Hyperlink"/>
          <w:rFonts w:asciiTheme="minorHAnsi" w:hAnsiTheme="minorHAnsi" w:cstheme="minorHAnsi"/>
          <w:color w:val="auto"/>
          <w:sz w:val="22"/>
          <w:szCs w:val="22"/>
          <w:u w:val="none"/>
        </w:rPr>
        <w:t xml:space="preserve"> </w:t>
      </w:r>
    </w:p>
    <w:p w:rsidR="000537AD" w:rsidRPr="00D207AF" w:rsidRDefault="000537AD" w:rsidP="0096746B">
      <w:pPr>
        <w:pStyle w:val="ListParagraph"/>
        <w:numPr>
          <w:ilvl w:val="0"/>
          <w:numId w:val="33"/>
        </w:numPr>
        <w:spacing w:after="60"/>
        <w:rPr>
          <w:rStyle w:val="Hyperlink"/>
          <w:color w:val="auto"/>
          <w:u w:val="none"/>
        </w:rPr>
      </w:pPr>
      <w:r w:rsidRPr="00D207AF">
        <w:rPr>
          <w:rStyle w:val="Hyperlink"/>
          <w:rFonts w:asciiTheme="minorHAnsi" w:hAnsiTheme="minorHAnsi" w:cstheme="minorHAnsi"/>
          <w:color w:val="auto"/>
          <w:sz w:val="22"/>
          <w:szCs w:val="22"/>
          <w:u w:val="none"/>
        </w:rPr>
        <w:t>The Magenta Book: Guidance notes for policy evaluation and analysis. Background paper 1: what is policy evaluation?</w:t>
      </w:r>
    </w:p>
    <w:p w:rsidR="000537AD" w:rsidRPr="00D207AF" w:rsidRDefault="000537AD" w:rsidP="00D207AF">
      <w:pPr>
        <w:pStyle w:val="ListParagraph"/>
        <w:numPr>
          <w:ilvl w:val="0"/>
          <w:numId w:val="33"/>
        </w:numPr>
        <w:spacing w:after="60"/>
        <w:rPr>
          <w:rStyle w:val="Hyperlink"/>
          <w:color w:val="auto"/>
          <w:u w:val="none"/>
        </w:rPr>
      </w:pPr>
      <w:r w:rsidRPr="00D207AF">
        <w:rPr>
          <w:rStyle w:val="Hyperlink"/>
          <w:rFonts w:asciiTheme="minorHAnsi" w:hAnsiTheme="minorHAnsi" w:cstheme="minorHAnsi"/>
          <w:color w:val="auto"/>
          <w:sz w:val="22"/>
          <w:szCs w:val="22"/>
          <w:u w:val="none"/>
        </w:rPr>
        <w:t>Quality in policy impact evaluation: Understanding the effects of policy from other influences (supplementary Magenta Book guidance</w:t>
      </w:r>
      <w:r w:rsidR="00D207AF">
        <w:rPr>
          <w:rStyle w:val="Hyperlink"/>
          <w:rFonts w:asciiTheme="minorHAnsi" w:hAnsiTheme="minorHAnsi" w:cstheme="minorHAnsi"/>
          <w:color w:val="auto"/>
          <w:sz w:val="22"/>
          <w:szCs w:val="22"/>
          <w:u w:val="none"/>
        </w:rPr>
        <w:t>)</w:t>
      </w:r>
    </w:p>
    <w:p w:rsidR="000537AD" w:rsidRPr="00D207AF" w:rsidRDefault="000537AD" w:rsidP="00D207AF">
      <w:pPr>
        <w:pStyle w:val="ListParagraph"/>
        <w:numPr>
          <w:ilvl w:val="0"/>
          <w:numId w:val="33"/>
        </w:numPr>
        <w:spacing w:after="60"/>
        <w:rPr>
          <w:rStyle w:val="Hyperlink"/>
          <w:color w:val="auto"/>
          <w:u w:val="none"/>
        </w:rPr>
      </w:pPr>
      <w:r w:rsidRPr="00D207AF">
        <w:rPr>
          <w:rStyle w:val="Hyperlink"/>
          <w:rFonts w:asciiTheme="minorHAnsi" w:hAnsiTheme="minorHAnsi" w:cstheme="minorHAnsi"/>
          <w:color w:val="auto"/>
          <w:sz w:val="22"/>
          <w:szCs w:val="22"/>
          <w:u w:val="none"/>
        </w:rPr>
        <w:t>Quality in Qualitative Evaluation: A framework for assessing research evidence</w:t>
      </w:r>
    </w:p>
    <w:p w:rsidR="000537AD" w:rsidRPr="00A95AB2" w:rsidRDefault="000537AD" w:rsidP="002B7379">
      <w:pPr>
        <w:spacing w:before="240"/>
        <w:rPr>
          <w:rFonts w:asciiTheme="minorHAnsi" w:hAnsiTheme="minorHAnsi" w:cstheme="minorHAnsi"/>
          <w:sz w:val="22"/>
          <w:szCs w:val="22"/>
        </w:rPr>
      </w:pPr>
      <w:r w:rsidRPr="00A95AB2">
        <w:rPr>
          <w:rFonts w:asciiTheme="minorHAnsi" w:hAnsiTheme="minorHAnsi" w:cstheme="minorHAnsi"/>
          <w:sz w:val="22"/>
          <w:szCs w:val="22"/>
        </w:rPr>
        <w:t>Publication from the United States Government Accountability Office</w:t>
      </w:r>
      <w:r w:rsidR="00D207AF">
        <w:rPr>
          <w:rFonts w:asciiTheme="minorHAnsi" w:hAnsiTheme="minorHAnsi" w:cstheme="minorHAnsi"/>
          <w:sz w:val="22"/>
          <w:szCs w:val="22"/>
        </w:rPr>
        <w:t xml:space="preserve"> (</w:t>
      </w:r>
      <w:hyperlink r:id="rId22" w:history="1">
        <w:r w:rsidR="00D207AF" w:rsidRPr="00843AB6">
          <w:rPr>
            <w:rStyle w:val="Hyperlink"/>
            <w:rFonts w:asciiTheme="minorHAnsi" w:hAnsiTheme="minorHAnsi" w:cstheme="minorHAnsi"/>
            <w:sz w:val="22"/>
            <w:szCs w:val="22"/>
          </w:rPr>
          <w:t>https://www.ignet.gov/</w:t>
        </w:r>
      </w:hyperlink>
      <w:r w:rsidR="00D207AF">
        <w:rPr>
          <w:rFonts w:asciiTheme="minorHAnsi" w:hAnsiTheme="minorHAnsi" w:cstheme="minorHAnsi"/>
          <w:sz w:val="22"/>
          <w:szCs w:val="22"/>
        </w:rPr>
        <w:t>)</w:t>
      </w:r>
      <w:r w:rsidRPr="00A95AB2">
        <w:rPr>
          <w:rFonts w:asciiTheme="minorHAnsi" w:hAnsiTheme="minorHAnsi" w:cstheme="minorHAnsi"/>
          <w:sz w:val="22"/>
          <w:szCs w:val="22"/>
        </w:rPr>
        <w:t>:</w:t>
      </w:r>
    </w:p>
    <w:p w:rsidR="000537AD" w:rsidRPr="00D207AF" w:rsidRDefault="000537AD" w:rsidP="00D207AF">
      <w:pPr>
        <w:pStyle w:val="ListParagraph"/>
        <w:numPr>
          <w:ilvl w:val="0"/>
          <w:numId w:val="33"/>
        </w:numPr>
        <w:spacing w:after="60"/>
        <w:rPr>
          <w:rFonts w:asciiTheme="minorHAnsi" w:hAnsiTheme="minorHAnsi" w:cstheme="minorHAnsi"/>
          <w:sz w:val="22"/>
          <w:szCs w:val="22"/>
          <w:u w:val="single"/>
        </w:rPr>
      </w:pPr>
      <w:r w:rsidRPr="00D207AF">
        <w:rPr>
          <w:rFonts w:asciiTheme="minorHAnsi" w:hAnsiTheme="minorHAnsi" w:cstheme="minorHAnsi"/>
          <w:sz w:val="22"/>
          <w:szCs w:val="22"/>
        </w:rPr>
        <w:t>Designing Evaluations</w:t>
      </w:r>
    </w:p>
    <w:p w:rsidR="000537AD" w:rsidRPr="00A95AB2" w:rsidRDefault="000537AD" w:rsidP="002B7379">
      <w:pPr>
        <w:spacing w:before="240"/>
        <w:rPr>
          <w:rFonts w:asciiTheme="minorHAnsi" w:hAnsiTheme="minorHAnsi" w:cstheme="minorHAnsi"/>
          <w:sz w:val="22"/>
          <w:szCs w:val="22"/>
        </w:rPr>
      </w:pPr>
      <w:r w:rsidRPr="00A95AB2">
        <w:rPr>
          <w:rFonts w:asciiTheme="minorHAnsi" w:hAnsiTheme="minorHAnsi" w:cstheme="minorHAnsi"/>
          <w:sz w:val="22"/>
          <w:szCs w:val="22"/>
        </w:rPr>
        <w:t>Publications from the United Nations</w:t>
      </w:r>
      <w:r w:rsidR="00D207AF">
        <w:rPr>
          <w:rFonts w:asciiTheme="minorHAnsi" w:hAnsiTheme="minorHAnsi" w:cstheme="minorHAnsi"/>
          <w:sz w:val="22"/>
          <w:szCs w:val="22"/>
        </w:rPr>
        <w:t xml:space="preserve"> (</w:t>
      </w:r>
      <w:hyperlink r:id="rId23" w:history="1">
        <w:r w:rsidR="00D207AF" w:rsidRPr="00843AB6">
          <w:rPr>
            <w:rStyle w:val="Hyperlink"/>
            <w:rFonts w:asciiTheme="minorHAnsi" w:hAnsiTheme="minorHAnsi" w:cstheme="minorHAnsi"/>
            <w:sz w:val="22"/>
            <w:szCs w:val="22"/>
          </w:rPr>
          <w:t>http://www.uneval.org</w:t>
        </w:r>
      </w:hyperlink>
      <w:r w:rsidR="00D207AF">
        <w:rPr>
          <w:rFonts w:asciiTheme="minorHAnsi" w:hAnsiTheme="minorHAnsi" w:cstheme="minorHAnsi"/>
          <w:sz w:val="22"/>
          <w:szCs w:val="22"/>
        </w:rPr>
        <w:t>)</w:t>
      </w:r>
      <w:r w:rsidRPr="00A95AB2">
        <w:rPr>
          <w:rFonts w:asciiTheme="minorHAnsi" w:hAnsiTheme="minorHAnsi" w:cstheme="minorHAnsi"/>
          <w:sz w:val="22"/>
          <w:szCs w:val="22"/>
        </w:rPr>
        <w:t>:</w:t>
      </w:r>
    </w:p>
    <w:p w:rsidR="000537AD" w:rsidRPr="00D207AF" w:rsidRDefault="000537AD" w:rsidP="002B7379">
      <w:pPr>
        <w:pStyle w:val="ListParagraph"/>
        <w:numPr>
          <w:ilvl w:val="0"/>
          <w:numId w:val="33"/>
        </w:numPr>
        <w:spacing w:after="60"/>
        <w:rPr>
          <w:rStyle w:val="Hyperlink"/>
          <w:color w:val="auto"/>
          <w:u w:val="none"/>
        </w:rPr>
      </w:pPr>
      <w:r w:rsidRPr="00D207AF">
        <w:rPr>
          <w:rStyle w:val="Hyperlink"/>
          <w:rFonts w:asciiTheme="minorHAnsi" w:hAnsiTheme="minorHAnsi" w:cstheme="minorHAnsi"/>
          <w:color w:val="auto"/>
          <w:sz w:val="22"/>
          <w:szCs w:val="22"/>
          <w:u w:val="none"/>
        </w:rPr>
        <w:t>Norms for Evaluation in the UN System</w:t>
      </w:r>
    </w:p>
    <w:p w:rsidR="000537AD" w:rsidRPr="00D207AF" w:rsidRDefault="000537AD" w:rsidP="000537AD">
      <w:pPr>
        <w:pStyle w:val="ListParagraph"/>
        <w:numPr>
          <w:ilvl w:val="0"/>
          <w:numId w:val="33"/>
        </w:numPr>
        <w:spacing w:after="60"/>
        <w:rPr>
          <w:rFonts w:asciiTheme="minorHAnsi" w:hAnsiTheme="minorHAnsi" w:cstheme="minorHAnsi"/>
          <w:sz w:val="22"/>
          <w:szCs w:val="22"/>
        </w:rPr>
      </w:pPr>
      <w:r w:rsidRPr="00D207AF">
        <w:rPr>
          <w:rStyle w:val="Hyperlink"/>
          <w:rFonts w:asciiTheme="minorHAnsi" w:hAnsiTheme="minorHAnsi" w:cstheme="minorHAnsi"/>
          <w:color w:val="auto"/>
          <w:sz w:val="22"/>
          <w:szCs w:val="22"/>
          <w:u w:val="none"/>
        </w:rPr>
        <w:t>Standards for Evaluation in the UN System</w:t>
      </w:r>
    </w:p>
    <w:p w:rsidR="000537AD" w:rsidRPr="00A95AB2" w:rsidRDefault="000537AD" w:rsidP="002B7379">
      <w:pPr>
        <w:spacing w:before="240"/>
        <w:rPr>
          <w:rFonts w:asciiTheme="minorHAnsi" w:hAnsiTheme="minorHAnsi" w:cstheme="minorHAnsi"/>
          <w:sz w:val="22"/>
          <w:szCs w:val="22"/>
        </w:rPr>
      </w:pPr>
      <w:r w:rsidRPr="00A95AB2">
        <w:rPr>
          <w:rFonts w:asciiTheme="minorHAnsi" w:hAnsiTheme="minorHAnsi" w:cstheme="minorHAnsi"/>
          <w:sz w:val="22"/>
          <w:szCs w:val="22"/>
        </w:rPr>
        <w:t>Publications from the European Union</w:t>
      </w:r>
      <w:r w:rsidR="00D207AF">
        <w:rPr>
          <w:rFonts w:asciiTheme="minorHAnsi" w:hAnsiTheme="minorHAnsi" w:cstheme="minorHAnsi"/>
          <w:sz w:val="22"/>
          <w:szCs w:val="22"/>
        </w:rPr>
        <w:t xml:space="preserve"> (</w:t>
      </w:r>
      <w:hyperlink r:id="rId24" w:history="1">
        <w:r w:rsidR="00541C69" w:rsidRPr="00843AB6">
          <w:rPr>
            <w:rStyle w:val="Hyperlink"/>
            <w:rFonts w:asciiTheme="minorHAnsi" w:hAnsiTheme="minorHAnsi" w:cstheme="minorHAnsi"/>
            <w:sz w:val="22"/>
            <w:szCs w:val="22"/>
          </w:rPr>
          <w:t>http://ec.europa.eu/index_en.htm</w:t>
        </w:r>
      </w:hyperlink>
      <w:r w:rsidR="00D207AF">
        <w:rPr>
          <w:rFonts w:asciiTheme="minorHAnsi" w:hAnsiTheme="minorHAnsi" w:cstheme="minorHAnsi"/>
          <w:sz w:val="22"/>
          <w:szCs w:val="22"/>
        </w:rPr>
        <w:t>)</w:t>
      </w:r>
      <w:r w:rsidRPr="00A95AB2">
        <w:rPr>
          <w:rFonts w:asciiTheme="minorHAnsi" w:hAnsiTheme="minorHAnsi" w:cstheme="minorHAnsi"/>
          <w:sz w:val="22"/>
          <w:szCs w:val="22"/>
        </w:rPr>
        <w:t>:</w:t>
      </w:r>
    </w:p>
    <w:p w:rsidR="000537AD" w:rsidRPr="00D207AF" w:rsidRDefault="000537AD" w:rsidP="002B7379">
      <w:pPr>
        <w:pStyle w:val="ListParagraph"/>
        <w:numPr>
          <w:ilvl w:val="0"/>
          <w:numId w:val="33"/>
        </w:numPr>
        <w:spacing w:after="60"/>
        <w:rPr>
          <w:rStyle w:val="Hyperlink"/>
          <w:color w:val="auto"/>
          <w:u w:val="none"/>
        </w:rPr>
      </w:pPr>
      <w:r w:rsidRPr="00D207AF">
        <w:rPr>
          <w:rStyle w:val="Hyperlink"/>
          <w:rFonts w:asciiTheme="minorHAnsi" w:hAnsiTheme="minorHAnsi" w:cstheme="minorHAnsi"/>
          <w:color w:val="auto"/>
          <w:sz w:val="22"/>
          <w:szCs w:val="22"/>
          <w:u w:val="none"/>
        </w:rPr>
        <w:t xml:space="preserve">Guidelines for the ex-ante evaluation of 2014-2020 </w:t>
      </w:r>
      <w:proofErr w:type="spellStart"/>
      <w:r w:rsidRPr="00D207AF">
        <w:rPr>
          <w:rStyle w:val="Hyperlink"/>
          <w:rFonts w:asciiTheme="minorHAnsi" w:hAnsiTheme="minorHAnsi" w:cstheme="minorHAnsi"/>
          <w:color w:val="auto"/>
          <w:sz w:val="22"/>
          <w:szCs w:val="22"/>
          <w:u w:val="none"/>
        </w:rPr>
        <w:t>EMFF</w:t>
      </w:r>
      <w:proofErr w:type="spellEnd"/>
      <w:r w:rsidRPr="00D207AF">
        <w:rPr>
          <w:rStyle w:val="Hyperlink"/>
          <w:rFonts w:asciiTheme="minorHAnsi" w:hAnsiTheme="minorHAnsi" w:cstheme="minorHAnsi"/>
          <w:color w:val="auto"/>
          <w:sz w:val="22"/>
          <w:szCs w:val="22"/>
          <w:u w:val="none"/>
        </w:rPr>
        <w:t xml:space="preserve"> OPS</w:t>
      </w:r>
      <w:r w:rsidRPr="00D207AF">
        <w:rPr>
          <w:rStyle w:val="Hyperlink"/>
          <w:color w:val="auto"/>
          <w:u w:val="none"/>
        </w:rPr>
        <w:t xml:space="preserve"> </w:t>
      </w:r>
    </w:p>
    <w:p w:rsidR="000537AD" w:rsidRPr="00D207AF" w:rsidRDefault="000537AD" w:rsidP="000537AD">
      <w:pPr>
        <w:pStyle w:val="ListParagraph"/>
        <w:numPr>
          <w:ilvl w:val="0"/>
          <w:numId w:val="33"/>
        </w:numPr>
        <w:spacing w:after="60"/>
        <w:rPr>
          <w:rFonts w:asciiTheme="minorHAnsi" w:hAnsiTheme="minorHAnsi" w:cstheme="minorHAnsi"/>
          <w:sz w:val="22"/>
          <w:szCs w:val="22"/>
        </w:rPr>
      </w:pPr>
      <w:r w:rsidRPr="00D207AF">
        <w:rPr>
          <w:rStyle w:val="Hyperlink"/>
          <w:rFonts w:asciiTheme="minorHAnsi" w:hAnsiTheme="minorHAnsi" w:cstheme="minorHAnsi"/>
          <w:color w:val="auto"/>
          <w:sz w:val="22"/>
          <w:szCs w:val="22"/>
          <w:u w:val="none"/>
        </w:rPr>
        <w:t>European Commission evaluation standards</w:t>
      </w:r>
    </w:p>
    <w:sectPr w:rsidR="000537AD" w:rsidRPr="00D207AF" w:rsidSect="001028EF">
      <w:headerReference w:type="first" r:id="rId25"/>
      <w:pgSz w:w="11906" w:h="16838" w:code="9"/>
      <w:pgMar w:top="964" w:right="964" w:bottom="851" w:left="964" w:header="709"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6A87" w:rsidRDefault="00766A87">
      <w:r>
        <w:separator/>
      </w:r>
    </w:p>
  </w:endnote>
  <w:endnote w:type="continuationSeparator" w:id="0">
    <w:p w:rsidR="00766A87" w:rsidRDefault="00766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utami">
    <w:panose1 w:val="020B0502040204020203"/>
    <w:charset w:val="01"/>
    <w:family w:val="roman"/>
    <w:notTrueType/>
    <w:pitch w:val="variable"/>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079604"/>
      <w:docPartObj>
        <w:docPartGallery w:val="Page Numbers (Bottom of Page)"/>
        <w:docPartUnique/>
      </w:docPartObj>
    </w:sdtPr>
    <w:sdtEndPr>
      <w:rPr>
        <w:noProof/>
      </w:rPr>
    </w:sdtEndPr>
    <w:sdtContent>
      <w:p w:rsidR="004724AD" w:rsidRDefault="004724AD" w:rsidP="004724AD">
        <w:pPr>
          <w:pStyle w:val="Footer"/>
          <w:jc w:val="right"/>
        </w:pPr>
        <w:r>
          <w:fldChar w:fldCharType="begin"/>
        </w:r>
        <w:r>
          <w:instrText xml:space="preserve"> PAGE   \* MERGEFORMAT </w:instrText>
        </w:r>
        <w:r>
          <w:fldChar w:fldCharType="separate"/>
        </w:r>
        <w:r w:rsidR="006C0B67">
          <w:rPr>
            <w:noProof/>
          </w:rPr>
          <w:t>4</w:t>
        </w:r>
        <w:r>
          <w:rPr>
            <w:noProof/>
          </w:rPr>
          <w:fldChar w:fldCharType="end"/>
        </w:r>
      </w:p>
    </w:sdtContent>
  </w:sdt>
  <w:p w:rsidR="002A2401" w:rsidRDefault="004724AD" w:rsidP="004724AD">
    <w:pPr>
      <w:pStyle w:val="Footer"/>
      <w:tabs>
        <w:tab w:val="clear" w:pos="4153"/>
        <w:tab w:val="clear" w:pos="8306"/>
        <w:tab w:val="left" w:pos="3206"/>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5535611"/>
      <w:docPartObj>
        <w:docPartGallery w:val="Page Numbers (Bottom of Page)"/>
        <w:docPartUnique/>
      </w:docPartObj>
    </w:sdtPr>
    <w:sdtEndPr>
      <w:rPr>
        <w:noProof/>
      </w:rPr>
    </w:sdtEndPr>
    <w:sdtContent>
      <w:p w:rsidR="00766A87" w:rsidRDefault="00766A87">
        <w:pPr>
          <w:pStyle w:val="Footer"/>
          <w:jc w:val="right"/>
        </w:pPr>
        <w:r>
          <w:fldChar w:fldCharType="begin"/>
        </w:r>
        <w:r>
          <w:instrText xml:space="preserve"> PAGE   \* MERGEFORMAT </w:instrText>
        </w:r>
        <w:r>
          <w:fldChar w:fldCharType="separate"/>
        </w:r>
        <w:r w:rsidR="006C0B67">
          <w:rPr>
            <w:noProof/>
          </w:rPr>
          <w:t>2</w:t>
        </w:r>
        <w:r>
          <w:rPr>
            <w:noProof/>
          </w:rPr>
          <w:fldChar w:fldCharType="end"/>
        </w:r>
      </w:p>
    </w:sdtContent>
  </w:sdt>
  <w:p w:rsidR="00766A87" w:rsidRDefault="00766A8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5360559"/>
      <w:docPartObj>
        <w:docPartGallery w:val="Page Numbers (Bottom of Page)"/>
        <w:docPartUnique/>
      </w:docPartObj>
    </w:sdtPr>
    <w:sdtEndPr>
      <w:rPr>
        <w:noProof/>
      </w:rPr>
    </w:sdtEndPr>
    <w:sdtContent>
      <w:p w:rsidR="00766A87" w:rsidRDefault="00766A87">
        <w:pPr>
          <w:pStyle w:val="Footer"/>
          <w:jc w:val="right"/>
        </w:pPr>
        <w:r>
          <w:fldChar w:fldCharType="begin"/>
        </w:r>
        <w:r>
          <w:instrText xml:space="preserve"> PAGE   \* MERGEFORMAT </w:instrText>
        </w:r>
        <w:r>
          <w:fldChar w:fldCharType="separate"/>
        </w:r>
        <w:r w:rsidR="006C0B67">
          <w:rPr>
            <w:noProof/>
          </w:rPr>
          <w:t>14</w:t>
        </w:r>
        <w:r>
          <w:rPr>
            <w:noProof/>
          </w:rPr>
          <w:fldChar w:fldCharType="end"/>
        </w:r>
      </w:p>
    </w:sdtContent>
  </w:sdt>
  <w:p w:rsidR="00766A87" w:rsidRDefault="00766A8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403453"/>
      <w:docPartObj>
        <w:docPartGallery w:val="Page Numbers (Bottom of Page)"/>
        <w:docPartUnique/>
      </w:docPartObj>
    </w:sdtPr>
    <w:sdtEndPr>
      <w:rPr>
        <w:noProof/>
      </w:rPr>
    </w:sdtEndPr>
    <w:sdtContent>
      <w:p w:rsidR="00766A87" w:rsidRDefault="00766A87">
        <w:pPr>
          <w:pStyle w:val="Footer"/>
          <w:jc w:val="right"/>
        </w:pPr>
        <w:r>
          <w:fldChar w:fldCharType="begin"/>
        </w:r>
        <w:r>
          <w:instrText xml:space="preserve"> PAGE   \* MERGEFORMAT </w:instrText>
        </w:r>
        <w:r>
          <w:fldChar w:fldCharType="separate"/>
        </w:r>
        <w:r w:rsidR="006C0B67">
          <w:rPr>
            <w:noProof/>
          </w:rPr>
          <w:t>16</w:t>
        </w:r>
        <w:r>
          <w:rPr>
            <w:noProof/>
          </w:rPr>
          <w:fldChar w:fldCharType="end"/>
        </w:r>
      </w:p>
    </w:sdtContent>
  </w:sdt>
  <w:p w:rsidR="00766A87" w:rsidRDefault="00766A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6A87" w:rsidRDefault="00766A87">
      <w:r>
        <w:separator/>
      </w:r>
    </w:p>
  </w:footnote>
  <w:footnote w:type="continuationSeparator" w:id="0">
    <w:p w:rsidR="00766A87" w:rsidRDefault="00766A87">
      <w:r>
        <w:continuationSeparator/>
      </w:r>
    </w:p>
  </w:footnote>
  <w:footnote w:id="1">
    <w:p w:rsidR="00766A87" w:rsidRDefault="00766A87">
      <w:pPr>
        <w:pStyle w:val="FootnoteText"/>
      </w:pPr>
      <w:r>
        <w:rPr>
          <w:rStyle w:val="FootnoteReference"/>
        </w:rPr>
        <w:footnoteRef/>
      </w:r>
      <w:r>
        <w:t xml:space="preserve"> </w:t>
      </w:r>
      <w:r w:rsidRPr="00232313">
        <w:rPr>
          <w:sz w:val="16"/>
        </w:rPr>
        <w:t xml:space="preserve">Not yet </w:t>
      </w:r>
      <w:r>
        <w:rPr>
          <w:sz w:val="16"/>
        </w:rPr>
        <w:t xml:space="preserve">updated to reflect the addition of skills and training to the department’s responsibilities. See note </w:t>
      </w:r>
      <w:r>
        <w:rPr>
          <w:sz w:val="16"/>
        </w:rPr>
        <w:fldChar w:fldCharType="begin"/>
      </w:r>
      <w:r>
        <w:rPr>
          <w:sz w:val="16"/>
        </w:rPr>
        <w:instrText xml:space="preserve"> NOTEREF _Ref417475507 \h </w:instrText>
      </w:r>
      <w:r>
        <w:rPr>
          <w:sz w:val="16"/>
        </w:rPr>
      </w:r>
      <w:r>
        <w:rPr>
          <w:sz w:val="16"/>
        </w:rPr>
        <w:fldChar w:fldCharType="separate"/>
      </w:r>
      <w:r w:rsidR="006C0B67">
        <w:rPr>
          <w:sz w:val="16"/>
        </w:rPr>
        <w:t>4</w:t>
      </w:r>
      <w:r>
        <w:rPr>
          <w:sz w:val="16"/>
        </w:rPr>
        <w:fldChar w:fldCharType="end"/>
      </w:r>
      <w:r>
        <w:rPr>
          <w:sz w:val="16"/>
        </w:rPr>
        <w:t>.</w:t>
      </w:r>
    </w:p>
  </w:footnote>
  <w:footnote w:id="2">
    <w:p w:rsidR="00766A87" w:rsidRPr="008F4AE1" w:rsidRDefault="00766A87" w:rsidP="000537AD">
      <w:pPr>
        <w:pStyle w:val="FootnoteText"/>
      </w:pPr>
      <w:r>
        <w:rPr>
          <w:rStyle w:val="FootnoteReference"/>
        </w:rPr>
        <w:footnoteRef/>
      </w:r>
      <w:r>
        <w:t xml:space="preserve"> </w:t>
      </w:r>
      <w:r w:rsidRPr="00AB2D4D">
        <w:rPr>
          <w:sz w:val="16"/>
          <w:szCs w:val="16"/>
        </w:rPr>
        <w:t xml:space="preserve">See Department of Finance, 2014, </w:t>
      </w:r>
      <w:r w:rsidRPr="00B32B70">
        <w:rPr>
          <w:i/>
          <w:sz w:val="16"/>
          <w:szCs w:val="16"/>
        </w:rPr>
        <w:t>Enhanced Commonwealth Performance Framework Discussion Paper</w:t>
      </w:r>
      <w:r w:rsidR="00B32B70">
        <w:rPr>
          <w:i/>
          <w:sz w:val="16"/>
          <w:szCs w:val="16"/>
        </w:rPr>
        <w:t xml:space="preserve"> (</w:t>
      </w:r>
      <w:r w:rsidR="000571C4" w:rsidRPr="000571C4">
        <w:rPr>
          <w:rStyle w:val="Hyperlink"/>
          <w:i/>
          <w:sz w:val="16"/>
          <w:szCs w:val="16"/>
        </w:rPr>
        <w:t>http://www.pmra.finance.gov.au</w:t>
      </w:r>
      <w:r w:rsidR="00B32B70">
        <w:rPr>
          <w:sz w:val="16"/>
          <w:szCs w:val="16"/>
        </w:rPr>
        <w:t>).</w:t>
      </w:r>
      <w:r>
        <w:rPr>
          <w:sz w:val="16"/>
          <w:szCs w:val="16"/>
        </w:rPr>
        <w:t xml:space="preserve"> The Department of Finance has advised that it expects to publish guidance material for agencies in late April 2015.</w:t>
      </w:r>
    </w:p>
  </w:footnote>
  <w:footnote w:id="3">
    <w:p w:rsidR="00766A87" w:rsidRPr="00AB2D4D" w:rsidRDefault="00766A87" w:rsidP="0040305A">
      <w:pPr>
        <w:pStyle w:val="FootnoteText"/>
        <w:rPr>
          <w:sz w:val="16"/>
          <w:szCs w:val="16"/>
        </w:rPr>
      </w:pPr>
      <w:r>
        <w:rPr>
          <w:rStyle w:val="FootnoteReference"/>
        </w:rPr>
        <w:footnoteRef/>
      </w:r>
      <w:r>
        <w:t xml:space="preserve"> </w:t>
      </w:r>
      <w:r>
        <w:rPr>
          <w:sz w:val="16"/>
          <w:szCs w:val="16"/>
        </w:rPr>
        <w:t>The Department of Finance has advised that there will be no changes to the performance information requirements for the 2015–16 Portfolio Budget Statements. Implementation of the new performance approach will commence with the 2015–16 corporate plan.</w:t>
      </w:r>
    </w:p>
  </w:footnote>
  <w:footnote w:id="4">
    <w:p w:rsidR="00860932" w:rsidRPr="002511B4" w:rsidRDefault="00860932" w:rsidP="00860932">
      <w:pPr>
        <w:pStyle w:val="FootnoteText"/>
        <w:rPr>
          <w:sz w:val="16"/>
          <w:szCs w:val="16"/>
        </w:rPr>
      </w:pPr>
      <w:r>
        <w:rPr>
          <w:rStyle w:val="FootnoteReference"/>
        </w:rPr>
        <w:footnoteRef/>
      </w:r>
      <w:r>
        <w:t xml:space="preserve"> </w:t>
      </w:r>
      <w:r>
        <w:rPr>
          <w:sz w:val="16"/>
        </w:rPr>
        <w:t>Responsibility for skills and training was transferred from the Department of Industry in December 2014. While the department’s Strategic Plan has not yet been updated, these evaluation priorities also reflect the relevant g</w:t>
      </w:r>
      <w:r w:rsidRPr="00140390">
        <w:rPr>
          <w:sz w:val="16"/>
          <w:szCs w:val="16"/>
        </w:rPr>
        <w:t xml:space="preserve">oals in the </w:t>
      </w:r>
      <w:hyperlink r:id="rId1" w:history="1">
        <w:r w:rsidRPr="00232313">
          <w:rPr>
            <w:rStyle w:val="Hyperlink"/>
            <w:i/>
            <w:sz w:val="16"/>
          </w:rPr>
          <w:t>Department of Industry Strategic Plan 2014–18</w:t>
        </w:r>
      </w:hyperlink>
      <w:r w:rsidR="000571C4">
        <w:rPr>
          <w:rStyle w:val="Hyperlink"/>
          <w:i/>
          <w:sz w:val="16"/>
        </w:rPr>
        <w:t xml:space="preserve"> (</w:t>
      </w:r>
      <w:r w:rsidR="000571C4" w:rsidRPr="000571C4">
        <w:rPr>
          <w:rStyle w:val="Hyperlink"/>
          <w:i/>
          <w:sz w:val="16"/>
        </w:rPr>
        <w:t>http://www.industry.gov.au/AboutUs/CorporatePublications/Documents/DepartmentofIndustry-StrategicPlan2014-18.pdf</w:t>
      </w:r>
      <w:r w:rsidR="000571C4">
        <w:rPr>
          <w:rStyle w:val="Hyperlink"/>
          <w:i/>
          <w:sz w:val="16"/>
        </w:rPr>
        <w:t>)</w:t>
      </w:r>
      <w:r w:rsidRPr="00140390">
        <w:rPr>
          <w:sz w:val="16"/>
          <w:szCs w:val="16"/>
        </w:rPr>
        <w:t>.</w:t>
      </w:r>
    </w:p>
  </w:footnote>
  <w:footnote w:id="5">
    <w:p w:rsidR="00860932" w:rsidRDefault="00860932" w:rsidP="00860932">
      <w:pPr>
        <w:pStyle w:val="FootnoteText"/>
      </w:pPr>
      <w:r w:rsidRPr="00AB2D4D">
        <w:rPr>
          <w:rStyle w:val="FootnoteReference"/>
          <w:sz w:val="16"/>
          <w:szCs w:val="16"/>
        </w:rPr>
        <w:footnoteRef/>
      </w:r>
      <w:r w:rsidRPr="00AB2D4D">
        <w:rPr>
          <w:sz w:val="16"/>
          <w:szCs w:val="16"/>
        </w:rPr>
        <w:t xml:space="preserve"> Definitions of terms commonly used in evaluation are provided in </w:t>
      </w:r>
      <w:hyperlink w:anchor="Attachment1" w:history="1">
        <w:r w:rsidRPr="00AB2D4D">
          <w:rPr>
            <w:rStyle w:val="Hyperlink"/>
            <w:sz w:val="16"/>
            <w:szCs w:val="16"/>
          </w:rPr>
          <w:t>Attachment 1</w:t>
        </w:r>
      </w:hyperlink>
      <w:r w:rsidRPr="00AB2D4D">
        <w:rPr>
          <w:sz w:val="16"/>
          <w:szCs w:val="16"/>
        </w:rPr>
        <w:t xml:space="preserve">. Links to sources of additional information regarding evaluation are provided in </w:t>
      </w:r>
      <w:hyperlink w:anchor="Attachment 2: Other resources" w:history="1">
        <w:r w:rsidRPr="00AB2D4D">
          <w:rPr>
            <w:rStyle w:val="Hyperlink"/>
            <w:sz w:val="16"/>
            <w:szCs w:val="16"/>
          </w:rPr>
          <w:t>Attachment 2</w:t>
        </w:r>
      </w:hyperlink>
      <w:r w:rsidRPr="00AB2D4D">
        <w:rPr>
          <w:sz w:val="16"/>
          <w:szCs w:val="16"/>
        </w:rPr>
        <w:t>.</w:t>
      </w:r>
    </w:p>
  </w:footnote>
  <w:footnote w:id="6">
    <w:p w:rsidR="00766A87" w:rsidRDefault="00766A87" w:rsidP="003F7386">
      <w:pPr>
        <w:pStyle w:val="FootnoteText"/>
      </w:pPr>
      <w:r>
        <w:rPr>
          <w:rStyle w:val="FootnoteReference"/>
        </w:rPr>
        <w:footnoteRef/>
      </w:r>
      <w:r>
        <w:t xml:space="preserve"> </w:t>
      </w:r>
      <w:hyperlink r:id="rId2" w:history="1">
        <w:proofErr w:type="gramStart"/>
        <w:r w:rsidRPr="00370DF9">
          <w:rPr>
            <w:rStyle w:val="Hyperlink"/>
            <w:i/>
            <w:sz w:val="16"/>
          </w:rPr>
          <w:t>Department of Industry Strategic Plan 2014–18</w:t>
        </w:r>
      </w:hyperlink>
      <w:r w:rsidR="000571C4">
        <w:rPr>
          <w:rStyle w:val="Hyperlink"/>
          <w:i/>
          <w:sz w:val="16"/>
        </w:rPr>
        <w:t xml:space="preserve"> (</w:t>
      </w:r>
      <w:r w:rsidR="000571C4" w:rsidRPr="000571C4">
        <w:rPr>
          <w:rStyle w:val="Hyperlink"/>
          <w:i/>
          <w:sz w:val="16"/>
        </w:rPr>
        <w:t>http://www.industry.gov.au/AboutUs/CorporatePublications/Documents/DepartmentofIndustry-StrategicPlan2014-18.pdf</w:t>
      </w:r>
      <w:r w:rsidR="000571C4">
        <w:rPr>
          <w:rStyle w:val="Hyperlink"/>
          <w:i/>
          <w:sz w:val="16"/>
        </w:rPr>
        <w:t>)</w:t>
      </w:r>
      <w:r w:rsidRPr="00370DF9">
        <w:rPr>
          <w:sz w:val="16"/>
        </w:rPr>
        <w:t>.</w:t>
      </w:r>
      <w:proofErr w:type="gramEnd"/>
      <w:r w:rsidRPr="0045164F">
        <w:rPr>
          <w:sz w:val="16"/>
        </w:rPr>
        <w:t xml:space="preserve"> </w:t>
      </w:r>
      <w:r>
        <w:rPr>
          <w:sz w:val="16"/>
        </w:rPr>
        <w:t>The department’s strategic plan has not yet been updated to incorporate the Skills and Training Cluster.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A87" w:rsidRPr="001020CC" w:rsidRDefault="00766A87" w:rsidP="001020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506BD"/>
    <w:multiLevelType w:val="hybridMultilevel"/>
    <w:tmpl w:val="F2B0D8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DB348EC"/>
    <w:multiLevelType w:val="hybridMultilevel"/>
    <w:tmpl w:val="76AAE9B6"/>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15A7693E"/>
    <w:multiLevelType w:val="multilevel"/>
    <w:tmpl w:val="CDB4FC3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C7B4473"/>
    <w:multiLevelType w:val="hybridMultilevel"/>
    <w:tmpl w:val="51DCE2AE"/>
    <w:lvl w:ilvl="0" w:tplc="BF64FC3E">
      <w:start w:val="1"/>
      <w:numFmt w:val="lowerLetter"/>
      <w:lvlText w:val="%1"/>
      <w:lvlJc w:val="left"/>
      <w:pPr>
        <w:tabs>
          <w:tab w:val="num" w:pos="720"/>
        </w:tabs>
        <w:ind w:left="720" w:hanging="360"/>
      </w:pPr>
      <w:rPr>
        <w:rFonts w:ascii="Verdana" w:hAnsi="Verdana" w:hint="default"/>
        <w:sz w:val="20"/>
        <w:szCs w:val="2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nsid w:val="205F1ADA"/>
    <w:multiLevelType w:val="hybridMultilevel"/>
    <w:tmpl w:val="CD18BF5E"/>
    <w:lvl w:ilvl="0" w:tplc="A3EAC144">
      <w:start w:val="1"/>
      <w:numFmt w:val="decimal"/>
      <w:lvlText w:val="%1."/>
      <w:lvlJc w:val="left"/>
      <w:pPr>
        <w:ind w:left="368" w:hanging="360"/>
      </w:pPr>
      <w:rPr>
        <w:rFonts w:hint="default"/>
        <w:color w:val="000000"/>
      </w:rPr>
    </w:lvl>
    <w:lvl w:ilvl="1" w:tplc="0C090019" w:tentative="1">
      <w:start w:val="1"/>
      <w:numFmt w:val="lowerLetter"/>
      <w:lvlText w:val="%2."/>
      <w:lvlJc w:val="left"/>
      <w:pPr>
        <w:ind w:left="1088" w:hanging="360"/>
      </w:pPr>
    </w:lvl>
    <w:lvl w:ilvl="2" w:tplc="0C09001B" w:tentative="1">
      <w:start w:val="1"/>
      <w:numFmt w:val="lowerRoman"/>
      <w:lvlText w:val="%3."/>
      <w:lvlJc w:val="right"/>
      <w:pPr>
        <w:ind w:left="1808" w:hanging="180"/>
      </w:pPr>
    </w:lvl>
    <w:lvl w:ilvl="3" w:tplc="0C09000F" w:tentative="1">
      <w:start w:val="1"/>
      <w:numFmt w:val="decimal"/>
      <w:lvlText w:val="%4."/>
      <w:lvlJc w:val="left"/>
      <w:pPr>
        <w:ind w:left="2528" w:hanging="360"/>
      </w:pPr>
    </w:lvl>
    <w:lvl w:ilvl="4" w:tplc="0C090019" w:tentative="1">
      <w:start w:val="1"/>
      <w:numFmt w:val="lowerLetter"/>
      <w:lvlText w:val="%5."/>
      <w:lvlJc w:val="left"/>
      <w:pPr>
        <w:ind w:left="3248" w:hanging="360"/>
      </w:pPr>
    </w:lvl>
    <w:lvl w:ilvl="5" w:tplc="0C09001B" w:tentative="1">
      <w:start w:val="1"/>
      <w:numFmt w:val="lowerRoman"/>
      <w:lvlText w:val="%6."/>
      <w:lvlJc w:val="right"/>
      <w:pPr>
        <w:ind w:left="3968" w:hanging="180"/>
      </w:pPr>
    </w:lvl>
    <w:lvl w:ilvl="6" w:tplc="0C09000F" w:tentative="1">
      <w:start w:val="1"/>
      <w:numFmt w:val="decimal"/>
      <w:lvlText w:val="%7."/>
      <w:lvlJc w:val="left"/>
      <w:pPr>
        <w:ind w:left="4688" w:hanging="360"/>
      </w:pPr>
    </w:lvl>
    <w:lvl w:ilvl="7" w:tplc="0C090019" w:tentative="1">
      <w:start w:val="1"/>
      <w:numFmt w:val="lowerLetter"/>
      <w:lvlText w:val="%8."/>
      <w:lvlJc w:val="left"/>
      <w:pPr>
        <w:ind w:left="5408" w:hanging="360"/>
      </w:pPr>
    </w:lvl>
    <w:lvl w:ilvl="8" w:tplc="0C09001B" w:tentative="1">
      <w:start w:val="1"/>
      <w:numFmt w:val="lowerRoman"/>
      <w:lvlText w:val="%9."/>
      <w:lvlJc w:val="right"/>
      <w:pPr>
        <w:ind w:left="6128" w:hanging="180"/>
      </w:pPr>
    </w:lvl>
  </w:abstractNum>
  <w:abstractNum w:abstractNumId="5">
    <w:nsid w:val="2062167B"/>
    <w:multiLevelType w:val="hybridMultilevel"/>
    <w:tmpl w:val="574C74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B7973ED"/>
    <w:multiLevelType w:val="hybridMultilevel"/>
    <w:tmpl w:val="C1B00340"/>
    <w:lvl w:ilvl="0" w:tplc="271005B0">
      <w:start w:val="2"/>
      <w:numFmt w:val="decimal"/>
      <w:lvlText w:val="%1."/>
      <w:lvlJc w:val="left"/>
      <w:pPr>
        <w:tabs>
          <w:tab w:val="num" w:pos="360"/>
        </w:tabs>
        <w:ind w:left="360" w:hanging="360"/>
      </w:pPr>
      <w:rPr>
        <w:rFonts w:ascii="Calibri" w:hAnsi="Calibri" w:hint="default"/>
        <w:sz w:val="22"/>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7">
    <w:nsid w:val="2E010795"/>
    <w:multiLevelType w:val="hybridMultilevel"/>
    <w:tmpl w:val="2C6CB4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FFF0BA0"/>
    <w:multiLevelType w:val="hybridMultilevel"/>
    <w:tmpl w:val="E8AA3DEA"/>
    <w:lvl w:ilvl="0" w:tplc="B75E019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0A2761A"/>
    <w:multiLevelType w:val="multilevel"/>
    <w:tmpl w:val="0F92D5B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30A3153F"/>
    <w:multiLevelType w:val="hybridMultilevel"/>
    <w:tmpl w:val="6858849C"/>
    <w:lvl w:ilvl="0" w:tplc="0C090007">
      <w:start w:val="1"/>
      <w:numFmt w:val="bullet"/>
      <w:lvlText w:val=""/>
      <w:lvlJc w:val="left"/>
      <w:pPr>
        <w:tabs>
          <w:tab w:val="num" w:pos="910"/>
        </w:tabs>
        <w:ind w:left="910" w:hanging="360"/>
      </w:pPr>
      <w:rPr>
        <w:rFonts w:ascii="Symbol" w:hAnsi="Symbol" w:hint="default"/>
      </w:rPr>
    </w:lvl>
    <w:lvl w:ilvl="1" w:tplc="0C090003" w:tentative="1">
      <w:start w:val="1"/>
      <w:numFmt w:val="bullet"/>
      <w:lvlText w:val="o"/>
      <w:lvlJc w:val="left"/>
      <w:pPr>
        <w:tabs>
          <w:tab w:val="num" w:pos="1630"/>
        </w:tabs>
        <w:ind w:left="1630" w:hanging="360"/>
      </w:pPr>
      <w:rPr>
        <w:rFonts w:ascii="Courier New" w:hAnsi="Courier New" w:cs="Courier New" w:hint="default"/>
      </w:rPr>
    </w:lvl>
    <w:lvl w:ilvl="2" w:tplc="0C090005" w:tentative="1">
      <w:start w:val="1"/>
      <w:numFmt w:val="bullet"/>
      <w:lvlText w:val=""/>
      <w:lvlJc w:val="left"/>
      <w:pPr>
        <w:tabs>
          <w:tab w:val="num" w:pos="2350"/>
        </w:tabs>
        <w:ind w:left="2350" w:hanging="360"/>
      </w:pPr>
      <w:rPr>
        <w:rFonts w:ascii="Wingdings" w:hAnsi="Wingdings" w:hint="default"/>
      </w:rPr>
    </w:lvl>
    <w:lvl w:ilvl="3" w:tplc="0C090001" w:tentative="1">
      <w:start w:val="1"/>
      <w:numFmt w:val="bullet"/>
      <w:lvlText w:val=""/>
      <w:lvlJc w:val="left"/>
      <w:pPr>
        <w:tabs>
          <w:tab w:val="num" w:pos="3070"/>
        </w:tabs>
        <w:ind w:left="3070" w:hanging="360"/>
      </w:pPr>
      <w:rPr>
        <w:rFonts w:ascii="Symbol" w:hAnsi="Symbol" w:hint="default"/>
      </w:rPr>
    </w:lvl>
    <w:lvl w:ilvl="4" w:tplc="0C090003" w:tentative="1">
      <w:start w:val="1"/>
      <w:numFmt w:val="bullet"/>
      <w:lvlText w:val="o"/>
      <w:lvlJc w:val="left"/>
      <w:pPr>
        <w:tabs>
          <w:tab w:val="num" w:pos="3790"/>
        </w:tabs>
        <w:ind w:left="3790" w:hanging="360"/>
      </w:pPr>
      <w:rPr>
        <w:rFonts w:ascii="Courier New" w:hAnsi="Courier New" w:cs="Courier New" w:hint="default"/>
      </w:rPr>
    </w:lvl>
    <w:lvl w:ilvl="5" w:tplc="0C090005" w:tentative="1">
      <w:start w:val="1"/>
      <w:numFmt w:val="bullet"/>
      <w:lvlText w:val=""/>
      <w:lvlJc w:val="left"/>
      <w:pPr>
        <w:tabs>
          <w:tab w:val="num" w:pos="4510"/>
        </w:tabs>
        <w:ind w:left="4510" w:hanging="360"/>
      </w:pPr>
      <w:rPr>
        <w:rFonts w:ascii="Wingdings" w:hAnsi="Wingdings" w:hint="default"/>
      </w:rPr>
    </w:lvl>
    <w:lvl w:ilvl="6" w:tplc="0C090001" w:tentative="1">
      <w:start w:val="1"/>
      <w:numFmt w:val="bullet"/>
      <w:lvlText w:val=""/>
      <w:lvlJc w:val="left"/>
      <w:pPr>
        <w:tabs>
          <w:tab w:val="num" w:pos="5230"/>
        </w:tabs>
        <w:ind w:left="5230" w:hanging="360"/>
      </w:pPr>
      <w:rPr>
        <w:rFonts w:ascii="Symbol" w:hAnsi="Symbol" w:hint="default"/>
      </w:rPr>
    </w:lvl>
    <w:lvl w:ilvl="7" w:tplc="0C090003" w:tentative="1">
      <w:start w:val="1"/>
      <w:numFmt w:val="bullet"/>
      <w:lvlText w:val="o"/>
      <w:lvlJc w:val="left"/>
      <w:pPr>
        <w:tabs>
          <w:tab w:val="num" w:pos="5950"/>
        </w:tabs>
        <w:ind w:left="5950" w:hanging="360"/>
      </w:pPr>
      <w:rPr>
        <w:rFonts w:ascii="Courier New" w:hAnsi="Courier New" w:cs="Courier New" w:hint="default"/>
      </w:rPr>
    </w:lvl>
    <w:lvl w:ilvl="8" w:tplc="0C090005" w:tentative="1">
      <w:start w:val="1"/>
      <w:numFmt w:val="bullet"/>
      <w:lvlText w:val=""/>
      <w:lvlJc w:val="left"/>
      <w:pPr>
        <w:tabs>
          <w:tab w:val="num" w:pos="6670"/>
        </w:tabs>
        <w:ind w:left="6670" w:hanging="360"/>
      </w:pPr>
      <w:rPr>
        <w:rFonts w:ascii="Wingdings" w:hAnsi="Wingdings" w:hint="default"/>
      </w:rPr>
    </w:lvl>
  </w:abstractNum>
  <w:abstractNum w:abstractNumId="11">
    <w:nsid w:val="31721789"/>
    <w:multiLevelType w:val="hybridMultilevel"/>
    <w:tmpl w:val="3A16D0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371415E"/>
    <w:multiLevelType w:val="hybridMultilevel"/>
    <w:tmpl w:val="62A247B4"/>
    <w:lvl w:ilvl="0" w:tplc="0C090019">
      <w:start w:val="1"/>
      <w:numFmt w:val="lowerLetter"/>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nsid w:val="354C527F"/>
    <w:multiLevelType w:val="multilevel"/>
    <w:tmpl w:val="B3A08A06"/>
    <w:lvl w:ilvl="0">
      <w:start w:val="2"/>
      <w:numFmt w:val="decimal"/>
      <w:lvlText w:val="%1."/>
      <w:lvlJc w:val="left"/>
      <w:pPr>
        <w:tabs>
          <w:tab w:val="num" w:pos="720"/>
        </w:tabs>
        <w:ind w:left="720" w:hanging="360"/>
      </w:pPr>
      <w:rPr>
        <w:rFonts w:ascii="Calibri" w:hAnsi="Calibri" w:hint="default"/>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98278BA"/>
    <w:multiLevelType w:val="hybridMultilevel"/>
    <w:tmpl w:val="B3A08A06"/>
    <w:lvl w:ilvl="0" w:tplc="495EFEC8">
      <w:start w:val="2"/>
      <w:numFmt w:val="decimal"/>
      <w:lvlText w:val="%1."/>
      <w:lvlJc w:val="left"/>
      <w:pPr>
        <w:tabs>
          <w:tab w:val="num" w:pos="720"/>
        </w:tabs>
        <w:ind w:left="720" w:hanging="360"/>
      </w:pPr>
      <w:rPr>
        <w:rFonts w:ascii="Calibri" w:hAnsi="Calibri" w:hint="default"/>
        <w:sz w:val="22"/>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nsid w:val="3C391314"/>
    <w:multiLevelType w:val="hybridMultilevel"/>
    <w:tmpl w:val="1A9A0F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45547543"/>
    <w:multiLevelType w:val="hybridMultilevel"/>
    <w:tmpl w:val="A5428078"/>
    <w:lvl w:ilvl="0" w:tplc="0C090003">
      <w:start w:val="1"/>
      <w:numFmt w:val="bullet"/>
      <w:lvlText w:val="o"/>
      <w:lvlJc w:val="left"/>
      <w:pPr>
        <w:tabs>
          <w:tab w:val="num" w:pos="720"/>
        </w:tabs>
        <w:ind w:left="720" w:hanging="360"/>
      </w:pPr>
      <w:rPr>
        <w:rFonts w:ascii="Courier New" w:hAnsi="Courier New" w:cs="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47B4122B"/>
    <w:multiLevelType w:val="multilevel"/>
    <w:tmpl w:val="CE24C19E"/>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492A1D43"/>
    <w:multiLevelType w:val="hybridMultilevel"/>
    <w:tmpl w:val="764255F8"/>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51990FFB"/>
    <w:multiLevelType w:val="hybridMultilevel"/>
    <w:tmpl w:val="CDB4FC38"/>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0">
    <w:nsid w:val="551F6100"/>
    <w:multiLevelType w:val="hybridMultilevel"/>
    <w:tmpl w:val="4CC0DD8A"/>
    <w:lvl w:ilvl="0" w:tplc="B93A8A34">
      <w:start w:val="4"/>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1">
    <w:nsid w:val="56641261"/>
    <w:multiLevelType w:val="hybridMultilevel"/>
    <w:tmpl w:val="A81CAB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570640CB"/>
    <w:multiLevelType w:val="hybridMultilevel"/>
    <w:tmpl w:val="E24C3B34"/>
    <w:lvl w:ilvl="0" w:tplc="0C090001">
      <w:start w:val="1"/>
      <w:numFmt w:val="bullet"/>
      <w:lvlText w:val=""/>
      <w:lvlJc w:val="left"/>
      <w:pPr>
        <w:ind w:left="1788" w:hanging="360"/>
      </w:pPr>
      <w:rPr>
        <w:rFonts w:ascii="Symbol" w:hAnsi="Symbol" w:hint="default"/>
      </w:rPr>
    </w:lvl>
    <w:lvl w:ilvl="1" w:tplc="0C090003" w:tentative="1">
      <w:start w:val="1"/>
      <w:numFmt w:val="bullet"/>
      <w:lvlText w:val="o"/>
      <w:lvlJc w:val="left"/>
      <w:pPr>
        <w:ind w:left="2508" w:hanging="360"/>
      </w:pPr>
      <w:rPr>
        <w:rFonts w:ascii="Courier New" w:hAnsi="Courier New" w:cs="Courier New" w:hint="default"/>
      </w:rPr>
    </w:lvl>
    <w:lvl w:ilvl="2" w:tplc="0C090005" w:tentative="1">
      <w:start w:val="1"/>
      <w:numFmt w:val="bullet"/>
      <w:lvlText w:val=""/>
      <w:lvlJc w:val="left"/>
      <w:pPr>
        <w:ind w:left="3228" w:hanging="360"/>
      </w:pPr>
      <w:rPr>
        <w:rFonts w:ascii="Wingdings" w:hAnsi="Wingdings" w:hint="default"/>
      </w:rPr>
    </w:lvl>
    <w:lvl w:ilvl="3" w:tplc="0C090001" w:tentative="1">
      <w:start w:val="1"/>
      <w:numFmt w:val="bullet"/>
      <w:lvlText w:val=""/>
      <w:lvlJc w:val="left"/>
      <w:pPr>
        <w:ind w:left="3948" w:hanging="360"/>
      </w:pPr>
      <w:rPr>
        <w:rFonts w:ascii="Symbol" w:hAnsi="Symbol" w:hint="default"/>
      </w:rPr>
    </w:lvl>
    <w:lvl w:ilvl="4" w:tplc="0C090003" w:tentative="1">
      <w:start w:val="1"/>
      <w:numFmt w:val="bullet"/>
      <w:lvlText w:val="o"/>
      <w:lvlJc w:val="left"/>
      <w:pPr>
        <w:ind w:left="4668" w:hanging="360"/>
      </w:pPr>
      <w:rPr>
        <w:rFonts w:ascii="Courier New" w:hAnsi="Courier New" w:cs="Courier New" w:hint="default"/>
      </w:rPr>
    </w:lvl>
    <w:lvl w:ilvl="5" w:tplc="0C090005" w:tentative="1">
      <w:start w:val="1"/>
      <w:numFmt w:val="bullet"/>
      <w:lvlText w:val=""/>
      <w:lvlJc w:val="left"/>
      <w:pPr>
        <w:ind w:left="5388" w:hanging="360"/>
      </w:pPr>
      <w:rPr>
        <w:rFonts w:ascii="Wingdings" w:hAnsi="Wingdings" w:hint="default"/>
      </w:rPr>
    </w:lvl>
    <w:lvl w:ilvl="6" w:tplc="0C090001" w:tentative="1">
      <w:start w:val="1"/>
      <w:numFmt w:val="bullet"/>
      <w:lvlText w:val=""/>
      <w:lvlJc w:val="left"/>
      <w:pPr>
        <w:ind w:left="6108" w:hanging="360"/>
      </w:pPr>
      <w:rPr>
        <w:rFonts w:ascii="Symbol" w:hAnsi="Symbol" w:hint="default"/>
      </w:rPr>
    </w:lvl>
    <w:lvl w:ilvl="7" w:tplc="0C090003" w:tentative="1">
      <w:start w:val="1"/>
      <w:numFmt w:val="bullet"/>
      <w:lvlText w:val="o"/>
      <w:lvlJc w:val="left"/>
      <w:pPr>
        <w:ind w:left="6828" w:hanging="360"/>
      </w:pPr>
      <w:rPr>
        <w:rFonts w:ascii="Courier New" w:hAnsi="Courier New" w:cs="Courier New" w:hint="default"/>
      </w:rPr>
    </w:lvl>
    <w:lvl w:ilvl="8" w:tplc="0C090005" w:tentative="1">
      <w:start w:val="1"/>
      <w:numFmt w:val="bullet"/>
      <w:lvlText w:val=""/>
      <w:lvlJc w:val="left"/>
      <w:pPr>
        <w:ind w:left="7548" w:hanging="360"/>
      </w:pPr>
      <w:rPr>
        <w:rFonts w:ascii="Wingdings" w:hAnsi="Wingdings" w:hint="default"/>
      </w:rPr>
    </w:lvl>
  </w:abstractNum>
  <w:abstractNum w:abstractNumId="23">
    <w:nsid w:val="5B7F4F5D"/>
    <w:multiLevelType w:val="hybridMultilevel"/>
    <w:tmpl w:val="5714EEF4"/>
    <w:lvl w:ilvl="0" w:tplc="BF64FC3E">
      <w:start w:val="1"/>
      <w:numFmt w:val="lowerLetter"/>
      <w:lvlText w:val="%1"/>
      <w:lvlJc w:val="left"/>
      <w:pPr>
        <w:tabs>
          <w:tab w:val="num" w:pos="720"/>
        </w:tabs>
        <w:ind w:left="720" w:hanging="360"/>
      </w:pPr>
      <w:rPr>
        <w:rFonts w:ascii="Verdana" w:hAnsi="Verdana" w:hint="default"/>
        <w:sz w:val="20"/>
        <w:szCs w:val="2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4">
    <w:nsid w:val="61746D51"/>
    <w:multiLevelType w:val="multilevel"/>
    <w:tmpl w:val="CDB4FC3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645B512A"/>
    <w:multiLevelType w:val="hybridMultilevel"/>
    <w:tmpl w:val="0F92D5BC"/>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nsid w:val="6C66595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7">
    <w:nsid w:val="6D036213"/>
    <w:multiLevelType w:val="hybridMultilevel"/>
    <w:tmpl w:val="85185B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nsid w:val="6E6A2FBD"/>
    <w:multiLevelType w:val="hybridMultilevel"/>
    <w:tmpl w:val="25744252"/>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nsid w:val="6F927E7B"/>
    <w:multiLevelType w:val="hybridMultilevel"/>
    <w:tmpl w:val="121C3F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711F0863"/>
    <w:multiLevelType w:val="hybridMultilevel"/>
    <w:tmpl w:val="DC52C2FE"/>
    <w:lvl w:ilvl="0" w:tplc="47BC62E2">
      <w:start w:val="1"/>
      <w:numFmt w:val="decimal"/>
      <w:pStyle w:val="NumberedParagraph"/>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736F2BEE"/>
    <w:multiLevelType w:val="hybridMultilevel"/>
    <w:tmpl w:val="2E28210C"/>
    <w:lvl w:ilvl="0" w:tplc="4C7CC308">
      <w:start w:val="1"/>
      <w:numFmt w:val="decimal"/>
      <w:lvlText w:val="%1."/>
      <w:lvlJc w:val="left"/>
      <w:pPr>
        <w:tabs>
          <w:tab w:val="num" w:pos="720"/>
        </w:tabs>
        <w:ind w:left="720" w:hanging="360"/>
      </w:pPr>
      <w:rPr>
        <w:rFonts w:hint="default"/>
        <w:b w:val="0"/>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2">
    <w:nsid w:val="776F2330"/>
    <w:multiLevelType w:val="hybridMultilevel"/>
    <w:tmpl w:val="4B7083EE"/>
    <w:lvl w:ilvl="0" w:tplc="FFFFFFFF">
      <w:start w:val="1"/>
      <w:numFmt w:val="bullet"/>
      <w:lvlText w:val=""/>
      <w:lvlJc w:val="left"/>
      <w:pPr>
        <w:tabs>
          <w:tab w:val="num" w:pos="720"/>
        </w:tabs>
        <w:ind w:left="720" w:hanging="720"/>
      </w:pPr>
      <w:rPr>
        <w:rFonts w:ascii="Symbol" w:hAnsi="Symbol" w:hint="default"/>
        <w:sz w:val="16"/>
        <w:szCs w:val="16"/>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nsid w:val="77914A9D"/>
    <w:multiLevelType w:val="multilevel"/>
    <w:tmpl w:val="CDB4FC3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7E1118B5"/>
    <w:multiLevelType w:val="hybridMultilevel"/>
    <w:tmpl w:val="1BB07F54"/>
    <w:lvl w:ilvl="0" w:tplc="26CE25E4">
      <w:start w:val="1"/>
      <w:numFmt w:val="decimal"/>
      <w:lvlText w:val="%1."/>
      <w:lvlJc w:val="left"/>
      <w:pPr>
        <w:tabs>
          <w:tab w:val="num" w:pos="360"/>
        </w:tabs>
        <w:ind w:left="360" w:hanging="360"/>
      </w:pPr>
      <w:rPr>
        <w:rFonts w:ascii="Calibri" w:hAnsi="Calibri" w:hint="default"/>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32"/>
  </w:num>
  <w:num w:numId="2">
    <w:abstractNumId w:val="18"/>
  </w:num>
  <w:num w:numId="3">
    <w:abstractNumId w:val="20"/>
  </w:num>
  <w:num w:numId="4">
    <w:abstractNumId w:val="23"/>
  </w:num>
  <w:num w:numId="5">
    <w:abstractNumId w:val="17"/>
  </w:num>
  <w:num w:numId="6">
    <w:abstractNumId w:val="3"/>
  </w:num>
  <w:num w:numId="7">
    <w:abstractNumId w:val="31"/>
  </w:num>
  <w:num w:numId="8">
    <w:abstractNumId w:val="28"/>
  </w:num>
  <w:num w:numId="9">
    <w:abstractNumId w:val="19"/>
  </w:num>
  <w:num w:numId="10">
    <w:abstractNumId w:val="24"/>
  </w:num>
  <w:num w:numId="11">
    <w:abstractNumId w:val="2"/>
  </w:num>
  <w:num w:numId="12">
    <w:abstractNumId w:val="12"/>
  </w:num>
  <w:num w:numId="13">
    <w:abstractNumId w:val="10"/>
  </w:num>
  <w:num w:numId="14">
    <w:abstractNumId w:val="16"/>
  </w:num>
  <w:num w:numId="15">
    <w:abstractNumId w:val="25"/>
  </w:num>
  <w:num w:numId="16">
    <w:abstractNumId w:val="9"/>
  </w:num>
  <w:num w:numId="17">
    <w:abstractNumId w:val="33"/>
  </w:num>
  <w:num w:numId="18">
    <w:abstractNumId w:val="14"/>
  </w:num>
  <w:num w:numId="19">
    <w:abstractNumId w:val="13"/>
  </w:num>
  <w:num w:numId="20">
    <w:abstractNumId w:val="6"/>
  </w:num>
  <w:num w:numId="21">
    <w:abstractNumId w:val="4"/>
  </w:num>
  <w:num w:numId="22">
    <w:abstractNumId w:val="30"/>
  </w:num>
  <w:num w:numId="23">
    <w:abstractNumId w:val="34"/>
  </w:num>
  <w:num w:numId="24">
    <w:abstractNumId w:val="1"/>
  </w:num>
  <w:num w:numId="25">
    <w:abstractNumId w:val="27"/>
  </w:num>
  <w:num w:numId="26">
    <w:abstractNumId w:val="21"/>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num>
  <w:num w:numId="31">
    <w:abstractNumId w:val="22"/>
  </w:num>
  <w:num w:numId="32">
    <w:abstractNumId w:val="29"/>
  </w:num>
  <w:num w:numId="33">
    <w:abstractNumId w:val="8"/>
  </w:num>
  <w:num w:numId="34">
    <w:abstractNumId w:val="15"/>
  </w:num>
  <w:num w:numId="35">
    <w:abstractNumId w:val="11"/>
  </w:num>
  <w:num w:numId="36">
    <w:abstractNumId w:val="5"/>
  </w:num>
  <w:num w:numId="37">
    <w:abstractNumId w:val="0"/>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490"/>
    <w:rsid w:val="00007F99"/>
    <w:rsid w:val="000236CC"/>
    <w:rsid w:val="000351BB"/>
    <w:rsid w:val="00037F1B"/>
    <w:rsid w:val="00042870"/>
    <w:rsid w:val="00045FE8"/>
    <w:rsid w:val="000537AD"/>
    <w:rsid w:val="00053AC1"/>
    <w:rsid w:val="000571C4"/>
    <w:rsid w:val="00091BF5"/>
    <w:rsid w:val="000924FA"/>
    <w:rsid w:val="00094F1C"/>
    <w:rsid w:val="000A367E"/>
    <w:rsid w:val="000C70C4"/>
    <w:rsid w:val="000D64C2"/>
    <w:rsid w:val="000F6BE6"/>
    <w:rsid w:val="001020CC"/>
    <w:rsid w:val="001028EF"/>
    <w:rsid w:val="001172F5"/>
    <w:rsid w:val="001173A8"/>
    <w:rsid w:val="00120E42"/>
    <w:rsid w:val="00122D13"/>
    <w:rsid w:val="00131814"/>
    <w:rsid w:val="001331C8"/>
    <w:rsid w:val="00140390"/>
    <w:rsid w:val="0014456F"/>
    <w:rsid w:val="0016123D"/>
    <w:rsid w:val="00175647"/>
    <w:rsid w:val="00175D45"/>
    <w:rsid w:val="00180507"/>
    <w:rsid w:val="00197916"/>
    <w:rsid w:val="001A0AD9"/>
    <w:rsid w:val="001B0416"/>
    <w:rsid w:val="001B5F37"/>
    <w:rsid w:val="001B63D9"/>
    <w:rsid w:val="001C31F1"/>
    <w:rsid w:val="001C648A"/>
    <w:rsid w:val="001D5F7E"/>
    <w:rsid w:val="001E79D2"/>
    <w:rsid w:val="001F51DE"/>
    <w:rsid w:val="00227FF7"/>
    <w:rsid w:val="00230830"/>
    <w:rsid w:val="00232313"/>
    <w:rsid w:val="00243467"/>
    <w:rsid w:val="002439FF"/>
    <w:rsid w:val="00245D85"/>
    <w:rsid w:val="002506FC"/>
    <w:rsid w:val="002511B4"/>
    <w:rsid w:val="002531A0"/>
    <w:rsid w:val="00253DFE"/>
    <w:rsid w:val="00261422"/>
    <w:rsid w:val="002708F3"/>
    <w:rsid w:val="00272490"/>
    <w:rsid w:val="00277001"/>
    <w:rsid w:val="002770CF"/>
    <w:rsid w:val="00283D48"/>
    <w:rsid w:val="00291B0F"/>
    <w:rsid w:val="002922B9"/>
    <w:rsid w:val="00296EE0"/>
    <w:rsid w:val="002A2401"/>
    <w:rsid w:val="002A526D"/>
    <w:rsid w:val="002A5C01"/>
    <w:rsid w:val="002A77E4"/>
    <w:rsid w:val="002B6A3E"/>
    <w:rsid w:val="002B7379"/>
    <w:rsid w:val="002D40EF"/>
    <w:rsid w:val="002E2AC3"/>
    <w:rsid w:val="002E41F1"/>
    <w:rsid w:val="002E424D"/>
    <w:rsid w:val="002E5608"/>
    <w:rsid w:val="002F10EF"/>
    <w:rsid w:val="00300B75"/>
    <w:rsid w:val="00300EEC"/>
    <w:rsid w:val="00313C9C"/>
    <w:rsid w:val="00320E45"/>
    <w:rsid w:val="00320ECA"/>
    <w:rsid w:val="003360D5"/>
    <w:rsid w:val="00337CB8"/>
    <w:rsid w:val="0034183C"/>
    <w:rsid w:val="00350F07"/>
    <w:rsid w:val="00367DA6"/>
    <w:rsid w:val="00383FE0"/>
    <w:rsid w:val="00387878"/>
    <w:rsid w:val="003C1F05"/>
    <w:rsid w:val="003C2D67"/>
    <w:rsid w:val="003C383C"/>
    <w:rsid w:val="003C5D19"/>
    <w:rsid w:val="003C6A91"/>
    <w:rsid w:val="003D2DD8"/>
    <w:rsid w:val="003E0A28"/>
    <w:rsid w:val="003E1CF8"/>
    <w:rsid w:val="003F3625"/>
    <w:rsid w:val="003F7386"/>
    <w:rsid w:val="0040202C"/>
    <w:rsid w:val="0040305A"/>
    <w:rsid w:val="00403B70"/>
    <w:rsid w:val="004259B6"/>
    <w:rsid w:val="00427670"/>
    <w:rsid w:val="00443345"/>
    <w:rsid w:val="00444565"/>
    <w:rsid w:val="0045164F"/>
    <w:rsid w:val="00454D65"/>
    <w:rsid w:val="00455DFE"/>
    <w:rsid w:val="004724AD"/>
    <w:rsid w:val="00473586"/>
    <w:rsid w:val="004873A7"/>
    <w:rsid w:val="00491D53"/>
    <w:rsid w:val="00495EC1"/>
    <w:rsid w:val="004A046E"/>
    <w:rsid w:val="004B23BC"/>
    <w:rsid w:val="004B259D"/>
    <w:rsid w:val="004B790C"/>
    <w:rsid w:val="004C1C90"/>
    <w:rsid w:val="004C26E1"/>
    <w:rsid w:val="004C454B"/>
    <w:rsid w:val="004C72F2"/>
    <w:rsid w:val="004D44DD"/>
    <w:rsid w:val="004E1569"/>
    <w:rsid w:val="004E3931"/>
    <w:rsid w:val="00503384"/>
    <w:rsid w:val="00505580"/>
    <w:rsid w:val="0052224E"/>
    <w:rsid w:val="00533E6E"/>
    <w:rsid w:val="00541C69"/>
    <w:rsid w:val="00543020"/>
    <w:rsid w:val="00543891"/>
    <w:rsid w:val="00567D47"/>
    <w:rsid w:val="00580F09"/>
    <w:rsid w:val="005843D9"/>
    <w:rsid w:val="005879EB"/>
    <w:rsid w:val="005978CA"/>
    <w:rsid w:val="005B5398"/>
    <w:rsid w:val="005F1460"/>
    <w:rsid w:val="005F5916"/>
    <w:rsid w:val="0060261D"/>
    <w:rsid w:val="00616C11"/>
    <w:rsid w:val="00617CDD"/>
    <w:rsid w:val="00625793"/>
    <w:rsid w:val="00630B36"/>
    <w:rsid w:val="00643FAA"/>
    <w:rsid w:val="0064423C"/>
    <w:rsid w:val="00654D43"/>
    <w:rsid w:val="00663F8A"/>
    <w:rsid w:val="0067511E"/>
    <w:rsid w:val="0067533F"/>
    <w:rsid w:val="006876C8"/>
    <w:rsid w:val="00687E63"/>
    <w:rsid w:val="00690E34"/>
    <w:rsid w:val="006B2455"/>
    <w:rsid w:val="006C0B67"/>
    <w:rsid w:val="006C3AF4"/>
    <w:rsid w:val="006C6DF5"/>
    <w:rsid w:val="006C792C"/>
    <w:rsid w:val="006C7DE2"/>
    <w:rsid w:val="006D12BA"/>
    <w:rsid w:val="006D3308"/>
    <w:rsid w:val="006D5007"/>
    <w:rsid w:val="006D6761"/>
    <w:rsid w:val="006D7D63"/>
    <w:rsid w:val="006E311C"/>
    <w:rsid w:val="00707289"/>
    <w:rsid w:val="00715C66"/>
    <w:rsid w:val="007161DF"/>
    <w:rsid w:val="007177DD"/>
    <w:rsid w:val="0073056F"/>
    <w:rsid w:val="00733D53"/>
    <w:rsid w:val="007340B6"/>
    <w:rsid w:val="007365BC"/>
    <w:rsid w:val="007541B2"/>
    <w:rsid w:val="0075716F"/>
    <w:rsid w:val="0076435F"/>
    <w:rsid w:val="00766A87"/>
    <w:rsid w:val="00771C45"/>
    <w:rsid w:val="00772017"/>
    <w:rsid w:val="0077465F"/>
    <w:rsid w:val="00776C26"/>
    <w:rsid w:val="00785A55"/>
    <w:rsid w:val="0079265A"/>
    <w:rsid w:val="007947FE"/>
    <w:rsid w:val="007A44FA"/>
    <w:rsid w:val="007A70C5"/>
    <w:rsid w:val="007D29AF"/>
    <w:rsid w:val="007E573C"/>
    <w:rsid w:val="007F3D18"/>
    <w:rsid w:val="007F5C2C"/>
    <w:rsid w:val="00802029"/>
    <w:rsid w:val="0080275D"/>
    <w:rsid w:val="00805AF2"/>
    <w:rsid w:val="0080729B"/>
    <w:rsid w:val="00810303"/>
    <w:rsid w:val="00812B71"/>
    <w:rsid w:val="00820818"/>
    <w:rsid w:val="00822656"/>
    <w:rsid w:val="008301A0"/>
    <w:rsid w:val="00832FE8"/>
    <w:rsid w:val="008401A9"/>
    <w:rsid w:val="008507FA"/>
    <w:rsid w:val="00852C34"/>
    <w:rsid w:val="008536D4"/>
    <w:rsid w:val="00854642"/>
    <w:rsid w:val="00860932"/>
    <w:rsid w:val="008620E0"/>
    <w:rsid w:val="00872330"/>
    <w:rsid w:val="00873765"/>
    <w:rsid w:val="008750A9"/>
    <w:rsid w:val="008842CF"/>
    <w:rsid w:val="008861D3"/>
    <w:rsid w:val="0089204D"/>
    <w:rsid w:val="0089535B"/>
    <w:rsid w:val="00895D1C"/>
    <w:rsid w:val="008B181A"/>
    <w:rsid w:val="008B432C"/>
    <w:rsid w:val="008D592E"/>
    <w:rsid w:val="008E24E9"/>
    <w:rsid w:val="008E642E"/>
    <w:rsid w:val="008F4B65"/>
    <w:rsid w:val="008F59B6"/>
    <w:rsid w:val="0090023B"/>
    <w:rsid w:val="00904983"/>
    <w:rsid w:val="00904BF5"/>
    <w:rsid w:val="00911971"/>
    <w:rsid w:val="009156F6"/>
    <w:rsid w:val="00916D93"/>
    <w:rsid w:val="0093345C"/>
    <w:rsid w:val="00933845"/>
    <w:rsid w:val="00933BC9"/>
    <w:rsid w:val="00936FFA"/>
    <w:rsid w:val="009436E5"/>
    <w:rsid w:val="0094756B"/>
    <w:rsid w:val="00962BD9"/>
    <w:rsid w:val="00962C2D"/>
    <w:rsid w:val="0096625E"/>
    <w:rsid w:val="0096650D"/>
    <w:rsid w:val="0096746B"/>
    <w:rsid w:val="00985B79"/>
    <w:rsid w:val="00990EF8"/>
    <w:rsid w:val="009A0639"/>
    <w:rsid w:val="009A7F27"/>
    <w:rsid w:val="009B02E8"/>
    <w:rsid w:val="009B4886"/>
    <w:rsid w:val="009C2BAD"/>
    <w:rsid w:val="009D4AF9"/>
    <w:rsid w:val="009E20A4"/>
    <w:rsid w:val="009E29B3"/>
    <w:rsid w:val="009E6E80"/>
    <w:rsid w:val="009F01E4"/>
    <w:rsid w:val="00A06748"/>
    <w:rsid w:val="00A3008F"/>
    <w:rsid w:val="00A321A1"/>
    <w:rsid w:val="00A46E76"/>
    <w:rsid w:val="00A614CA"/>
    <w:rsid w:val="00A6518C"/>
    <w:rsid w:val="00A66CF3"/>
    <w:rsid w:val="00A701A3"/>
    <w:rsid w:val="00A72D34"/>
    <w:rsid w:val="00A80FD1"/>
    <w:rsid w:val="00A831B1"/>
    <w:rsid w:val="00A84979"/>
    <w:rsid w:val="00A95226"/>
    <w:rsid w:val="00A95AB2"/>
    <w:rsid w:val="00A96086"/>
    <w:rsid w:val="00AA1F5F"/>
    <w:rsid w:val="00AA4687"/>
    <w:rsid w:val="00AA7CC9"/>
    <w:rsid w:val="00AB066A"/>
    <w:rsid w:val="00AB78E3"/>
    <w:rsid w:val="00AC5961"/>
    <w:rsid w:val="00AD3DFE"/>
    <w:rsid w:val="00AD61BC"/>
    <w:rsid w:val="00AF0872"/>
    <w:rsid w:val="00AF5E98"/>
    <w:rsid w:val="00AF66FC"/>
    <w:rsid w:val="00B215A9"/>
    <w:rsid w:val="00B32B70"/>
    <w:rsid w:val="00B35671"/>
    <w:rsid w:val="00B37B87"/>
    <w:rsid w:val="00B442AE"/>
    <w:rsid w:val="00B565C4"/>
    <w:rsid w:val="00B617F4"/>
    <w:rsid w:val="00B72F57"/>
    <w:rsid w:val="00B76DFD"/>
    <w:rsid w:val="00B7761C"/>
    <w:rsid w:val="00B809CB"/>
    <w:rsid w:val="00B913BF"/>
    <w:rsid w:val="00B94E86"/>
    <w:rsid w:val="00BA02B4"/>
    <w:rsid w:val="00BD14B8"/>
    <w:rsid w:val="00BF45A3"/>
    <w:rsid w:val="00BF6604"/>
    <w:rsid w:val="00C021A0"/>
    <w:rsid w:val="00C034E6"/>
    <w:rsid w:val="00C0410D"/>
    <w:rsid w:val="00C1392B"/>
    <w:rsid w:val="00C31A13"/>
    <w:rsid w:val="00C36592"/>
    <w:rsid w:val="00C37E28"/>
    <w:rsid w:val="00C4541F"/>
    <w:rsid w:val="00C51DE6"/>
    <w:rsid w:val="00C5451E"/>
    <w:rsid w:val="00C55F9F"/>
    <w:rsid w:val="00C62E67"/>
    <w:rsid w:val="00C7322D"/>
    <w:rsid w:val="00C81757"/>
    <w:rsid w:val="00CA2656"/>
    <w:rsid w:val="00CC405F"/>
    <w:rsid w:val="00CD3863"/>
    <w:rsid w:val="00CE602F"/>
    <w:rsid w:val="00CF2613"/>
    <w:rsid w:val="00CF3204"/>
    <w:rsid w:val="00D07A57"/>
    <w:rsid w:val="00D115E3"/>
    <w:rsid w:val="00D1720A"/>
    <w:rsid w:val="00D207AF"/>
    <w:rsid w:val="00D219DB"/>
    <w:rsid w:val="00D25F64"/>
    <w:rsid w:val="00D2697C"/>
    <w:rsid w:val="00D420DD"/>
    <w:rsid w:val="00D42EC2"/>
    <w:rsid w:val="00D46F8D"/>
    <w:rsid w:val="00D820AA"/>
    <w:rsid w:val="00D86B0E"/>
    <w:rsid w:val="00D86B38"/>
    <w:rsid w:val="00D9500C"/>
    <w:rsid w:val="00D9616C"/>
    <w:rsid w:val="00DA3DDA"/>
    <w:rsid w:val="00DA629F"/>
    <w:rsid w:val="00DB46A4"/>
    <w:rsid w:val="00DB79CC"/>
    <w:rsid w:val="00DB7AF3"/>
    <w:rsid w:val="00DB7CF6"/>
    <w:rsid w:val="00DC6250"/>
    <w:rsid w:val="00DD1788"/>
    <w:rsid w:val="00E0381B"/>
    <w:rsid w:val="00E04B8C"/>
    <w:rsid w:val="00E10C15"/>
    <w:rsid w:val="00E15059"/>
    <w:rsid w:val="00E2536E"/>
    <w:rsid w:val="00E4727F"/>
    <w:rsid w:val="00E50177"/>
    <w:rsid w:val="00E566F4"/>
    <w:rsid w:val="00E67733"/>
    <w:rsid w:val="00E91663"/>
    <w:rsid w:val="00E93876"/>
    <w:rsid w:val="00EA123F"/>
    <w:rsid w:val="00EB1D1E"/>
    <w:rsid w:val="00EB3856"/>
    <w:rsid w:val="00EC00C2"/>
    <w:rsid w:val="00ED10C8"/>
    <w:rsid w:val="00ED74FE"/>
    <w:rsid w:val="00F01BCC"/>
    <w:rsid w:val="00F028CE"/>
    <w:rsid w:val="00F10E6F"/>
    <w:rsid w:val="00F221BF"/>
    <w:rsid w:val="00F23ABD"/>
    <w:rsid w:val="00F31875"/>
    <w:rsid w:val="00F33618"/>
    <w:rsid w:val="00F4218E"/>
    <w:rsid w:val="00F50AA9"/>
    <w:rsid w:val="00F50ABE"/>
    <w:rsid w:val="00F5438A"/>
    <w:rsid w:val="00F5547F"/>
    <w:rsid w:val="00F77F30"/>
    <w:rsid w:val="00F828EE"/>
    <w:rsid w:val="00F971B1"/>
    <w:rsid w:val="00FA0548"/>
    <w:rsid w:val="00FA197D"/>
    <w:rsid w:val="00FD12AF"/>
    <w:rsid w:val="00FD5D0E"/>
    <w:rsid w:val="00FD76A6"/>
    <w:rsid w:val="00FE0A48"/>
    <w:rsid w:val="00FE48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C2D"/>
    <w:rPr>
      <w:sz w:val="24"/>
      <w:szCs w:val="24"/>
    </w:rPr>
  </w:style>
  <w:style w:type="paragraph" w:styleId="Heading1">
    <w:name w:val="heading 1"/>
    <w:basedOn w:val="Normal"/>
    <w:next w:val="Normal"/>
    <w:link w:val="Heading1Char"/>
    <w:uiPriority w:val="9"/>
    <w:qFormat/>
    <w:rsid w:val="00232313"/>
    <w:pPr>
      <w:spacing w:before="400" w:line="276" w:lineRule="auto"/>
      <w:contextualSpacing/>
      <w:outlineLvl w:val="0"/>
    </w:pPr>
    <w:rPr>
      <w:rFonts w:asciiTheme="majorHAnsi" w:eastAsiaTheme="majorEastAsia" w:hAnsiTheme="majorHAnsi" w:cstheme="majorBidi"/>
      <w:b/>
      <w:bCs/>
      <w:sz w:val="28"/>
      <w:szCs w:val="28"/>
      <w:lang w:eastAsia="en-US"/>
    </w:rPr>
  </w:style>
  <w:style w:type="paragraph" w:styleId="Heading2">
    <w:name w:val="heading 2"/>
    <w:basedOn w:val="Normal"/>
    <w:next w:val="Normal"/>
    <w:qFormat/>
    <w:rsid w:val="00300B75"/>
    <w:pPr>
      <w:keepNext/>
      <w:outlineLvl w:val="1"/>
    </w:pPr>
    <w:rPr>
      <w:rFonts w:ascii="Verdana" w:hAnsi="Verdana"/>
      <w:b/>
      <w:sz w:val="20"/>
      <w:szCs w:val="20"/>
      <w:lang w:eastAsia="en-US"/>
    </w:rPr>
  </w:style>
  <w:style w:type="paragraph" w:styleId="Heading3">
    <w:name w:val="heading 3"/>
    <w:basedOn w:val="Normal"/>
    <w:next w:val="Normal"/>
    <w:qFormat/>
    <w:rsid w:val="00FE484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300B75"/>
    <w:rPr>
      <w:rFonts w:ascii="Verdana" w:hAnsi="Verdana"/>
      <w:b/>
      <w:sz w:val="20"/>
      <w:szCs w:val="20"/>
      <w:lang w:eastAsia="en-US"/>
    </w:rPr>
  </w:style>
  <w:style w:type="paragraph" w:customStyle="1" w:styleId="HEADING3TimesNewRoman">
    <w:name w:val="HEADING 3 Times New Roman"/>
    <w:basedOn w:val="Style1"/>
    <w:rsid w:val="00FE484A"/>
  </w:style>
  <w:style w:type="paragraph" w:customStyle="1" w:styleId="HEADING4TimesNewRoman">
    <w:name w:val="HEADING 4  Times New Roman"/>
    <w:basedOn w:val="HEADING3TimesNewRoman"/>
    <w:rsid w:val="00FE484A"/>
    <w:rPr>
      <w:sz w:val="24"/>
    </w:rPr>
  </w:style>
  <w:style w:type="paragraph" w:customStyle="1" w:styleId="Style2">
    <w:name w:val="Style2"/>
    <w:basedOn w:val="Heading3"/>
    <w:rsid w:val="00DB7AF3"/>
    <w:pPr>
      <w:tabs>
        <w:tab w:val="left" w:pos="2376"/>
      </w:tabs>
      <w:jc w:val="both"/>
    </w:pPr>
    <w:rPr>
      <w:rFonts w:ascii="Times New Roman" w:hAnsi="Times New Roman"/>
      <w:snapToGrid w:val="0"/>
      <w:sz w:val="24"/>
      <w:szCs w:val="24"/>
      <w:lang w:eastAsia="en-US"/>
    </w:rPr>
  </w:style>
  <w:style w:type="paragraph" w:customStyle="1" w:styleId="StyleHeading3TimesNewRoman12ptAutoSmallcaps">
    <w:name w:val="Style Heading 3 + Times New Roman 12 pt Auto Small caps"/>
    <w:basedOn w:val="Heading3"/>
    <w:autoRedefine/>
    <w:rsid w:val="00DB7AF3"/>
    <w:pPr>
      <w:tabs>
        <w:tab w:val="left" w:pos="2376"/>
      </w:tabs>
      <w:jc w:val="both"/>
    </w:pPr>
    <w:rPr>
      <w:rFonts w:ascii="Times New Roman" w:hAnsi="Times New Roman"/>
      <w:snapToGrid w:val="0"/>
      <w:sz w:val="24"/>
      <w:szCs w:val="24"/>
      <w:lang w:eastAsia="en-US"/>
    </w:rPr>
  </w:style>
  <w:style w:type="paragraph" w:styleId="TOC1">
    <w:name w:val="toc 1"/>
    <w:basedOn w:val="Normal"/>
    <w:next w:val="Normal"/>
    <w:autoRedefine/>
    <w:uiPriority w:val="39"/>
    <w:rsid w:val="00E566F4"/>
    <w:pPr>
      <w:tabs>
        <w:tab w:val="right" w:leader="dot" w:pos="9016"/>
      </w:tabs>
      <w:spacing w:after="100" w:line="276" w:lineRule="auto"/>
    </w:pPr>
    <w:rPr>
      <w:rFonts w:asciiTheme="minorHAnsi" w:eastAsiaTheme="minorEastAsia" w:hAnsiTheme="minorHAnsi" w:cstheme="minorBidi"/>
      <w:b/>
      <w:noProof/>
      <w:sz w:val="22"/>
      <w:szCs w:val="22"/>
      <w:lang w:eastAsia="en-US"/>
    </w:rPr>
  </w:style>
  <w:style w:type="table" w:styleId="TableGrid">
    <w:name w:val="Table Grid"/>
    <w:basedOn w:val="TableNormal"/>
    <w:rsid w:val="00B72F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F4B65"/>
    <w:pPr>
      <w:tabs>
        <w:tab w:val="center" w:pos="4153"/>
        <w:tab w:val="right" w:pos="8306"/>
      </w:tabs>
    </w:pPr>
  </w:style>
  <w:style w:type="paragraph" w:styleId="Footer">
    <w:name w:val="footer"/>
    <w:basedOn w:val="Normal"/>
    <w:link w:val="FooterChar"/>
    <w:uiPriority w:val="99"/>
    <w:rsid w:val="008F4B65"/>
    <w:pPr>
      <w:tabs>
        <w:tab w:val="center" w:pos="4153"/>
        <w:tab w:val="right" w:pos="8306"/>
      </w:tabs>
    </w:pPr>
  </w:style>
  <w:style w:type="paragraph" w:styleId="BalloonText">
    <w:name w:val="Balloon Text"/>
    <w:basedOn w:val="Normal"/>
    <w:semiHidden/>
    <w:rsid w:val="00911971"/>
    <w:rPr>
      <w:rFonts w:ascii="Tahoma" w:hAnsi="Tahoma" w:cs="Tahoma"/>
      <w:sz w:val="16"/>
      <w:szCs w:val="16"/>
    </w:rPr>
  </w:style>
  <w:style w:type="paragraph" w:styleId="NormalWeb">
    <w:name w:val="Normal (Web)"/>
    <w:basedOn w:val="Normal"/>
    <w:rsid w:val="00403B70"/>
    <w:pPr>
      <w:spacing w:before="100" w:beforeAutospacing="1" w:after="100" w:afterAutospacing="1"/>
    </w:pPr>
    <w:rPr>
      <w:rFonts w:ascii="Arial" w:hAnsi="Arial" w:cs="Arial"/>
      <w:color w:val="000000"/>
      <w:sz w:val="20"/>
      <w:szCs w:val="20"/>
    </w:rPr>
  </w:style>
  <w:style w:type="character" w:styleId="PageNumber">
    <w:name w:val="page number"/>
    <w:basedOn w:val="DefaultParagraphFont"/>
    <w:rsid w:val="00812B71"/>
  </w:style>
  <w:style w:type="character" w:styleId="CommentReference">
    <w:name w:val="annotation reference"/>
    <w:basedOn w:val="DefaultParagraphFont"/>
    <w:semiHidden/>
    <w:rsid w:val="00FA0548"/>
    <w:rPr>
      <w:sz w:val="16"/>
      <w:szCs w:val="16"/>
    </w:rPr>
  </w:style>
  <w:style w:type="paragraph" w:styleId="CommentText">
    <w:name w:val="annotation text"/>
    <w:basedOn w:val="Normal"/>
    <w:semiHidden/>
    <w:rsid w:val="00FA0548"/>
    <w:rPr>
      <w:sz w:val="20"/>
      <w:szCs w:val="20"/>
    </w:rPr>
  </w:style>
  <w:style w:type="paragraph" w:styleId="CommentSubject">
    <w:name w:val="annotation subject"/>
    <w:basedOn w:val="CommentText"/>
    <w:next w:val="CommentText"/>
    <w:semiHidden/>
    <w:rsid w:val="00FA0548"/>
    <w:rPr>
      <w:b/>
      <w:bCs/>
    </w:rPr>
  </w:style>
  <w:style w:type="character" w:styleId="Hyperlink">
    <w:name w:val="Hyperlink"/>
    <w:basedOn w:val="DefaultParagraphFont"/>
    <w:uiPriority w:val="99"/>
    <w:rsid w:val="00427670"/>
    <w:rPr>
      <w:color w:val="0000FF"/>
      <w:u w:val="single"/>
    </w:rPr>
  </w:style>
  <w:style w:type="paragraph" w:styleId="DocumentMap">
    <w:name w:val="Document Map"/>
    <w:basedOn w:val="Normal"/>
    <w:semiHidden/>
    <w:rsid w:val="00DD1788"/>
    <w:pPr>
      <w:shd w:val="clear" w:color="auto" w:fill="000080"/>
    </w:pPr>
    <w:rPr>
      <w:rFonts w:ascii="Tahoma" w:hAnsi="Tahoma" w:cs="Tahoma"/>
      <w:sz w:val="20"/>
      <w:szCs w:val="20"/>
    </w:rPr>
  </w:style>
  <w:style w:type="paragraph" w:customStyle="1" w:styleId="Footer1">
    <w:name w:val="Footer1"/>
    <w:basedOn w:val="Normal"/>
    <w:rsid w:val="00F33618"/>
    <w:pPr>
      <w:keepLines/>
      <w:spacing w:line="288" w:lineRule="auto"/>
      <w:ind w:left="57" w:right="-1134" w:firstLine="2342"/>
      <w:jc w:val="right"/>
    </w:pPr>
    <w:rPr>
      <w:rFonts w:ascii="Calibri" w:hAnsi="Calibri" w:cs="Gautami"/>
      <w:kern w:val="16"/>
      <w:sz w:val="16"/>
      <w:szCs w:val="16"/>
      <w:lang w:eastAsia="en-US"/>
    </w:rPr>
  </w:style>
  <w:style w:type="paragraph" w:styleId="ListParagraph">
    <w:name w:val="List Paragraph"/>
    <w:aliases w:val="Bullet point,List Paragraph1,List Paragraph11,List Paragraph Number,Recommendation"/>
    <w:basedOn w:val="Normal"/>
    <w:link w:val="ListParagraphChar"/>
    <w:uiPriority w:val="34"/>
    <w:qFormat/>
    <w:rsid w:val="002E2AC3"/>
    <w:pPr>
      <w:ind w:left="720"/>
      <w:contextualSpacing/>
    </w:pPr>
  </w:style>
  <w:style w:type="paragraph" w:customStyle="1" w:styleId="NumberedParagraph">
    <w:name w:val="Numbered Paragraph"/>
    <w:basedOn w:val="ListParagraph"/>
    <w:link w:val="NumberedParagraphChar"/>
    <w:qFormat/>
    <w:rsid w:val="008E24E9"/>
    <w:pPr>
      <w:numPr>
        <w:numId w:val="22"/>
      </w:numPr>
      <w:spacing w:after="220"/>
    </w:pPr>
    <w:rPr>
      <w:rFonts w:asciiTheme="minorHAnsi" w:hAnsiTheme="minorHAnsi"/>
      <w:sz w:val="22"/>
    </w:rPr>
  </w:style>
  <w:style w:type="character" w:customStyle="1" w:styleId="NumberedParagraphChar">
    <w:name w:val="Numbered Paragraph Char"/>
    <w:basedOn w:val="DefaultParagraphFont"/>
    <w:link w:val="NumberedParagraph"/>
    <w:rsid w:val="008E24E9"/>
    <w:rPr>
      <w:rFonts w:asciiTheme="minorHAnsi" w:hAnsiTheme="minorHAnsi"/>
      <w:sz w:val="22"/>
      <w:szCs w:val="24"/>
    </w:rPr>
  </w:style>
  <w:style w:type="character" w:customStyle="1" w:styleId="Heading1Char">
    <w:name w:val="Heading 1 Char"/>
    <w:basedOn w:val="DefaultParagraphFont"/>
    <w:link w:val="Heading1"/>
    <w:uiPriority w:val="9"/>
    <w:rsid w:val="00232313"/>
    <w:rPr>
      <w:rFonts w:asciiTheme="majorHAnsi" w:eastAsiaTheme="majorEastAsia" w:hAnsiTheme="majorHAnsi" w:cstheme="majorBidi"/>
      <w:b/>
      <w:bCs/>
      <w:sz w:val="28"/>
      <w:szCs w:val="28"/>
      <w:lang w:eastAsia="en-US"/>
    </w:rPr>
  </w:style>
  <w:style w:type="paragraph" w:styleId="TOCHeading">
    <w:name w:val="TOC Heading"/>
    <w:basedOn w:val="Heading1"/>
    <w:next w:val="Normal"/>
    <w:uiPriority w:val="39"/>
    <w:unhideWhenUsed/>
    <w:qFormat/>
    <w:rsid w:val="000537AD"/>
    <w:pPr>
      <w:outlineLvl w:val="9"/>
    </w:pPr>
  </w:style>
  <w:style w:type="character" w:customStyle="1" w:styleId="ListParagraphChar">
    <w:name w:val="List Paragraph Char"/>
    <w:aliases w:val="Bullet point Char,List Paragraph1 Char,List Paragraph11 Char,List Paragraph Number Char,Recommendation Char"/>
    <w:basedOn w:val="DefaultParagraphFont"/>
    <w:link w:val="ListParagraph"/>
    <w:uiPriority w:val="34"/>
    <w:locked/>
    <w:rsid w:val="000537AD"/>
    <w:rPr>
      <w:sz w:val="24"/>
      <w:szCs w:val="24"/>
    </w:rPr>
  </w:style>
  <w:style w:type="paragraph" w:styleId="FootnoteText">
    <w:name w:val="footnote text"/>
    <w:basedOn w:val="Normal"/>
    <w:link w:val="FootnoteTextChar"/>
    <w:rsid w:val="000537AD"/>
    <w:rPr>
      <w:rFonts w:asciiTheme="minorHAnsi" w:eastAsiaTheme="minorEastAsia" w:hAnsiTheme="minorHAnsi" w:cstheme="minorBidi"/>
      <w:sz w:val="20"/>
      <w:szCs w:val="20"/>
      <w:lang w:eastAsia="en-US"/>
    </w:rPr>
  </w:style>
  <w:style w:type="character" w:customStyle="1" w:styleId="FootnoteTextChar">
    <w:name w:val="Footnote Text Char"/>
    <w:basedOn w:val="DefaultParagraphFont"/>
    <w:link w:val="FootnoteText"/>
    <w:rsid w:val="000537AD"/>
    <w:rPr>
      <w:rFonts w:asciiTheme="minorHAnsi" w:eastAsiaTheme="minorEastAsia" w:hAnsiTheme="minorHAnsi" w:cstheme="minorBidi"/>
      <w:lang w:eastAsia="en-US"/>
    </w:rPr>
  </w:style>
  <w:style w:type="character" w:styleId="FootnoteReference">
    <w:name w:val="footnote reference"/>
    <w:basedOn w:val="DefaultParagraphFont"/>
    <w:rsid w:val="000537AD"/>
    <w:rPr>
      <w:vertAlign w:val="superscript"/>
    </w:rPr>
  </w:style>
  <w:style w:type="character" w:customStyle="1" w:styleId="FooterChar">
    <w:name w:val="Footer Char"/>
    <w:basedOn w:val="DefaultParagraphFont"/>
    <w:link w:val="Footer"/>
    <w:uiPriority w:val="99"/>
    <w:rsid w:val="000537AD"/>
    <w:rPr>
      <w:sz w:val="24"/>
      <w:szCs w:val="24"/>
    </w:rPr>
  </w:style>
  <w:style w:type="paragraph" w:styleId="Title">
    <w:name w:val="Title"/>
    <w:basedOn w:val="Normal"/>
    <w:next w:val="Normal"/>
    <w:link w:val="TitleChar"/>
    <w:qFormat/>
    <w:rsid w:val="000537AD"/>
    <w:pPr>
      <w:pBdr>
        <w:bottom w:val="single" w:sz="4" w:space="1" w:color="auto"/>
      </w:pBdr>
      <w:spacing w:after="200"/>
      <w:contextualSpacing/>
    </w:pPr>
    <w:rPr>
      <w:rFonts w:asciiTheme="majorHAnsi" w:eastAsiaTheme="majorEastAsia" w:hAnsiTheme="majorHAnsi" w:cstheme="majorBidi"/>
      <w:spacing w:val="5"/>
      <w:sz w:val="52"/>
      <w:szCs w:val="52"/>
      <w:lang w:eastAsia="en-US"/>
    </w:rPr>
  </w:style>
  <w:style w:type="character" w:customStyle="1" w:styleId="TitleChar">
    <w:name w:val="Title Char"/>
    <w:basedOn w:val="DefaultParagraphFont"/>
    <w:link w:val="Title"/>
    <w:rsid w:val="000537AD"/>
    <w:rPr>
      <w:rFonts w:asciiTheme="majorHAnsi" w:eastAsiaTheme="majorEastAsia" w:hAnsiTheme="majorHAnsi" w:cstheme="majorBidi"/>
      <w:spacing w:val="5"/>
      <w:sz w:val="52"/>
      <w:szCs w:val="52"/>
      <w:lang w:eastAsia="en-US"/>
    </w:rPr>
  </w:style>
  <w:style w:type="paragraph" w:styleId="TOC2">
    <w:name w:val="toc 2"/>
    <w:basedOn w:val="Normal"/>
    <w:next w:val="Normal"/>
    <w:autoRedefine/>
    <w:uiPriority w:val="39"/>
    <w:unhideWhenUsed/>
    <w:rsid w:val="000537AD"/>
    <w:pPr>
      <w:spacing w:after="100" w:line="276" w:lineRule="auto"/>
      <w:ind w:left="220"/>
    </w:pPr>
    <w:rPr>
      <w:rFonts w:asciiTheme="minorHAnsi" w:eastAsiaTheme="minorEastAsia" w:hAnsiTheme="minorHAnsi" w:cstheme="minorBidi"/>
      <w:sz w:val="22"/>
      <w:szCs w:val="22"/>
      <w:lang w:eastAsia="en-US"/>
    </w:rPr>
  </w:style>
  <w:style w:type="character" w:customStyle="1" w:styleId="HeaderChar">
    <w:name w:val="Header Char"/>
    <w:basedOn w:val="DefaultParagraphFont"/>
    <w:link w:val="Header"/>
    <w:uiPriority w:val="99"/>
    <w:rsid w:val="00D25F64"/>
    <w:rPr>
      <w:sz w:val="24"/>
      <w:szCs w:val="24"/>
    </w:rPr>
  </w:style>
  <w:style w:type="paragraph" w:customStyle="1" w:styleId="ClearanceText">
    <w:name w:val="Clearance Text"/>
    <w:basedOn w:val="Normal"/>
    <w:link w:val="ClearanceTextChar"/>
    <w:qFormat/>
    <w:rsid w:val="00F4218E"/>
    <w:rPr>
      <w:rFonts w:ascii="Calibri" w:hAnsi="Calibri"/>
      <w:color w:val="767676"/>
      <w:sz w:val="20"/>
      <w:szCs w:val="20"/>
    </w:rPr>
  </w:style>
  <w:style w:type="character" w:customStyle="1" w:styleId="ClearanceTextChar">
    <w:name w:val="Clearance Text Char"/>
    <w:basedOn w:val="DefaultParagraphFont"/>
    <w:link w:val="ClearanceText"/>
    <w:rsid w:val="00F4218E"/>
    <w:rPr>
      <w:rFonts w:ascii="Calibri" w:hAnsi="Calibri"/>
      <w:color w:val="767676"/>
    </w:rPr>
  </w:style>
  <w:style w:type="paragraph" w:customStyle="1" w:styleId="Subject">
    <w:name w:val="Subject"/>
    <w:basedOn w:val="Heading2"/>
    <w:next w:val="NumberedParagraph"/>
    <w:link w:val="SubjectChar"/>
    <w:qFormat/>
    <w:rsid w:val="00F4218E"/>
    <w:pPr>
      <w:keepNext w:val="0"/>
      <w:spacing w:before="220"/>
    </w:pPr>
    <w:rPr>
      <w:rFonts w:ascii="Calibri" w:hAnsi="Calibri"/>
      <w:sz w:val="22"/>
      <w:szCs w:val="24"/>
      <w:lang w:eastAsia="en-AU"/>
    </w:rPr>
  </w:style>
  <w:style w:type="character" w:customStyle="1" w:styleId="SubjectChar">
    <w:name w:val="Subject Char"/>
    <w:basedOn w:val="DefaultParagraphFont"/>
    <w:link w:val="Subject"/>
    <w:rsid w:val="00F4218E"/>
    <w:rPr>
      <w:rFonts w:ascii="Calibri" w:hAnsi="Calibri"/>
      <w:b/>
      <w:sz w:val="22"/>
      <w:szCs w:val="24"/>
    </w:rPr>
  </w:style>
  <w:style w:type="character" w:styleId="FollowedHyperlink">
    <w:name w:val="FollowedHyperlink"/>
    <w:basedOn w:val="DefaultParagraphFont"/>
    <w:rsid w:val="00F028CE"/>
    <w:rPr>
      <w:color w:val="800080" w:themeColor="followedHyperlink"/>
      <w:u w:val="single"/>
    </w:rPr>
  </w:style>
  <w:style w:type="paragraph" w:styleId="NoSpacing">
    <w:name w:val="No Spacing"/>
    <w:uiPriority w:val="1"/>
    <w:qFormat/>
    <w:rsid w:val="00F028CE"/>
    <w:rPr>
      <w:sz w:val="24"/>
      <w:szCs w:val="24"/>
    </w:rPr>
  </w:style>
  <w:style w:type="paragraph" w:styleId="Revision">
    <w:name w:val="Revision"/>
    <w:hidden/>
    <w:uiPriority w:val="99"/>
    <w:semiHidden/>
    <w:rsid w:val="001B0416"/>
    <w:rPr>
      <w:sz w:val="24"/>
      <w:szCs w:val="24"/>
    </w:rPr>
  </w:style>
  <w:style w:type="paragraph" w:customStyle="1" w:styleId="Default">
    <w:name w:val="Default"/>
    <w:rsid w:val="00AA7CC9"/>
    <w:pPr>
      <w:autoSpaceDE w:val="0"/>
      <w:autoSpaceDN w:val="0"/>
      <w:adjustRightInd w:val="0"/>
    </w:pPr>
    <w:rPr>
      <w:rFonts w:ascii="Corbel" w:hAnsi="Corbel" w:cs="Corbe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C2D"/>
    <w:rPr>
      <w:sz w:val="24"/>
      <w:szCs w:val="24"/>
    </w:rPr>
  </w:style>
  <w:style w:type="paragraph" w:styleId="Heading1">
    <w:name w:val="heading 1"/>
    <w:basedOn w:val="Normal"/>
    <w:next w:val="Normal"/>
    <w:link w:val="Heading1Char"/>
    <w:uiPriority w:val="9"/>
    <w:qFormat/>
    <w:rsid w:val="00232313"/>
    <w:pPr>
      <w:spacing w:before="400" w:line="276" w:lineRule="auto"/>
      <w:contextualSpacing/>
      <w:outlineLvl w:val="0"/>
    </w:pPr>
    <w:rPr>
      <w:rFonts w:asciiTheme="majorHAnsi" w:eastAsiaTheme="majorEastAsia" w:hAnsiTheme="majorHAnsi" w:cstheme="majorBidi"/>
      <w:b/>
      <w:bCs/>
      <w:sz w:val="28"/>
      <w:szCs w:val="28"/>
      <w:lang w:eastAsia="en-US"/>
    </w:rPr>
  </w:style>
  <w:style w:type="paragraph" w:styleId="Heading2">
    <w:name w:val="heading 2"/>
    <w:basedOn w:val="Normal"/>
    <w:next w:val="Normal"/>
    <w:qFormat/>
    <w:rsid w:val="00300B75"/>
    <w:pPr>
      <w:keepNext/>
      <w:outlineLvl w:val="1"/>
    </w:pPr>
    <w:rPr>
      <w:rFonts w:ascii="Verdana" w:hAnsi="Verdana"/>
      <w:b/>
      <w:sz w:val="20"/>
      <w:szCs w:val="20"/>
      <w:lang w:eastAsia="en-US"/>
    </w:rPr>
  </w:style>
  <w:style w:type="paragraph" w:styleId="Heading3">
    <w:name w:val="heading 3"/>
    <w:basedOn w:val="Normal"/>
    <w:next w:val="Normal"/>
    <w:qFormat/>
    <w:rsid w:val="00FE484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300B75"/>
    <w:rPr>
      <w:rFonts w:ascii="Verdana" w:hAnsi="Verdana"/>
      <w:b/>
      <w:sz w:val="20"/>
      <w:szCs w:val="20"/>
      <w:lang w:eastAsia="en-US"/>
    </w:rPr>
  </w:style>
  <w:style w:type="paragraph" w:customStyle="1" w:styleId="HEADING3TimesNewRoman">
    <w:name w:val="HEADING 3 Times New Roman"/>
    <w:basedOn w:val="Style1"/>
    <w:rsid w:val="00FE484A"/>
  </w:style>
  <w:style w:type="paragraph" w:customStyle="1" w:styleId="HEADING4TimesNewRoman">
    <w:name w:val="HEADING 4  Times New Roman"/>
    <w:basedOn w:val="HEADING3TimesNewRoman"/>
    <w:rsid w:val="00FE484A"/>
    <w:rPr>
      <w:sz w:val="24"/>
    </w:rPr>
  </w:style>
  <w:style w:type="paragraph" w:customStyle="1" w:styleId="Style2">
    <w:name w:val="Style2"/>
    <w:basedOn w:val="Heading3"/>
    <w:rsid w:val="00DB7AF3"/>
    <w:pPr>
      <w:tabs>
        <w:tab w:val="left" w:pos="2376"/>
      </w:tabs>
      <w:jc w:val="both"/>
    </w:pPr>
    <w:rPr>
      <w:rFonts w:ascii="Times New Roman" w:hAnsi="Times New Roman"/>
      <w:snapToGrid w:val="0"/>
      <w:sz w:val="24"/>
      <w:szCs w:val="24"/>
      <w:lang w:eastAsia="en-US"/>
    </w:rPr>
  </w:style>
  <w:style w:type="paragraph" w:customStyle="1" w:styleId="StyleHeading3TimesNewRoman12ptAutoSmallcaps">
    <w:name w:val="Style Heading 3 + Times New Roman 12 pt Auto Small caps"/>
    <w:basedOn w:val="Heading3"/>
    <w:autoRedefine/>
    <w:rsid w:val="00DB7AF3"/>
    <w:pPr>
      <w:tabs>
        <w:tab w:val="left" w:pos="2376"/>
      </w:tabs>
      <w:jc w:val="both"/>
    </w:pPr>
    <w:rPr>
      <w:rFonts w:ascii="Times New Roman" w:hAnsi="Times New Roman"/>
      <w:snapToGrid w:val="0"/>
      <w:sz w:val="24"/>
      <w:szCs w:val="24"/>
      <w:lang w:eastAsia="en-US"/>
    </w:rPr>
  </w:style>
  <w:style w:type="paragraph" w:styleId="TOC1">
    <w:name w:val="toc 1"/>
    <w:basedOn w:val="Normal"/>
    <w:next w:val="Normal"/>
    <w:autoRedefine/>
    <w:uiPriority w:val="39"/>
    <w:rsid w:val="00E566F4"/>
    <w:pPr>
      <w:tabs>
        <w:tab w:val="right" w:leader="dot" w:pos="9016"/>
      </w:tabs>
      <w:spacing w:after="100" w:line="276" w:lineRule="auto"/>
    </w:pPr>
    <w:rPr>
      <w:rFonts w:asciiTheme="minorHAnsi" w:eastAsiaTheme="minorEastAsia" w:hAnsiTheme="minorHAnsi" w:cstheme="minorBidi"/>
      <w:b/>
      <w:noProof/>
      <w:sz w:val="22"/>
      <w:szCs w:val="22"/>
      <w:lang w:eastAsia="en-US"/>
    </w:rPr>
  </w:style>
  <w:style w:type="table" w:styleId="TableGrid">
    <w:name w:val="Table Grid"/>
    <w:basedOn w:val="TableNormal"/>
    <w:rsid w:val="00B72F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F4B65"/>
    <w:pPr>
      <w:tabs>
        <w:tab w:val="center" w:pos="4153"/>
        <w:tab w:val="right" w:pos="8306"/>
      </w:tabs>
    </w:pPr>
  </w:style>
  <w:style w:type="paragraph" w:styleId="Footer">
    <w:name w:val="footer"/>
    <w:basedOn w:val="Normal"/>
    <w:link w:val="FooterChar"/>
    <w:uiPriority w:val="99"/>
    <w:rsid w:val="008F4B65"/>
    <w:pPr>
      <w:tabs>
        <w:tab w:val="center" w:pos="4153"/>
        <w:tab w:val="right" w:pos="8306"/>
      </w:tabs>
    </w:pPr>
  </w:style>
  <w:style w:type="paragraph" w:styleId="BalloonText">
    <w:name w:val="Balloon Text"/>
    <w:basedOn w:val="Normal"/>
    <w:semiHidden/>
    <w:rsid w:val="00911971"/>
    <w:rPr>
      <w:rFonts w:ascii="Tahoma" w:hAnsi="Tahoma" w:cs="Tahoma"/>
      <w:sz w:val="16"/>
      <w:szCs w:val="16"/>
    </w:rPr>
  </w:style>
  <w:style w:type="paragraph" w:styleId="NormalWeb">
    <w:name w:val="Normal (Web)"/>
    <w:basedOn w:val="Normal"/>
    <w:rsid w:val="00403B70"/>
    <w:pPr>
      <w:spacing w:before="100" w:beforeAutospacing="1" w:after="100" w:afterAutospacing="1"/>
    </w:pPr>
    <w:rPr>
      <w:rFonts w:ascii="Arial" w:hAnsi="Arial" w:cs="Arial"/>
      <w:color w:val="000000"/>
      <w:sz w:val="20"/>
      <w:szCs w:val="20"/>
    </w:rPr>
  </w:style>
  <w:style w:type="character" w:styleId="PageNumber">
    <w:name w:val="page number"/>
    <w:basedOn w:val="DefaultParagraphFont"/>
    <w:rsid w:val="00812B71"/>
  </w:style>
  <w:style w:type="character" w:styleId="CommentReference">
    <w:name w:val="annotation reference"/>
    <w:basedOn w:val="DefaultParagraphFont"/>
    <w:semiHidden/>
    <w:rsid w:val="00FA0548"/>
    <w:rPr>
      <w:sz w:val="16"/>
      <w:szCs w:val="16"/>
    </w:rPr>
  </w:style>
  <w:style w:type="paragraph" w:styleId="CommentText">
    <w:name w:val="annotation text"/>
    <w:basedOn w:val="Normal"/>
    <w:semiHidden/>
    <w:rsid w:val="00FA0548"/>
    <w:rPr>
      <w:sz w:val="20"/>
      <w:szCs w:val="20"/>
    </w:rPr>
  </w:style>
  <w:style w:type="paragraph" w:styleId="CommentSubject">
    <w:name w:val="annotation subject"/>
    <w:basedOn w:val="CommentText"/>
    <w:next w:val="CommentText"/>
    <w:semiHidden/>
    <w:rsid w:val="00FA0548"/>
    <w:rPr>
      <w:b/>
      <w:bCs/>
    </w:rPr>
  </w:style>
  <w:style w:type="character" w:styleId="Hyperlink">
    <w:name w:val="Hyperlink"/>
    <w:basedOn w:val="DefaultParagraphFont"/>
    <w:uiPriority w:val="99"/>
    <w:rsid w:val="00427670"/>
    <w:rPr>
      <w:color w:val="0000FF"/>
      <w:u w:val="single"/>
    </w:rPr>
  </w:style>
  <w:style w:type="paragraph" w:styleId="DocumentMap">
    <w:name w:val="Document Map"/>
    <w:basedOn w:val="Normal"/>
    <w:semiHidden/>
    <w:rsid w:val="00DD1788"/>
    <w:pPr>
      <w:shd w:val="clear" w:color="auto" w:fill="000080"/>
    </w:pPr>
    <w:rPr>
      <w:rFonts w:ascii="Tahoma" w:hAnsi="Tahoma" w:cs="Tahoma"/>
      <w:sz w:val="20"/>
      <w:szCs w:val="20"/>
    </w:rPr>
  </w:style>
  <w:style w:type="paragraph" w:customStyle="1" w:styleId="Footer1">
    <w:name w:val="Footer1"/>
    <w:basedOn w:val="Normal"/>
    <w:rsid w:val="00F33618"/>
    <w:pPr>
      <w:keepLines/>
      <w:spacing w:line="288" w:lineRule="auto"/>
      <w:ind w:left="57" w:right="-1134" w:firstLine="2342"/>
      <w:jc w:val="right"/>
    </w:pPr>
    <w:rPr>
      <w:rFonts w:ascii="Calibri" w:hAnsi="Calibri" w:cs="Gautami"/>
      <w:kern w:val="16"/>
      <w:sz w:val="16"/>
      <w:szCs w:val="16"/>
      <w:lang w:eastAsia="en-US"/>
    </w:rPr>
  </w:style>
  <w:style w:type="paragraph" w:styleId="ListParagraph">
    <w:name w:val="List Paragraph"/>
    <w:aliases w:val="Bullet point,List Paragraph1,List Paragraph11,List Paragraph Number,Recommendation"/>
    <w:basedOn w:val="Normal"/>
    <w:link w:val="ListParagraphChar"/>
    <w:uiPriority w:val="34"/>
    <w:qFormat/>
    <w:rsid w:val="002E2AC3"/>
    <w:pPr>
      <w:ind w:left="720"/>
      <w:contextualSpacing/>
    </w:pPr>
  </w:style>
  <w:style w:type="paragraph" w:customStyle="1" w:styleId="NumberedParagraph">
    <w:name w:val="Numbered Paragraph"/>
    <w:basedOn w:val="ListParagraph"/>
    <w:link w:val="NumberedParagraphChar"/>
    <w:qFormat/>
    <w:rsid w:val="008E24E9"/>
    <w:pPr>
      <w:numPr>
        <w:numId w:val="22"/>
      </w:numPr>
      <w:spacing w:after="220"/>
    </w:pPr>
    <w:rPr>
      <w:rFonts w:asciiTheme="minorHAnsi" w:hAnsiTheme="minorHAnsi"/>
      <w:sz w:val="22"/>
    </w:rPr>
  </w:style>
  <w:style w:type="character" w:customStyle="1" w:styleId="NumberedParagraphChar">
    <w:name w:val="Numbered Paragraph Char"/>
    <w:basedOn w:val="DefaultParagraphFont"/>
    <w:link w:val="NumberedParagraph"/>
    <w:rsid w:val="008E24E9"/>
    <w:rPr>
      <w:rFonts w:asciiTheme="minorHAnsi" w:hAnsiTheme="minorHAnsi"/>
      <w:sz w:val="22"/>
      <w:szCs w:val="24"/>
    </w:rPr>
  </w:style>
  <w:style w:type="character" w:customStyle="1" w:styleId="Heading1Char">
    <w:name w:val="Heading 1 Char"/>
    <w:basedOn w:val="DefaultParagraphFont"/>
    <w:link w:val="Heading1"/>
    <w:uiPriority w:val="9"/>
    <w:rsid w:val="00232313"/>
    <w:rPr>
      <w:rFonts w:asciiTheme="majorHAnsi" w:eastAsiaTheme="majorEastAsia" w:hAnsiTheme="majorHAnsi" w:cstheme="majorBidi"/>
      <w:b/>
      <w:bCs/>
      <w:sz w:val="28"/>
      <w:szCs w:val="28"/>
      <w:lang w:eastAsia="en-US"/>
    </w:rPr>
  </w:style>
  <w:style w:type="paragraph" w:styleId="TOCHeading">
    <w:name w:val="TOC Heading"/>
    <w:basedOn w:val="Heading1"/>
    <w:next w:val="Normal"/>
    <w:uiPriority w:val="39"/>
    <w:unhideWhenUsed/>
    <w:qFormat/>
    <w:rsid w:val="000537AD"/>
    <w:pPr>
      <w:outlineLvl w:val="9"/>
    </w:pPr>
  </w:style>
  <w:style w:type="character" w:customStyle="1" w:styleId="ListParagraphChar">
    <w:name w:val="List Paragraph Char"/>
    <w:aliases w:val="Bullet point Char,List Paragraph1 Char,List Paragraph11 Char,List Paragraph Number Char,Recommendation Char"/>
    <w:basedOn w:val="DefaultParagraphFont"/>
    <w:link w:val="ListParagraph"/>
    <w:uiPriority w:val="34"/>
    <w:locked/>
    <w:rsid w:val="000537AD"/>
    <w:rPr>
      <w:sz w:val="24"/>
      <w:szCs w:val="24"/>
    </w:rPr>
  </w:style>
  <w:style w:type="paragraph" w:styleId="FootnoteText">
    <w:name w:val="footnote text"/>
    <w:basedOn w:val="Normal"/>
    <w:link w:val="FootnoteTextChar"/>
    <w:rsid w:val="000537AD"/>
    <w:rPr>
      <w:rFonts w:asciiTheme="minorHAnsi" w:eastAsiaTheme="minorEastAsia" w:hAnsiTheme="minorHAnsi" w:cstheme="minorBidi"/>
      <w:sz w:val="20"/>
      <w:szCs w:val="20"/>
      <w:lang w:eastAsia="en-US"/>
    </w:rPr>
  </w:style>
  <w:style w:type="character" w:customStyle="1" w:styleId="FootnoteTextChar">
    <w:name w:val="Footnote Text Char"/>
    <w:basedOn w:val="DefaultParagraphFont"/>
    <w:link w:val="FootnoteText"/>
    <w:rsid w:val="000537AD"/>
    <w:rPr>
      <w:rFonts w:asciiTheme="minorHAnsi" w:eastAsiaTheme="minorEastAsia" w:hAnsiTheme="minorHAnsi" w:cstheme="minorBidi"/>
      <w:lang w:eastAsia="en-US"/>
    </w:rPr>
  </w:style>
  <w:style w:type="character" w:styleId="FootnoteReference">
    <w:name w:val="footnote reference"/>
    <w:basedOn w:val="DefaultParagraphFont"/>
    <w:rsid w:val="000537AD"/>
    <w:rPr>
      <w:vertAlign w:val="superscript"/>
    </w:rPr>
  </w:style>
  <w:style w:type="character" w:customStyle="1" w:styleId="FooterChar">
    <w:name w:val="Footer Char"/>
    <w:basedOn w:val="DefaultParagraphFont"/>
    <w:link w:val="Footer"/>
    <w:uiPriority w:val="99"/>
    <w:rsid w:val="000537AD"/>
    <w:rPr>
      <w:sz w:val="24"/>
      <w:szCs w:val="24"/>
    </w:rPr>
  </w:style>
  <w:style w:type="paragraph" w:styleId="Title">
    <w:name w:val="Title"/>
    <w:basedOn w:val="Normal"/>
    <w:next w:val="Normal"/>
    <w:link w:val="TitleChar"/>
    <w:qFormat/>
    <w:rsid w:val="000537AD"/>
    <w:pPr>
      <w:pBdr>
        <w:bottom w:val="single" w:sz="4" w:space="1" w:color="auto"/>
      </w:pBdr>
      <w:spacing w:after="200"/>
      <w:contextualSpacing/>
    </w:pPr>
    <w:rPr>
      <w:rFonts w:asciiTheme="majorHAnsi" w:eastAsiaTheme="majorEastAsia" w:hAnsiTheme="majorHAnsi" w:cstheme="majorBidi"/>
      <w:spacing w:val="5"/>
      <w:sz w:val="52"/>
      <w:szCs w:val="52"/>
      <w:lang w:eastAsia="en-US"/>
    </w:rPr>
  </w:style>
  <w:style w:type="character" w:customStyle="1" w:styleId="TitleChar">
    <w:name w:val="Title Char"/>
    <w:basedOn w:val="DefaultParagraphFont"/>
    <w:link w:val="Title"/>
    <w:rsid w:val="000537AD"/>
    <w:rPr>
      <w:rFonts w:asciiTheme="majorHAnsi" w:eastAsiaTheme="majorEastAsia" w:hAnsiTheme="majorHAnsi" w:cstheme="majorBidi"/>
      <w:spacing w:val="5"/>
      <w:sz w:val="52"/>
      <w:szCs w:val="52"/>
      <w:lang w:eastAsia="en-US"/>
    </w:rPr>
  </w:style>
  <w:style w:type="paragraph" w:styleId="TOC2">
    <w:name w:val="toc 2"/>
    <w:basedOn w:val="Normal"/>
    <w:next w:val="Normal"/>
    <w:autoRedefine/>
    <w:uiPriority w:val="39"/>
    <w:unhideWhenUsed/>
    <w:rsid w:val="000537AD"/>
    <w:pPr>
      <w:spacing w:after="100" w:line="276" w:lineRule="auto"/>
      <w:ind w:left="220"/>
    </w:pPr>
    <w:rPr>
      <w:rFonts w:asciiTheme="minorHAnsi" w:eastAsiaTheme="minorEastAsia" w:hAnsiTheme="minorHAnsi" w:cstheme="minorBidi"/>
      <w:sz w:val="22"/>
      <w:szCs w:val="22"/>
      <w:lang w:eastAsia="en-US"/>
    </w:rPr>
  </w:style>
  <w:style w:type="character" w:customStyle="1" w:styleId="HeaderChar">
    <w:name w:val="Header Char"/>
    <w:basedOn w:val="DefaultParagraphFont"/>
    <w:link w:val="Header"/>
    <w:uiPriority w:val="99"/>
    <w:rsid w:val="00D25F64"/>
    <w:rPr>
      <w:sz w:val="24"/>
      <w:szCs w:val="24"/>
    </w:rPr>
  </w:style>
  <w:style w:type="paragraph" w:customStyle="1" w:styleId="ClearanceText">
    <w:name w:val="Clearance Text"/>
    <w:basedOn w:val="Normal"/>
    <w:link w:val="ClearanceTextChar"/>
    <w:qFormat/>
    <w:rsid w:val="00F4218E"/>
    <w:rPr>
      <w:rFonts w:ascii="Calibri" w:hAnsi="Calibri"/>
      <w:color w:val="767676"/>
      <w:sz w:val="20"/>
      <w:szCs w:val="20"/>
    </w:rPr>
  </w:style>
  <w:style w:type="character" w:customStyle="1" w:styleId="ClearanceTextChar">
    <w:name w:val="Clearance Text Char"/>
    <w:basedOn w:val="DefaultParagraphFont"/>
    <w:link w:val="ClearanceText"/>
    <w:rsid w:val="00F4218E"/>
    <w:rPr>
      <w:rFonts w:ascii="Calibri" w:hAnsi="Calibri"/>
      <w:color w:val="767676"/>
    </w:rPr>
  </w:style>
  <w:style w:type="paragraph" w:customStyle="1" w:styleId="Subject">
    <w:name w:val="Subject"/>
    <w:basedOn w:val="Heading2"/>
    <w:next w:val="NumberedParagraph"/>
    <w:link w:val="SubjectChar"/>
    <w:qFormat/>
    <w:rsid w:val="00F4218E"/>
    <w:pPr>
      <w:keepNext w:val="0"/>
      <w:spacing w:before="220"/>
    </w:pPr>
    <w:rPr>
      <w:rFonts w:ascii="Calibri" w:hAnsi="Calibri"/>
      <w:sz w:val="22"/>
      <w:szCs w:val="24"/>
      <w:lang w:eastAsia="en-AU"/>
    </w:rPr>
  </w:style>
  <w:style w:type="character" w:customStyle="1" w:styleId="SubjectChar">
    <w:name w:val="Subject Char"/>
    <w:basedOn w:val="DefaultParagraphFont"/>
    <w:link w:val="Subject"/>
    <w:rsid w:val="00F4218E"/>
    <w:rPr>
      <w:rFonts w:ascii="Calibri" w:hAnsi="Calibri"/>
      <w:b/>
      <w:sz w:val="22"/>
      <w:szCs w:val="24"/>
    </w:rPr>
  </w:style>
  <w:style w:type="character" w:styleId="FollowedHyperlink">
    <w:name w:val="FollowedHyperlink"/>
    <w:basedOn w:val="DefaultParagraphFont"/>
    <w:rsid w:val="00F028CE"/>
    <w:rPr>
      <w:color w:val="800080" w:themeColor="followedHyperlink"/>
      <w:u w:val="single"/>
    </w:rPr>
  </w:style>
  <w:style w:type="paragraph" w:styleId="NoSpacing">
    <w:name w:val="No Spacing"/>
    <w:uiPriority w:val="1"/>
    <w:qFormat/>
    <w:rsid w:val="00F028CE"/>
    <w:rPr>
      <w:sz w:val="24"/>
      <w:szCs w:val="24"/>
    </w:rPr>
  </w:style>
  <w:style w:type="paragraph" w:styleId="Revision">
    <w:name w:val="Revision"/>
    <w:hidden/>
    <w:uiPriority w:val="99"/>
    <w:semiHidden/>
    <w:rsid w:val="001B0416"/>
    <w:rPr>
      <w:sz w:val="24"/>
      <w:szCs w:val="24"/>
    </w:rPr>
  </w:style>
  <w:style w:type="paragraph" w:customStyle="1" w:styleId="Default">
    <w:name w:val="Default"/>
    <w:rsid w:val="00AA7CC9"/>
    <w:pPr>
      <w:autoSpaceDE w:val="0"/>
      <w:autoSpaceDN w:val="0"/>
      <w:adjustRightInd w:val="0"/>
    </w:pPr>
    <w:rPr>
      <w:rFonts w:ascii="Corbel" w:hAnsi="Corbel" w:cs="Corbe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807856">
      <w:bodyDiv w:val="1"/>
      <w:marLeft w:val="0"/>
      <w:marRight w:val="0"/>
      <w:marTop w:val="0"/>
      <w:marBottom w:val="0"/>
      <w:divBdr>
        <w:top w:val="none" w:sz="0" w:space="0" w:color="auto"/>
        <w:left w:val="none" w:sz="0" w:space="0" w:color="auto"/>
        <w:bottom w:val="none" w:sz="0" w:space="0" w:color="auto"/>
        <w:right w:val="none" w:sz="0" w:space="0" w:color="auto"/>
      </w:divBdr>
    </w:div>
    <w:div w:id="1641570196">
      <w:bodyDiv w:val="1"/>
      <w:marLeft w:val="0"/>
      <w:marRight w:val="0"/>
      <w:marTop w:val="0"/>
      <w:marBottom w:val="0"/>
      <w:divBdr>
        <w:top w:val="none" w:sz="0" w:space="0" w:color="auto"/>
        <w:left w:val="none" w:sz="0" w:space="0" w:color="auto"/>
        <w:bottom w:val="none" w:sz="0" w:space="0" w:color="auto"/>
        <w:right w:val="none" w:sz="0" w:space="0" w:color="auto"/>
      </w:divBdr>
    </w:div>
    <w:div w:id="192016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hyperlink" Target="http://www.treasury.wa.gov.a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gov.uk/" TargetMode="Externa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hyperlink" Target="http://www.dpc.nsw.gov.au/"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cmd.act.gov.au/" TargetMode="External"/><Relationship Id="rId20" Type="http://schemas.openxmlformats.org/officeDocument/2006/relationships/hyperlink" Target="http://www.anao.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ec.europa.eu/index_en.htm" TargetMode="External"/><Relationship Id="rId5" Type="http://schemas.openxmlformats.org/officeDocument/2006/relationships/numbering" Target="numbering.xml"/><Relationship Id="rId15" Type="http://schemas.openxmlformats.org/officeDocument/2006/relationships/footer" Target="footer4.xml"/><Relationship Id="rId23" Type="http://schemas.openxmlformats.org/officeDocument/2006/relationships/hyperlink" Target="http://www.uneval.org" TargetMode="External"/><Relationship Id="rId10" Type="http://schemas.openxmlformats.org/officeDocument/2006/relationships/footnotes" Target="footnotes.xml"/><Relationship Id="rId19" Type="http://schemas.openxmlformats.org/officeDocument/2006/relationships/hyperlink" Target="http://www.pc.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 Id="rId22" Type="http://schemas.openxmlformats.org/officeDocument/2006/relationships/hyperlink" Target="https://www.ignet.gov/"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industry.gov.au/AboutUs/CorporatePublications/Documents/DepartmentofIndustry-StrategicPlan2014-18.pdf" TargetMode="External"/><Relationship Id="rId1" Type="http://schemas.openxmlformats.org/officeDocument/2006/relationships/hyperlink" Target="http://www.industry.gov.au/AboutUs/CorporatePublications/Documents/DepartmentofIndustry-StrategicPlan2014-1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A76592E63F4248B6B34BBC8495D871" ma:contentTypeVersion="0" ma:contentTypeDescription="Create a new document." ma:contentTypeScope="" ma:versionID="350ab15a582d7358f1394b59ca5bdcc3">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32C393-566E-40D6-8175-85F1CA2F42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8C70AB2-AF6F-4544-9331-F7F36E387C2E}">
  <ds:schemaRefs>
    <ds:schemaRef ds:uri="http://schemas.openxmlformats.org/package/2006/metadata/core-properties"/>
    <ds:schemaRef ds:uri="http://schemas.microsoft.com/office/2006/documentManagement/types"/>
    <ds:schemaRef ds:uri="http://www.w3.org/XML/1998/namespace"/>
    <ds:schemaRef ds:uri="http://purl.org/dc/terms/"/>
    <ds:schemaRef ds:uri="http://purl.org/dc/dcmitype/"/>
    <ds:schemaRef ds:uri="http://schemas.microsoft.com/office/infopath/2007/PartnerControl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0A9B00EB-8DC8-44F4-9556-5AA83E1B07D1}">
  <ds:schemaRefs>
    <ds:schemaRef ds:uri="http://schemas.microsoft.com/sharepoint/v3/contenttype/forms"/>
  </ds:schemaRefs>
</ds:datastoreItem>
</file>

<file path=customXml/itemProps4.xml><?xml version="1.0" encoding="utf-8"?>
<ds:datastoreItem xmlns:ds="http://schemas.openxmlformats.org/officeDocument/2006/customXml" ds:itemID="{6F98F855-BE63-409B-9917-00C2A57B7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FF2702EE.dotm</Template>
  <TotalTime>0</TotalTime>
  <Pages>18</Pages>
  <Words>4422</Words>
  <Characters>28198</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Submission to the Executive  Board</vt:lpstr>
    </vt:vector>
  </TitlesOfParts>
  <Company>DEWR</Company>
  <LinksUpToDate>false</LinksUpToDate>
  <CharactersWithSpaces>32555</CharactersWithSpaces>
  <SharedDoc>false</SharedDoc>
  <HLinks>
    <vt:vector size="6" baseType="variant">
      <vt:variant>
        <vt:i4>6553695</vt:i4>
      </vt:variant>
      <vt:variant>
        <vt:i4>0</vt:i4>
      </vt:variant>
      <vt:variant>
        <vt:i4>0</vt:i4>
      </vt:variant>
      <vt:variant>
        <vt:i4>5</vt:i4>
      </vt:variant>
      <vt:variant>
        <vt:lpwstr>mailto:alicia.oheir@deewr.gov.au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to the Executive  Board</dc:title>
  <dc:subject/>
  <dc:creator>ROBINSON,Kieren</dc:creator>
  <cp:keywords/>
  <dc:description/>
  <cp:lastModifiedBy>Peter Kensey</cp:lastModifiedBy>
  <cp:revision>3</cp:revision>
  <cp:lastPrinted>2015-10-26T23:48:00Z</cp:lastPrinted>
  <dcterms:created xsi:type="dcterms:W3CDTF">2015-10-26T23:48:00Z</dcterms:created>
  <dcterms:modified xsi:type="dcterms:W3CDTF">2015-10-26T23:48:00Z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EWRCategory">
    <vt:lpwstr>Category 1</vt:lpwstr>
  </property>
  <property fmtid="{D5CDD505-2E9C-101B-9397-08002B2CF9AE}" pid="3" name="DEEWRSubject">
    <vt:lpwstr>Subject 1</vt:lpwstr>
  </property>
  <property fmtid="{D5CDD505-2E9C-101B-9397-08002B2CF9AE}" pid="4" name="ContentType">
    <vt:lpwstr>DEEWRDocument</vt:lpwstr>
  </property>
  <property fmtid="{D5CDD505-2E9C-101B-9397-08002B2CF9AE}" pid="5" name="DEEWRResourceType">
    <vt:lpwstr>Resource Type 1</vt:lpwstr>
  </property>
  <property fmtid="{D5CDD505-2E9C-101B-9397-08002B2CF9AE}" pid="6" name="Subject">
    <vt:lpwstr/>
  </property>
  <property fmtid="{D5CDD505-2E9C-101B-9397-08002B2CF9AE}" pid="7" name="Keywords">
    <vt:lpwstr/>
  </property>
  <property fmtid="{D5CDD505-2E9C-101B-9397-08002B2CF9AE}" pid="8" name="_Author">
    <vt:lpwstr>ROBINSON,Kieren</vt:lpwstr>
  </property>
  <property fmtid="{D5CDD505-2E9C-101B-9397-08002B2CF9AE}" pid="9" name="_Category">
    <vt:lpwstr/>
  </property>
  <property fmtid="{D5CDD505-2E9C-101B-9397-08002B2CF9AE}" pid="10" name="Categories">
    <vt:lpwstr/>
  </property>
  <property fmtid="{D5CDD505-2E9C-101B-9397-08002B2CF9AE}" pid="11" name="Approval Level">
    <vt:lpwstr/>
  </property>
  <property fmtid="{D5CDD505-2E9C-101B-9397-08002B2CF9AE}" pid="12" name="_Comments">
    <vt:lpwstr/>
  </property>
  <property fmtid="{D5CDD505-2E9C-101B-9397-08002B2CF9AE}" pid="13" name="Assigned To">
    <vt:lpwstr/>
  </property>
  <property fmtid="{D5CDD505-2E9C-101B-9397-08002B2CF9AE}" pid="14" name="&gt;">
    <vt:lpwstr>Other</vt:lpwstr>
  </property>
  <property fmtid="{D5CDD505-2E9C-101B-9397-08002B2CF9AE}" pid="15" name="ContentTypeId">
    <vt:lpwstr>0x01010067A76592E63F4248B6B34BBC8495D871</vt:lpwstr>
  </property>
  <property fmtid="{D5CDD505-2E9C-101B-9397-08002B2CF9AE}" pid="16" name="_dlc_policyId">
    <vt:lpwstr/>
  </property>
  <property fmtid="{D5CDD505-2E9C-101B-9397-08002B2CF9AE}" pid="17" name="ItemRetentionFormula">
    <vt:lpwstr/>
  </property>
</Properties>
</file>